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BF18D8" w:rsidP="00926083">
      <w:pPr>
        <w:pStyle w:val="Title"/>
      </w:pPr>
      <w:r>
        <w:t>Bowel Cancer Quality Improvement Report</w:t>
      </w:r>
    </w:p>
    <w:p w:rsidR="00C05132" w:rsidRDefault="00BF18D8" w:rsidP="00926083">
      <w:pPr>
        <w:pStyle w:val="Subhead"/>
      </w:pPr>
      <w:r>
        <w:t>2019</w:t>
      </w:r>
    </w:p>
    <w:p w:rsidR="00C05132" w:rsidRDefault="00C05132" w:rsidP="00A06BE4"/>
    <w:p w:rsidR="00142954" w:rsidRPr="00142954" w:rsidRDefault="00142954" w:rsidP="00142954">
      <w:pPr>
        <w:sectPr w:rsidR="00142954" w:rsidRPr="00142954" w:rsidSect="005A79E5">
          <w:headerReference w:type="default" r:id="rId8"/>
          <w:footerReference w:type="default" r:id="rId9"/>
          <w:pgSz w:w="11907" w:h="16834" w:code="9"/>
          <w:pgMar w:top="5670" w:right="1134" w:bottom="1134" w:left="1134" w:header="567" w:footer="851" w:gutter="0"/>
          <w:pgNumType w:start="1"/>
          <w:cols w:space="720"/>
        </w:sectPr>
      </w:pPr>
    </w:p>
    <w:p w:rsidR="00BF18D8" w:rsidRDefault="00BF18D8" w:rsidP="00BF18D8">
      <w:r w:rsidRPr="00BF18D8">
        <w:lastRenderedPageBreak/>
        <w:t>This report publishes quality performance indicator data from patients diagnosed with colorectal cancer in New Zealand between 1 January 2013 and 31</w:t>
      </w:r>
      <w:r>
        <w:t> </w:t>
      </w:r>
      <w:r w:rsidRPr="00BF18D8">
        <w:t>December 2016.</w:t>
      </w:r>
    </w:p>
    <w:p w:rsidR="00BF18D8" w:rsidRPr="00A63DFF" w:rsidRDefault="00BF18D8" w:rsidP="00BF18D8">
      <w:pPr>
        <w:spacing w:before="480"/>
        <w:rPr>
          <w:rFonts w:asciiTheme="minorHAnsi" w:hAnsiTheme="minorHAnsi" w:cstheme="minorHAnsi"/>
          <w:b/>
          <w:spacing w:val="10"/>
          <w:sz w:val="36"/>
          <w:szCs w:val="36"/>
        </w:rPr>
      </w:pPr>
      <w:r>
        <w:rPr>
          <w:rFonts w:asciiTheme="minorHAnsi" w:hAnsiTheme="minorHAnsi" w:cstheme="minorHAnsi"/>
          <w:b/>
          <w:spacing w:val="10"/>
          <w:sz w:val="36"/>
          <w:szCs w:val="36"/>
        </w:rPr>
        <w:t>Acknowledgements</w:t>
      </w:r>
    </w:p>
    <w:p w:rsidR="00BF18D8" w:rsidRPr="00BF18D8" w:rsidRDefault="00BF18D8" w:rsidP="00BF18D8">
      <w:pPr>
        <w:spacing w:before="120"/>
        <w:rPr>
          <w:rFonts w:cs="Segoe UI"/>
          <w:sz w:val="20"/>
        </w:rPr>
      </w:pPr>
      <w:r w:rsidRPr="00BF18D8">
        <w:rPr>
          <w:rFonts w:cs="Segoe UI"/>
          <w:sz w:val="20"/>
        </w:rPr>
        <w:t>This report is the result of a partnership between the Cancer Services team within the Ministry of Health and the National Bowel Cancer Working Group to identify and report on bowel cancer quality performance indicators.</w:t>
      </w:r>
    </w:p>
    <w:p w:rsidR="00BF18D8" w:rsidRPr="00BF18D8" w:rsidRDefault="00BF18D8" w:rsidP="00BF18D8">
      <w:pPr>
        <w:spacing w:before="120"/>
        <w:rPr>
          <w:rFonts w:cs="Segoe UI"/>
          <w:sz w:val="20"/>
        </w:rPr>
      </w:pPr>
      <w:r w:rsidRPr="00BF18D8">
        <w:rPr>
          <w:rFonts w:cs="Segoe UI"/>
          <w:sz w:val="20"/>
        </w:rPr>
        <w:t>This report is based on data from the New Zealand Cancer Registry and the Ministry of Health</w:t>
      </w:r>
      <w:r w:rsidR="00E51135">
        <w:rPr>
          <w:rFonts w:cs="Segoe UI"/>
          <w:sz w:val="20"/>
        </w:rPr>
        <w:t>’</w:t>
      </w:r>
      <w:r w:rsidRPr="00BF18D8">
        <w:rPr>
          <w:rFonts w:cs="Segoe UI"/>
          <w:sz w:val="20"/>
        </w:rPr>
        <w:t>s National Collections. Support from staff at the New Zealand Cancer Registry within the Ministry was invaluable to the authors</w:t>
      </w:r>
      <w:r w:rsidR="00E51135">
        <w:rPr>
          <w:rFonts w:cs="Segoe UI"/>
          <w:sz w:val="20"/>
        </w:rPr>
        <w:t>’</w:t>
      </w:r>
      <w:r w:rsidRPr="00BF18D8">
        <w:rPr>
          <w:rFonts w:cs="Segoe UI"/>
          <w:sz w:val="20"/>
        </w:rPr>
        <w:t xml:space="preserve"> understanding of the cancer registration data and how it could be used.</w:t>
      </w:r>
    </w:p>
    <w:p w:rsidR="00BF18D8" w:rsidRPr="00BF18D8" w:rsidRDefault="00BF18D8" w:rsidP="00BF18D8">
      <w:pPr>
        <w:spacing w:before="120"/>
        <w:rPr>
          <w:rFonts w:cs="Segoe UI"/>
          <w:sz w:val="20"/>
        </w:rPr>
      </w:pPr>
      <w:r w:rsidRPr="00BF18D8">
        <w:rPr>
          <w:rFonts w:cs="Segoe UI"/>
          <w:sz w:val="20"/>
        </w:rPr>
        <w:t>The support of Analytical Services staff within the Ministry, who provided access for clinicians to the National Collections data, was critical to developing confidence in the use of the data for national quality indicators.</w:t>
      </w:r>
    </w:p>
    <w:p w:rsidR="00BF18D8" w:rsidRPr="00C05132" w:rsidRDefault="00BF18D8" w:rsidP="00BF18D8">
      <w:pPr>
        <w:spacing w:before="120"/>
        <w:rPr>
          <w:rFonts w:cs="Segoe UI"/>
          <w:sz w:val="20"/>
        </w:rPr>
      </w:pPr>
      <w:r w:rsidRPr="00BF18D8">
        <w:rPr>
          <w:rFonts w:cs="Segoe UI"/>
          <w:sz w:val="20"/>
        </w:rPr>
        <w:t xml:space="preserve">The staff in Cancer Services – particularly those involved with the </w:t>
      </w:r>
      <w:r w:rsidRPr="00BF18D8">
        <w:rPr>
          <w:rFonts w:cs="Segoe UI"/>
          <w:i/>
          <w:sz w:val="20"/>
        </w:rPr>
        <w:t>New Zealand Cancer Health Information Strategy</w:t>
      </w:r>
      <w:r w:rsidRPr="00BF18D8">
        <w:rPr>
          <w:rFonts w:cs="Segoe UI"/>
          <w:sz w:val="20"/>
        </w:rPr>
        <w:t xml:space="preserve"> – have supported all stages of the development of the indicators this report presents</w:t>
      </w:r>
      <w:r>
        <w:rPr>
          <w:rFonts w:cs="Segoe UI"/>
          <w:sz w:val="20"/>
        </w:rPr>
        <w:t>.</w:t>
      </w:r>
    </w:p>
    <w:p w:rsidR="00BF18D8" w:rsidRPr="00A63DFF" w:rsidRDefault="00BF18D8" w:rsidP="00BF18D8">
      <w:pPr>
        <w:spacing w:before="480"/>
        <w:rPr>
          <w:rFonts w:asciiTheme="minorHAnsi" w:hAnsiTheme="minorHAnsi" w:cstheme="minorHAnsi"/>
          <w:b/>
          <w:spacing w:val="10"/>
          <w:sz w:val="36"/>
          <w:szCs w:val="36"/>
        </w:rPr>
      </w:pPr>
      <w:r>
        <w:rPr>
          <w:rFonts w:asciiTheme="minorHAnsi" w:hAnsiTheme="minorHAnsi" w:cstheme="minorHAnsi"/>
          <w:b/>
          <w:spacing w:val="10"/>
          <w:sz w:val="36"/>
          <w:szCs w:val="36"/>
        </w:rPr>
        <w:t>Authors</w:t>
      </w:r>
    </w:p>
    <w:p w:rsidR="00BF18D8" w:rsidRPr="00BF18D8" w:rsidRDefault="00BF18D8" w:rsidP="00BF18D8">
      <w:pPr>
        <w:spacing w:before="120"/>
        <w:rPr>
          <w:rFonts w:cs="Georgia"/>
          <w:color w:val="000000"/>
        </w:rPr>
      </w:pPr>
      <w:r w:rsidRPr="00BF18D8">
        <w:rPr>
          <w:rFonts w:cs="Georgia"/>
          <w:color w:val="000000"/>
        </w:rPr>
        <w:t>This report and the recommendations were prepare</w:t>
      </w:r>
      <w:r>
        <w:rPr>
          <w:rFonts w:cs="Georgia"/>
          <w:color w:val="000000"/>
        </w:rPr>
        <w:t>d by a project team:</w:t>
      </w:r>
    </w:p>
    <w:p w:rsidR="00BF18D8" w:rsidRPr="00BF18D8" w:rsidRDefault="00BF18D8" w:rsidP="00BF18D8">
      <w:pPr>
        <w:pStyle w:val="Bullet"/>
      </w:pPr>
      <w:r w:rsidRPr="00BF18D8">
        <w:t>Professor Ian Bissett, colorectal surgeon, Auckland District Health Board/</w:t>
      </w:r>
      <w:r>
        <w:t xml:space="preserve"> </w:t>
      </w:r>
      <w:r w:rsidRPr="00BF18D8">
        <w:t>University of Auckland</w:t>
      </w:r>
    </w:p>
    <w:p w:rsidR="00BF18D8" w:rsidRPr="00BF18D8" w:rsidRDefault="00BF18D8" w:rsidP="00BF18D8">
      <w:pPr>
        <w:pStyle w:val="Bullet"/>
      </w:pPr>
      <w:r w:rsidRPr="00BF18D8">
        <w:t>Dr Christopher Jackson, medical oncologist, Southern District Health Board</w:t>
      </w:r>
    </w:p>
    <w:p w:rsidR="00BF18D8" w:rsidRPr="00BF18D8" w:rsidRDefault="00BF18D8" w:rsidP="00BF18D8">
      <w:pPr>
        <w:pStyle w:val="Bullet"/>
      </w:pPr>
      <w:r w:rsidRPr="00BF18D8">
        <w:t>Mr Christopher Harmston, general and colorectal surgeon, Northland District Health Board</w:t>
      </w:r>
    </w:p>
    <w:p w:rsidR="00BF18D8" w:rsidRPr="00C05132" w:rsidRDefault="00BF18D8" w:rsidP="00BF18D8">
      <w:pPr>
        <w:pStyle w:val="Bullet"/>
        <w:rPr>
          <w:rFonts w:cs="Segoe UI"/>
          <w:sz w:val="20"/>
        </w:rPr>
      </w:pPr>
      <w:r w:rsidRPr="00BF18D8">
        <w:t>Ruth Pirie, senior analyst, Ministry of Health.</w:t>
      </w:r>
    </w:p>
    <w:p w:rsidR="009A42D5" w:rsidRPr="00A63DFF" w:rsidRDefault="00BF18D8" w:rsidP="00BF18D8">
      <w:pPr>
        <w:spacing w:before="480"/>
        <w:rPr>
          <w:rFonts w:asciiTheme="minorHAnsi" w:hAnsiTheme="minorHAnsi" w:cstheme="minorHAnsi"/>
          <w:b/>
          <w:spacing w:val="10"/>
          <w:sz w:val="36"/>
          <w:szCs w:val="36"/>
        </w:rPr>
      </w:pPr>
      <w:r>
        <w:rPr>
          <w:rFonts w:asciiTheme="minorHAnsi" w:hAnsiTheme="minorHAnsi" w:cstheme="minorHAnsi"/>
          <w:b/>
          <w:spacing w:val="10"/>
          <w:sz w:val="36"/>
          <w:szCs w:val="36"/>
        </w:rPr>
        <w:t>Disclaimer</w:t>
      </w:r>
    </w:p>
    <w:p w:rsidR="009A42D5" w:rsidRPr="00C05132" w:rsidRDefault="00BF18D8" w:rsidP="00C05132">
      <w:pPr>
        <w:spacing w:before="120"/>
        <w:rPr>
          <w:rFonts w:cs="Segoe UI"/>
          <w:sz w:val="20"/>
        </w:rPr>
      </w:pPr>
      <w:r w:rsidRPr="00884B89">
        <w:rPr>
          <w:rFonts w:cs="Georgia"/>
          <w:color w:val="000000"/>
        </w:rPr>
        <w:t xml:space="preserve">The results in this report are not official statistics; they have been created for </w:t>
      </w:r>
      <w:r>
        <w:rPr>
          <w:rFonts w:cs="Georgia"/>
          <w:color w:val="000000"/>
        </w:rPr>
        <w:t>service quality improvement</w:t>
      </w:r>
      <w:r w:rsidRPr="00884B89">
        <w:rPr>
          <w:rFonts w:cs="Georgia"/>
          <w:color w:val="000000"/>
        </w:rPr>
        <w:t xml:space="preserve"> purposes from the </w:t>
      </w:r>
      <w:r>
        <w:rPr>
          <w:rFonts w:cs="Georgia"/>
          <w:color w:val="000000"/>
        </w:rPr>
        <w:t>Ministry of Health</w:t>
      </w:r>
      <w:r w:rsidR="00E51135">
        <w:rPr>
          <w:rFonts w:cs="Georgia"/>
          <w:color w:val="000000"/>
        </w:rPr>
        <w:t>’</w:t>
      </w:r>
      <w:r>
        <w:rPr>
          <w:rFonts w:cs="Georgia"/>
          <w:color w:val="000000"/>
        </w:rPr>
        <w:t>s National Collections</w:t>
      </w:r>
      <w:r w:rsidRPr="00884B89">
        <w:rPr>
          <w:rFonts w:cs="Georgia"/>
          <w:color w:val="000000"/>
        </w:rPr>
        <w:t>. The opinions, findings, recommendations and conclusions expressed in this report are those of the authors, not the Ministry of Health.</w:t>
      </w:r>
    </w:p>
    <w:p w:rsidR="00A80363" w:rsidRPr="00030930" w:rsidRDefault="00A80363" w:rsidP="00030930">
      <w:pPr>
        <w:pStyle w:val="Imprint"/>
        <w:spacing w:before="1080"/>
        <w:rPr>
          <w:rFonts w:cs="Segoe UI"/>
        </w:rPr>
      </w:pPr>
      <w:r w:rsidRPr="00030930">
        <w:rPr>
          <w:rFonts w:cs="Segoe UI"/>
        </w:rPr>
        <w:t xml:space="preserve">Citation: </w:t>
      </w:r>
      <w:r w:rsidR="00442C1C" w:rsidRPr="00030930">
        <w:rPr>
          <w:rFonts w:cs="Segoe UI"/>
        </w:rPr>
        <w:t xml:space="preserve">Ministry of Health. </w:t>
      </w:r>
      <w:r w:rsidR="00BF18D8" w:rsidRPr="00030930">
        <w:rPr>
          <w:rFonts w:cs="Segoe UI"/>
        </w:rPr>
        <w:t>2019</w:t>
      </w:r>
      <w:r w:rsidR="00442C1C" w:rsidRPr="00030930">
        <w:rPr>
          <w:rFonts w:cs="Segoe UI"/>
        </w:rPr>
        <w:t xml:space="preserve">. </w:t>
      </w:r>
      <w:r w:rsidR="00BF18D8" w:rsidRPr="00030930">
        <w:rPr>
          <w:rFonts w:cs="Segoe UI"/>
          <w:i/>
        </w:rPr>
        <w:t>Bowel Cancer Qu</w:t>
      </w:r>
      <w:r w:rsidR="00030930">
        <w:rPr>
          <w:rFonts w:cs="Segoe UI"/>
          <w:i/>
        </w:rPr>
        <w:t>a</w:t>
      </w:r>
      <w:r w:rsidR="00BF18D8" w:rsidRPr="00030930">
        <w:rPr>
          <w:rFonts w:cs="Segoe UI"/>
          <w:i/>
        </w:rPr>
        <w:t>lity Improvement Report</w:t>
      </w:r>
      <w:r w:rsidR="00442C1C" w:rsidRPr="00030930">
        <w:rPr>
          <w:rFonts w:cs="Segoe UI"/>
        </w:rPr>
        <w:t>. Wellington: Ministry of Health.</w:t>
      </w:r>
    </w:p>
    <w:p w:rsidR="00C86248" w:rsidRDefault="00C86248">
      <w:pPr>
        <w:pStyle w:val="Imprint"/>
      </w:pPr>
      <w:r>
        <w:t xml:space="preserve">Published in </w:t>
      </w:r>
      <w:r w:rsidR="00030930">
        <w:t>February 2019</w:t>
      </w:r>
      <w:r w:rsidR="00A63DFF">
        <w:t xml:space="preserve"> </w:t>
      </w:r>
      <w:r>
        <w:t>by the</w:t>
      </w:r>
      <w:r w:rsidR="00442C1C">
        <w:t xml:space="preserve"> </w:t>
      </w:r>
      <w:r>
        <w:t>Ministry of Health</w:t>
      </w:r>
      <w:r w:rsidR="00030930">
        <w:t xml:space="preserve">, </w:t>
      </w:r>
      <w:r>
        <w:t>PO Box 5013, Wellington</w:t>
      </w:r>
      <w:r w:rsidR="00A80363">
        <w:t xml:space="preserve"> 614</w:t>
      </w:r>
      <w:r w:rsidR="006041F0">
        <w:t>0</w:t>
      </w:r>
      <w:r>
        <w:t xml:space="preserve">, </w:t>
      </w:r>
      <w:r w:rsidR="00571223">
        <w:t>New Zealand</w:t>
      </w:r>
    </w:p>
    <w:p w:rsidR="00082CD6" w:rsidRPr="009C0F2D" w:rsidRDefault="00D863D0" w:rsidP="00082CD6">
      <w:pPr>
        <w:pStyle w:val="Imprint"/>
      </w:pPr>
      <w:r>
        <w:t>ISBN</w:t>
      </w:r>
      <w:r w:rsidR="00442C1C">
        <w:t xml:space="preserve"> </w:t>
      </w:r>
      <w:r w:rsidR="00AF4A3C" w:rsidRPr="00AF4A3C">
        <w:t>978-1-98-856851-5</w:t>
      </w:r>
      <w:r w:rsidR="009A42D5">
        <w:t xml:space="preserve"> </w:t>
      </w:r>
      <w:r>
        <w:t>(</w:t>
      </w:r>
      <w:r w:rsidR="00442C1C">
        <w:t>online</w:t>
      </w:r>
      <w:r>
        <w:t>)</w:t>
      </w:r>
      <w:r w:rsidR="00082CD6">
        <w:br/>
      </w:r>
      <w:r w:rsidR="00082CD6" w:rsidRPr="009C0F2D">
        <w:t xml:space="preserve">HP </w:t>
      </w:r>
      <w:r w:rsidR="00A67A36">
        <w:t>7035</w:t>
      </w:r>
    </w:p>
    <w:p w:rsidR="00C86248" w:rsidRDefault="008C64C4" w:rsidP="00A63DFF">
      <w:r>
        <w:rPr>
          <w:noProof/>
          <w:lang w:eastAsia="en-NZ"/>
        </w:rPr>
        <w:drawing>
          <wp:inline distT="0" distB="0" distL="0" distR="0" wp14:anchorId="74116272" wp14:editId="59FA9E15">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8080"/>
      </w:tblGrid>
      <w:tr w:rsidR="00A63DFF" w:rsidRPr="00A63DFF" w:rsidTr="00030930">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7E8F7067" wp14:editId="5FD82B62">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8080"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030930">
          <w:footerReference w:type="even" r:id="rId12"/>
          <w:footerReference w:type="default" r:id="rId13"/>
          <w:pgSz w:w="11907" w:h="16834" w:code="9"/>
          <w:pgMar w:top="851" w:right="1134" w:bottom="709" w:left="1134" w:header="0" w:footer="0" w:gutter="0"/>
          <w:cols w:space="720"/>
          <w:vAlign w:val="bottom"/>
        </w:sectPr>
      </w:pPr>
    </w:p>
    <w:p w:rsidR="00C86248" w:rsidRDefault="00C86248" w:rsidP="00025A6F">
      <w:pPr>
        <w:pStyle w:val="IntroHead"/>
      </w:pPr>
      <w:bookmarkStart w:id="0" w:name="_Toc405792991"/>
      <w:bookmarkStart w:id="1" w:name="_Toc405793224"/>
      <w:r>
        <w:lastRenderedPageBreak/>
        <w:t>Contents</w:t>
      </w:r>
      <w:bookmarkEnd w:id="0"/>
      <w:bookmarkEnd w:id="1"/>
    </w:p>
    <w:p w:rsidR="00B22602" w:rsidRDefault="00B22602">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2253716" w:history="1">
        <w:r w:rsidRPr="00BB0ECD">
          <w:rPr>
            <w:rStyle w:val="Hyperlink"/>
            <w:noProof/>
          </w:rPr>
          <w:t>1</w:t>
        </w:r>
        <w:r>
          <w:rPr>
            <w:rFonts w:asciiTheme="minorHAnsi" w:eastAsiaTheme="minorEastAsia" w:hAnsiTheme="minorHAnsi" w:cstheme="minorBidi"/>
            <w:noProof/>
            <w:sz w:val="22"/>
            <w:szCs w:val="22"/>
            <w:lang w:eastAsia="en-NZ"/>
          </w:rPr>
          <w:tab/>
        </w:r>
        <w:r w:rsidRPr="00BB0ECD">
          <w:rPr>
            <w:rStyle w:val="Hyperlink"/>
            <w:noProof/>
          </w:rPr>
          <w:t>Executive summary</w:t>
        </w:r>
        <w:r>
          <w:rPr>
            <w:noProof/>
            <w:webHidden/>
          </w:rPr>
          <w:tab/>
        </w:r>
        <w:r>
          <w:rPr>
            <w:noProof/>
            <w:webHidden/>
          </w:rPr>
          <w:fldChar w:fldCharType="begin"/>
        </w:r>
        <w:r>
          <w:rPr>
            <w:noProof/>
            <w:webHidden/>
          </w:rPr>
          <w:instrText xml:space="preserve"> PAGEREF _Toc2253716 \h </w:instrText>
        </w:r>
        <w:r>
          <w:rPr>
            <w:noProof/>
            <w:webHidden/>
          </w:rPr>
        </w:r>
        <w:r>
          <w:rPr>
            <w:noProof/>
            <w:webHidden/>
          </w:rPr>
          <w:fldChar w:fldCharType="separate"/>
        </w:r>
        <w:r>
          <w:rPr>
            <w:noProof/>
            <w:webHidden/>
          </w:rPr>
          <w:t>vii</w:t>
        </w:r>
        <w:r>
          <w:rPr>
            <w:noProof/>
            <w:webHidden/>
          </w:rPr>
          <w:fldChar w:fldCharType="end"/>
        </w:r>
      </w:hyperlink>
    </w:p>
    <w:p w:rsidR="00B22602" w:rsidRDefault="00076E1A">
      <w:pPr>
        <w:pStyle w:val="TOC1"/>
        <w:rPr>
          <w:rFonts w:asciiTheme="minorHAnsi" w:eastAsiaTheme="minorEastAsia" w:hAnsiTheme="minorHAnsi" w:cstheme="minorBidi"/>
          <w:noProof/>
          <w:sz w:val="22"/>
          <w:szCs w:val="22"/>
          <w:lang w:eastAsia="en-NZ"/>
        </w:rPr>
      </w:pPr>
      <w:hyperlink w:anchor="_Toc2253717" w:history="1">
        <w:r w:rsidR="00B22602" w:rsidRPr="00BB0ECD">
          <w:rPr>
            <w:rStyle w:val="Hyperlink"/>
            <w:noProof/>
          </w:rPr>
          <w:t>2</w:t>
        </w:r>
        <w:r w:rsidR="00B22602">
          <w:rPr>
            <w:rFonts w:asciiTheme="minorHAnsi" w:eastAsiaTheme="minorEastAsia" w:hAnsiTheme="minorHAnsi" w:cstheme="minorBidi"/>
            <w:noProof/>
            <w:sz w:val="22"/>
            <w:szCs w:val="22"/>
            <w:lang w:eastAsia="en-NZ"/>
          </w:rPr>
          <w:tab/>
        </w:r>
        <w:r w:rsidR="00B22602" w:rsidRPr="00BB0ECD">
          <w:rPr>
            <w:rStyle w:val="Hyperlink"/>
            <w:noProof/>
          </w:rPr>
          <w:t>Key findings and recommendations</w:t>
        </w:r>
        <w:r w:rsidR="00B22602">
          <w:rPr>
            <w:noProof/>
            <w:webHidden/>
          </w:rPr>
          <w:tab/>
        </w:r>
        <w:r w:rsidR="00B22602">
          <w:rPr>
            <w:noProof/>
            <w:webHidden/>
          </w:rPr>
          <w:fldChar w:fldCharType="begin"/>
        </w:r>
        <w:r w:rsidR="00B22602">
          <w:rPr>
            <w:noProof/>
            <w:webHidden/>
          </w:rPr>
          <w:instrText xml:space="preserve"> PAGEREF _Toc2253717 \h </w:instrText>
        </w:r>
        <w:r w:rsidR="00B22602">
          <w:rPr>
            <w:noProof/>
            <w:webHidden/>
          </w:rPr>
        </w:r>
        <w:r w:rsidR="00B22602">
          <w:rPr>
            <w:noProof/>
            <w:webHidden/>
          </w:rPr>
          <w:fldChar w:fldCharType="separate"/>
        </w:r>
        <w:r w:rsidR="00B22602">
          <w:rPr>
            <w:noProof/>
            <w:webHidden/>
          </w:rPr>
          <w:t>1</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18" w:history="1">
        <w:r w:rsidR="00B22602" w:rsidRPr="00BB0ECD">
          <w:rPr>
            <w:rStyle w:val="Hyperlink"/>
            <w:noProof/>
          </w:rPr>
          <w:t>2.1</w:t>
        </w:r>
        <w:r w:rsidR="00B22602">
          <w:rPr>
            <w:rFonts w:asciiTheme="minorHAnsi" w:eastAsiaTheme="minorEastAsia" w:hAnsiTheme="minorHAnsi" w:cstheme="minorBidi"/>
            <w:noProof/>
            <w:szCs w:val="22"/>
            <w:lang w:eastAsia="en-NZ"/>
          </w:rPr>
          <w:tab/>
        </w:r>
        <w:r w:rsidR="00B22602" w:rsidRPr="00BB0ECD">
          <w:rPr>
            <w:rStyle w:val="Hyperlink"/>
            <w:noProof/>
          </w:rPr>
          <w:t>Care pathway</w:t>
        </w:r>
        <w:r w:rsidR="00B22602">
          <w:rPr>
            <w:noProof/>
            <w:webHidden/>
          </w:rPr>
          <w:tab/>
        </w:r>
        <w:r w:rsidR="00B22602">
          <w:rPr>
            <w:noProof/>
            <w:webHidden/>
          </w:rPr>
          <w:fldChar w:fldCharType="begin"/>
        </w:r>
        <w:r w:rsidR="00B22602">
          <w:rPr>
            <w:noProof/>
            <w:webHidden/>
          </w:rPr>
          <w:instrText xml:space="preserve"> PAGEREF _Toc2253718 \h </w:instrText>
        </w:r>
        <w:r w:rsidR="00B22602">
          <w:rPr>
            <w:noProof/>
            <w:webHidden/>
          </w:rPr>
        </w:r>
        <w:r w:rsidR="00B22602">
          <w:rPr>
            <w:noProof/>
            <w:webHidden/>
          </w:rPr>
          <w:fldChar w:fldCharType="separate"/>
        </w:r>
        <w:r w:rsidR="00B22602">
          <w:rPr>
            <w:noProof/>
            <w:webHidden/>
          </w:rPr>
          <w:t>1</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19" w:history="1">
        <w:r w:rsidR="00B22602" w:rsidRPr="00BB0ECD">
          <w:rPr>
            <w:rStyle w:val="Hyperlink"/>
            <w:noProof/>
          </w:rPr>
          <w:t>2.2</w:t>
        </w:r>
        <w:r w:rsidR="00B22602">
          <w:rPr>
            <w:rFonts w:asciiTheme="minorHAnsi" w:eastAsiaTheme="minorEastAsia" w:hAnsiTheme="minorHAnsi" w:cstheme="minorBidi"/>
            <w:noProof/>
            <w:szCs w:val="22"/>
            <w:lang w:eastAsia="en-NZ"/>
          </w:rPr>
          <w:tab/>
        </w:r>
        <w:r w:rsidR="00B22602" w:rsidRPr="00BB0ECD">
          <w:rPr>
            <w:rStyle w:val="Hyperlink"/>
            <w:noProof/>
          </w:rPr>
          <w:t>Surgical care</w:t>
        </w:r>
        <w:r w:rsidR="00B22602">
          <w:rPr>
            <w:noProof/>
            <w:webHidden/>
          </w:rPr>
          <w:tab/>
        </w:r>
        <w:r w:rsidR="00B22602">
          <w:rPr>
            <w:noProof/>
            <w:webHidden/>
          </w:rPr>
          <w:fldChar w:fldCharType="begin"/>
        </w:r>
        <w:r w:rsidR="00B22602">
          <w:rPr>
            <w:noProof/>
            <w:webHidden/>
          </w:rPr>
          <w:instrText xml:space="preserve"> PAGEREF _Toc2253719 \h </w:instrText>
        </w:r>
        <w:r w:rsidR="00B22602">
          <w:rPr>
            <w:noProof/>
            <w:webHidden/>
          </w:rPr>
        </w:r>
        <w:r w:rsidR="00B22602">
          <w:rPr>
            <w:noProof/>
            <w:webHidden/>
          </w:rPr>
          <w:fldChar w:fldCharType="separate"/>
        </w:r>
        <w:r w:rsidR="00B22602">
          <w:rPr>
            <w:noProof/>
            <w:webHidden/>
          </w:rPr>
          <w:t>2</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20" w:history="1">
        <w:r w:rsidR="00B22602" w:rsidRPr="00BB0ECD">
          <w:rPr>
            <w:rStyle w:val="Hyperlink"/>
            <w:noProof/>
          </w:rPr>
          <w:t>2.3</w:t>
        </w:r>
        <w:r w:rsidR="00B22602">
          <w:rPr>
            <w:rFonts w:asciiTheme="minorHAnsi" w:eastAsiaTheme="minorEastAsia" w:hAnsiTheme="minorHAnsi" w:cstheme="minorBidi"/>
            <w:noProof/>
            <w:szCs w:val="22"/>
            <w:lang w:eastAsia="en-NZ"/>
          </w:rPr>
          <w:tab/>
        </w:r>
        <w:r w:rsidR="00B22602" w:rsidRPr="00BB0ECD">
          <w:rPr>
            <w:rStyle w:val="Hyperlink"/>
            <w:noProof/>
          </w:rPr>
          <w:t>Rectal cancer</w:t>
        </w:r>
        <w:r w:rsidR="00B22602">
          <w:rPr>
            <w:noProof/>
            <w:webHidden/>
          </w:rPr>
          <w:tab/>
        </w:r>
        <w:r w:rsidR="00B22602">
          <w:rPr>
            <w:noProof/>
            <w:webHidden/>
          </w:rPr>
          <w:fldChar w:fldCharType="begin"/>
        </w:r>
        <w:r w:rsidR="00B22602">
          <w:rPr>
            <w:noProof/>
            <w:webHidden/>
          </w:rPr>
          <w:instrText xml:space="preserve"> PAGEREF _Toc2253720 \h </w:instrText>
        </w:r>
        <w:r w:rsidR="00B22602">
          <w:rPr>
            <w:noProof/>
            <w:webHidden/>
          </w:rPr>
        </w:r>
        <w:r w:rsidR="00B22602">
          <w:rPr>
            <w:noProof/>
            <w:webHidden/>
          </w:rPr>
          <w:fldChar w:fldCharType="separate"/>
        </w:r>
        <w:r w:rsidR="00B22602">
          <w:rPr>
            <w:noProof/>
            <w:webHidden/>
          </w:rPr>
          <w:t>2</w:t>
        </w:r>
        <w:r w:rsidR="00B22602">
          <w:rPr>
            <w:noProof/>
            <w:webHidden/>
          </w:rPr>
          <w:fldChar w:fldCharType="end"/>
        </w:r>
      </w:hyperlink>
    </w:p>
    <w:p w:rsidR="00B22602" w:rsidRDefault="00076E1A">
      <w:pPr>
        <w:pStyle w:val="TOC1"/>
        <w:rPr>
          <w:rFonts w:asciiTheme="minorHAnsi" w:eastAsiaTheme="minorEastAsia" w:hAnsiTheme="minorHAnsi" w:cstheme="minorBidi"/>
          <w:noProof/>
          <w:sz w:val="22"/>
          <w:szCs w:val="22"/>
          <w:lang w:eastAsia="en-NZ"/>
        </w:rPr>
      </w:pPr>
      <w:hyperlink w:anchor="_Toc2253721" w:history="1">
        <w:r w:rsidR="00B22602" w:rsidRPr="00BB0ECD">
          <w:rPr>
            <w:rStyle w:val="Hyperlink"/>
            <w:noProof/>
          </w:rPr>
          <w:t>3</w:t>
        </w:r>
        <w:r w:rsidR="00B22602">
          <w:rPr>
            <w:rFonts w:asciiTheme="minorHAnsi" w:eastAsiaTheme="minorEastAsia" w:hAnsiTheme="minorHAnsi" w:cstheme="minorBidi"/>
            <w:noProof/>
            <w:sz w:val="22"/>
            <w:szCs w:val="22"/>
            <w:lang w:eastAsia="en-NZ"/>
          </w:rPr>
          <w:tab/>
        </w:r>
        <w:r w:rsidR="00B22602" w:rsidRPr="00BB0ECD">
          <w:rPr>
            <w:rStyle w:val="Hyperlink"/>
            <w:noProof/>
          </w:rPr>
          <w:t>Introduction</w:t>
        </w:r>
        <w:r w:rsidR="00B22602">
          <w:rPr>
            <w:noProof/>
            <w:webHidden/>
          </w:rPr>
          <w:tab/>
        </w:r>
        <w:r w:rsidR="00B22602">
          <w:rPr>
            <w:noProof/>
            <w:webHidden/>
          </w:rPr>
          <w:fldChar w:fldCharType="begin"/>
        </w:r>
        <w:r w:rsidR="00B22602">
          <w:rPr>
            <w:noProof/>
            <w:webHidden/>
          </w:rPr>
          <w:instrText xml:space="preserve"> PAGEREF _Toc2253721 \h </w:instrText>
        </w:r>
        <w:r w:rsidR="00B22602">
          <w:rPr>
            <w:noProof/>
            <w:webHidden/>
          </w:rPr>
        </w:r>
        <w:r w:rsidR="00B22602">
          <w:rPr>
            <w:noProof/>
            <w:webHidden/>
          </w:rPr>
          <w:fldChar w:fldCharType="separate"/>
        </w:r>
        <w:r w:rsidR="00B22602">
          <w:rPr>
            <w:noProof/>
            <w:webHidden/>
          </w:rPr>
          <w:t>4</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22" w:history="1">
        <w:r w:rsidR="00B22602" w:rsidRPr="00BB0ECD">
          <w:rPr>
            <w:rStyle w:val="Hyperlink"/>
            <w:noProof/>
          </w:rPr>
          <w:t>3.1</w:t>
        </w:r>
        <w:r w:rsidR="00B22602">
          <w:rPr>
            <w:rFonts w:asciiTheme="minorHAnsi" w:eastAsiaTheme="minorEastAsia" w:hAnsiTheme="minorHAnsi" w:cstheme="minorBidi"/>
            <w:noProof/>
            <w:szCs w:val="22"/>
            <w:lang w:eastAsia="en-NZ"/>
          </w:rPr>
          <w:tab/>
        </w:r>
        <w:r w:rsidR="00B22602" w:rsidRPr="00BB0ECD">
          <w:rPr>
            <w:rStyle w:val="Hyperlink"/>
            <w:noProof/>
          </w:rPr>
          <w:t>Background</w:t>
        </w:r>
        <w:r w:rsidR="00B22602">
          <w:rPr>
            <w:noProof/>
            <w:webHidden/>
          </w:rPr>
          <w:tab/>
        </w:r>
        <w:r w:rsidR="00B22602">
          <w:rPr>
            <w:noProof/>
            <w:webHidden/>
          </w:rPr>
          <w:fldChar w:fldCharType="begin"/>
        </w:r>
        <w:r w:rsidR="00B22602">
          <w:rPr>
            <w:noProof/>
            <w:webHidden/>
          </w:rPr>
          <w:instrText xml:space="preserve"> PAGEREF _Toc2253722 \h </w:instrText>
        </w:r>
        <w:r w:rsidR="00B22602">
          <w:rPr>
            <w:noProof/>
            <w:webHidden/>
          </w:rPr>
        </w:r>
        <w:r w:rsidR="00B22602">
          <w:rPr>
            <w:noProof/>
            <w:webHidden/>
          </w:rPr>
          <w:fldChar w:fldCharType="separate"/>
        </w:r>
        <w:r w:rsidR="00B22602">
          <w:rPr>
            <w:noProof/>
            <w:webHidden/>
          </w:rPr>
          <w:t>4</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23" w:history="1">
        <w:r w:rsidR="00B22602" w:rsidRPr="00BB0ECD">
          <w:rPr>
            <w:rStyle w:val="Hyperlink"/>
            <w:noProof/>
          </w:rPr>
          <w:t>3.2</w:t>
        </w:r>
        <w:r w:rsidR="00B22602">
          <w:rPr>
            <w:rFonts w:asciiTheme="minorHAnsi" w:eastAsiaTheme="minorEastAsia" w:hAnsiTheme="minorHAnsi" w:cstheme="minorBidi"/>
            <w:noProof/>
            <w:szCs w:val="22"/>
            <w:lang w:eastAsia="en-NZ"/>
          </w:rPr>
          <w:tab/>
        </w:r>
        <w:r w:rsidR="00B22602" w:rsidRPr="00BB0ECD">
          <w:rPr>
            <w:rStyle w:val="Hyperlink"/>
            <w:noProof/>
          </w:rPr>
          <w:t>Context</w:t>
        </w:r>
        <w:r w:rsidR="00B22602">
          <w:rPr>
            <w:noProof/>
            <w:webHidden/>
          </w:rPr>
          <w:tab/>
        </w:r>
        <w:r w:rsidR="00B22602">
          <w:rPr>
            <w:noProof/>
            <w:webHidden/>
          </w:rPr>
          <w:fldChar w:fldCharType="begin"/>
        </w:r>
        <w:r w:rsidR="00B22602">
          <w:rPr>
            <w:noProof/>
            <w:webHidden/>
          </w:rPr>
          <w:instrText xml:space="preserve"> PAGEREF _Toc2253723 \h </w:instrText>
        </w:r>
        <w:r w:rsidR="00B22602">
          <w:rPr>
            <w:noProof/>
            <w:webHidden/>
          </w:rPr>
        </w:r>
        <w:r w:rsidR="00B22602">
          <w:rPr>
            <w:noProof/>
            <w:webHidden/>
          </w:rPr>
          <w:fldChar w:fldCharType="separate"/>
        </w:r>
        <w:r w:rsidR="00B22602">
          <w:rPr>
            <w:noProof/>
            <w:webHidden/>
          </w:rPr>
          <w:t>4</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24" w:history="1">
        <w:r w:rsidR="00B22602" w:rsidRPr="00BB0ECD">
          <w:rPr>
            <w:rStyle w:val="Hyperlink"/>
            <w:noProof/>
          </w:rPr>
          <w:t>3.3</w:t>
        </w:r>
        <w:r w:rsidR="00B22602">
          <w:rPr>
            <w:rFonts w:asciiTheme="minorHAnsi" w:eastAsiaTheme="minorEastAsia" w:hAnsiTheme="minorHAnsi" w:cstheme="minorBidi"/>
            <w:noProof/>
            <w:szCs w:val="22"/>
            <w:lang w:eastAsia="en-NZ"/>
          </w:rPr>
          <w:tab/>
        </w:r>
        <w:r w:rsidR="00B22602" w:rsidRPr="00BB0ECD">
          <w:rPr>
            <w:rStyle w:val="Hyperlink"/>
            <w:noProof/>
          </w:rPr>
          <w:t>News for 2018</w:t>
        </w:r>
        <w:r w:rsidR="00B22602">
          <w:rPr>
            <w:noProof/>
            <w:webHidden/>
          </w:rPr>
          <w:tab/>
        </w:r>
        <w:r w:rsidR="00B22602">
          <w:rPr>
            <w:noProof/>
            <w:webHidden/>
          </w:rPr>
          <w:fldChar w:fldCharType="begin"/>
        </w:r>
        <w:r w:rsidR="00B22602">
          <w:rPr>
            <w:noProof/>
            <w:webHidden/>
          </w:rPr>
          <w:instrText xml:space="preserve"> PAGEREF _Toc2253724 \h </w:instrText>
        </w:r>
        <w:r w:rsidR="00B22602">
          <w:rPr>
            <w:noProof/>
            <w:webHidden/>
          </w:rPr>
        </w:r>
        <w:r w:rsidR="00B22602">
          <w:rPr>
            <w:noProof/>
            <w:webHidden/>
          </w:rPr>
          <w:fldChar w:fldCharType="separate"/>
        </w:r>
        <w:r w:rsidR="00B22602">
          <w:rPr>
            <w:noProof/>
            <w:webHidden/>
          </w:rPr>
          <w:t>5</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25" w:history="1">
        <w:r w:rsidR="00B22602" w:rsidRPr="00BB0ECD">
          <w:rPr>
            <w:rStyle w:val="Hyperlink"/>
            <w:noProof/>
          </w:rPr>
          <w:t>3.4</w:t>
        </w:r>
        <w:r w:rsidR="00B22602">
          <w:rPr>
            <w:rFonts w:asciiTheme="minorHAnsi" w:eastAsiaTheme="minorEastAsia" w:hAnsiTheme="minorHAnsi" w:cstheme="minorBidi"/>
            <w:noProof/>
            <w:szCs w:val="22"/>
            <w:lang w:eastAsia="en-NZ"/>
          </w:rPr>
          <w:tab/>
        </w:r>
        <w:r w:rsidR="00B22602" w:rsidRPr="00BB0ECD">
          <w:rPr>
            <w:rStyle w:val="Hyperlink"/>
            <w:noProof/>
          </w:rPr>
          <w:t>Structure of this report</w:t>
        </w:r>
        <w:r w:rsidR="00B22602">
          <w:rPr>
            <w:noProof/>
            <w:webHidden/>
          </w:rPr>
          <w:tab/>
        </w:r>
        <w:r w:rsidR="00B22602">
          <w:rPr>
            <w:noProof/>
            <w:webHidden/>
          </w:rPr>
          <w:fldChar w:fldCharType="begin"/>
        </w:r>
        <w:r w:rsidR="00B22602">
          <w:rPr>
            <w:noProof/>
            <w:webHidden/>
          </w:rPr>
          <w:instrText xml:space="preserve"> PAGEREF _Toc2253725 \h </w:instrText>
        </w:r>
        <w:r w:rsidR="00B22602">
          <w:rPr>
            <w:noProof/>
            <w:webHidden/>
          </w:rPr>
        </w:r>
        <w:r w:rsidR="00B22602">
          <w:rPr>
            <w:noProof/>
            <w:webHidden/>
          </w:rPr>
          <w:fldChar w:fldCharType="separate"/>
        </w:r>
        <w:r w:rsidR="00B22602">
          <w:rPr>
            <w:noProof/>
            <w:webHidden/>
          </w:rPr>
          <w:t>6</w:t>
        </w:r>
        <w:r w:rsidR="00B22602">
          <w:rPr>
            <w:noProof/>
            <w:webHidden/>
          </w:rPr>
          <w:fldChar w:fldCharType="end"/>
        </w:r>
      </w:hyperlink>
    </w:p>
    <w:p w:rsidR="00B22602" w:rsidRDefault="00076E1A">
      <w:pPr>
        <w:pStyle w:val="TOC1"/>
        <w:rPr>
          <w:rFonts w:asciiTheme="minorHAnsi" w:eastAsiaTheme="minorEastAsia" w:hAnsiTheme="minorHAnsi" w:cstheme="minorBidi"/>
          <w:noProof/>
          <w:sz w:val="22"/>
          <w:szCs w:val="22"/>
          <w:lang w:eastAsia="en-NZ"/>
        </w:rPr>
      </w:pPr>
      <w:hyperlink w:anchor="_Toc2253726" w:history="1">
        <w:r w:rsidR="00B22602" w:rsidRPr="00BB0ECD">
          <w:rPr>
            <w:rStyle w:val="Hyperlink"/>
            <w:noProof/>
          </w:rPr>
          <w:t>4</w:t>
        </w:r>
        <w:r w:rsidR="00B22602">
          <w:rPr>
            <w:rFonts w:asciiTheme="minorHAnsi" w:eastAsiaTheme="minorEastAsia" w:hAnsiTheme="minorHAnsi" w:cstheme="minorBidi"/>
            <w:noProof/>
            <w:sz w:val="22"/>
            <w:szCs w:val="22"/>
            <w:lang w:eastAsia="en-NZ"/>
          </w:rPr>
          <w:tab/>
        </w:r>
        <w:r w:rsidR="00B22602" w:rsidRPr="00BB0ECD">
          <w:rPr>
            <w:rStyle w:val="Hyperlink"/>
            <w:noProof/>
          </w:rPr>
          <w:t>Methods</w:t>
        </w:r>
        <w:r w:rsidR="00B22602">
          <w:rPr>
            <w:noProof/>
            <w:webHidden/>
          </w:rPr>
          <w:tab/>
        </w:r>
        <w:r w:rsidR="00B22602">
          <w:rPr>
            <w:noProof/>
            <w:webHidden/>
          </w:rPr>
          <w:fldChar w:fldCharType="begin"/>
        </w:r>
        <w:r w:rsidR="00B22602">
          <w:rPr>
            <w:noProof/>
            <w:webHidden/>
          </w:rPr>
          <w:instrText xml:space="preserve"> PAGEREF _Toc2253726 \h </w:instrText>
        </w:r>
        <w:r w:rsidR="00B22602">
          <w:rPr>
            <w:noProof/>
            <w:webHidden/>
          </w:rPr>
        </w:r>
        <w:r w:rsidR="00B22602">
          <w:rPr>
            <w:noProof/>
            <w:webHidden/>
          </w:rPr>
          <w:fldChar w:fldCharType="separate"/>
        </w:r>
        <w:r w:rsidR="00B22602">
          <w:rPr>
            <w:noProof/>
            <w:webHidden/>
          </w:rPr>
          <w:t>7</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27" w:history="1">
        <w:r w:rsidR="00B22602" w:rsidRPr="00BB0ECD">
          <w:rPr>
            <w:rStyle w:val="Hyperlink"/>
            <w:noProof/>
          </w:rPr>
          <w:t>4.1</w:t>
        </w:r>
        <w:r w:rsidR="00B22602">
          <w:rPr>
            <w:rFonts w:asciiTheme="minorHAnsi" w:eastAsiaTheme="minorEastAsia" w:hAnsiTheme="minorHAnsi" w:cstheme="minorBidi"/>
            <w:noProof/>
            <w:szCs w:val="22"/>
            <w:lang w:eastAsia="en-NZ"/>
          </w:rPr>
          <w:tab/>
        </w:r>
        <w:r w:rsidR="00B22602" w:rsidRPr="00BB0ECD">
          <w:rPr>
            <w:rStyle w:val="Hyperlink"/>
            <w:noProof/>
          </w:rPr>
          <w:t>Methods summary</w:t>
        </w:r>
        <w:r w:rsidR="00B22602">
          <w:rPr>
            <w:noProof/>
            <w:webHidden/>
          </w:rPr>
          <w:tab/>
        </w:r>
        <w:r w:rsidR="00B22602">
          <w:rPr>
            <w:noProof/>
            <w:webHidden/>
          </w:rPr>
          <w:fldChar w:fldCharType="begin"/>
        </w:r>
        <w:r w:rsidR="00B22602">
          <w:rPr>
            <w:noProof/>
            <w:webHidden/>
          </w:rPr>
          <w:instrText xml:space="preserve"> PAGEREF _Toc2253727 \h </w:instrText>
        </w:r>
        <w:r w:rsidR="00B22602">
          <w:rPr>
            <w:noProof/>
            <w:webHidden/>
          </w:rPr>
        </w:r>
        <w:r w:rsidR="00B22602">
          <w:rPr>
            <w:noProof/>
            <w:webHidden/>
          </w:rPr>
          <w:fldChar w:fldCharType="separate"/>
        </w:r>
        <w:r w:rsidR="00B22602">
          <w:rPr>
            <w:noProof/>
            <w:webHidden/>
          </w:rPr>
          <w:t>7</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28" w:history="1">
        <w:r w:rsidR="00B22602" w:rsidRPr="00BB0ECD">
          <w:rPr>
            <w:rStyle w:val="Hyperlink"/>
            <w:noProof/>
          </w:rPr>
          <w:t>4.2</w:t>
        </w:r>
        <w:r w:rsidR="00B22602">
          <w:rPr>
            <w:rFonts w:asciiTheme="minorHAnsi" w:eastAsiaTheme="minorEastAsia" w:hAnsiTheme="minorHAnsi" w:cstheme="minorBidi"/>
            <w:noProof/>
            <w:szCs w:val="22"/>
            <w:lang w:eastAsia="en-NZ"/>
          </w:rPr>
          <w:tab/>
        </w:r>
        <w:r w:rsidR="00B22602" w:rsidRPr="00BB0ECD">
          <w:rPr>
            <w:rStyle w:val="Hyperlink"/>
            <w:noProof/>
          </w:rPr>
          <w:t>Data sources</w:t>
        </w:r>
        <w:r w:rsidR="00B22602">
          <w:rPr>
            <w:noProof/>
            <w:webHidden/>
          </w:rPr>
          <w:tab/>
        </w:r>
        <w:r w:rsidR="00B22602">
          <w:rPr>
            <w:noProof/>
            <w:webHidden/>
          </w:rPr>
          <w:fldChar w:fldCharType="begin"/>
        </w:r>
        <w:r w:rsidR="00B22602">
          <w:rPr>
            <w:noProof/>
            <w:webHidden/>
          </w:rPr>
          <w:instrText xml:space="preserve"> PAGEREF _Toc2253728 \h </w:instrText>
        </w:r>
        <w:r w:rsidR="00B22602">
          <w:rPr>
            <w:noProof/>
            <w:webHidden/>
          </w:rPr>
        </w:r>
        <w:r w:rsidR="00B22602">
          <w:rPr>
            <w:noProof/>
            <w:webHidden/>
          </w:rPr>
          <w:fldChar w:fldCharType="separate"/>
        </w:r>
        <w:r w:rsidR="00B22602">
          <w:rPr>
            <w:noProof/>
            <w:webHidden/>
          </w:rPr>
          <w:t>7</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29" w:history="1">
        <w:r w:rsidR="00B22602" w:rsidRPr="00BB0ECD">
          <w:rPr>
            <w:rStyle w:val="Hyperlink"/>
            <w:noProof/>
          </w:rPr>
          <w:t>4.3</w:t>
        </w:r>
        <w:r w:rsidR="00B22602">
          <w:rPr>
            <w:rFonts w:asciiTheme="minorHAnsi" w:eastAsiaTheme="minorEastAsia" w:hAnsiTheme="minorHAnsi" w:cstheme="minorBidi"/>
            <w:noProof/>
            <w:szCs w:val="22"/>
            <w:lang w:eastAsia="en-NZ"/>
          </w:rPr>
          <w:tab/>
        </w:r>
        <w:r w:rsidR="00B22602" w:rsidRPr="00BB0ECD">
          <w:rPr>
            <w:rStyle w:val="Hyperlink"/>
            <w:noProof/>
          </w:rPr>
          <w:t>Data linkage</w:t>
        </w:r>
        <w:r w:rsidR="00B22602">
          <w:rPr>
            <w:noProof/>
            <w:webHidden/>
          </w:rPr>
          <w:tab/>
        </w:r>
        <w:r w:rsidR="00B22602">
          <w:rPr>
            <w:noProof/>
            <w:webHidden/>
          </w:rPr>
          <w:fldChar w:fldCharType="begin"/>
        </w:r>
        <w:r w:rsidR="00B22602">
          <w:rPr>
            <w:noProof/>
            <w:webHidden/>
          </w:rPr>
          <w:instrText xml:space="preserve"> PAGEREF _Toc2253729 \h </w:instrText>
        </w:r>
        <w:r w:rsidR="00B22602">
          <w:rPr>
            <w:noProof/>
            <w:webHidden/>
          </w:rPr>
        </w:r>
        <w:r w:rsidR="00B22602">
          <w:rPr>
            <w:noProof/>
            <w:webHidden/>
          </w:rPr>
          <w:fldChar w:fldCharType="separate"/>
        </w:r>
        <w:r w:rsidR="00B22602">
          <w:rPr>
            <w:noProof/>
            <w:webHidden/>
          </w:rPr>
          <w:t>7</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30" w:history="1">
        <w:r w:rsidR="00B22602" w:rsidRPr="00BB0ECD">
          <w:rPr>
            <w:rStyle w:val="Hyperlink"/>
            <w:noProof/>
          </w:rPr>
          <w:t>4.4</w:t>
        </w:r>
        <w:r w:rsidR="00B22602">
          <w:rPr>
            <w:rFonts w:asciiTheme="minorHAnsi" w:eastAsiaTheme="minorEastAsia" w:hAnsiTheme="minorHAnsi" w:cstheme="minorBidi"/>
            <w:noProof/>
            <w:szCs w:val="22"/>
            <w:lang w:eastAsia="en-NZ"/>
          </w:rPr>
          <w:tab/>
        </w:r>
        <w:r w:rsidR="00B22602" w:rsidRPr="00BB0ECD">
          <w:rPr>
            <w:rStyle w:val="Hyperlink"/>
            <w:noProof/>
          </w:rPr>
          <w:t>Data processing</w:t>
        </w:r>
        <w:r w:rsidR="00B22602">
          <w:rPr>
            <w:noProof/>
            <w:webHidden/>
          </w:rPr>
          <w:tab/>
        </w:r>
        <w:r w:rsidR="00B22602">
          <w:rPr>
            <w:noProof/>
            <w:webHidden/>
          </w:rPr>
          <w:fldChar w:fldCharType="begin"/>
        </w:r>
        <w:r w:rsidR="00B22602">
          <w:rPr>
            <w:noProof/>
            <w:webHidden/>
          </w:rPr>
          <w:instrText xml:space="preserve"> PAGEREF _Toc2253730 \h </w:instrText>
        </w:r>
        <w:r w:rsidR="00B22602">
          <w:rPr>
            <w:noProof/>
            <w:webHidden/>
          </w:rPr>
        </w:r>
        <w:r w:rsidR="00B22602">
          <w:rPr>
            <w:noProof/>
            <w:webHidden/>
          </w:rPr>
          <w:fldChar w:fldCharType="separate"/>
        </w:r>
        <w:r w:rsidR="00B22602">
          <w:rPr>
            <w:noProof/>
            <w:webHidden/>
          </w:rPr>
          <w:t>9</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31" w:history="1">
        <w:r w:rsidR="00B22602" w:rsidRPr="00BB0ECD">
          <w:rPr>
            <w:rStyle w:val="Hyperlink"/>
            <w:noProof/>
          </w:rPr>
          <w:t>4.5</w:t>
        </w:r>
        <w:r w:rsidR="00B22602">
          <w:rPr>
            <w:rFonts w:asciiTheme="minorHAnsi" w:eastAsiaTheme="minorEastAsia" w:hAnsiTheme="minorHAnsi" w:cstheme="minorBidi"/>
            <w:noProof/>
            <w:szCs w:val="22"/>
            <w:lang w:eastAsia="en-NZ"/>
          </w:rPr>
          <w:tab/>
        </w:r>
        <w:r w:rsidR="00B22602" w:rsidRPr="00BB0ECD">
          <w:rPr>
            <w:rStyle w:val="Hyperlink"/>
            <w:noProof/>
          </w:rPr>
          <w:t>Data completeness</w:t>
        </w:r>
        <w:r w:rsidR="00B22602">
          <w:rPr>
            <w:noProof/>
            <w:webHidden/>
          </w:rPr>
          <w:tab/>
        </w:r>
        <w:r w:rsidR="00B22602">
          <w:rPr>
            <w:noProof/>
            <w:webHidden/>
          </w:rPr>
          <w:fldChar w:fldCharType="begin"/>
        </w:r>
        <w:r w:rsidR="00B22602">
          <w:rPr>
            <w:noProof/>
            <w:webHidden/>
          </w:rPr>
          <w:instrText xml:space="preserve"> PAGEREF _Toc2253731 \h </w:instrText>
        </w:r>
        <w:r w:rsidR="00B22602">
          <w:rPr>
            <w:noProof/>
            <w:webHidden/>
          </w:rPr>
        </w:r>
        <w:r w:rsidR="00B22602">
          <w:rPr>
            <w:noProof/>
            <w:webHidden/>
          </w:rPr>
          <w:fldChar w:fldCharType="separate"/>
        </w:r>
        <w:r w:rsidR="00B22602">
          <w:rPr>
            <w:noProof/>
            <w:webHidden/>
          </w:rPr>
          <w:t>9</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32" w:history="1">
        <w:r w:rsidR="00B22602" w:rsidRPr="00BB0ECD">
          <w:rPr>
            <w:rStyle w:val="Hyperlink"/>
            <w:noProof/>
          </w:rPr>
          <w:t>4.6</w:t>
        </w:r>
        <w:r w:rsidR="00B22602">
          <w:rPr>
            <w:rFonts w:asciiTheme="minorHAnsi" w:eastAsiaTheme="minorEastAsia" w:hAnsiTheme="minorHAnsi" w:cstheme="minorBidi"/>
            <w:noProof/>
            <w:szCs w:val="22"/>
            <w:lang w:eastAsia="en-NZ"/>
          </w:rPr>
          <w:tab/>
        </w:r>
        <w:r w:rsidR="00B22602" w:rsidRPr="00BB0ECD">
          <w:rPr>
            <w:rStyle w:val="Hyperlink"/>
            <w:noProof/>
          </w:rPr>
          <w:t>Privately funded service provider data</w:t>
        </w:r>
        <w:r w:rsidR="00B22602">
          <w:rPr>
            <w:noProof/>
            <w:webHidden/>
          </w:rPr>
          <w:tab/>
        </w:r>
        <w:r w:rsidR="00B22602">
          <w:rPr>
            <w:noProof/>
            <w:webHidden/>
          </w:rPr>
          <w:fldChar w:fldCharType="begin"/>
        </w:r>
        <w:r w:rsidR="00B22602">
          <w:rPr>
            <w:noProof/>
            <w:webHidden/>
          </w:rPr>
          <w:instrText xml:space="preserve"> PAGEREF _Toc2253732 \h </w:instrText>
        </w:r>
        <w:r w:rsidR="00B22602">
          <w:rPr>
            <w:noProof/>
            <w:webHidden/>
          </w:rPr>
        </w:r>
        <w:r w:rsidR="00B22602">
          <w:rPr>
            <w:noProof/>
            <w:webHidden/>
          </w:rPr>
          <w:fldChar w:fldCharType="separate"/>
        </w:r>
        <w:r w:rsidR="00B22602">
          <w:rPr>
            <w:noProof/>
            <w:webHidden/>
          </w:rPr>
          <w:t>10</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33" w:history="1">
        <w:r w:rsidR="00B22602" w:rsidRPr="00BB0ECD">
          <w:rPr>
            <w:rStyle w:val="Hyperlink"/>
            <w:noProof/>
          </w:rPr>
          <w:t>4.7</w:t>
        </w:r>
        <w:r w:rsidR="00B22602">
          <w:rPr>
            <w:rFonts w:asciiTheme="minorHAnsi" w:eastAsiaTheme="minorEastAsia" w:hAnsiTheme="minorHAnsi" w:cstheme="minorBidi"/>
            <w:noProof/>
            <w:szCs w:val="22"/>
            <w:lang w:eastAsia="en-NZ"/>
          </w:rPr>
          <w:tab/>
        </w:r>
        <w:r w:rsidR="00B22602" w:rsidRPr="00BB0ECD">
          <w:rPr>
            <w:rStyle w:val="Hyperlink"/>
            <w:noProof/>
          </w:rPr>
          <w:t>Definition of outcomes derived from the National Minimum Dataset</w:t>
        </w:r>
        <w:r w:rsidR="00B22602">
          <w:rPr>
            <w:noProof/>
            <w:webHidden/>
          </w:rPr>
          <w:tab/>
        </w:r>
        <w:r w:rsidR="00B22602">
          <w:rPr>
            <w:noProof/>
            <w:webHidden/>
          </w:rPr>
          <w:fldChar w:fldCharType="begin"/>
        </w:r>
        <w:r w:rsidR="00B22602">
          <w:rPr>
            <w:noProof/>
            <w:webHidden/>
          </w:rPr>
          <w:instrText xml:space="preserve"> PAGEREF _Toc2253733 \h </w:instrText>
        </w:r>
        <w:r w:rsidR="00B22602">
          <w:rPr>
            <w:noProof/>
            <w:webHidden/>
          </w:rPr>
        </w:r>
        <w:r w:rsidR="00B22602">
          <w:rPr>
            <w:noProof/>
            <w:webHidden/>
          </w:rPr>
          <w:fldChar w:fldCharType="separate"/>
        </w:r>
        <w:r w:rsidR="00B22602">
          <w:rPr>
            <w:noProof/>
            <w:webHidden/>
          </w:rPr>
          <w:t>10</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34" w:history="1">
        <w:r w:rsidR="00B22602" w:rsidRPr="00BB0ECD">
          <w:rPr>
            <w:rStyle w:val="Hyperlink"/>
            <w:noProof/>
          </w:rPr>
          <w:t>4.8</w:t>
        </w:r>
        <w:r w:rsidR="00B22602">
          <w:rPr>
            <w:rFonts w:asciiTheme="minorHAnsi" w:eastAsiaTheme="minorEastAsia" w:hAnsiTheme="minorHAnsi" w:cstheme="minorBidi"/>
            <w:noProof/>
            <w:szCs w:val="22"/>
            <w:lang w:eastAsia="en-NZ"/>
          </w:rPr>
          <w:tab/>
        </w:r>
        <w:r w:rsidR="00B22602" w:rsidRPr="00BB0ECD">
          <w:rPr>
            <w:rStyle w:val="Hyperlink"/>
            <w:noProof/>
          </w:rPr>
          <w:t>Definition of surgical urgency</w:t>
        </w:r>
        <w:r w:rsidR="00B22602">
          <w:rPr>
            <w:noProof/>
            <w:webHidden/>
          </w:rPr>
          <w:tab/>
        </w:r>
        <w:r w:rsidR="00B22602">
          <w:rPr>
            <w:noProof/>
            <w:webHidden/>
          </w:rPr>
          <w:fldChar w:fldCharType="begin"/>
        </w:r>
        <w:r w:rsidR="00B22602">
          <w:rPr>
            <w:noProof/>
            <w:webHidden/>
          </w:rPr>
          <w:instrText xml:space="preserve"> PAGEREF _Toc2253734 \h </w:instrText>
        </w:r>
        <w:r w:rsidR="00B22602">
          <w:rPr>
            <w:noProof/>
            <w:webHidden/>
          </w:rPr>
        </w:r>
        <w:r w:rsidR="00B22602">
          <w:rPr>
            <w:noProof/>
            <w:webHidden/>
          </w:rPr>
          <w:fldChar w:fldCharType="separate"/>
        </w:r>
        <w:r w:rsidR="00B22602">
          <w:rPr>
            <w:noProof/>
            <w:webHidden/>
          </w:rPr>
          <w:t>11</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35" w:history="1">
        <w:r w:rsidR="00B22602" w:rsidRPr="00BB0ECD">
          <w:rPr>
            <w:rStyle w:val="Hyperlink"/>
            <w:noProof/>
          </w:rPr>
          <w:t>4.9</w:t>
        </w:r>
        <w:r w:rsidR="00B22602">
          <w:rPr>
            <w:rFonts w:asciiTheme="minorHAnsi" w:eastAsiaTheme="minorEastAsia" w:hAnsiTheme="minorHAnsi" w:cstheme="minorBidi"/>
            <w:noProof/>
            <w:szCs w:val="22"/>
            <w:lang w:eastAsia="en-NZ"/>
          </w:rPr>
          <w:tab/>
        </w:r>
        <w:r w:rsidR="00B22602" w:rsidRPr="00BB0ECD">
          <w:rPr>
            <w:rStyle w:val="Hyperlink"/>
            <w:noProof/>
          </w:rPr>
          <w:t>Statistical analysis</w:t>
        </w:r>
        <w:r w:rsidR="00B22602">
          <w:rPr>
            <w:noProof/>
            <w:webHidden/>
          </w:rPr>
          <w:tab/>
        </w:r>
        <w:r w:rsidR="00B22602">
          <w:rPr>
            <w:noProof/>
            <w:webHidden/>
          </w:rPr>
          <w:fldChar w:fldCharType="begin"/>
        </w:r>
        <w:r w:rsidR="00B22602">
          <w:rPr>
            <w:noProof/>
            <w:webHidden/>
          </w:rPr>
          <w:instrText xml:space="preserve"> PAGEREF _Toc2253735 \h </w:instrText>
        </w:r>
        <w:r w:rsidR="00B22602">
          <w:rPr>
            <w:noProof/>
            <w:webHidden/>
          </w:rPr>
        </w:r>
        <w:r w:rsidR="00B22602">
          <w:rPr>
            <w:noProof/>
            <w:webHidden/>
          </w:rPr>
          <w:fldChar w:fldCharType="separate"/>
        </w:r>
        <w:r w:rsidR="00B22602">
          <w:rPr>
            <w:noProof/>
            <w:webHidden/>
          </w:rPr>
          <w:t>12</w:t>
        </w:r>
        <w:r w:rsidR="00B22602">
          <w:rPr>
            <w:noProof/>
            <w:webHidden/>
          </w:rPr>
          <w:fldChar w:fldCharType="end"/>
        </w:r>
      </w:hyperlink>
    </w:p>
    <w:p w:rsidR="00B22602" w:rsidRDefault="00076E1A">
      <w:pPr>
        <w:pStyle w:val="TOC2"/>
        <w:tabs>
          <w:tab w:val="left" w:pos="1276"/>
        </w:tabs>
        <w:rPr>
          <w:rFonts w:asciiTheme="minorHAnsi" w:eastAsiaTheme="minorEastAsia" w:hAnsiTheme="minorHAnsi" w:cstheme="minorBidi"/>
          <w:noProof/>
          <w:szCs w:val="22"/>
          <w:lang w:eastAsia="en-NZ"/>
        </w:rPr>
      </w:pPr>
      <w:hyperlink w:anchor="_Toc2253736" w:history="1">
        <w:r w:rsidR="00B22602" w:rsidRPr="00BB0ECD">
          <w:rPr>
            <w:rStyle w:val="Hyperlink"/>
            <w:noProof/>
          </w:rPr>
          <w:t>4.10</w:t>
        </w:r>
        <w:r w:rsidR="00B22602">
          <w:rPr>
            <w:rFonts w:asciiTheme="minorHAnsi" w:eastAsiaTheme="minorEastAsia" w:hAnsiTheme="minorHAnsi" w:cstheme="minorBidi"/>
            <w:noProof/>
            <w:szCs w:val="22"/>
            <w:lang w:eastAsia="en-NZ"/>
          </w:rPr>
          <w:tab/>
        </w:r>
        <w:r w:rsidR="00B22602" w:rsidRPr="00BB0ECD">
          <w:rPr>
            <w:rStyle w:val="Hyperlink"/>
            <w:noProof/>
          </w:rPr>
          <w:t>Comparisons</w:t>
        </w:r>
        <w:r w:rsidR="00B22602">
          <w:rPr>
            <w:noProof/>
            <w:webHidden/>
          </w:rPr>
          <w:tab/>
        </w:r>
        <w:r w:rsidR="00B22602">
          <w:rPr>
            <w:noProof/>
            <w:webHidden/>
          </w:rPr>
          <w:fldChar w:fldCharType="begin"/>
        </w:r>
        <w:r w:rsidR="00B22602">
          <w:rPr>
            <w:noProof/>
            <w:webHidden/>
          </w:rPr>
          <w:instrText xml:space="preserve"> PAGEREF _Toc2253736 \h </w:instrText>
        </w:r>
        <w:r w:rsidR="00B22602">
          <w:rPr>
            <w:noProof/>
            <w:webHidden/>
          </w:rPr>
        </w:r>
        <w:r w:rsidR="00B22602">
          <w:rPr>
            <w:noProof/>
            <w:webHidden/>
          </w:rPr>
          <w:fldChar w:fldCharType="separate"/>
        </w:r>
        <w:r w:rsidR="00B22602">
          <w:rPr>
            <w:noProof/>
            <w:webHidden/>
          </w:rPr>
          <w:t>13</w:t>
        </w:r>
        <w:r w:rsidR="00B22602">
          <w:rPr>
            <w:noProof/>
            <w:webHidden/>
          </w:rPr>
          <w:fldChar w:fldCharType="end"/>
        </w:r>
      </w:hyperlink>
    </w:p>
    <w:p w:rsidR="00B22602" w:rsidRDefault="00076E1A">
      <w:pPr>
        <w:pStyle w:val="TOC1"/>
        <w:rPr>
          <w:rFonts w:asciiTheme="minorHAnsi" w:eastAsiaTheme="minorEastAsia" w:hAnsiTheme="minorHAnsi" w:cstheme="minorBidi"/>
          <w:noProof/>
          <w:sz w:val="22"/>
          <w:szCs w:val="22"/>
          <w:lang w:eastAsia="en-NZ"/>
        </w:rPr>
      </w:pPr>
      <w:hyperlink w:anchor="_Toc2253737" w:history="1">
        <w:r w:rsidR="00B22602" w:rsidRPr="00BB0ECD">
          <w:rPr>
            <w:rStyle w:val="Hyperlink"/>
            <w:noProof/>
          </w:rPr>
          <w:t>5</w:t>
        </w:r>
        <w:r w:rsidR="00B22602">
          <w:rPr>
            <w:rFonts w:asciiTheme="minorHAnsi" w:eastAsiaTheme="minorEastAsia" w:hAnsiTheme="minorHAnsi" w:cstheme="minorBidi"/>
            <w:noProof/>
            <w:sz w:val="22"/>
            <w:szCs w:val="22"/>
            <w:lang w:eastAsia="en-NZ"/>
          </w:rPr>
          <w:tab/>
        </w:r>
        <w:r w:rsidR="00B22602" w:rsidRPr="00BB0ECD">
          <w:rPr>
            <w:rStyle w:val="Hyperlink"/>
            <w:noProof/>
          </w:rPr>
          <w:t>Care pathway</w:t>
        </w:r>
        <w:r w:rsidR="00B22602">
          <w:rPr>
            <w:noProof/>
            <w:webHidden/>
          </w:rPr>
          <w:tab/>
        </w:r>
        <w:r w:rsidR="00B22602">
          <w:rPr>
            <w:noProof/>
            <w:webHidden/>
          </w:rPr>
          <w:fldChar w:fldCharType="begin"/>
        </w:r>
        <w:r w:rsidR="00B22602">
          <w:rPr>
            <w:noProof/>
            <w:webHidden/>
          </w:rPr>
          <w:instrText xml:space="preserve"> PAGEREF _Toc2253737 \h </w:instrText>
        </w:r>
        <w:r w:rsidR="00B22602">
          <w:rPr>
            <w:noProof/>
            <w:webHidden/>
          </w:rPr>
        </w:r>
        <w:r w:rsidR="00B22602">
          <w:rPr>
            <w:noProof/>
            <w:webHidden/>
          </w:rPr>
          <w:fldChar w:fldCharType="separate"/>
        </w:r>
        <w:r w:rsidR="00B22602">
          <w:rPr>
            <w:noProof/>
            <w:webHidden/>
          </w:rPr>
          <w:t>14</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38" w:history="1">
        <w:r w:rsidR="00B22602" w:rsidRPr="00BB0ECD">
          <w:rPr>
            <w:rStyle w:val="Hyperlink"/>
            <w:noProof/>
          </w:rPr>
          <w:t>5.1</w:t>
        </w:r>
        <w:r w:rsidR="00B22602">
          <w:rPr>
            <w:rFonts w:asciiTheme="minorHAnsi" w:eastAsiaTheme="minorEastAsia" w:hAnsiTheme="minorHAnsi" w:cstheme="minorBidi"/>
            <w:noProof/>
            <w:szCs w:val="22"/>
            <w:lang w:eastAsia="en-NZ"/>
          </w:rPr>
          <w:tab/>
        </w:r>
        <w:r w:rsidR="00B22602" w:rsidRPr="00BB0ECD">
          <w:rPr>
            <w:rStyle w:val="Hyperlink"/>
            <w:noProof/>
          </w:rPr>
          <w:t>Where are people diagnosed with bowel cancer presenting?</w:t>
        </w:r>
        <w:r w:rsidR="00B22602">
          <w:rPr>
            <w:noProof/>
            <w:webHidden/>
          </w:rPr>
          <w:tab/>
        </w:r>
        <w:r w:rsidR="00B22602">
          <w:rPr>
            <w:noProof/>
            <w:webHidden/>
          </w:rPr>
          <w:fldChar w:fldCharType="begin"/>
        </w:r>
        <w:r w:rsidR="00B22602">
          <w:rPr>
            <w:noProof/>
            <w:webHidden/>
          </w:rPr>
          <w:instrText xml:space="preserve"> PAGEREF _Toc2253738 \h </w:instrText>
        </w:r>
        <w:r w:rsidR="00B22602">
          <w:rPr>
            <w:noProof/>
            <w:webHidden/>
          </w:rPr>
        </w:r>
        <w:r w:rsidR="00B22602">
          <w:rPr>
            <w:noProof/>
            <w:webHidden/>
          </w:rPr>
          <w:fldChar w:fldCharType="separate"/>
        </w:r>
        <w:r w:rsidR="00B22602">
          <w:rPr>
            <w:noProof/>
            <w:webHidden/>
          </w:rPr>
          <w:t>14</w:t>
        </w:r>
        <w:r w:rsidR="00B22602">
          <w:rPr>
            <w:noProof/>
            <w:webHidden/>
          </w:rPr>
          <w:fldChar w:fldCharType="end"/>
        </w:r>
      </w:hyperlink>
    </w:p>
    <w:p w:rsidR="00B22602" w:rsidRDefault="00076E1A">
      <w:pPr>
        <w:pStyle w:val="TOC1"/>
        <w:rPr>
          <w:rFonts w:asciiTheme="minorHAnsi" w:eastAsiaTheme="minorEastAsia" w:hAnsiTheme="minorHAnsi" w:cstheme="minorBidi"/>
          <w:noProof/>
          <w:sz w:val="22"/>
          <w:szCs w:val="22"/>
          <w:lang w:eastAsia="en-NZ"/>
        </w:rPr>
      </w:pPr>
      <w:hyperlink w:anchor="_Toc2253739" w:history="1">
        <w:r w:rsidR="00B22602" w:rsidRPr="00BB0ECD">
          <w:rPr>
            <w:rStyle w:val="Hyperlink"/>
            <w:noProof/>
          </w:rPr>
          <w:t>6</w:t>
        </w:r>
        <w:r w:rsidR="00B22602">
          <w:rPr>
            <w:rFonts w:asciiTheme="minorHAnsi" w:eastAsiaTheme="minorEastAsia" w:hAnsiTheme="minorHAnsi" w:cstheme="minorBidi"/>
            <w:noProof/>
            <w:sz w:val="22"/>
            <w:szCs w:val="22"/>
            <w:lang w:eastAsia="en-NZ"/>
          </w:rPr>
          <w:tab/>
        </w:r>
        <w:r w:rsidR="00B22602" w:rsidRPr="00BB0ECD">
          <w:rPr>
            <w:rStyle w:val="Hyperlink"/>
            <w:noProof/>
          </w:rPr>
          <w:t>Surgical care</w:t>
        </w:r>
        <w:r w:rsidR="00B22602">
          <w:rPr>
            <w:noProof/>
            <w:webHidden/>
          </w:rPr>
          <w:tab/>
        </w:r>
        <w:r w:rsidR="00B22602">
          <w:rPr>
            <w:noProof/>
            <w:webHidden/>
          </w:rPr>
          <w:fldChar w:fldCharType="begin"/>
        </w:r>
        <w:r w:rsidR="00B22602">
          <w:rPr>
            <w:noProof/>
            <w:webHidden/>
          </w:rPr>
          <w:instrText xml:space="preserve"> PAGEREF _Toc2253739 \h </w:instrText>
        </w:r>
        <w:r w:rsidR="00B22602">
          <w:rPr>
            <w:noProof/>
            <w:webHidden/>
          </w:rPr>
        </w:r>
        <w:r w:rsidR="00B22602">
          <w:rPr>
            <w:noProof/>
            <w:webHidden/>
          </w:rPr>
          <w:fldChar w:fldCharType="separate"/>
        </w:r>
        <w:r w:rsidR="00B22602">
          <w:rPr>
            <w:noProof/>
            <w:webHidden/>
          </w:rPr>
          <w:t>18</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40" w:history="1">
        <w:r w:rsidR="00B22602" w:rsidRPr="00BB0ECD">
          <w:rPr>
            <w:rStyle w:val="Hyperlink"/>
            <w:noProof/>
          </w:rPr>
          <w:t>6.1</w:t>
        </w:r>
        <w:r w:rsidR="00B22602">
          <w:rPr>
            <w:rFonts w:asciiTheme="minorHAnsi" w:eastAsiaTheme="minorEastAsia" w:hAnsiTheme="minorHAnsi" w:cstheme="minorBidi"/>
            <w:noProof/>
            <w:szCs w:val="22"/>
            <w:lang w:eastAsia="en-NZ"/>
          </w:rPr>
          <w:tab/>
        </w:r>
        <w:r w:rsidR="00B22602" w:rsidRPr="00BB0ECD">
          <w:rPr>
            <w:rStyle w:val="Hyperlink"/>
            <w:noProof/>
          </w:rPr>
          <w:t>How many patients die within 90-days of major surgery?</w:t>
        </w:r>
        <w:r w:rsidR="00B22602">
          <w:rPr>
            <w:noProof/>
            <w:webHidden/>
          </w:rPr>
          <w:tab/>
        </w:r>
        <w:r w:rsidR="00B22602">
          <w:rPr>
            <w:noProof/>
            <w:webHidden/>
          </w:rPr>
          <w:fldChar w:fldCharType="begin"/>
        </w:r>
        <w:r w:rsidR="00B22602">
          <w:rPr>
            <w:noProof/>
            <w:webHidden/>
          </w:rPr>
          <w:instrText xml:space="preserve"> PAGEREF _Toc2253740 \h </w:instrText>
        </w:r>
        <w:r w:rsidR="00B22602">
          <w:rPr>
            <w:noProof/>
            <w:webHidden/>
          </w:rPr>
        </w:r>
        <w:r w:rsidR="00B22602">
          <w:rPr>
            <w:noProof/>
            <w:webHidden/>
          </w:rPr>
          <w:fldChar w:fldCharType="separate"/>
        </w:r>
        <w:r w:rsidR="00B22602">
          <w:rPr>
            <w:noProof/>
            <w:webHidden/>
          </w:rPr>
          <w:t>18</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41" w:history="1">
        <w:r w:rsidR="00B22602" w:rsidRPr="00BB0ECD">
          <w:rPr>
            <w:rStyle w:val="Hyperlink"/>
            <w:noProof/>
          </w:rPr>
          <w:t>6.2</w:t>
        </w:r>
        <w:r w:rsidR="00B22602">
          <w:rPr>
            <w:rFonts w:asciiTheme="minorHAnsi" w:eastAsiaTheme="minorEastAsia" w:hAnsiTheme="minorHAnsi" w:cstheme="minorBidi"/>
            <w:noProof/>
            <w:szCs w:val="22"/>
            <w:lang w:eastAsia="en-NZ"/>
          </w:rPr>
          <w:tab/>
        </w:r>
        <w:r w:rsidR="00B22602" w:rsidRPr="00BB0ECD">
          <w:rPr>
            <w:rStyle w:val="Hyperlink"/>
            <w:noProof/>
          </w:rPr>
          <w:t>How many patients have emergency surgery?</w:t>
        </w:r>
        <w:r w:rsidR="00B22602">
          <w:rPr>
            <w:noProof/>
            <w:webHidden/>
          </w:rPr>
          <w:tab/>
        </w:r>
        <w:r w:rsidR="00B22602">
          <w:rPr>
            <w:noProof/>
            <w:webHidden/>
          </w:rPr>
          <w:fldChar w:fldCharType="begin"/>
        </w:r>
        <w:r w:rsidR="00B22602">
          <w:rPr>
            <w:noProof/>
            <w:webHidden/>
          </w:rPr>
          <w:instrText xml:space="preserve"> PAGEREF _Toc2253741 \h </w:instrText>
        </w:r>
        <w:r w:rsidR="00B22602">
          <w:rPr>
            <w:noProof/>
            <w:webHidden/>
          </w:rPr>
        </w:r>
        <w:r w:rsidR="00B22602">
          <w:rPr>
            <w:noProof/>
            <w:webHidden/>
          </w:rPr>
          <w:fldChar w:fldCharType="separate"/>
        </w:r>
        <w:r w:rsidR="00B22602">
          <w:rPr>
            <w:noProof/>
            <w:webHidden/>
          </w:rPr>
          <w:t>20</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42" w:history="1">
        <w:r w:rsidR="00B22602" w:rsidRPr="00BB0ECD">
          <w:rPr>
            <w:rStyle w:val="Hyperlink"/>
            <w:noProof/>
          </w:rPr>
          <w:t>6.3</w:t>
        </w:r>
        <w:r w:rsidR="00B22602">
          <w:rPr>
            <w:rFonts w:asciiTheme="minorHAnsi" w:eastAsiaTheme="minorEastAsia" w:hAnsiTheme="minorHAnsi" w:cstheme="minorBidi"/>
            <w:noProof/>
            <w:szCs w:val="22"/>
            <w:lang w:eastAsia="en-NZ"/>
          </w:rPr>
          <w:tab/>
        </w:r>
        <w:r w:rsidR="00B22602" w:rsidRPr="00BB0ECD">
          <w:rPr>
            <w:rStyle w:val="Hyperlink"/>
            <w:noProof/>
          </w:rPr>
          <w:t>How long do patients stay in hospital after major bowel cancer resection?</w:t>
        </w:r>
        <w:r w:rsidR="00B22602">
          <w:rPr>
            <w:noProof/>
            <w:webHidden/>
          </w:rPr>
          <w:tab/>
        </w:r>
        <w:r w:rsidR="00B22602">
          <w:rPr>
            <w:noProof/>
            <w:webHidden/>
          </w:rPr>
          <w:fldChar w:fldCharType="begin"/>
        </w:r>
        <w:r w:rsidR="00B22602">
          <w:rPr>
            <w:noProof/>
            <w:webHidden/>
          </w:rPr>
          <w:instrText xml:space="preserve"> PAGEREF _Toc2253742 \h </w:instrText>
        </w:r>
        <w:r w:rsidR="00B22602">
          <w:rPr>
            <w:noProof/>
            <w:webHidden/>
          </w:rPr>
        </w:r>
        <w:r w:rsidR="00B22602">
          <w:rPr>
            <w:noProof/>
            <w:webHidden/>
          </w:rPr>
          <w:fldChar w:fldCharType="separate"/>
        </w:r>
        <w:r w:rsidR="00B22602">
          <w:rPr>
            <w:noProof/>
            <w:webHidden/>
          </w:rPr>
          <w:t>21</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43" w:history="1">
        <w:r w:rsidR="00B22602" w:rsidRPr="00BB0ECD">
          <w:rPr>
            <w:rStyle w:val="Hyperlink"/>
            <w:noProof/>
          </w:rPr>
          <w:t>6.4</w:t>
        </w:r>
        <w:r w:rsidR="00B22602">
          <w:rPr>
            <w:rFonts w:asciiTheme="minorHAnsi" w:eastAsiaTheme="minorEastAsia" w:hAnsiTheme="minorHAnsi" w:cstheme="minorBidi"/>
            <w:noProof/>
            <w:szCs w:val="22"/>
            <w:lang w:eastAsia="en-NZ"/>
          </w:rPr>
          <w:tab/>
        </w:r>
        <w:r w:rsidR="00B22602" w:rsidRPr="00BB0ECD">
          <w:rPr>
            <w:rStyle w:val="Hyperlink"/>
            <w:noProof/>
          </w:rPr>
          <w:t>How many patients have more than 12 lymph nodes examined?</w:t>
        </w:r>
        <w:r w:rsidR="00B22602">
          <w:rPr>
            <w:noProof/>
            <w:webHidden/>
          </w:rPr>
          <w:tab/>
        </w:r>
        <w:r w:rsidR="00B22602">
          <w:rPr>
            <w:noProof/>
            <w:webHidden/>
          </w:rPr>
          <w:fldChar w:fldCharType="begin"/>
        </w:r>
        <w:r w:rsidR="00B22602">
          <w:rPr>
            <w:noProof/>
            <w:webHidden/>
          </w:rPr>
          <w:instrText xml:space="preserve"> PAGEREF _Toc2253743 \h </w:instrText>
        </w:r>
        <w:r w:rsidR="00B22602">
          <w:rPr>
            <w:noProof/>
            <w:webHidden/>
          </w:rPr>
        </w:r>
        <w:r w:rsidR="00B22602">
          <w:rPr>
            <w:noProof/>
            <w:webHidden/>
          </w:rPr>
          <w:fldChar w:fldCharType="separate"/>
        </w:r>
        <w:r w:rsidR="00B22602">
          <w:rPr>
            <w:noProof/>
            <w:webHidden/>
          </w:rPr>
          <w:t>22</w:t>
        </w:r>
        <w:r w:rsidR="00B22602">
          <w:rPr>
            <w:noProof/>
            <w:webHidden/>
          </w:rPr>
          <w:fldChar w:fldCharType="end"/>
        </w:r>
      </w:hyperlink>
    </w:p>
    <w:p w:rsidR="00B22602" w:rsidRDefault="00076E1A">
      <w:pPr>
        <w:pStyle w:val="TOC1"/>
        <w:rPr>
          <w:rFonts w:asciiTheme="minorHAnsi" w:eastAsiaTheme="minorEastAsia" w:hAnsiTheme="minorHAnsi" w:cstheme="minorBidi"/>
          <w:noProof/>
          <w:sz w:val="22"/>
          <w:szCs w:val="22"/>
          <w:lang w:eastAsia="en-NZ"/>
        </w:rPr>
      </w:pPr>
      <w:hyperlink w:anchor="_Toc2253744" w:history="1">
        <w:r w:rsidR="00B22602" w:rsidRPr="00BB0ECD">
          <w:rPr>
            <w:rStyle w:val="Hyperlink"/>
            <w:noProof/>
          </w:rPr>
          <w:t>7</w:t>
        </w:r>
        <w:r w:rsidR="00B22602">
          <w:rPr>
            <w:rFonts w:asciiTheme="minorHAnsi" w:eastAsiaTheme="minorEastAsia" w:hAnsiTheme="minorHAnsi" w:cstheme="minorBidi"/>
            <w:noProof/>
            <w:sz w:val="22"/>
            <w:szCs w:val="22"/>
            <w:lang w:eastAsia="en-NZ"/>
          </w:rPr>
          <w:tab/>
        </w:r>
        <w:r w:rsidR="00B22602" w:rsidRPr="00BB0ECD">
          <w:rPr>
            <w:rStyle w:val="Hyperlink"/>
            <w:noProof/>
          </w:rPr>
          <w:t>Rectal cancer</w:t>
        </w:r>
        <w:r w:rsidR="00B22602">
          <w:rPr>
            <w:noProof/>
            <w:webHidden/>
          </w:rPr>
          <w:tab/>
        </w:r>
        <w:r w:rsidR="00B22602">
          <w:rPr>
            <w:noProof/>
            <w:webHidden/>
          </w:rPr>
          <w:fldChar w:fldCharType="begin"/>
        </w:r>
        <w:r w:rsidR="00B22602">
          <w:rPr>
            <w:noProof/>
            <w:webHidden/>
          </w:rPr>
          <w:instrText xml:space="preserve"> PAGEREF _Toc2253744 \h </w:instrText>
        </w:r>
        <w:r w:rsidR="00B22602">
          <w:rPr>
            <w:noProof/>
            <w:webHidden/>
          </w:rPr>
        </w:r>
        <w:r w:rsidR="00B22602">
          <w:rPr>
            <w:noProof/>
            <w:webHidden/>
          </w:rPr>
          <w:fldChar w:fldCharType="separate"/>
        </w:r>
        <w:r w:rsidR="00B22602">
          <w:rPr>
            <w:noProof/>
            <w:webHidden/>
          </w:rPr>
          <w:t>24</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45" w:history="1">
        <w:r w:rsidR="00B22602" w:rsidRPr="00BB0ECD">
          <w:rPr>
            <w:rStyle w:val="Hyperlink"/>
            <w:noProof/>
          </w:rPr>
          <w:t>7.1</w:t>
        </w:r>
        <w:r w:rsidR="00B22602">
          <w:rPr>
            <w:rFonts w:asciiTheme="minorHAnsi" w:eastAsiaTheme="minorEastAsia" w:hAnsiTheme="minorHAnsi" w:cstheme="minorBidi"/>
            <w:noProof/>
            <w:szCs w:val="22"/>
            <w:lang w:eastAsia="en-NZ"/>
          </w:rPr>
          <w:tab/>
        </w:r>
        <w:r w:rsidR="00B22602" w:rsidRPr="00BB0ECD">
          <w:rPr>
            <w:rStyle w:val="Hyperlink"/>
            <w:noProof/>
          </w:rPr>
          <w:t>How are patients with rectal cancer treated?</w:t>
        </w:r>
        <w:r w:rsidR="00B22602">
          <w:rPr>
            <w:noProof/>
            <w:webHidden/>
          </w:rPr>
          <w:tab/>
        </w:r>
        <w:r w:rsidR="00B22602">
          <w:rPr>
            <w:noProof/>
            <w:webHidden/>
          </w:rPr>
          <w:fldChar w:fldCharType="begin"/>
        </w:r>
        <w:r w:rsidR="00B22602">
          <w:rPr>
            <w:noProof/>
            <w:webHidden/>
          </w:rPr>
          <w:instrText xml:space="preserve"> PAGEREF _Toc2253745 \h </w:instrText>
        </w:r>
        <w:r w:rsidR="00B22602">
          <w:rPr>
            <w:noProof/>
            <w:webHidden/>
          </w:rPr>
        </w:r>
        <w:r w:rsidR="00B22602">
          <w:rPr>
            <w:noProof/>
            <w:webHidden/>
          </w:rPr>
          <w:fldChar w:fldCharType="separate"/>
        </w:r>
        <w:r w:rsidR="00B22602">
          <w:rPr>
            <w:noProof/>
            <w:webHidden/>
          </w:rPr>
          <w:t>24</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46" w:history="1">
        <w:r w:rsidR="00B22602" w:rsidRPr="00BB0ECD">
          <w:rPr>
            <w:rStyle w:val="Hyperlink"/>
            <w:noProof/>
          </w:rPr>
          <w:t>7.2</w:t>
        </w:r>
        <w:r w:rsidR="00B22602">
          <w:rPr>
            <w:rFonts w:asciiTheme="minorHAnsi" w:eastAsiaTheme="minorEastAsia" w:hAnsiTheme="minorHAnsi" w:cstheme="minorBidi"/>
            <w:noProof/>
            <w:szCs w:val="22"/>
            <w:lang w:eastAsia="en-NZ"/>
          </w:rPr>
          <w:tab/>
        </w:r>
        <w:r w:rsidR="00B22602" w:rsidRPr="00BB0ECD">
          <w:rPr>
            <w:rStyle w:val="Hyperlink"/>
            <w:noProof/>
          </w:rPr>
          <w:t>How often are patients stoma free at 18 months after surgery?</w:t>
        </w:r>
        <w:r w:rsidR="00B22602">
          <w:rPr>
            <w:noProof/>
            <w:webHidden/>
          </w:rPr>
          <w:tab/>
        </w:r>
        <w:r w:rsidR="00B22602">
          <w:rPr>
            <w:noProof/>
            <w:webHidden/>
          </w:rPr>
          <w:fldChar w:fldCharType="begin"/>
        </w:r>
        <w:r w:rsidR="00B22602">
          <w:rPr>
            <w:noProof/>
            <w:webHidden/>
          </w:rPr>
          <w:instrText xml:space="preserve"> PAGEREF _Toc2253746 \h </w:instrText>
        </w:r>
        <w:r w:rsidR="00B22602">
          <w:rPr>
            <w:noProof/>
            <w:webHidden/>
          </w:rPr>
        </w:r>
        <w:r w:rsidR="00B22602">
          <w:rPr>
            <w:noProof/>
            <w:webHidden/>
          </w:rPr>
          <w:fldChar w:fldCharType="separate"/>
        </w:r>
        <w:r w:rsidR="00B22602">
          <w:rPr>
            <w:noProof/>
            <w:webHidden/>
          </w:rPr>
          <w:t>27</w:t>
        </w:r>
        <w:r w:rsidR="00B22602">
          <w:rPr>
            <w:noProof/>
            <w:webHidden/>
          </w:rPr>
          <w:fldChar w:fldCharType="end"/>
        </w:r>
      </w:hyperlink>
    </w:p>
    <w:p w:rsidR="00B22602" w:rsidRDefault="00076E1A">
      <w:pPr>
        <w:pStyle w:val="TOC1"/>
        <w:rPr>
          <w:rFonts w:asciiTheme="minorHAnsi" w:eastAsiaTheme="minorEastAsia" w:hAnsiTheme="minorHAnsi" w:cstheme="minorBidi"/>
          <w:noProof/>
          <w:sz w:val="22"/>
          <w:szCs w:val="22"/>
          <w:lang w:eastAsia="en-NZ"/>
        </w:rPr>
      </w:pPr>
      <w:hyperlink w:anchor="_Toc2253747" w:history="1">
        <w:r w:rsidR="00B22602" w:rsidRPr="00BB0ECD">
          <w:rPr>
            <w:rStyle w:val="Hyperlink"/>
            <w:noProof/>
          </w:rPr>
          <w:t>Appendix A: Data tables</w:t>
        </w:r>
        <w:r w:rsidR="00B22602">
          <w:rPr>
            <w:noProof/>
            <w:webHidden/>
          </w:rPr>
          <w:tab/>
        </w:r>
        <w:r w:rsidR="00B22602">
          <w:rPr>
            <w:noProof/>
            <w:webHidden/>
          </w:rPr>
          <w:fldChar w:fldCharType="begin"/>
        </w:r>
        <w:r w:rsidR="00B22602">
          <w:rPr>
            <w:noProof/>
            <w:webHidden/>
          </w:rPr>
          <w:instrText xml:space="preserve"> PAGEREF _Toc2253747 \h </w:instrText>
        </w:r>
        <w:r w:rsidR="00B22602">
          <w:rPr>
            <w:noProof/>
            <w:webHidden/>
          </w:rPr>
        </w:r>
        <w:r w:rsidR="00B22602">
          <w:rPr>
            <w:noProof/>
            <w:webHidden/>
          </w:rPr>
          <w:fldChar w:fldCharType="separate"/>
        </w:r>
        <w:r w:rsidR="00B22602">
          <w:rPr>
            <w:noProof/>
            <w:webHidden/>
          </w:rPr>
          <w:t>29</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48" w:history="1">
        <w:r w:rsidR="00B22602" w:rsidRPr="00BB0ECD">
          <w:rPr>
            <w:rStyle w:val="Hyperlink"/>
            <w:noProof/>
          </w:rPr>
          <w:t>1</w:t>
        </w:r>
        <w:r w:rsidR="00B22602">
          <w:rPr>
            <w:rFonts w:asciiTheme="minorHAnsi" w:eastAsiaTheme="minorEastAsia" w:hAnsiTheme="minorHAnsi" w:cstheme="minorBidi"/>
            <w:noProof/>
            <w:szCs w:val="22"/>
            <w:lang w:eastAsia="en-NZ"/>
          </w:rPr>
          <w:tab/>
        </w:r>
        <w:r w:rsidR="00B22602" w:rsidRPr="00BB0ECD">
          <w:rPr>
            <w:rStyle w:val="Hyperlink"/>
            <w:noProof/>
          </w:rPr>
          <w:t>Diagnosis and surgery</w:t>
        </w:r>
        <w:r w:rsidR="00B22602">
          <w:rPr>
            <w:noProof/>
            <w:webHidden/>
          </w:rPr>
          <w:tab/>
        </w:r>
        <w:r w:rsidR="00B22602">
          <w:rPr>
            <w:noProof/>
            <w:webHidden/>
          </w:rPr>
          <w:fldChar w:fldCharType="begin"/>
        </w:r>
        <w:r w:rsidR="00B22602">
          <w:rPr>
            <w:noProof/>
            <w:webHidden/>
          </w:rPr>
          <w:instrText xml:space="preserve"> PAGEREF _Toc2253748 \h </w:instrText>
        </w:r>
        <w:r w:rsidR="00B22602">
          <w:rPr>
            <w:noProof/>
            <w:webHidden/>
          </w:rPr>
        </w:r>
        <w:r w:rsidR="00B22602">
          <w:rPr>
            <w:noProof/>
            <w:webHidden/>
          </w:rPr>
          <w:fldChar w:fldCharType="separate"/>
        </w:r>
        <w:r w:rsidR="00B22602">
          <w:rPr>
            <w:noProof/>
            <w:webHidden/>
          </w:rPr>
          <w:t>29</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49" w:history="1">
        <w:r w:rsidR="00B22602" w:rsidRPr="00BB0ECD">
          <w:rPr>
            <w:rStyle w:val="Hyperlink"/>
            <w:noProof/>
            <w:lang w:eastAsia="en-NZ"/>
          </w:rPr>
          <w:t>2</w:t>
        </w:r>
        <w:r w:rsidR="00B22602">
          <w:rPr>
            <w:rFonts w:asciiTheme="minorHAnsi" w:eastAsiaTheme="minorEastAsia" w:hAnsiTheme="minorHAnsi" w:cstheme="minorBidi"/>
            <w:noProof/>
            <w:szCs w:val="22"/>
            <w:lang w:eastAsia="en-NZ"/>
          </w:rPr>
          <w:tab/>
        </w:r>
        <w:r w:rsidR="00B22602" w:rsidRPr="00BB0ECD">
          <w:rPr>
            <w:rStyle w:val="Hyperlink"/>
            <w:noProof/>
            <w:lang w:eastAsia="en-NZ"/>
          </w:rPr>
          <w:t>Bowel cancer surgery</w:t>
        </w:r>
        <w:r w:rsidR="00B22602">
          <w:rPr>
            <w:noProof/>
            <w:webHidden/>
          </w:rPr>
          <w:tab/>
        </w:r>
        <w:r w:rsidR="00B22602">
          <w:rPr>
            <w:noProof/>
            <w:webHidden/>
          </w:rPr>
          <w:fldChar w:fldCharType="begin"/>
        </w:r>
        <w:r w:rsidR="00B22602">
          <w:rPr>
            <w:noProof/>
            <w:webHidden/>
          </w:rPr>
          <w:instrText xml:space="preserve"> PAGEREF _Toc2253749 \h </w:instrText>
        </w:r>
        <w:r w:rsidR="00B22602">
          <w:rPr>
            <w:noProof/>
            <w:webHidden/>
          </w:rPr>
        </w:r>
        <w:r w:rsidR="00B22602">
          <w:rPr>
            <w:noProof/>
            <w:webHidden/>
          </w:rPr>
          <w:fldChar w:fldCharType="separate"/>
        </w:r>
        <w:r w:rsidR="00B22602">
          <w:rPr>
            <w:noProof/>
            <w:webHidden/>
          </w:rPr>
          <w:t>31</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50" w:history="1">
        <w:r w:rsidR="00B22602" w:rsidRPr="00BB0ECD">
          <w:rPr>
            <w:rStyle w:val="Hyperlink"/>
            <w:noProof/>
          </w:rPr>
          <w:t>3</w:t>
        </w:r>
        <w:r w:rsidR="00B22602">
          <w:rPr>
            <w:rFonts w:asciiTheme="minorHAnsi" w:eastAsiaTheme="minorEastAsia" w:hAnsiTheme="minorHAnsi" w:cstheme="minorBidi"/>
            <w:noProof/>
            <w:szCs w:val="22"/>
            <w:lang w:eastAsia="en-NZ"/>
          </w:rPr>
          <w:tab/>
        </w:r>
        <w:r w:rsidR="00B22602" w:rsidRPr="00BB0ECD">
          <w:rPr>
            <w:rStyle w:val="Hyperlink"/>
            <w:noProof/>
          </w:rPr>
          <w:t>Colon cancer surgery</w:t>
        </w:r>
        <w:r w:rsidR="00B22602">
          <w:rPr>
            <w:noProof/>
            <w:webHidden/>
          </w:rPr>
          <w:tab/>
        </w:r>
        <w:r w:rsidR="00B22602">
          <w:rPr>
            <w:noProof/>
            <w:webHidden/>
          </w:rPr>
          <w:fldChar w:fldCharType="begin"/>
        </w:r>
        <w:r w:rsidR="00B22602">
          <w:rPr>
            <w:noProof/>
            <w:webHidden/>
          </w:rPr>
          <w:instrText xml:space="preserve"> PAGEREF _Toc2253750 \h </w:instrText>
        </w:r>
        <w:r w:rsidR="00B22602">
          <w:rPr>
            <w:noProof/>
            <w:webHidden/>
          </w:rPr>
        </w:r>
        <w:r w:rsidR="00B22602">
          <w:rPr>
            <w:noProof/>
            <w:webHidden/>
          </w:rPr>
          <w:fldChar w:fldCharType="separate"/>
        </w:r>
        <w:r w:rsidR="00B22602">
          <w:rPr>
            <w:noProof/>
            <w:webHidden/>
          </w:rPr>
          <w:t>33</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51" w:history="1">
        <w:r w:rsidR="00B22602" w:rsidRPr="00BB0ECD">
          <w:rPr>
            <w:rStyle w:val="Hyperlink"/>
            <w:noProof/>
          </w:rPr>
          <w:t>4</w:t>
        </w:r>
        <w:r w:rsidR="00B22602">
          <w:rPr>
            <w:rFonts w:asciiTheme="minorHAnsi" w:eastAsiaTheme="minorEastAsia" w:hAnsiTheme="minorHAnsi" w:cstheme="minorBidi"/>
            <w:noProof/>
            <w:szCs w:val="22"/>
            <w:lang w:eastAsia="en-NZ"/>
          </w:rPr>
          <w:tab/>
        </w:r>
        <w:r w:rsidR="00B22602" w:rsidRPr="00BB0ECD">
          <w:rPr>
            <w:rStyle w:val="Hyperlink"/>
            <w:noProof/>
          </w:rPr>
          <w:t>Rectal cancer surgery</w:t>
        </w:r>
        <w:r w:rsidR="00B22602">
          <w:rPr>
            <w:noProof/>
            <w:webHidden/>
          </w:rPr>
          <w:tab/>
        </w:r>
        <w:r w:rsidR="00B22602">
          <w:rPr>
            <w:noProof/>
            <w:webHidden/>
          </w:rPr>
          <w:fldChar w:fldCharType="begin"/>
        </w:r>
        <w:r w:rsidR="00B22602">
          <w:rPr>
            <w:noProof/>
            <w:webHidden/>
          </w:rPr>
          <w:instrText xml:space="preserve"> PAGEREF _Toc2253751 \h </w:instrText>
        </w:r>
        <w:r w:rsidR="00B22602">
          <w:rPr>
            <w:noProof/>
            <w:webHidden/>
          </w:rPr>
        </w:r>
        <w:r w:rsidR="00B22602">
          <w:rPr>
            <w:noProof/>
            <w:webHidden/>
          </w:rPr>
          <w:fldChar w:fldCharType="separate"/>
        </w:r>
        <w:r w:rsidR="00B22602">
          <w:rPr>
            <w:noProof/>
            <w:webHidden/>
          </w:rPr>
          <w:t>35</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52" w:history="1">
        <w:r w:rsidR="00B22602" w:rsidRPr="00BB0ECD">
          <w:rPr>
            <w:rStyle w:val="Hyperlink"/>
            <w:noProof/>
            <w:lang w:eastAsia="en-NZ"/>
          </w:rPr>
          <w:t>5</w:t>
        </w:r>
        <w:r w:rsidR="00B22602">
          <w:rPr>
            <w:rFonts w:asciiTheme="minorHAnsi" w:eastAsiaTheme="minorEastAsia" w:hAnsiTheme="minorHAnsi" w:cstheme="minorBidi"/>
            <w:noProof/>
            <w:szCs w:val="22"/>
            <w:lang w:eastAsia="en-NZ"/>
          </w:rPr>
          <w:tab/>
        </w:r>
        <w:r w:rsidR="00B22602" w:rsidRPr="00BB0ECD">
          <w:rPr>
            <w:rStyle w:val="Hyperlink"/>
            <w:noProof/>
            <w:lang w:eastAsia="en-NZ"/>
          </w:rPr>
          <w:t>Radiotherapy</w:t>
        </w:r>
        <w:r w:rsidR="00B22602">
          <w:rPr>
            <w:noProof/>
            <w:webHidden/>
          </w:rPr>
          <w:tab/>
        </w:r>
        <w:r w:rsidR="00B22602">
          <w:rPr>
            <w:noProof/>
            <w:webHidden/>
          </w:rPr>
          <w:fldChar w:fldCharType="begin"/>
        </w:r>
        <w:r w:rsidR="00B22602">
          <w:rPr>
            <w:noProof/>
            <w:webHidden/>
          </w:rPr>
          <w:instrText xml:space="preserve"> PAGEREF _Toc2253752 \h </w:instrText>
        </w:r>
        <w:r w:rsidR="00B22602">
          <w:rPr>
            <w:noProof/>
            <w:webHidden/>
          </w:rPr>
        </w:r>
        <w:r w:rsidR="00B22602">
          <w:rPr>
            <w:noProof/>
            <w:webHidden/>
          </w:rPr>
          <w:fldChar w:fldCharType="separate"/>
        </w:r>
        <w:r w:rsidR="00B22602">
          <w:rPr>
            <w:noProof/>
            <w:webHidden/>
          </w:rPr>
          <w:t>37</w:t>
        </w:r>
        <w:r w:rsidR="00B22602">
          <w:rPr>
            <w:noProof/>
            <w:webHidden/>
          </w:rPr>
          <w:fldChar w:fldCharType="end"/>
        </w:r>
      </w:hyperlink>
    </w:p>
    <w:p w:rsidR="00B22602" w:rsidRDefault="00076E1A">
      <w:pPr>
        <w:pStyle w:val="TOC2"/>
        <w:tabs>
          <w:tab w:val="left" w:pos="1134"/>
        </w:tabs>
        <w:rPr>
          <w:rFonts w:asciiTheme="minorHAnsi" w:eastAsiaTheme="minorEastAsia" w:hAnsiTheme="minorHAnsi" w:cstheme="minorBidi"/>
          <w:noProof/>
          <w:szCs w:val="22"/>
          <w:lang w:eastAsia="en-NZ"/>
        </w:rPr>
      </w:pPr>
      <w:hyperlink w:anchor="_Toc2253753" w:history="1">
        <w:r w:rsidR="00B22602" w:rsidRPr="00BB0ECD">
          <w:rPr>
            <w:rStyle w:val="Hyperlink"/>
            <w:noProof/>
            <w:lang w:eastAsia="en-NZ"/>
          </w:rPr>
          <w:t>6</w:t>
        </w:r>
        <w:r w:rsidR="00B22602">
          <w:rPr>
            <w:rFonts w:asciiTheme="minorHAnsi" w:eastAsiaTheme="minorEastAsia" w:hAnsiTheme="minorHAnsi" w:cstheme="minorBidi"/>
            <w:noProof/>
            <w:szCs w:val="22"/>
            <w:lang w:eastAsia="en-NZ"/>
          </w:rPr>
          <w:tab/>
        </w:r>
        <w:r w:rsidR="00B22602" w:rsidRPr="00BB0ECD">
          <w:rPr>
            <w:rStyle w:val="Hyperlink"/>
            <w:noProof/>
            <w:lang w:eastAsia="en-NZ"/>
          </w:rPr>
          <w:t>Stoma-free survival</w:t>
        </w:r>
        <w:r w:rsidR="00B22602">
          <w:rPr>
            <w:noProof/>
            <w:webHidden/>
          </w:rPr>
          <w:tab/>
        </w:r>
        <w:r w:rsidR="00B22602">
          <w:rPr>
            <w:noProof/>
            <w:webHidden/>
          </w:rPr>
          <w:fldChar w:fldCharType="begin"/>
        </w:r>
        <w:r w:rsidR="00B22602">
          <w:rPr>
            <w:noProof/>
            <w:webHidden/>
          </w:rPr>
          <w:instrText xml:space="preserve"> PAGEREF _Toc2253753 \h </w:instrText>
        </w:r>
        <w:r w:rsidR="00B22602">
          <w:rPr>
            <w:noProof/>
            <w:webHidden/>
          </w:rPr>
        </w:r>
        <w:r w:rsidR="00B22602">
          <w:rPr>
            <w:noProof/>
            <w:webHidden/>
          </w:rPr>
          <w:fldChar w:fldCharType="separate"/>
        </w:r>
        <w:r w:rsidR="00B22602">
          <w:rPr>
            <w:noProof/>
            <w:webHidden/>
          </w:rPr>
          <w:t>39</w:t>
        </w:r>
        <w:r w:rsidR="00B22602">
          <w:rPr>
            <w:noProof/>
            <w:webHidden/>
          </w:rPr>
          <w:fldChar w:fldCharType="end"/>
        </w:r>
      </w:hyperlink>
    </w:p>
    <w:p w:rsidR="00B22602" w:rsidRDefault="00076E1A">
      <w:pPr>
        <w:pStyle w:val="TOC1"/>
        <w:rPr>
          <w:rFonts w:asciiTheme="minorHAnsi" w:eastAsiaTheme="minorEastAsia" w:hAnsiTheme="minorHAnsi" w:cstheme="minorBidi"/>
          <w:noProof/>
          <w:sz w:val="22"/>
          <w:szCs w:val="22"/>
          <w:lang w:eastAsia="en-NZ"/>
        </w:rPr>
      </w:pPr>
      <w:hyperlink w:anchor="_Toc2253754" w:history="1">
        <w:r w:rsidR="00B22602" w:rsidRPr="00BB0ECD">
          <w:rPr>
            <w:rStyle w:val="Hyperlink"/>
            <w:noProof/>
            <w:lang w:eastAsia="en-NZ"/>
          </w:rPr>
          <w:t>Appendix B: Working group members</w:t>
        </w:r>
        <w:r w:rsidR="00B22602">
          <w:rPr>
            <w:noProof/>
            <w:webHidden/>
          </w:rPr>
          <w:tab/>
        </w:r>
        <w:r w:rsidR="00B22602">
          <w:rPr>
            <w:noProof/>
            <w:webHidden/>
          </w:rPr>
          <w:fldChar w:fldCharType="begin"/>
        </w:r>
        <w:r w:rsidR="00B22602">
          <w:rPr>
            <w:noProof/>
            <w:webHidden/>
          </w:rPr>
          <w:instrText xml:space="preserve"> PAGEREF _Toc2253754 \h </w:instrText>
        </w:r>
        <w:r w:rsidR="00B22602">
          <w:rPr>
            <w:noProof/>
            <w:webHidden/>
          </w:rPr>
        </w:r>
        <w:r w:rsidR="00B22602">
          <w:rPr>
            <w:noProof/>
            <w:webHidden/>
          </w:rPr>
          <w:fldChar w:fldCharType="separate"/>
        </w:r>
        <w:r w:rsidR="00B22602">
          <w:rPr>
            <w:noProof/>
            <w:webHidden/>
          </w:rPr>
          <w:t>41</w:t>
        </w:r>
        <w:r w:rsidR="00B22602">
          <w:rPr>
            <w:noProof/>
            <w:webHidden/>
          </w:rPr>
          <w:fldChar w:fldCharType="end"/>
        </w:r>
      </w:hyperlink>
    </w:p>
    <w:p w:rsidR="00C86248" w:rsidRDefault="00B22602">
      <w:r>
        <w:rPr>
          <w:b/>
        </w:rPr>
        <w:fldChar w:fldCharType="end"/>
      </w:r>
    </w:p>
    <w:p w:rsidR="003A5FEA" w:rsidRDefault="003A5FEA" w:rsidP="001D3E4E">
      <w:pPr>
        <w:pStyle w:val="TOC1"/>
        <w:keepNext/>
      </w:pPr>
      <w:r>
        <w:t>List of Figures</w:t>
      </w:r>
    </w:p>
    <w:p w:rsidR="00B22602" w:rsidRDefault="00B22602">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2254068" w:history="1">
        <w:r w:rsidRPr="00E644C6">
          <w:rPr>
            <w:rStyle w:val="Hyperlink"/>
            <w:noProof/>
          </w:rPr>
          <w:t>Figure 1: Referral sources for people diagnosed with bowel cancer, by district health board of domicile, 2013–16</w:t>
        </w:r>
        <w:r>
          <w:rPr>
            <w:noProof/>
            <w:webHidden/>
          </w:rPr>
          <w:tab/>
        </w:r>
        <w:r>
          <w:rPr>
            <w:noProof/>
            <w:webHidden/>
          </w:rPr>
          <w:fldChar w:fldCharType="begin"/>
        </w:r>
        <w:r>
          <w:rPr>
            <w:noProof/>
            <w:webHidden/>
          </w:rPr>
          <w:instrText xml:space="preserve"> PAGEREF _Toc2254068 \h </w:instrText>
        </w:r>
        <w:r>
          <w:rPr>
            <w:noProof/>
            <w:webHidden/>
          </w:rPr>
        </w:r>
        <w:r>
          <w:rPr>
            <w:noProof/>
            <w:webHidden/>
          </w:rPr>
          <w:fldChar w:fldCharType="separate"/>
        </w:r>
        <w:r>
          <w:rPr>
            <w:noProof/>
            <w:webHidden/>
          </w:rPr>
          <w:t>15</w:t>
        </w:r>
        <w:r>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69" w:history="1">
        <w:r w:rsidR="00B22602" w:rsidRPr="00E644C6">
          <w:rPr>
            <w:rStyle w:val="Hyperlink"/>
            <w:noProof/>
          </w:rPr>
          <w:t>Figure 2: Proportion of people diagnosed with bowel cancer following presentation at an emergency department, by district health board of domicile, 2013–16</w:t>
        </w:r>
        <w:r w:rsidR="00B22602">
          <w:rPr>
            <w:noProof/>
            <w:webHidden/>
          </w:rPr>
          <w:tab/>
        </w:r>
        <w:r w:rsidR="00B22602">
          <w:rPr>
            <w:noProof/>
            <w:webHidden/>
          </w:rPr>
          <w:fldChar w:fldCharType="begin"/>
        </w:r>
        <w:r w:rsidR="00B22602">
          <w:rPr>
            <w:noProof/>
            <w:webHidden/>
          </w:rPr>
          <w:instrText xml:space="preserve"> PAGEREF _Toc2254069 \h </w:instrText>
        </w:r>
        <w:r w:rsidR="00B22602">
          <w:rPr>
            <w:noProof/>
            <w:webHidden/>
          </w:rPr>
        </w:r>
        <w:r w:rsidR="00B22602">
          <w:rPr>
            <w:noProof/>
            <w:webHidden/>
          </w:rPr>
          <w:fldChar w:fldCharType="separate"/>
        </w:r>
        <w:r w:rsidR="00B22602">
          <w:rPr>
            <w:noProof/>
            <w:webHidden/>
          </w:rPr>
          <w:t>15</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70" w:history="1">
        <w:r w:rsidR="00B22602" w:rsidRPr="00E644C6">
          <w:rPr>
            <w:rStyle w:val="Hyperlink"/>
            <w:noProof/>
          </w:rPr>
          <w:t>Figure 3: Observed 90-day post-operative mortality (elective and emergency admissions) for patients diagnosed with bowel cancer, by district health board of service, 2013–16</w:t>
        </w:r>
        <w:r w:rsidR="00B22602">
          <w:rPr>
            <w:noProof/>
            <w:webHidden/>
          </w:rPr>
          <w:tab/>
        </w:r>
        <w:r w:rsidR="00B22602">
          <w:rPr>
            <w:noProof/>
            <w:webHidden/>
          </w:rPr>
          <w:fldChar w:fldCharType="begin"/>
        </w:r>
        <w:r w:rsidR="00B22602">
          <w:rPr>
            <w:noProof/>
            <w:webHidden/>
          </w:rPr>
          <w:instrText xml:space="preserve"> PAGEREF _Toc2254070 \h </w:instrText>
        </w:r>
        <w:r w:rsidR="00B22602">
          <w:rPr>
            <w:noProof/>
            <w:webHidden/>
          </w:rPr>
        </w:r>
        <w:r w:rsidR="00B22602">
          <w:rPr>
            <w:noProof/>
            <w:webHidden/>
          </w:rPr>
          <w:fldChar w:fldCharType="separate"/>
        </w:r>
        <w:r w:rsidR="00B22602">
          <w:rPr>
            <w:noProof/>
            <w:webHidden/>
          </w:rPr>
          <w:t>18</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71" w:history="1">
        <w:r w:rsidR="00B22602" w:rsidRPr="00E644C6">
          <w:rPr>
            <w:rStyle w:val="Hyperlink"/>
            <w:noProof/>
          </w:rPr>
          <w:t>Figure 4: Observed 90-day post-operative mortality (elective admissions only) for patients diagnosed with bowel cancer, by district health board of service, 2013–16</w:t>
        </w:r>
        <w:r w:rsidR="00B22602">
          <w:rPr>
            <w:noProof/>
            <w:webHidden/>
          </w:rPr>
          <w:tab/>
        </w:r>
        <w:r w:rsidR="00B22602">
          <w:rPr>
            <w:noProof/>
            <w:webHidden/>
          </w:rPr>
          <w:fldChar w:fldCharType="begin"/>
        </w:r>
        <w:r w:rsidR="00B22602">
          <w:rPr>
            <w:noProof/>
            <w:webHidden/>
          </w:rPr>
          <w:instrText xml:space="preserve"> PAGEREF _Toc2254071 \h </w:instrText>
        </w:r>
        <w:r w:rsidR="00B22602">
          <w:rPr>
            <w:noProof/>
            <w:webHidden/>
          </w:rPr>
        </w:r>
        <w:r w:rsidR="00B22602">
          <w:rPr>
            <w:noProof/>
            <w:webHidden/>
          </w:rPr>
          <w:fldChar w:fldCharType="separate"/>
        </w:r>
        <w:r w:rsidR="00B22602">
          <w:rPr>
            <w:noProof/>
            <w:webHidden/>
          </w:rPr>
          <w:t>19</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72" w:history="1">
        <w:r w:rsidR="00B22602" w:rsidRPr="00E644C6">
          <w:rPr>
            <w:rStyle w:val="Hyperlink"/>
            <w:noProof/>
          </w:rPr>
          <w:t>Figure 5: Observed emergency surgery rate for patients diagnosed with bowel cancer, by district health board of service, 2013–16</w:t>
        </w:r>
        <w:r w:rsidR="00B22602">
          <w:rPr>
            <w:noProof/>
            <w:webHidden/>
          </w:rPr>
          <w:tab/>
        </w:r>
        <w:r w:rsidR="00B22602">
          <w:rPr>
            <w:noProof/>
            <w:webHidden/>
          </w:rPr>
          <w:fldChar w:fldCharType="begin"/>
        </w:r>
        <w:r w:rsidR="00B22602">
          <w:rPr>
            <w:noProof/>
            <w:webHidden/>
          </w:rPr>
          <w:instrText xml:space="preserve"> PAGEREF _Toc2254072 \h </w:instrText>
        </w:r>
        <w:r w:rsidR="00B22602">
          <w:rPr>
            <w:noProof/>
            <w:webHidden/>
          </w:rPr>
        </w:r>
        <w:r w:rsidR="00B22602">
          <w:rPr>
            <w:noProof/>
            <w:webHidden/>
          </w:rPr>
          <w:fldChar w:fldCharType="separate"/>
        </w:r>
        <w:r w:rsidR="00B22602">
          <w:rPr>
            <w:noProof/>
            <w:webHidden/>
          </w:rPr>
          <w:t>20</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73" w:history="1">
        <w:r w:rsidR="00B22602" w:rsidRPr="00E644C6">
          <w:rPr>
            <w:rStyle w:val="Hyperlink"/>
            <w:noProof/>
          </w:rPr>
          <w:t>Figure 6: Proportion of people having colon cancer surgery who had 12 or more lymph nodes examined by district health board of service, 2013–16</w:t>
        </w:r>
        <w:r w:rsidR="00B22602">
          <w:rPr>
            <w:noProof/>
            <w:webHidden/>
          </w:rPr>
          <w:tab/>
        </w:r>
        <w:r w:rsidR="00B22602">
          <w:rPr>
            <w:noProof/>
            <w:webHidden/>
          </w:rPr>
          <w:fldChar w:fldCharType="begin"/>
        </w:r>
        <w:r w:rsidR="00B22602">
          <w:rPr>
            <w:noProof/>
            <w:webHidden/>
          </w:rPr>
          <w:instrText xml:space="preserve"> PAGEREF _Toc2254073 \h </w:instrText>
        </w:r>
        <w:r w:rsidR="00B22602">
          <w:rPr>
            <w:noProof/>
            <w:webHidden/>
          </w:rPr>
        </w:r>
        <w:r w:rsidR="00B22602">
          <w:rPr>
            <w:noProof/>
            <w:webHidden/>
          </w:rPr>
          <w:fldChar w:fldCharType="separate"/>
        </w:r>
        <w:r w:rsidR="00B22602">
          <w:rPr>
            <w:noProof/>
            <w:webHidden/>
          </w:rPr>
          <w:t>22</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74" w:history="1">
        <w:r w:rsidR="00B22602" w:rsidRPr="00E644C6">
          <w:rPr>
            <w:rStyle w:val="Hyperlink"/>
            <w:noProof/>
          </w:rPr>
          <w:t>Figure 7: Proportion of people with rectal cancer having no radiotherapy (surgery alone), by district health board of service for surgery, 2013–16</w:t>
        </w:r>
        <w:r w:rsidR="00B22602">
          <w:rPr>
            <w:noProof/>
            <w:webHidden/>
          </w:rPr>
          <w:tab/>
        </w:r>
        <w:r w:rsidR="00B22602">
          <w:rPr>
            <w:noProof/>
            <w:webHidden/>
          </w:rPr>
          <w:fldChar w:fldCharType="begin"/>
        </w:r>
        <w:r w:rsidR="00B22602">
          <w:rPr>
            <w:noProof/>
            <w:webHidden/>
          </w:rPr>
          <w:instrText xml:space="preserve"> PAGEREF _Toc2254074 \h </w:instrText>
        </w:r>
        <w:r w:rsidR="00B22602">
          <w:rPr>
            <w:noProof/>
            <w:webHidden/>
          </w:rPr>
        </w:r>
        <w:r w:rsidR="00B22602">
          <w:rPr>
            <w:noProof/>
            <w:webHidden/>
          </w:rPr>
          <w:fldChar w:fldCharType="separate"/>
        </w:r>
        <w:r w:rsidR="00B22602">
          <w:rPr>
            <w:noProof/>
            <w:webHidden/>
          </w:rPr>
          <w:t>25</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75" w:history="1">
        <w:r w:rsidR="00B22602" w:rsidRPr="00E644C6">
          <w:rPr>
            <w:rStyle w:val="Hyperlink"/>
            <w:noProof/>
          </w:rPr>
          <w:t>Figure 8: Proportion of people with rectal cancer having pre-operative short-course radiotherapy, by district health board of service for surgery, 2013–16</w:t>
        </w:r>
        <w:r w:rsidR="00B22602">
          <w:rPr>
            <w:noProof/>
            <w:webHidden/>
          </w:rPr>
          <w:tab/>
        </w:r>
        <w:r w:rsidR="00B22602">
          <w:rPr>
            <w:noProof/>
            <w:webHidden/>
          </w:rPr>
          <w:fldChar w:fldCharType="begin"/>
        </w:r>
        <w:r w:rsidR="00B22602">
          <w:rPr>
            <w:noProof/>
            <w:webHidden/>
          </w:rPr>
          <w:instrText xml:space="preserve"> PAGEREF _Toc2254075 \h </w:instrText>
        </w:r>
        <w:r w:rsidR="00B22602">
          <w:rPr>
            <w:noProof/>
            <w:webHidden/>
          </w:rPr>
        </w:r>
        <w:r w:rsidR="00B22602">
          <w:rPr>
            <w:noProof/>
            <w:webHidden/>
          </w:rPr>
          <w:fldChar w:fldCharType="separate"/>
        </w:r>
        <w:r w:rsidR="00B22602">
          <w:rPr>
            <w:noProof/>
            <w:webHidden/>
          </w:rPr>
          <w:t>25</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76" w:history="1">
        <w:r w:rsidR="00B22602" w:rsidRPr="00E644C6">
          <w:rPr>
            <w:rStyle w:val="Hyperlink"/>
            <w:noProof/>
          </w:rPr>
          <w:t>Figure 9: Proportion of people with rectal cancer having long-course pre-operative radiotherapy by district health board of service for surgery, 2013–16</w:t>
        </w:r>
        <w:r w:rsidR="00B22602">
          <w:rPr>
            <w:noProof/>
            <w:webHidden/>
          </w:rPr>
          <w:tab/>
        </w:r>
        <w:r w:rsidR="00B22602">
          <w:rPr>
            <w:noProof/>
            <w:webHidden/>
          </w:rPr>
          <w:fldChar w:fldCharType="begin"/>
        </w:r>
        <w:r w:rsidR="00B22602">
          <w:rPr>
            <w:noProof/>
            <w:webHidden/>
          </w:rPr>
          <w:instrText xml:space="preserve"> PAGEREF _Toc2254076 \h </w:instrText>
        </w:r>
        <w:r w:rsidR="00B22602">
          <w:rPr>
            <w:noProof/>
            <w:webHidden/>
          </w:rPr>
        </w:r>
        <w:r w:rsidR="00B22602">
          <w:rPr>
            <w:noProof/>
            <w:webHidden/>
          </w:rPr>
          <w:fldChar w:fldCharType="separate"/>
        </w:r>
        <w:r w:rsidR="00B22602">
          <w:rPr>
            <w:noProof/>
            <w:webHidden/>
          </w:rPr>
          <w:t>26</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77" w:history="1">
        <w:r w:rsidR="00B22602" w:rsidRPr="00E644C6">
          <w:rPr>
            <w:rStyle w:val="Hyperlink"/>
            <w:noProof/>
          </w:rPr>
          <w:t>Figure 10: Observed 18-month stoma-free rate by district health board of service for patients diagnosed with rectal cancer, 2013–15</w:t>
        </w:r>
        <w:r w:rsidR="00B22602">
          <w:rPr>
            <w:noProof/>
            <w:webHidden/>
          </w:rPr>
          <w:tab/>
        </w:r>
        <w:r w:rsidR="00B22602">
          <w:rPr>
            <w:noProof/>
            <w:webHidden/>
          </w:rPr>
          <w:fldChar w:fldCharType="begin"/>
        </w:r>
        <w:r w:rsidR="00B22602">
          <w:rPr>
            <w:noProof/>
            <w:webHidden/>
          </w:rPr>
          <w:instrText xml:space="preserve"> PAGEREF _Toc2254077 \h </w:instrText>
        </w:r>
        <w:r w:rsidR="00B22602">
          <w:rPr>
            <w:noProof/>
            <w:webHidden/>
          </w:rPr>
        </w:r>
        <w:r w:rsidR="00B22602">
          <w:rPr>
            <w:noProof/>
            <w:webHidden/>
          </w:rPr>
          <w:fldChar w:fldCharType="separate"/>
        </w:r>
        <w:r w:rsidR="00B22602">
          <w:rPr>
            <w:noProof/>
            <w:webHidden/>
          </w:rPr>
          <w:t>28</w:t>
        </w:r>
        <w:r w:rsidR="00B22602">
          <w:rPr>
            <w:noProof/>
            <w:webHidden/>
          </w:rPr>
          <w:fldChar w:fldCharType="end"/>
        </w:r>
      </w:hyperlink>
    </w:p>
    <w:p w:rsidR="003A5FEA" w:rsidRDefault="00B22602" w:rsidP="003A5FEA">
      <w:r>
        <w:fldChar w:fldCharType="end"/>
      </w:r>
    </w:p>
    <w:p w:rsidR="002B76A7" w:rsidRDefault="002B76A7" w:rsidP="002B76A7">
      <w:pPr>
        <w:pStyle w:val="TOC1"/>
        <w:keepNext/>
      </w:pPr>
      <w:r>
        <w:lastRenderedPageBreak/>
        <w:t>List of Tables</w:t>
      </w:r>
    </w:p>
    <w:p w:rsidR="00B22602" w:rsidRDefault="00B22602">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2254042" w:history="1">
        <w:r w:rsidRPr="007D08DA">
          <w:rPr>
            <w:rStyle w:val="Hyperlink"/>
            <w:noProof/>
          </w:rPr>
          <w:t>Table 1: People who had bowel cancer surgery with pathological tumour, node, metastasis stage available on the New Zealand Cancer Registry, 2013–16</w:t>
        </w:r>
        <w:r>
          <w:rPr>
            <w:noProof/>
            <w:webHidden/>
          </w:rPr>
          <w:tab/>
        </w:r>
        <w:r>
          <w:rPr>
            <w:noProof/>
            <w:webHidden/>
          </w:rPr>
          <w:fldChar w:fldCharType="begin"/>
        </w:r>
        <w:r>
          <w:rPr>
            <w:noProof/>
            <w:webHidden/>
          </w:rPr>
          <w:instrText xml:space="preserve"> PAGEREF _Toc2254042 \h </w:instrText>
        </w:r>
        <w:r>
          <w:rPr>
            <w:noProof/>
            <w:webHidden/>
          </w:rPr>
        </w:r>
        <w:r>
          <w:rPr>
            <w:noProof/>
            <w:webHidden/>
          </w:rPr>
          <w:fldChar w:fldCharType="separate"/>
        </w:r>
        <w:r>
          <w:rPr>
            <w:noProof/>
            <w:webHidden/>
          </w:rPr>
          <w:t>10</w:t>
        </w:r>
        <w:r>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43" w:history="1">
        <w:r w:rsidR="00B22602" w:rsidRPr="007D08DA">
          <w:rPr>
            <w:rStyle w:val="Hyperlink"/>
            <w:noProof/>
          </w:rPr>
          <w:t>Table 2: People diagnosed with colorectal cancer following screening, presentation to an emergency department or referral to a clinic, by year, 2013–16</w:t>
        </w:r>
        <w:r w:rsidR="00B22602">
          <w:rPr>
            <w:noProof/>
            <w:webHidden/>
          </w:rPr>
          <w:tab/>
        </w:r>
        <w:r w:rsidR="00B22602">
          <w:rPr>
            <w:noProof/>
            <w:webHidden/>
          </w:rPr>
          <w:fldChar w:fldCharType="begin"/>
        </w:r>
        <w:r w:rsidR="00B22602">
          <w:rPr>
            <w:noProof/>
            <w:webHidden/>
          </w:rPr>
          <w:instrText xml:space="preserve"> PAGEREF _Toc2254043 \h </w:instrText>
        </w:r>
        <w:r w:rsidR="00B22602">
          <w:rPr>
            <w:noProof/>
            <w:webHidden/>
          </w:rPr>
        </w:r>
        <w:r w:rsidR="00B22602">
          <w:rPr>
            <w:noProof/>
            <w:webHidden/>
          </w:rPr>
          <w:fldChar w:fldCharType="separate"/>
        </w:r>
        <w:r w:rsidR="00B22602">
          <w:rPr>
            <w:noProof/>
            <w:webHidden/>
          </w:rPr>
          <w:t>14</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44" w:history="1">
        <w:r w:rsidR="00B22602" w:rsidRPr="007D08DA">
          <w:rPr>
            <w:rStyle w:val="Hyperlink"/>
            <w:noProof/>
          </w:rPr>
          <w:t>Table 3: People diagnosed with colorectal cancer following screening, presentation to an emergency department or referral to a clinic, by age group, sex, ethnic group and social deprivation, 2013–16</w:t>
        </w:r>
        <w:r w:rsidR="00B22602">
          <w:rPr>
            <w:noProof/>
            <w:webHidden/>
          </w:rPr>
          <w:tab/>
        </w:r>
        <w:r w:rsidR="00B22602">
          <w:rPr>
            <w:noProof/>
            <w:webHidden/>
          </w:rPr>
          <w:fldChar w:fldCharType="begin"/>
        </w:r>
        <w:r w:rsidR="00B22602">
          <w:rPr>
            <w:noProof/>
            <w:webHidden/>
          </w:rPr>
          <w:instrText xml:space="preserve"> PAGEREF _Toc2254044 \h </w:instrText>
        </w:r>
        <w:r w:rsidR="00B22602">
          <w:rPr>
            <w:noProof/>
            <w:webHidden/>
          </w:rPr>
        </w:r>
        <w:r w:rsidR="00B22602">
          <w:rPr>
            <w:noProof/>
            <w:webHidden/>
          </w:rPr>
          <w:fldChar w:fldCharType="separate"/>
        </w:r>
        <w:r w:rsidR="00B22602">
          <w:rPr>
            <w:noProof/>
            <w:webHidden/>
          </w:rPr>
          <w:t>16</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45" w:history="1">
        <w:r w:rsidR="00B22602" w:rsidRPr="007D08DA">
          <w:rPr>
            <w:rStyle w:val="Hyperlink"/>
            <w:noProof/>
          </w:rPr>
          <w:t>Table 4: 90-day mortality following surgery for people diagnosed with bowel cancer, by surgical urgency, 2013–16</w:t>
        </w:r>
        <w:r w:rsidR="00B22602">
          <w:rPr>
            <w:noProof/>
            <w:webHidden/>
          </w:rPr>
          <w:tab/>
        </w:r>
        <w:r w:rsidR="00B22602">
          <w:rPr>
            <w:noProof/>
            <w:webHidden/>
          </w:rPr>
          <w:fldChar w:fldCharType="begin"/>
        </w:r>
        <w:r w:rsidR="00B22602">
          <w:rPr>
            <w:noProof/>
            <w:webHidden/>
          </w:rPr>
          <w:instrText xml:space="preserve"> PAGEREF _Toc2254045 \h </w:instrText>
        </w:r>
        <w:r w:rsidR="00B22602">
          <w:rPr>
            <w:noProof/>
            <w:webHidden/>
          </w:rPr>
        </w:r>
        <w:r w:rsidR="00B22602">
          <w:rPr>
            <w:noProof/>
            <w:webHidden/>
          </w:rPr>
          <w:fldChar w:fldCharType="separate"/>
        </w:r>
        <w:r w:rsidR="00B22602">
          <w:rPr>
            <w:noProof/>
            <w:webHidden/>
          </w:rPr>
          <w:t>20</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46" w:history="1">
        <w:r w:rsidR="00B22602" w:rsidRPr="007D08DA">
          <w:rPr>
            <w:rStyle w:val="Hyperlink"/>
            <w:noProof/>
          </w:rPr>
          <w:t>Table 5: People with rectal cancer having surgery alone and short-course and long-course preoperative radiotherapy, 2013–16</w:t>
        </w:r>
        <w:r w:rsidR="00B22602">
          <w:rPr>
            <w:noProof/>
            <w:webHidden/>
          </w:rPr>
          <w:tab/>
        </w:r>
        <w:r w:rsidR="00B22602">
          <w:rPr>
            <w:noProof/>
            <w:webHidden/>
          </w:rPr>
          <w:fldChar w:fldCharType="begin"/>
        </w:r>
        <w:r w:rsidR="00B22602">
          <w:rPr>
            <w:noProof/>
            <w:webHidden/>
          </w:rPr>
          <w:instrText xml:space="preserve"> PAGEREF _Toc2254046 \h </w:instrText>
        </w:r>
        <w:r w:rsidR="00B22602">
          <w:rPr>
            <w:noProof/>
            <w:webHidden/>
          </w:rPr>
        </w:r>
        <w:r w:rsidR="00B22602">
          <w:rPr>
            <w:noProof/>
            <w:webHidden/>
          </w:rPr>
          <w:fldChar w:fldCharType="separate"/>
        </w:r>
        <w:r w:rsidR="00B22602">
          <w:rPr>
            <w:noProof/>
            <w:webHidden/>
          </w:rPr>
          <w:t>24</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47" w:history="1">
        <w:r w:rsidR="00B22602" w:rsidRPr="007D08DA">
          <w:rPr>
            <w:rStyle w:val="Hyperlink"/>
            <w:noProof/>
          </w:rPr>
          <w:t>Table 6: People diagnosed with colon and rectal cancer, number and percentage who had major surgery, by district health board of domicile, age group, sex and ethnic group, 2013–16</w:t>
        </w:r>
        <w:r w:rsidR="00B22602">
          <w:rPr>
            <w:noProof/>
            <w:webHidden/>
          </w:rPr>
          <w:tab/>
        </w:r>
        <w:r w:rsidR="00B22602">
          <w:rPr>
            <w:noProof/>
            <w:webHidden/>
          </w:rPr>
          <w:fldChar w:fldCharType="begin"/>
        </w:r>
        <w:r w:rsidR="00B22602">
          <w:rPr>
            <w:noProof/>
            <w:webHidden/>
          </w:rPr>
          <w:instrText xml:space="preserve"> PAGEREF _Toc2254047 \h </w:instrText>
        </w:r>
        <w:r w:rsidR="00B22602">
          <w:rPr>
            <w:noProof/>
            <w:webHidden/>
          </w:rPr>
        </w:r>
        <w:r w:rsidR="00B22602">
          <w:rPr>
            <w:noProof/>
            <w:webHidden/>
          </w:rPr>
          <w:fldChar w:fldCharType="separate"/>
        </w:r>
        <w:r w:rsidR="00B22602">
          <w:rPr>
            <w:noProof/>
            <w:webHidden/>
          </w:rPr>
          <w:t>29</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48" w:history="1">
        <w:r w:rsidR="00B22602" w:rsidRPr="007D08DA">
          <w:rPr>
            <w:rStyle w:val="Hyperlink"/>
            <w:noProof/>
          </w:rPr>
          <w:t xml:space="preserve">Table 7: </w:t>
        </w:r>
        <w:r w:rsidR="00B22602" w:rsidRPr="007D08DA">
          <w:rPr>
            <w:rStyle w:val="Hyperlink"/>
            <w:noProof/>
            <w:lang w:eastAsia="en-NZ"/>
          </w:rPr>
          <w:t>People having major surgery for bowel cancer in public hospitals, 2013–16</w:t>
        </w:r>
        <w:r w:rsidR="00B22602">
          <w:rPr>
            <w:noProof/>
            <w:webHidden/>
          </w:rPr>
          <w:tab/>
        </w:r>
        <w:r w:rsidR="00B22602">
          <w:rPr>
            <w:noProof/>
            <w:webHidden/>
          </w:rPr>
          <w:fldChar w:fldCharType="begin"/>
        </w:r>
        <w:r w:rsidR="00B22602">
          <w:rPr>
            <w:noProof/>
            <w:webHidden/>
          </w:rPr>
          <w:instrText xml:space="preserve"> PAGEREF _Toc2254048 \h </w:instrText>
        </w:r>
        <w:r w:rsidR="00B22602">
          <w:rPr>
            <w:noProof/>
            <w:webHidden/>
          </w:rPr>
        </w:r>
        <w:r w:rsidR="00B22602">
          <w:rPr>
            <w:noProof/>
            <w:webHidden/>
          </w:rPr>
          <w:fldChar w:fldCharType="separate"/>
        </w:r>
        <w:r w:rsidR="00B22602">
          <w:rPr>
            <w:noProof/>
            <w:webHidden/>
          </w:rPr>
          <w:t>31</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49" w:history="1">
        <w:r w:rsidR="00B22602" w:rsidRPr="007D08DA">
          <w:rPr>
            <w:rStyle w:val="Hyperlink"/>
            <w:noProof/>
          </w:rPr>
          <w:t xml:space="preserve">Table 8: </w:t>
        </w:r>
        <w:r w:rsidR="00B22602" w:rsidRPr="007D08DA">
          <w:rPr>
            <w:rStyle w:val="Hyperlink"/>
            <w:noProof/>
            <w:lang w:eastAsia="en-NZ"/>
          </w:rPr>
          <w:t>People having major surgery for colon cancer in public hospitals, 2013–16</w:t>
        </w:r>
        <w:r w:rsidR="00B22602">
          <w:rPr>
            <w:noProof/>
            <w:webHidden/>
          </w:rPr>
          <w:tab/>
        </w:r>
        <w:r w:rsidR="00B22602">
          <w:rPr>
            <w:noProof/>
            <w:webHidden/>
          </w:rPr>
          <w:fldChar w:fldCharType="begin"/>
        </w:r>
        <w:r w:rsidR="00B22602">
          <w:rPr>
            <w:noProof/>
            <w:webHidden/>
          </w:rPr>
          <w:instrText xml:space="preserve"> PAGEREF _Toc2254049 \h </w:instrText>
        </w:r>
        <w:r w:rsidR="00B22602">
          <w:rPr>
            <w:noProof/>
            <w:webHidden/>
          </w:rPr>
        </w:r>
        <w:r w:rsidR="00B22602">
          <w:rPr>
            <w:noProof/>
            <w:webHidden/>
          </w:rPr>
          <w:fldChar w:fldCharType="separate"/>
        </w:r>
        <w:r w:rsidR="00B22602">
          <w:rPr>
            <w:noProof/>
            <w:webHidden/>
          </w:rPr>
          <w:t>33</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50" w:history="1">
        <w:r w:rsidR="00B22602" w:rsidRPr="007D08DA">
          <w:rPr>
            <w:rStyle w:val="Hyperlink"/>
            <w:noProof/>
          </w:rPr>
          <w:t xml:space="preserve">Table 9: </w:t>
        </w:r>
        <w:r w:rsidR="00B22602" w:rsidRPr="007D08DA">
          <w:rPr>
            <w:rStyle w:val="Hyperlink"/>
            <w:noProof/>
            <w:lang w:eastAsia="en-NZ"/>
          </w:rPr>
          <w:t>People having major surgery for rectal cancer in public hospitals, 2013–16</w:t>
        </w:r>
        <w:r w:rsidR="00B22602">
          <w:rPr>
            <w:noProof/>
            <w:webHidden/>
          </w:rPr>
          <w:tab/>
        </w:r>
        <w:r w:rsidR="00B22602">
          <w:rPr>
            <w:noProof/>
            <w:webHidden/>
          </w:rPr>
          <w:fldChar w:fldCharType="begin"/>
        </w:r>
        <w:r w:rsidR="00B22602">
          <w:rPr>
            <w:noProof/>
            <w:webHidden/>
          </w:rPr>
          <w:instrText xml:space="preserve"> PAGEREF _Toc2254050 \h </w:instrText>
        </w:r>
        <w:r w:rsidR="00B22602">
          <w:rPr>
            <w:noProof/>
            <w:webHidden/>
          </w:rPr>
        </w:r>
        <w:r w:rsidR="00B22602">
          <w:rPr>
            <w:noProof/>
            <w:webHidden/>
          </w:rPr>
          <w:fldChar w:fldCharType="separate"/>
        </w:r>
        <w:r w:rsidR="00B22602">
          <w:rPr>
            <w:noProof/>
            <w:webHidden/>
          </w:rPr>
          <w:t>35</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51" w:history="1">
        <w:r w:rsidR="00B22602" w:rsidRPr="007D08DA">
          <w:rPr>
            <w:rStyle w:val="Hyperlink"/>
            <w:noProof/>
          </w:rPr>
          <w:t>Table 10: Radiotherapy for p</w:t>
        </w:r>
        <w:r w:rsidR="00B22602" w:rsidRPr="007D08DA">
          <w:rPr>
            <w:rStyle w:val="Hyperlink"/>
            <w:noProof/>
            <w:lang w:eastAsia="en-NZ"/>
          </w:rPr>
          <w:t>eople having major surgery for rectal cancer, 2013–16</w:t>
        </w:r>
        <w:r w:rsidR="00B22602">
          <w:rPr>
            <w:noProof/>
            <w:webHidden/>
          </w:rPr>
          <w:tab/>
        </w:r>
        <w:r w:rsidR="00B22602">
          <w:rPr>
            <w:noProof/>
            <w:webHidden/>
          </w:rPr>
          <w:fldChar w:fldCharType="begin"/>
        </w:r>
        <w:r w:rsidR="00B22602">
          <w:rPr>
            <w:noProof/>
            <w:webHidden/>
          </w:rPr>
          <w:instrText xml:space="preserve"> PAGEREF _Toc2254051 \h </w:instrText>
        </w:r>
        <w:r w:rsidR="00B22602">
          <w:rPr>
            <w:noProof/>
            <w:webHidden/>
          </w:rPr>
        </w:r>
        <w:r w:rsidR="00B22602">
          <w:rPr>
            <w:noProof/>
            <w:webHidden/>
          </w:rPr>
          <w:fldChar w:fldCharType="separate"/>
        </w:r>
        <w:r w:rsidR="00B22602">
          <w:rPr>
            <w:noProof/>
            <w:webHidden/>
          </w:rPr>
          <w:t>37</w:t>
        </w:r>
        <w:r w:rsidR="00B22602">
          <w:rPr>
            <w:noProof/>
            <w:webHidden/>
          </w:rPr>
          <w:fldChar w:fldCharType="end"/>
        </w:r>
      </w:hyperlink>
    </w:p>
    <w:p w:rsidR="00B22602" w:rsidRDefault="00076E1A">
      <w:pPr>
        <w:pStyle w:val="TOC3"/>
        <w:rPr>
          <w:rFonts w:asciiTheme="minorHAnsi" w:eastAsiaTheme="minorEastAsia" w:hAnsiTheme="minorHAnsi" w:cstheme="minorBidi"/>
          <w:noProof/>
          <w:sz w:val="22"/>
          <w:szCs w:val="22"/>
          <w:lang w:eastAsia="en-NZ"/>
        </w:rPr>
      </w:pPr>
      <w:hyperlink w:anchor="_Toc2254052" w:history="1">
        <w:r w:rsidR="00B22602" w:rsidRPr="007D08DA">
          <w:rPr>
            <w:rStyle w:val="Hyperlink"/>
            <w:noProof/>
          </w:rPr>
          <w:t xml:space="preserve">Table 11: </w:t>
        </w:r>
        <w:r w:rsidR="00B22602" w:rsidRPr="007D08DA">
          <w:rPr>
            <w:rStyle w:val="Hyperlink"/>
            <w:noProof/>
            <w:lang w:eastAsia="en-NZ"/>
          </w:rPr>
          <w:t>People having major surgery for rectal cancer with a stoma at 18 months, 2013–15</w:t>
        </w:r>
        <w:r w:rsidR="00B22602">
          <w:rPr>
            <w:noProof/>
            <w:webHidden/>
          </w:rPr>
          <w:tab/>
        </w:r>
        <w:r w:rsidR="00B22602">
          <w:rPr>
            <w:noProof/>
            <w:webHidden/>
          </w:rPr>
          <w:fldChar w:fldCharType="begin"/>
        </w:r>
        <w:r w:rsidR="00B22602">
          <w:rPr>
            <w:noProof/>
            <w:webHidden/>
          </w:rPr>
          <w:instrText xml:space="preserve"> PAGEREF _Toc2254052 \h </w:instrText>
        </w:r>
        <w:r w:rsidR="00B22602">
          <w:rPr>
            <w:noProof/>
            <w:webHidden/>
          </w:rPr>
        </w:r>
        <w:r w:rsidR="00B22602">
          <w:rPr>
            <w:noProof/>
            <w:webHidden/>
          </w:rPr>
          <w:fldChar w:fldCharType="separate"/>
        </w:r>
        <w:r w:rsidR="00B22602">
          <w:rPr>
            <w:noProof/>
            <w:webHidden/>
          </w:rPr>
          <w:t>39</w:t>
        </w:r>
        <w:r w:rsidR="00B22602">
          <w:rPr>
            <w:noProof/>
            <w:webHidden/>
          </w:rPr>
          <w:fldChar w:fldCharType="end"/>
        </w:r>
      </w:hyperlink>
    </w:p>
    <w:p w:rsidR="002B76A7" w:rsidRDefault="00B22602" w:rsidP="003A5FEA">
      <w:r>
        <w:rPr>
          <w:sz w:val="20"/>
        </w:rPr>
        <w:fldChar w:fldCharType="end"/>
      </w:r>
    </w:p>
    <w:p w:rsidR="001D3E4E" w:rsidRDefault="001D3E4E" w:rsidP="003A5FEA">
      <w:pPr>
        <w:sectPr w:rsidR="001D3E4E" w:rsidSect="0078658E">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rsidR="001D3E4E" w:rsidRDefault="001D3E4E" w:rsidP="003A5FEA"/>
    <w:p w:rsidR="001D3E4E" w:rsidRDefault="001D3E4E" w:rsidP="003A5FEA">
      <w:pPr>
        <w:sectPr w:rsidR="001D3E4E" w:rsidSect="0078658E">
          <w:footerReference w:type="even" r:id="rId18"/>
          <w:pgSz w:w="11907" w:h="16840" w:code="9"/>
          <w:pgMar w:top="1418" w:right="1701" w:bottom="1134" w:left="1843" w:header="284" w:footer="425" w:gutter="284"/>
          <w:pgNumType w:fmt="lowerRoman"/>
          <w:cols w:space="720"/>
        </w:sectPr>
      </w:pPr>
    </w:p>
    <w:p w:rsidR="009A42D5" w:rsidRDefault="009A42D5" w:rsidP="00A9671B">
      <w:pPr>
        <w:pStyle w:val="Heading1"/>
      </w:pPr>
      <w:bookmarkStart w:id="2" w:name="_Toc2253716"/>
      <w:r>
        <w:lastRenderedPageBreak/>
        <w:t>Executive summary</w:t>
      </w:r>
      <w:bookmarkEnd w:id="2"/>
    </w:p>
    <w:p w:rsidR="006A5D28" w:rsidRDefault="006A5D28" w:rsidP="006A5D28">
      <w:pPr>
        <w:rPr>
          <w:w w:val="105"/>
        </w:rPr>
      </w:pPr>
      <w:r w:rsidRPr="006A5D28">
        <w:rPr>
          <w:w w:val="105"/>
        </w:rPr>
        <w:t>This report presents the first release of results of our investigation into the use of the Ministry</w:t>
      </w:r>
      <w:r w:rsidR="00E51135">
        <w:rPr>
          <w:w w:val="105"/>
        </w:rPr>
        <w:t>’</w:t>
      </w:r>
      <w:r w:rsidRPr="006A5D28">
        <w:rPr>
          <w:w w:val="105"/>
        </w:rPr>
        <w:t>s National Collections to calculate quality performance indicators for bowel cancer.</w:t>
      </w:r>
    </w:p>
    <w:p w:rsidR="006A5D28" w:rsidRPr="006A5D28" w:rsidRDefault="006A5D28" w:rsidP="006A5D28">
      <w:pPr>
        <w:rPr>
          <w:w w:val="105"/>
        </w:rPr>
      </w:pPr>
    </w:p>
    <w:p w:rsidR="006A5D28" w:rsidRDefault="006A5D28" w:rsidP="006A5D28">
      <w:pPr>
        <w:rPr>
          <w:w w:val="105"/>
        </w:rPr>
      </w:pPr>
      <w:r w:rsidRPr="006A5D28">
        <w:rPr>
          <w:w w:val="105"/>
        </w:rPr>
        <w:t>The primary audience for this report includes those who deliver care to people with bowel cancer and manage the delivery of health services.</w:t>
      </w:r>
    </w:p>
    <w:p w:rsidR="006A5D28" w:rsidRPr="006A5D28" w:rsidRDefault="006A5D28" w:rsidP="006A5D28">
      <w:pPr>
        <w:rPr>
          <w:w w:val="105"/>
        </w:rPr>
      </w:pPr>
    </w:p>
    <w:p w:rsidR="006A5D28" w:rsidRDefault="006A5D28" w:rsidP="006A5D28">
      <w:pPr>
        <w:rPr>
          <w:w w:val="105"/>
        </w:rPr>
      </w:pPr>
      <w:r w:rsidRPr="006A5D28">
        <w:rPr>
          <w:w w:val="105"/>
        </w:rPr>
        <w:t>The aim of the report is to measure the quality of care and outcomes for people with bowel cancer in New Zealand and provide a baseline for ongoing quality improvement.</w:t>
      </w:r>
    </w:p>
    <w:p w:rsidR="006A5D28" w:rsidRPr="006A5D28" w:rsidRDefault="006A5D28" w:rsidP="006A5D28">
      <w:pPr>
        <w:rPr>
          <w:w w:val="105"/>
        </w:rPr>
      </w:pPr>
    </w:p>
    <w:p w:rsidR="006A5D28" w:rsidRDefault="006A5D28" w:rsidP="006A5D28">
      <w:pPr>
        <w:rPr>
          <w:w w:val="105"/>
        </w:rPr>
      </w:pPr>
      <w:r w:rsidRPr="006A5D28">
        <w:rPr>
          <w:w w:val="105"/>
        </w:rPr>
        <w:t>The report presents six quality performance indicators (QPIs) which have been identified and generally acc</w:t>
      </w:r>
      <w:r>
        <w:rPr>
          <w:w w:val="105"/>
        </w:rPr>
        <w:t>epted as measures of good care.</w:t>
      </w:r>
    </w:p>
    <w:p w:rsidR="006A5D28" w:rsidRPr="006A5D28" w:rsidRDefault="006A5D28" w:rsidP="006A5D28">
      <w:pPr>
        <w:rPr>
          <w:w w:val="105"/>
        </w:rPr>
      </w:pPr>
    </w:p>
    <w:p w:rsidR="006A5D28" w:rsidRDefault="006A5D28" w:rsidP="006A5D28">
      <w:pPr>
        <w:rPr>
          <w:w w:val="105"/>
        </w:rPr>
      </w:pPr>
      <w:r w:rsidRPr="006A5D28">
        <w:rPr>
          <w:w w:val="105"/>
        </w:rPr>
        <w:t>The report compares the variation in these measures between district health boards (DHBs).</w:t>
      </w:r>
    </w:p>
    <w:p w:rsidR="006A5D28" w:rsidRPr="006A5D28" w:rsidRDefault="006A5D28" w:rsidP="006A5D28">
      <w:pPr>
        <w:rPr>
          <w:w w:val="105"/>
        </w:rPr>
      </w:pPr>
    </w:p>
    <w:p w:rsidR="006A5D28" w:rsidRDefault="006A5D28" w:rsidP="006A5D28">
      <w:pPr>
        <w:rPr>
          <w:w w:val="105"/>
        </w:rPr>
      </w:pPr>
      <w:r w:rsidRPr="006A5D28">
        <w:rPr>
          <w:w w:val="105"/>
        </w:rPr>
        <w:t>Geographic variation in services received and outcomes can be seen with all indicators. For some indicators there are also variations in access and outcomes for people belonging to different ethnic groups and ages.</w:t>
      </w:r>
    </w:p>
    <w:p w:rsidR="006A5D28" w:rsidRPr="006A5D28" w:rsidRDefault="006A5D28" w:rsidP="006A5D28">
      <w:pPr>
        <w:rPr>
          <w:w w:val="105"/>
        </w:rPr>
      </w:pPr>
    </w:p>
    <w:p w:rsidR="006A5D28" w:rsidRDefault="006A5D28" w:rsidP="006A5D28">
      <w:pPr>
        <w:rPr>
          <w:w w:val="105"/>
        </w:rPr>
      </w:pPr>
      <w:r w:rsidRPr="006A5D28">
        <w:rPr>
          <w:w w:val="105"/>
        </w:rPr>
        <w:t>Detailed evaluation of the indicators at DHB level is needed to understand the variation between DHBs.</w:t>
      </w:r>
    </w:p>
    <w:p w:rsidR="006A5D28" w:rsidRPr="006A5D28" w:rsidRDefault="006A5D28" w:rsidP="006A5D28">
      <w:pPr>
        <w:rPr>
          <w:w w:val="105"/>
        </w:rPr>
      </w:pPr>
    </w:p>
    <w:p w:rsidR="009A42D5" w:rsidRDefault="006A5D28" w:rsidP="006A5D28">
      <w:r w:rsidRPr="006A5D28">
        <w:rPr>
          <w:w w:val="105"/>
        </w:rPr>
        <w:t>The results of these investigations will likely present opportunities for improving service or care pathways and reducing inequalities. In some instances a national quality improvement programme will be needed to reduce treatment variation.</w:t>
      </w:r>
    </w:p>
    <w:p w:rsidR="00455CC9" w:rsidRPr="0043478F" w:rsidRDefault="00455CC9" w:rsidP="0086388B"/>
    <w:p w:rsidR="00C86248" w:rsidRPr="0043478F" w:rsidRDefault="00C86248">
      <w:pPr>
        <w:sectPr w:rsidR="00C86248" w:rsidRPr="0043478F" w:rsidSect="0078658E">
          <w:footerReference w:type="even" r:id="rId19"/>
          <w:footerReference w:type="default" r:id="rId20"/>
          <w:pgSz w:w="11907" w:h="16840" w:code="9"/>
          <w:pgMar w:top="1418" w:right="1701" w:bottom="1134" w:left="1843" w:header="284" w:footer="425" w:gutter="284"/>
          <w:pgNumType w:fmt="lowerRoman"/>
          <w:cols w:space="720"/>
        </w:sectPr>
      </w:pPr>
    </w:p>
    <w:p w:rsidR="008C2973" w:rsidRDefault="006A5D28" w:rsidP="00A9671B">
      <w:pPr>
        <w:pStyle w:val="Heading1"/>
      </w:pPr>
      <w:bookmarkStart w:id="3" w:name="_Toc2253717"/>
      <w:r>
        <w:lastRenderedPageBreak/>
        <w:t>Key findings and recommendations</w:t>
      </w:r>
      <w:bookmarkEnd w:id="3"/>
    </w:p>
    <w:p w:rsidR="006A5D28" w:rsidRDefault="006A5D28" w:rsidP="00A9671B">
      <w:r>
        <w:t>This section summarises the key findings and recommendations for the indicators based on our analyses of national administrative data for people diagnosed with bowel cancer in New Zealand. We have grouped the indicator results and recommendations under the following three headings: care pathway, surgical care and rectal cancer.</w:t>
      </w:r>
    </w:p>
    <w:p w:rsidR="006A5D28" w:rsidRDefault="006A5D28" w:rsidP="00A9671B"/>
    <w:p w:rsidR="006A5D28" w:rsidRDefault="006A5D28" w:rsidP="00A9671B">
      <w:pPr>
        <w:pStyle w:val="Heading2"/>
      </w:pPr>
      <w:bookmarkStart w:id="4" w:name="_Toc2253718"/>
      <w:r>
        <w:t>Care pathway</w:t>
      </w:r>
      <w:bookmarkEnd w:id="4"/>
    </w:p>
    <w:p w:rsidR="006A5D28" w:rsidRDefault="006A5D28" w:rsidP="00A9671B">
      <w:r>
        <w:t xml:space="preserve">Between 2013 and 2016, the majority of people (71%) were diagnosed with bowel cancer following referral to a clinic. The proportion of </w:t>
      </w:r>
      <w:r w:rsidRPr="002751B7">
        <w:t xml:space="preserve">people diagnosed following a referral from </w:t>
      </w:r>
      <w:r>
        <w:t xml:space="preserve">publicly funded </w:t>
      </w:r>
      <w:r w:rsidRPr="002751B7">
        <w:t>screening service</w:t>
      </w:r>
      <w:r>
        <w:t>s</w:t>
      </w:r>
      <w:r w:rsidRPr="002751B7">
        <w:t xml:space="preserve"> was </w:t>
      </w:r>
      <w:r>
        <w:t xml:space="preserve">3 percent, </w:t>
      </w:r>
      <w:r w:rsidRPr="002751B7">
        <w:t>and 26</w:t>
      </w:r>
      <w:r>
        <w:t> percent</w:t>
      </w:r>
      <w:r w:rsidRPr="002751B7">
        <w:t xml:space="preserve"> were diagnosed following presentation at an emergency department</w:t>
      </w:r>
      <w:r>
        <w:t xml:space="preserve"> (ED)</w:t>
      </w:r>
      <w:r w:rsidRPr="002751B7">
        <w:t>.</w:t>
      </w:r>
    </w:p>
    <w:p w:rsidR="00A9671B" w:rsidRDefault="00A9671B" w:rsidP="00A9671B"/>
    <w:p w:rsidR="006A5D28" w:rsidRDefault="006A5D28" w:rsidP="00A9671B">
      <w:r w:rsidRPr="00447ABE">
        <w:t xml:space="preserve">Māori and Pacific people were more likely to be diagnosed following an emergency presentation. </w:t>
      </w:r>
      <w:r>
        <w:t>Women</w:t>
      </w:r>
      <w:r w:rsidRPr="00447ABE">
        <w:t xml:space="preserve"> and people </w:t>
      </w:r>
      <w:r>
        <w:t xml:space="preserve">younger than </w:t>
      </w:r>
      <w:r w:rsidRPr="00447ABE">
        <w:t>50 years</w:t>
      </w:r>
      <w:r>
        <w:t xml:space="preserve"> old,</w:t>
      </w:r>
      <w:r w:rsidRPr="00447ABE">
        <w:t xml:space="preserve"> or 75 years</w:t>
      </w:r>
      <w:r>
        <w:t xml:space="preserve"> old</w:t>
      </w:r>
      <w:r w:rsidRPr="00447ABE">
        <w:t xml:space="preserve"> and over</w:t>
      </w:r>
      <w:r>
        <w:t>,</w:t>
      </w:r>
      <w:r w:rsidRPr="00447ABE">
        <w:t xml:space="preserve"> were also more often diagnosed following an emergency presentation.</w:t>
      </w:r>
    </w:p>
    <w:p w:rsidR="00A9671B" w:rsidRPr="002751B7" w:rsidRDefault="00A9671B" w:rsidP="00A9671B"/>
    <w:p w:rsidR="006A5D28" w:rsidRDefault="006A5D28" w:rsidP="00A9671B">
      <w:r w:rsidRPr="002751B7">
        <w:t xml:space="preserve">This report covers the period of the bowel screening pilot </w:t>
      </w:r>
      <w:r>
        <w:t xml:space="preserve">in </w:t>
      </w:r>
      <w:r w:rsidRPr="002751B7">
        <w:t xml:space="preserve">Waitemata </w:t>
      </w:r>
      <w:r>
        <w:t>DHB</w:t>
      </w:r>
      <w:r w:rsidRPr="002751B7">
        <w:t xml:space="preserve">. </w:t>
      </w:r>
      <w:r>
        <w:t xml:space="preserve">The </w:t>
      </w:r>
      <w:r w:rsidRPr="002751B7">
        <w:t xml:space="preserve">indicator </w:t>
      </w:r>
      <w:r>
        <w:t>on route to diagnosis</w:t>
      </w:r>
      <w:r w:rsidRPr="002751B7">
        <w:t xml:space="preserve"> will provide a measure of the benefits and consequences of the Bowel Screening Programme as the programme is extended to all DHBs across New Zealand.</w:t>
      </w:r>
    </w:p>
    <w:p w:rsidR="00A9671B" w:rsidRPr="002751B7" w:rsidRDefault="00A9671B" w:rsidP="00A9671B"/>
    <w:p w:rsidR="006A5D28" w:rsidRPr="002751B7" w:rsidRDefault="006A5D28" w:rsidP="009C7D50">
      <w:pPr>
        <w:pStyle w:val="Heading3"/>
        <w:numPr>
          <w:ilvl w:val="0"/>
          <w:numId w:val="0"/>
        </w:numPr>
      </w:pPr>
      <w:r w:rsidRPr="002751B7">
        <w:t>Recommendations</w:t>
      </w:r>
    </w:p>
    <w:p w:rsidR="006A5D28" w:rsidRDefault="006A5D28" w:rsidP="00A9671B">
      <w:r w:rsidRPr="002751B7">
        <w:t>This indicator reflects inequalities in diagnostic pathways</w:t>
      </w:r>
      <w:r>
        <w:t>;</w:t>
      </w:r>
      <w:r w:rsidRPr="002751B7">
        <w:t xml:space="preserve"> evidence shows that patients who are diagnosed following an acute presentation have poorer outcomes.</w:t>
      </w:r>
    </w:p>
    <w:p w:rsidR="00A9671B" w:rsidRPr="002751B7" w:rsidRDefault="00A9671B" w:rsidP="00A9671B"/>
    <w:p w:rsidR="006A5D28" w:rsidRDefault="006A5D28" w:rsidP="00A9671B">
      <w:r w:rsidRPr="002751B7">
        <w:t xml:space="preserve">Acute presentation is an indicator </w:t>
      </w:r>
      <w:r>
        <w:t xml:space="preserve">that varies </w:t>
      </w:r>
      <w:r w:rsidRPr="002751B7">
        <w:t xml:space="preserve">across regions. </w:t>
      </w:r>
      <w:r>
        <w:t>We need to undertake d</w:t>
      </w:r>
      <w:r w:rsidRPr="002751B7">
        <w:t>etailed evaluation</w:t>
      </w:r>
      <w:r w:rsidRPr="00DE5171">
        <w:t xml:space="preserve"> at DHB level to understand why a high proportion of patients </w:t>
      </w:r>
      <w:r>
        <w:t xml:space="preserve">are </w:t>
      </w:r>
      <w:r w:rsidRPr="00DE5171">
        <w:t>present</w:t>
      </w:r>
      <w:r>
        <w:t>ing</w:t>
      </w:r>
      <w:r w:rsidRPr="00DE5171">
        <w:t xml:space="preserve"> acutely.</w:t>
      </w:r>
    </w:p>
    <w:p w:rsidR="00A9671B" w:rsidRPr="00DE5171" w:rsidRDefault="00A9671B" w:rsidP="00A9671B"/>
    <w:p w:rsidR="006A5D28" w:rsidRDefault="006A5D28" w:rsidP="00A9671B">
      <w:r w:rsidRPr="00DE5171">
        <w:t xml:space="preserve">This will likely present </w:t>
      </w:r>
      <w:r>
        <w:t xml:space="preserve">us with </w:t>
      </w:r>
      <w:r w:rsidRPr="00DE5171">
        <w:t>an opportunity for improving service or care pathways.</w:t>
      </w:r>
    </w:p>
    <w:p w:rsidR="006A5D28" w:rsidRDefault="006A5D28" w:rsidP="00A9671B"/>
    <w:p w:rsidR="006A5D28" w:rsidRDefault="006A5D28" w:rsidP="00A9671B">
      <w:pPr>
        <w:pStyle w:val="Heading2"/>
      </w:pPr>
      <w:bookmarkStart w:id="5" w:name="_Toc2253719"/>
      <w:r>
        <w:lastRenderedPageBreak/>
        <w:t>Surgical care</w:t>
      </w:r>
      <w:bookmarkEnd w:id="5"/>
    </w:p>
    <w:p w:rsidR="00E51135" w:rsidRDefault="006A5D28" w:rsidP="008229F6">
      <w:pPr>
        <w:keepNext/>
      </w:pPr>
      <w:r w:rsidRPr="00720B68">
        <w:t xml:space="preserve">The overall </w:t>
      </w:r>
      <w:r>
        <w:t>90-day</w:t>
      </w:r>
      <w:r w:rsidRPr="00720B68">
        <w:t xml:space="preserve"> mortality following col</w:t>
      </w:r>
      <w:r>
        <w:t>orectal cancer resection was 4.0 percent</w:t>
      </w:r>
      <w:r w:rsidRPr="00720B68">
        <w:t>.</w:t>
      </w:r>
    </w:p>
    <w:p w:rsidR="008229F6" w:rsidRDefault="008229F6" w:rsidP="008229F6">
      <w:pPr>
        <w:keepNext/>
      </w:pPr>
    </w:p>
    <w:p w:rsidR="00E51135" w:rsidRDefault="006A5D28" w:rsidP="008229F6">
      <w:r w:rsidRPr="00720B68">
        <w:t xml:space="preserve">In </w:t>
      </w:r>
      <w:r>
        <w:t xml:space="preserve">people with colon cancer, </w:t>
      </w:r>
      <w:r w:rsidRPr="00720B68">
        <w:t xml:space="preserve">the </w:t>
      </w:r>
      <w:r>
        <w:t>90-day</w:t>
      </w:r>
      <w:r w:rsidRPr="00720B68">
        <w:t xml:space="preserve"> mortality following resection was 4.8</w:t>
      </w:r>
      <w:r>
        <w:t> percent</w:t>
      </w:r>
      <w:r w:rsidRPr="00720B68">
        <w:t xml:space="preserve">. In </w:t>
      </w:r>
      <w:r>
        <w:t xml:space="preserve">people with rectal cancer, </w:t>
      </w:r>
      <w:r w:rsidRPr="00720B68">
        <w:t xml:space="preserve">the </w:t>
      </w:r>
      <w:r>
        <w:t>90-day</w:t>
      </w:r>
      <w:r w:rsidRPr="00720B68">
        <w:t xml:space="preserve"> morta</w:t>
      </w:r>
      <w:r>
        <w:t>lity following resection was 1.9 percent</w:t>
      </w:r>
      <w:r w:rsidRPr="00720B68">
        <w:t>.</w:t>
      </w:r>
    </w:p>
    <w:p w:rsidR="008229F6" w:rsidRDefault="008229F6" w:rsidP="008229F6"/>
    <w:p w:rsidR="006A5D28" w:rsidRDefault="006A5D28" w:rsidP="008229F6">
      <w:r w:rsidRPr="00431BB3">
        <w:t>The highest 90-day mortality rates following colon surgery were for people aged over 75</w:t>
      </w:r>
      <w:r w:rsidR="008229F6">
        <w:t> </w:t>
      </w:r>
      <w:r w:rsidRPr="00431BB3">
        <w:t>years</w:t>
      </w:r>
      <w:r>
        <w:t xml:space="preserve"> old</w:t>
      </w:r>
      <w:r w:rsidRPr="00431BB3">
        <w:t>.</w:t>
      </w:r>
    </w:p>
    <w:p w:rsidR="008229F6" w:rsidRPr="00447ABE" w:rsidRDefault="008229F6" w:rsidP="008229F6"/>
    <w:p w:rsidR="006A5D28" w:rsidRDefault="006A5D28" w:rsidP="008229F6">
      <w:r>
        <w:t>Of people with colorectal cancer, t</w:t>
      </w:r>
      <w:r w:rsidRPr="00447ABE">
        <w:t xml:space="preserve">he proportion who undergo major surgical resection performed as an emergency in New Zealand </w:t>
      </w:r>
      <w:r>
        <w:t>was</w:t>
      </w:r>
      <w:r w:rsidRPr="00447ABE">
        <w:t xml:space="preserve"> </w:t>
      </w:r>
      <w:r>
        <w:t>19.6 percent</w:t>
      </w:r>
      <w:r w:rsidRPr="00447ABE">
        <w:t>. In people with colon cancer</w:t>
      </w:r>
      <w:r>
        <w:t>,</w:t>
      </w:r>
      <w:r w:rsidRPr="00447ABE">
        <w:t xml:space="preserve"> the rate of emergency surgery </w:t>
      </w:r>
      <w:r>
        <w:t>was</w:t>
      </w:r>
      <w:r w:rsidRPr="00447ABE">
        <w:t xml:space="preserve"> 24.</w:t>
      </w:r>
      <w:r>
        <w:t>7 percent,</w:t>
      </w:r>
      <w:r w:rsidRPr="00447ABE">
        <w:t xml:space="preserve"> and in people with rectal cancer the rate </w:t>
      </w:r>
      <w:r>
        <w:t>was</w:t>
      </w:r>
      <w:r w:rsidRPr="00447ABE">
        <w:t xml:space="preserve"> </w:t>
      </w:r>
      <w:r>
        <w:t>4.4 percent</w:t>
      </w:r>
      <w:r w:rsidRPr="00447ABE">
        <w:t>.</w:t>
      </w:r>
    </w:p>
    <w:p w:rsidR="008229F6" w:rsidRPr="00447ABE" w:rsidRDefault="008229F6" w:rsidP="008229F6"/>
    <w:p w:rsidR="006A5D28" w:rsidRDefault="006A5D28" w:rsidP="008229F6">
      <w:r w:rsidRPr="00C0359B">
        <w:t>The highest ra</w:t>
      </w:r>
      <w:r>
        <w:t>tes of emergency surgery we</w:t>
      </w:r>
      <w:r w:rsidRPr="00C0359B">
        <w:t>re for Māori</w:t>
      </w:r>
      <w:r>
        <w:t xml:space="preserve"> (23.8%)</w:t>
      </w:r>
      <w:r w:rsidRPr="00C0359B">
        <w:t>, females</w:t>
      </w:r>
      <w:r>
        <w:t xml:space="preserve"> (21.1%)</w:t>
      </w:r>
      <w:r w:rsidRPr="00C0359B">
        <w:t xml:space="preserve"> and people </w:t>
      </w:r>
      <w:r>
        <w:t xml:space="preserve">younger than </w:t>
      </w:r>
      <w:r w:rsidRPr="00C0359B">
        <w:t>50 years</w:t>
      </w:r>
      <w:r>
        <w:t xml:space="preserve"> (27.1%)</w:t>
      </w:r>
      <w:r w:rsidRPr="00C0359B">
        <w:t xml:space="preserve"> old and over 75 years old</w:t>
      </w:r>
      <w:r>
        <w:t xml:space="preserve"> (21.2%)</w:t>
      </w:r>
      <w:r w:rsidRPr="00C0359B">
        <w:t>.</w:t>
      </w:r>
    </w:p>
    <w:p w:rsidR="008229F6" w:rsidRPr="00447ABE" w:rsidRDefault="008229F6" w:rsidP="008229F6"/>
    <w:p w:rsidR="006A5D28" w:rsidRDefault="006A5D28" w:rsidP="008229F6">
      <w:r>
        <w:t xml:space="preserve">Of people with colon cancer who had surgery and lymph node yield reported, </w:t>
      </w:r>
      <w:r w:rsidRPr="00C620DA">
        <w:t>82</w:t>
      </w:r>
      <w:r>
        <w:t> percent</w:t>
      </w:r>
      <w:r w:rsidRPr="00C620DA">
        <w:t xml:space="preserve"> had 12 or more lymph nodes examined</w:t>
      </w:r>
      <w:r>
        <w:t>; there was wide variation between DHBs.</w:t>
      </w:r>
    </w:p>
    <w:p w:rsidR="008229F6" w:rsidRDefault="008229F6" w:rsidP="008229F6"/>
    <w:p w:rsidR="006A5D28" w:rsidRDefault="006A5D28" w:rsidP="009C7D50">
      <w:pPr>
        <w:pStyle w:val="Heading3"/>
        <w:numPr>
          <w:ilvl w:val="0"/>
          <w:numId w:val="0"/>
        </w:numPr>
      </w:pPr>
      <w:r>
        <w:t>Recommendations</w:t>
      </w:r>
    </w:p>
    <w:p w:rsidR="00E51135" w:rsidRDefault="006A5D28" w:rsidP="008229F6">
      <w:r w:rsidRPr="00720B68">
        <w:t xml:space="preserve">The overall post-operative mortality in patients undergoing surgery for colorectal cancer in New Zealand is acceptable, but there is </w:t>
      </w:r>
      <w:r>
        <w:t xml:space="preserve">currently </w:t>
      </w:r>
      <w:r w:rsidRPr="00720B68">
        <w:t>wide variation between DHBs</w:t>
      </w:r>
      <w:r>
        <w:t xml:space="preserve"> that needs investigating</w:t>
      </w:r>
      <w:r w:rsidRPr="00720B68">
        <w:t>.</w:t>
      </w:r>
    </w:p>
    <w:p w:rsidR="008229F6" w:rsidRDefault="008229F6" w:rsidP="008229F6"/>
    <w:p w:rsidR="006A5D28" w:rsidRPr="00720B68" w:rsidRDefault="006A5D28" w:rsidP="008229F6">
      <w:r w:rsidRPr="00720B68">
        <w:t xml:space="preserve">National initiatives to improve outcomes </w:t>
      </w:r>
      <w:r>
        <w:t>for</w:t>
      </w:r>
      <w:r w:rsidRPr="00720B68">
        <w:t xml:space="preserve"> patients undergoing emergency surgery</w:t>
      </w:r>
      <w:r>
        <w:t>,</w:t>
      </w:r>
      <w:r w:rsidRPr="00720B68">
        <w:t xml:space="preserve"> </w:t>
      </w:r>
      <w:r>
        <w:t xml:space="preserve">and to </w:t>
      </w:r>
      <w:r w:rsidRPr="00720B68">
        <w:t>improv</w:t>
      </w:r>
      <w:r>
        <w:t>e</w:t>
      </w:r>
      <w:r w:rsidRPr="00720B68">
        <w:t xml:space="preserve"> pathways that reduce the rate of emergency surgery</w:t>
      </w:r>
      <w:r>
        <w:t>,</w:t>
      </w:r>
      <w:r w:rsidRPr="00720B68">
        <w:t xml:space="preserve"> </w:t>
      </w:r>
      <w:r>
        <w:t xml:space="preserve">are </w:t>
      </w:r>
      <w:r w:rsidRPr="00720B68">
        <w:t>likely to reduce overall post-operative mortality</w:t>
      </w:r>
      <w:r>
        <w:t xml:space="preserve"> and improve equity of outcomes</w:t>
      </w:r>
      <w:r w:rsidRPr="00720B68">
        <w:t>.</w:t>
      </w:r>
    </w:p>
    <w:p w:rsidR="006A5D28" w:rsidRDefault="006A5D28" w:rsidP="008229F6"/>
    <w:p w:rsidR="006A5D28" w:rsidRDefault="006A5D28" w:rsidP="008229F6">
      <w:pPr>
        <w:pStyle w:val="Heading2"/>
      </w:pPr>
      <w:bookmarkStart w:id="6" w:name="_Toc2253720"/>
      <w:r>
        <w:t>Rectal cancer</w:t>
      </w:r>
      <w:bookmarkEnd w:id="6"/>
    </w:p>
    <w:p w:rsidR="006A5D28" w:rsidRDefault="006A5D28" w:rsidP="008229F6">
      <w:pPr>
        <w:keepNext/>
      </w:pPr>
      <w:r>
        <w:t>Of rectal cancer patients, 6</w:t>
      </w:r>
      <w:r w:rsidR="009024C5">
        <w:t>0</w:t>
      </w:r>
      <w:r>
        <w:t> percent had publicly funded major surgery. Of these patients, 54 percent received preoperative radiotherapy treatment, either long-course (38%) or short-course (15%).</w:t>
      </w:r>
    </w:p>
    <w:p w:rsidR="008229F6" w:rsidRPr="003A18BC" w:rsidRDefault="008229F6" w:rsidP="008229F6">
      <w:pPr>
        <w:keepNext/>
      </w:pPr>
    </w:p>
    <w:p w:rsidR="006A5D28" w:rsidRDefault="006A5D28" w:rsidP="008229F6">
      <w:pPr>
        <w:keepNext/>
      </w:pPr>
      <w:r>
        <w:t>P</w:t>
      </w:r>
      <w:r w:rsidRPr="001849F0">
        <w:t xml:space="preserve">eople with rectal cancer </w:t>
      </w:r>
      <w:r>
        <w:t>generally experience a higher q</w:t>
      </w:r>
      <w:r w:rsidRPr="002751B7">
        <w:t>uality of life after treatment if the</w:t>
      </w:r>
      <w:r>
        <w:t xml:space="preserve">ir surgery </w:t>
      </w:r>
      <w:r w:rsidRPr="001849F0">
        <w:t>to remove the primary tumour</w:t>
      </w:r>
      <w:r w:rsidRPr="00BA4846">
        <w:t xml:space="preserve"> </w:t>
      </w:r>
      <w:r>
        <w:t>does not result in</w:t>
      </w:r>
      <w:r w:rsidRPr="002751B7">
        <w:t xml:space="preserve"> a permanent stoma. </w:t>
      </w:r>
      <w:r>
        <w:t xml:space="preserve">The 18-month stoma-free survival for people who had rectal cancer surgery nationally was </w:t>
      </w:r>
      <w:r>
        <w:lastRenderedPageBreak/>
        <w:t>54.7 percent. There is wide variation in this rate across individual DHBs, from 14 percent to 80 percent.</w:t>
      </w:r>
    </w:p>
    <w:p w:rsidR="008229F6" w:rsidRDefault="008229F6" w:rsidP="008229F6">
      <w:pPr>
        <w:keepNext/>
      </w:pPr>
    </w:p>
    <w:p w:rsidR="006A5D28" w:rsidRDefault="006A5D28" w:rsidP="009C7D50">
      <w:pPr>
        <w:pStyle w:val="Heading3"/>
        <w:numPr>
          <w:ilvl w:val="0"/>
          <w:numId w:val="0"/>
        </w:numPr>
      </w:pPr>
      <w:r>
        <w:t>Recommendations</w:t>
      </w:r>
    </w:p>
    <w:p w:rsidR="006A5D28" w:rsidRDefault="006A5D28" w:rsidP="008229F6">
      <w:r>
        <w:t>The Ministry of Health together with the NBCWG should consider measures to understand the variation between DHBs and consider a national quality improvement programme for the treatment of low rectal cancer (</w:t>
      </w:r>
      <w:r w:rsidRPr="00BC70FB">
        <w:t>cancer within 6 cm of the anal verge)</w:t>
      </w:r>
      <w:r>
        <w:t>, to reduce treatment variation.</w:t>
      </w:r>
    </w:p>
    <w:p w:rsidR="008229F6" w:rsidRDefault="008229F6" w:rsidP="008229F6"/>
    <w:p w:rsidR="006A5D28" w:rsidRDefault="006A5D28" w:rsidP="008229F6">
      <w:r>
        <w:t>Further work is needed to identify the reasons for the variability of pre-operative adjuvant therapy. This should involve the Radiation Oncology Working Group and other cancer service advisory groups involved in the multidisciplinary meeting process.</w:t>
      </w:r>
    </w:p>
    <w:p w:rsidR="006A5D28" w:rsidRDefault="006A5D28" w:rsidP="008229F6"/>
    <w:p w:rsidR="006A5D28" w:rsidRDefault="006A5D28" w:rsidP="008229F6">
      <w:pPr>
        <w:pStyle w:val="Heading1"/>
      </w:pPr>
      <w:bookmarkStart w:id="7" w:name="_Toc517843"/>
      <w:bookmarkStart w:id="8" w:name="_Toc2253721"/>
      <w:r>
        <w:lastRenderedPageBreak/>
        <w:t>Introduction</w:t>
      </w:r>
      <w:bookmarkEnd w:id="7"/>
      <w:bookmarkEnd w:id="8"/>
    </w:p>
    <w:p w:rsidR="006A5D28" w:rsidRDefault="006A5D28" w:rsidP="009C7D50">
      <w:pPr>
        <w:pStyle w:val="Heading2"/>
      </w:pPr>
      <w:bookmarkStart w:id="9" w:name="_Toc532290811"/>
      <w:bookmarkStart w:id="10" w:name="_Toc517844"/>
      <w:bookmarkStart w:id="11" w:name="_Toc2253722"/>
      <w:r>
        <w:t>Background</w:t>
      </w:r>
      <w:bookmarkEnd w:id="9"/>
      <w:bookmarkEnd w:id="10"/>
      <w:bookmarkEnd w:id="11"/>
    </w:p>
    <w:p w:rsidR="006A5D28" w:rsidRDefault="006A5D28" w:rsidP="009C7D50">
      <w:r>
        <w:t>Bowel cancer is a leading cause of illness, disability and death in New Zealand.</w:t>
      </w:r>
    </w:p>
    <w:p w:rsidR="009C7D50" w:rsidRDefault="009C7D50" w:rsidP="009C7D50"/>
    <w:p w:rsidR="00E51135" w:rsidRDefault="006A5D28" w:rsidP="009C7D50">
      <w:r>
        <w:t>During 2017 and 2018</w:t>
      </w:r>
      <w:r w:rsidRPr="002F286C">
        <w:t xml:space="preserve"> the</w:t>
      </w:r>
      <w:r w:rsidRPr="004D3DAB">
        <w:t xml:space="preserve"> Ministry</w:t>
      </w:r>
      <w:r>
        <w:t xml:space="preserve"> of Health</w:t>
      </w:r>
      <w:r w:rsidRPr="004D3DAB">
        <w:t xml:space="preserve"> and the National Bowel Cancer Working Group (NBCWG) have worked together to develop a set of proposed quality performance indicators</w:t>
      </w:r>
      <w:r>
        <w:t xml:space="preserve"> (QPIs)</w:t>
      </w:r>
      <w:r w:rsidRPr="004D3DAB">
        <w:t xml:space="preserve"> for bowel cancer.</w:t>
      </w:r>
    </w:p>
    <w:p w:rsidR="009C7D50" w:rsidRDefault="009C7D50" w:rsidP="009C7D50"/>
    <w:p w:rsidR="00E51135" w:rsidRDefault="006A5D28" w:rsidP="009C7D50">
      <w:r w:rsidRPr="00C364E1">
        <w:t>We selected the p</w:t>
      </w:r>
      <w:r w:rsidRPr="004D3DAB">
        <w:t xml:space="preserve">roposed </w:t>
      </w:r>
      <w:r>
        <w:t>QPIs</w:t>
      </w:r>
      <w:r w:rsidRPr="004D3DAB">
        <w:t xml:space="preserve"> to measure performance and drive quality improvement in bowel cancer </w:t>
      </w:r>
      <w:r w:rsidRPr="004D3DAB">
        <w:rPr>
          <w:color w:val="000000"/>
        </w:rPr>
        <w:t>diagnosis and treatment services</w:t>
      </w:r>
      <w:r>
        <w:rPr>
          <w:color w:val="000000"/>
        </w:rPr>
        <w:t xml:space="preserve"> in New Zealand</w:t>
      </w:r>
      <w:r w:rsidRPr="004D3DAB">
        <w:t xml:space="preserve">. </w:t>
      </w:r>
      <w:r w:rsidRPr="004D3DAB">
        <w:rPr>
          <w:color w:val="000000"/>
        </w:rPr>
        <w:t>These indicators</w:t>
      </w:r>
      <w:r>
        <w:rPr>
          <w:color w:val="000000"/>
        </w:rPr>
        <w:t xml:space="preserve"> will</w:t>
      </w:r>
      <w:r w:rsidRPr="004D3DAB">
        <w:rPr>
          <w:color w:val="000000"/>
        </w:rPr>
        <w:t xml:space="preserve"> support standards of service provision for bowel cancer.</w:t>
      </w:r>
      <w:r>
        <w:rPr>
          <w:color w:val="000000"/>
        </w:rPr>
        <w:t xml:space="preserve"> </w:t>
      </w:r>
      <w:r>
        <w:t xml:space="preserve">In some instances, </w:t>
      </w:r>
      <w:r w:rsidRPr="004D3DAB">
        <w:t>the indicators can</w:t>
      </w:r>
      <w:r>
        <w:t>not</w:t>
      </w:r>
      <w:r w:rsidRPr="004D3DAB">
        <w:t xml:space="preserve"> be measured using currently available data in </w:t>
      </w:r>
      <w:r>
        <w:t>na</w:t>
      </w:r>
      <w:r w:rsidRPr="004D3DAB">
        <w:t xml:space="preserve">tional </w:t>
      </w:r>
      <w:r>
        <w:t xml:space="preserve">data </w:t>
      </w:r>
      <w:r w:rsidRPr="004D3DAB">
        <w:t xml:space="preserve">collections. </w:t>
      </w:r>
      <w:r>
        <w:t>We have identified a</w:t>
      </w:r>
      <w:r w:rsidRPr="004D3DAB">
        <w:t xml:space="preserve">reas where </w:t>
      </w:r>
      <w:r>
        <w:t xml:space="preserve">national </w:t>
      </w:r>
      <w:r w:rsidRPr="004D3DAB">
        <w:t>data quality improvement is required (eg</w:t>
      </w:r>
      <w:r>
        <w:t>,</w:t>
      </w:r>
      <w:r w:rsidRPr="004D3DAB">
        <w:t xml:space="preserve"> </w:t>
      </w:r>
      <w:r>
        <w:t xml:space="preserve">on </w:t>
      </w:r>
      <w:r w:rsidRPr="004D3DAB">
        <w:t xml:space="preserve">stage </w:t>
      </w:r>
      <w:r>
        <w:t xml:space="preserve">and </w:t>
      </w:r>
      <w:r w:rsidRPr="004D3DAB">
        <w:t>grade of cancer).</w:t>
      </w:r>
    </w:p>
    <w:p w:rsidR="009C7D50" w:rsidRDefault="009C7D50" w:rsidP="009C7D50"/>
    <w:p w:rsidR="00E51135" w:rsidRDefault="006A5D28" w:rsidP="009C7D50">
      <w:r>
        <w:t xml:space="preserve">The Ministry of Health has prepared this report in collaboration with the NBCWG. The report presents the first release of results of an </w:t>
      </w:r>
      <w:r w:rsidRPr="002F286C">
        <w:t xml:space="preserve">investigation into the use of National Collections to calculate </w:t>
      </w:r>
      <w:r>
        <w:t xml:space="preserve">QPIs </w:t>
      </w:r>
      <w:r w:rsidRPr="002F286C">
        <w:t>for bowel ca</w:t>
      </w:r>
      <w:r w:rsidRPr="002F286C">
        <w:rPr>
          <w:rFonts w:cs="Arial"/>
          <w:color w:val="000000"/>
        </w:rPr>
        <w:t>ncer.</w:t>
      </w:r>
      <w:r w:rsidRPr="00C364E1">
        <w:t xml:space="preserve"> </w:t>
      </w:r>
      <w:r>
        <w:t>It aims to measure the quality of care and outcomes for people with bowel cancer in New Zealand, and provide a baseline for quality improvement. The report presents QPIs that are generally accepted as measures of good care, and primarily describes the variation in these measures between district health boards (DHBs).</w:t>
      </w:r>
    </w:p>
    <w:p w:rsidR="009C7D50" w:rsidRDefault="009C7D50" w:rsidP="009C7D50"/>
    <w:p w:rsidR="00E51135" w:rsidRDefault="006A5D28" w:rsidP="009C7D50">
      <w:r>
        <w:t>Some measures of equity (age, sex, ethnic group and deprivation) have been added for context.</w:t>
      </w:r>
    </w:p>
    <w:p w:rsidR="009C7D50" w:rsidRDefault="009C7D50" w:rsidP="009C7D50"/>
    <w:p w:rsidR="006A5D28" w:rsidRDefault="006A5D28" w:rsidP="009C7D50">
      <w:r>
        <w:t>The report includes data on 11,428 people diagnosed with bowel cancer between 1</w:t>
      </w:r>
      <w:r w:rsidR="009C7D50">
        <w:t> </w:t>
      </w:r>
      <w:r>
        <w:t>January 2013 and 31 December 2016.</w:t>
      </w:r>
    </w:p>
    <w:p w:rsidR="009C7D50" w:rsidRDefault="009C7D50" w:rsidP="009C7D50"/>
    <w:p w:rsidR="00E51135" w:rsidRDefault="006A5D28" w:rsidP="009C7D50">
      <w:r>
        <w:t>The primary audience for the report is those who deliver care to people with bowel cancer and manage the delivery of services.</w:t>
      </w:r>
    </w:p>
    <w:p w:rsidR="006A5D28" w:rsidRDefault="006A5D28" w:rsidP="009C7D50"/>
    <w:p w:rsidR="006A5D28" w:rsidRDefault="006A5D28" w:rsidP="009C7D50">
      <w:pPr>
        <w:pStyle w:val="Heading2"/>
      </w:pPr>
      <w:bookmarkStart w:id="12" w:name="_Toc532290814"/>
      <w:bookmarkStart w:id="13" w:name="_Toc517845"/>
      <w:bookmarkStart w:id="14" w:name="_Toc2253723"/>
      <w:r>
        <w:t>Context</w:t>
      </w:r>
      <w:bookmarkEnd w:id="12"/>
      <w:bookmarkEnd w:id="13"/>
      <w:bookmarkEnd w:id="14"/>
    </w:p>
    <w:p w:rsidR="006A5D28" w:rsidRDefault="006A5D28" w:rsidP="009C7D50">
      <w:pPr>
        <w:keepNext/>
      </w:pPr>
      <w:r>
        <w:t>Timely access to high-quality cancer services and standardised treatment pathways can improve cancer treatment and overall survival.</w:t>
      </w:r>
    </w:p>
    <w:p w:rsidR="009C7D50" w:rsidRDefault="009C7D50" w:rsidP="009C7D50">
      <w:pPr>
        <w:keepNext/>
      </w:pPr>
    </w:p>
    <w:p w:rsidR="006A5D28" w:rsidRDefault="006A5D28" w:rsidP="009C7D50">
      <w:pPr>
        <w:keepNext/>
      </w:pPr>
      <w:r>
        <w:t>The Ministry of Health</w:t>
      </w:r>
      <w:r w:rsidR="00E51135">
        <w:t>’</w:t>
      </w:r>
      <w:r>
        <w:t xml:space="preserve">s </w:t>
      </w:r>
      <w:r w:rsidRPr="002E69BC">
        <w:rPr>
          <w:i/>
        </w:rPr>
        <w:t>New Zealand Cancer Plan:</w:t>
      </w:r>
      <w:r>
        <w:t xml:space="preserve"> </w:t>
      </w:r>
      <w:r w:rsidRPr="004404AD">
        <w:rPr>
          <w:i/>
        </w:rPr>
        <w:t xml:space="preserve">Better faster cancer </w:t>
      </w:r>
      <w:r>
        <w:rPr>
          <w:i/>
        </w:rPr>
        <w:t>care</w:t>
      </w:r>
      <w:r w:rsidRPr="004404AD">
        <w:rPr>
          <w:i/>
        </w:rPr>
        <w:t xml:space="preserve"> 2015</w:t>
      </w:r>
      <w:r>
        <w:rPr>
          <w:i/>
        </w:rPr>
        <w:t>–</w:t>
      </w:r>
      <w:r w:rsidRPr="004404AD">
        <w:rPr>
          <w:i/>
        </w:rPr>
        <w:t xml:space="preserve">2018 </w:t>
      </w:r>
      <w:r>
        <w:t xml:space="preserve">tasks Cancer Services with improving the quality and consistency of care by </w:t>
      </w:r>
      <w:r>
        <w:lastRenderedPageBreak/>
        <w:t>implementing tumour standards that assist in the standardisation of treatment pathways.</w:t>
      </w:r>
    </w:p>
    <w:p w:rsidR="009C7D50" w:rsidRDefault="009C7D50" w:rsidP="009C7D50">
      <w:pPr>
        <w:keepNext/>
      </w:pPr>
    </w:p>
    <w:p w:rsidR="006A5D28" w:rsidRDefault="006A5D28" w:rsidP="009C7D50">
      <w:r w:rsidRPr="00AF6EBF">
        <w:rPr>
          <w:rFonts w:cs="Arial"/>
          <w:color w:val="000000"/>
        </w:rPr>
        <w:t>The</w:t>
      </w:r>
      <w:r w:rsidRPr="0013045F">
        <w:t xml:space="preserve"> </w:t>
      </w:r>
      <w:r>
        <w:t xml:space="preserve">Ministry of Health also published the </w:t>
      </w:r>
      <w:r w:rsidRPr="002E69BC">
        <w:rPr>
          <w:i/>
        </w:rPr>
        <w:t>New Zealand Cancer Health Information Strategy</w:t>
      </w:r>
      <w:r>
        <w:t xml:space="preserve"> in 2015. Its vision </w:t>
      </w:r>
      <w:r w:rsidRPr="0013045F">
        <w:t>is to enable the Cancer Plan, and to deliver comprehensive, accessible and accurate information to support the delivery of quality care across the cancer patient pathway.</w:t>
      </w:r>
    </w:p>
    <w:p w:rsidR="009C7D50" w:rsidRDefault="009C7D50" w:rsidP="009C7D50"/>
    <w:p w:rsidR="006A5D28" w:rsidRDefault="006A5D28" w:rsidP="009C7D50">
      <w:r w:rsidRPr="00AF6EBF">
        <w:t>The Ministry of Health is committed to measuring health impact and outcome data to improve the delivery of high-quality health care for Māori</w:t>
      </w:r>
      <w:r>
        <w:t>,</w:t>
      </w:r>
      <w:r w:rsidRPr="00AF6EBF">
        <w:t xml:space="preserve"> and provide critical analysis of organisational practices that maintain disparities in health </w:t>
      </w:r>
      <w:r w:rsidRPr="00DC74FC">
        <w:t>care.</w:t>
      </w:r>
    </w:p>
    <w:p w:rsidR="009C7D50" w:rsidRDefault="009C7D50" w:rsidP="009C7D50"/>
    <w:p w:rsidR="006A5D28" w:rsidRDefault="006A5D28" w:rsidP="009C7D50">
      <w:r w:rsidRPr="00AF6EBF">
        <w:t>This report will assist health practitioners to review their own clinical practice and those of their peers through a health equity an</w:t>
      </w:r>
      <w:r w:rsidRPr="00DC74FC">
        <w:t>d quality lens</w:t>
      </w:r>
      <w:r>
        <w:t>.</w:t>
      </w:r>
    </w:p>
    <w:p w:rsidR="009C7D50" w:rsidRPr="00AF6EBF" w:rsidRDefault="009C7D50" w:rsidP="009C7D50"/>
    <w:p w:rsidR="006A5D28" w:rsidRDefault="006A5D28" w:rsidP="009C7D50">
      <w:pPr>
        <w:pStyle w:val="Heading2"/>
      </w:pPr>
      <w:bookmarkStart w:id="15" w:name="_Toc532290816"/>
      <w:bookmarkStart w:id="16" w:name="_Toc517846"/>
      <w:bookmarkStart w:id="17" w:name="_Toc2253724"/>
      <w:r>
        <w:t>News for 2018</w:t>
      </w:r>
      <w:bookmarkEnd w:id="15"/>
      <w:bookmarkEnd w:id="16"/>
      <w:bookmarkEnd w:id="17"/>
    </w:p>
    <w:p w:rsidR="006A5D28" w:rsidRDefault="006A5D28" w:rsidP="009C7D50">
      <w:r>
        <w:t>This report is the first report on QPIs for a cancer group in New Zealand.</w:t>
      </w:r>
    </w:p>
    <w:p w:rsidR="009C7D50" w:rsidRDefault="009C7D50" w:rsidP="009C7D50"/>
    <w:p w:rsidR="00E51135" w:rsidRDefault="006A5D28" w:rsidP="009C7D50">
      <w:r>
        <w:t xml:space="preserve">The Ministry of Health together with the NBCWG undertook a process in late 2017 to identify measures that will drive improvement in quality of care for people diagnosed with bowel cancer in New Zealand. Following consultation and feedback from the wider cancer care sector, 20 QPIs for bowel cancer were agreed (see </w:t>
      </w:r>
      <w:r w:rsidRPr="00B77549">
        <w:rPr>
          <w:i/>
        </w:rPr>
        <w:t>Bowel cancer quality performance indicators: De</w:t>
      </w:r>
      <w:r w:rsidR="00272613">
        <w:rPr>
          <w:i/>
        </w:rPr>
        <w:t>scriptions</w:t>
      </w:r>
      <w:r w:rsidRPr="00B77549">
        <w:t>, 2019</w:t>
      </w:r>
      <w:r w:rsidRPr="00230CA2">
        <w:t>).</w:t>
      </w:r>
    </w:p>
    <w:p w:rsidR="009C7D50" w:rsidRDefault="009C7D50" w:rsidP="009C7D50"/>
    <w:p w:rsidR="006A5D28" w:rsidRDefault="006A5D28" w:rsidP="009C7D50">
      <w:r>
        <w:t>After assessment of the data available in the Ministry of Health</w:t>
      </w:r>
      <w:r w:rsidR="00E51135">
        <w:t>’</w:t>
      </w:r>
      <w:r>
        <w:t xml:space="preserve">s National Collections, we identified 10 indicators with potential for development. For one of these indicators (QI02: Time from histological diagnosis to </w:t>
      </w:r>
      <w:r w:rsidR="003E439B">
        <w:t xml:space="preserve">first definitive </w:t>
      </w:r>
      <w:r>
        <w:t>treatment) the data required was not available in National Collections as expected. For another indicator (QI20: Unplanned return to theatre) a local audit of Auckland DHB patient records showed that the National Collections data did not provide enough accuracy to use our results for quality improvement. For other indicators (QI10: Lymph node yield and QI16: Radiotherapy), we made some changes from the original de</w:t>
      </w:r>
      <w:r w:rsidR="00272613">
        <w:t>scriptions</w:t>
      </w:r>
      <w:r>
        <w:t xml:space="preserve"> to fit with the available data.</w:t>
      </w:r>
    </w:p>
    <w:p w:rsidR="009C7D50" w:rsidRDefault="009C7D50" w:rsidP="009C7D50"/>
    <w:p w:rsidR="006A5D28" w:rsidRDefault="006A5D28" w:rsidP="009C7D50">
      <w:r>
        <w:t xml:space="preserve">No measures are risk adjusted in this report. The methods for developing the measures are still under development, and some key information needed for adjustment (eg, </w:t>
      </w:r>
      <w:r w:rsidRPr="00AB3A0D">
        <w:t xml:space="preserve">tumour, node, metastasis </w:t>
      </w:r>
      <w:r>
        <w:t>group stage) is missing from the National Collections.</w:t>
      </w:r>
    </w:p>
    <w:p w:rsidR="009C7D50" w:rsidRDefault="009C7D50" w:rsidP="009C7D50"/>
    <w:p w:rsidR="006A5D28" w:rsidRDefault="006A5D28" w:rsidP="009C7D50">
      <w:r>
        <w:t>The numbers of people in each DHB is small so the equity measures have been calculated for all people diagnosed and treated in publicly funded services across New Zealand. These national trends may not apply to individual DHBs.</w:t>
      </w:r>
    </w:p>
    <w:p w:rsidR="009C7D50" w:rsidRPr="002F286C" w:rsidRDefault="009C7D50" w:rsidP="009C7D50">
      <w:pPr>
        <w:rPr>
          <w:rFonts w:cs="Arial"/>
          <w:color w:val="000000"/>
        </w:rPr>
      </w:pPr>
    </w:p>
    <w:p w:rsidR="006A5D28" w:rsidRDefault="006A5D28" w:rsidP="006A5D28">
      <w:r>
        <w:t>Private hospital surgery data was available for only two of the four years analysed for this report. Therefore, this report includes only data on publicly funded care. More complete private data would allow us to include this data in future reports.</w:t>
      </w:r>
    </w:p>
    <w:p w:rsidR="006A5D28" w:rsidRDefault="006A5D28" w:rsidP="009C7D50"/>
    <w:p w:rsidR="006A5D28" w:rsidRDefault="006A5D28" w:rsidP="009C7D50">
      <w:pPr>
        <w:pStyle w:val="Heading2"/>
      </w:pPr>
      <w:bookmarkStart w:id="18" w:name="_Toc517847"/>
      <w:bookmarkStart w:id="19" w:name="_Toc2253725"/>
      <w:r>
        <w:lastRenderedPageBreak/>
        <w:t>Structure of this report</w:t>
      </w:r>
      <w:bookmarkEnd w:id="18"/>
      <w:bookmarkEnd w:id="19"/>
    </w:p>
    <w:p w:rsidR="006A5D28" w:rsidRDefault="006A5D28" w:rsidP="009C7D50">
      <w:r>
        <w:t>The sources of data for the indicators and the methods of analysis are explained in Section</w:t>
      </w:r>
      <w:r w:rsidR="009C7D50">
        <w:t> </w:t>
      </w:r>
      <w:r>
        <w:fldChar w:fldCharType="begin"/>
      </w:r>
      <w:r>
        <w:instrText xml:space="preserve"> REF _Ref536000894 \r \h </w:instrText>
      </w:r>
      <w:r>
        <w:fldChar w:fldCharType="separate"/>
      </w:r>
      <w:r w:rsidR="002B5148">
        <w:t>4</w:t>
      </w:r>
      <w:r>
        <w:fldChar w:fldCharType="end"/>
      </w:r>
      <w:r>
        <w:t>.</w:t>
      </w:r>
    </w:p>
    <w:p w:rsidR="009C7D50" w:rsidRDefault="009C7D50" w:rsidP="009C7D50"/>
    <w:p w:rsidR="006A5D28" w:rsidRPr="009C7D50" w:rsidRDefault="006A5D28" w:rsidP="009C7D50">
      <w:r>
        <w:t xml:space="preserve">The indicator results are presented in Sections </w:t>
      </w:r>
      <w:r>
        <w:fldChar w:fldCharType="begin"/>
      </w:r>
      <w:r>
        <w:instrText xml:space="preserve"> REF _Ref536000957 \r \h </w:instrText>
      </w:r>
      <w:r>
        <w:fldChar w:fldCharType="separate"/>
      </w:r>
      <w:r w:rsidR="002B5148">
        <w:t>5</w:t>
      </w:r>
      <w:r>
        <w:fldChar w:fldCharType="end"/>
      </w:r>
      <w:r>
        <w:t>--</w:t>
      </w:r>
      <w:r>
        <w:fldChar w:fldCharType="begin"/>
      </w:r>
      <w:r>
        <w:instrText xml:space="preserve"> REF _Ref536000965 \r \h </w:instrText>
      </w:r>
      <w:r>
        <w:fldChar w:fldCharType="separate"/>
      </w:r>
      <w:r w:rsidR="002B5148">
        <w:t>7</w:t>
      </w:r>
      <w:r>
        <w:fldChar w:fldCharType="end"/>
      </w:r>
      <w:r>
        <w:t>. We present the pathway to care indicator (BCQI01 Route to diagnosis) in Section 5, surgical care indicators (BC</w:t>
      </w:r>
      <w:r w:rsidRPr="009C7D50">
        <w:t>QI07 Treatment survival, BCQI10 Lymph node yield, BCQI19 Emergency surgery) in Section 6 and indicators specific to rectal cancer (BCQI 16 Radiotherapy, BCQI 21 Stoma free survival) in Section 7.</w:t>
      </w:r>
    </w:p>
    <w:p w:rsidR="009C7D50" w:rsidRDefault="009C7D50" w:rsidP="009C7D50"/>
    <w:p w:rsidR="006A5D28" w:rsidRDefault="006A5D28" w:rsidP="009C7D50">
      <w:r>
        <w:t>Our results include commentary on geographical variation between DHBs, comparisons with similar indicators reported previously in New Zealand and recently in the United Kingdom and recommendations for improving quality of care and outcomes for patients accessing cancer services in New Zealand.</w:t>
      </w:r>
    </w:p>
    <w:p w:rsidR="006A5D28" w:rsidRDefault="006A5D28" w:rsidP="009C7D50"/>
    <w:p w:rsidR="006A5D28" w:rsidRDefault="006A5D28" w:rsidP="009C7D50">
      <w:pPr>
        <w:pStyle w:val="Heading1"/>
      </w:pPr>
      <w:bookmarkStart w:id="20" w:name="_Toc532290817"/>
      <w:bookmarkStart w:id="21" w:name="_Toc532544049"/>
      <w:bookmarkStart w:id="22" w:name="_Ref536000894"/>
      <w:bookmarkStart w:id="23" w:name="_Toc517848"/>
      <w:bookmarkStart w:id="24" w:name="_Toc2253726"/>
      <w:r w:rsidRPr="003156E6">
        <w:lastRenderedPageBreak/>
        <w:t>Methods</w:t>
      </w:r>
      <w:bookmarkEnd w:id="20"/>
      <w:bookmarkEnd w:id="21"/>
      <w:bookmarkEnd w:id="22"/>
      <w:bookmarkEnd w:id="23"/>
      <w:bookmarkEnd w:id="24"/>
    </w:p>
    <w:p w:rsidR="00E51135" w:rsidRDefault="006A5D28" w:rsidP="009C7D50">
      <w:pPr>
        <w:pStyle w:val="Heading2"/>
      </w:pPr>
      <w:bookmarkStart w:id="25" w:name="_Toc2253727"/>
      <w:r w:rsidRPr="009D2ACC">
        <w:t>Methods summary</w:t>
      </w:r>
      <w:bookmarkEnd w:id="25"/>
    </w:p>
    <w:p w:rsidR="006A5D28" w:rsidRDefault="006A5D28" w:rsidP="009C7D50">
      <w:r>
        <w:t>We extracted all data for people diagnosed with colorectal cancer from 1 January 2013 to 31 December 2016 from the New Zealand Cancer Registry. For the purposes of this report, our dataset only includes people with a new primary diagnosis of bowel cancer.</w:t>
      </w:r>
    </w:p>
    <w:p w:rsidR="009C7D50" w:rsidRDefault="009C7D50" w:rsidP="009C7D50"/>
    <w:p w:rsidR="006A5D28" w:rsidRDefault="006A5D28" w:rsidP="009C7D50">
      <w:r>
        <w:t>We linked data from the Ministry of Health</w:t>
      </w:r>
      <w:r w:rsidR="00E51135">
        <w:t>’</w:t>
      </w:r>
      <w:r>
        <w:t>s National Collections to the cancer registrations at patient level using National Health Index (NHI) numbers to obtain information on patient care and follow-up.</w:t>
      </w:r>
    </w:p>
    <w:p w:rsidR="009C7D50" w:rsidRDefault="009C7D50" w:rsidP="009C7D50"/>
    <w:p w:rsidR="006A5D28" w:rsidRDefault="006A5D28" w:rsidP="009C7D50">
      <w:r>
        <w:t>We used funnel plots to make comparisons between district health boards (DHBs). We did not adjust outcomes for patient case-mix.</w:t>
      </w:r>
    </w:p>
    <w:p w:rsidR="009C7D50" w:rsidRDefault="009C7D50" w:rsidP="009C7D50"/>
    <w:p w:rsidR="00E51135" w:rsidRDefault="006A5D28" w:rsidP="009C7D50">
      <w:r>
        <w:t>We contacted all DHBs prior to publication to inform them of their results and provide them with an opportunity to review results and consider areas where they could improve services and outcomes for patients.</w:t>
      </w:r>
    </w:p>
    <w:p w:rsidR="006A5D28" w:rsidRDefault="006A5D28" w:rsidP="009C7D50"/>
    <w:p w:rsidR="006A5D28" w:rsidRDefault="006A5D28" w:rsidP="009C7D50">
      <w:pPr>
        <w:pStyle w:val="Heading2"/>
      </w:pPr>
      <w:bookmarkStart w:id="26" w:name="_Toc532290818"/>
      <w:bookmarkStart w:id="27" w:name="_Toc517849"/>
      <w:bookmarkStart w:id="28" w:name="_Toc2253728"/>
      <w:r>
        <w:t>Data sources</w:t>
      </w:r>
      <w:bookmarkEnd w:id="26"/>
      <w:bookmarkEnd w:id="27"/>
      <w:bookmarkEnd w:id="28"/>
    </w:p>
    <w:p w:rsidR="00E51135" w:rsidRDefault="006A5D28" w:rsidP="009C7D50">
      <w:r>
        <w:t>Data used in this report is on people diagnosed with bowel cancer in New Zealand between 1 January 2013 and 31 December 2016 who received publicly funded treatment following diagnosis.</w:t>
      </w:r>
    </w:p>
    <w:p w:rsidR="009C7D50" w:rsidRDefault="009C7D50" w:rsidP="009C7D50"/>
    <w:p w:rsidR="006A5D28" w:rsidRDefault="006A5D28" w:rsidP="009C7D50">
      <w:r>
        <w:t>All patient data for this report has come from administrative datasets held within the Ministry of Health</w:t>
      </w:r>
      <w:r w:rsidR="00E51135">
        <w:t>’</w:t>
      </w:r>
      <w:r>
        <w:t>s National Collections.</w:t>
      </w:r>
    </w:p>
    <w:p w:rsidR="006A5D28" w:rsidRDefault="006A5D28" w:rsidP="009C7D50"/>
    <w:p w:rsidR="006A5D28" w:rsidRDefault="006A5D28" w:rsidP="009C7D50">
      <w:pPr>
        <w:pStyle w:val="Heading2"/>
      </w:pPr>
      <w:bookmarkStart w:id="29" w:name="_Toc532290819"/>
      <w:bookmarkStart w:id="30" w:name="_Toc517850"/>
      <w:bookmarkStart w:id="31" w:name="_Toc2253729"/>
      <w:r>
        <w:t>Data linkage</w:t>
      </w:r>
      <w:bookmarkEnd w:id="29"/>
      <w:bookmarkEnd w:id="30"/>
      <w:bookmarkEnd w:id="31"/>
    </w:p>
    <w:p w:rsidR="00E51135" w:rsidRDefault="006A5D28" w:rsidP="009C7D50">
      <w:pPr>
        <w:pStyle w:val="Heading3"/>
      </w:pPr>
      <w:r>
        <w:t>New Zealand Cancer Registry</w:t>
      </w:r>
    </w:p>
    <w:p w:rsidR="006A5D28" w:rsidRDefault="006A5D28" w:rsidP="009C7D50">
      <w:r w:rsidRPr="00E23B9F">
        <w:t>The New Zealand Cancer Registry (NZCR) is a population</w:t>
      </w:r>
      <w:r>
        <w:t>-</w:t>
      </w:r>
      <w:r w:rsidRPr="00E23B9F">
        <w:t xml:space="preserve">based registry. </w:t>
      </w:r>
      <w:r>
        <w:t xml:space="preserve">It </w:t>
      </w:r>
      <w:r w:rsidRPr="00E23B9F">
        <w:t>is the most comprehensive source of information on people who have been diagnosed with malignant cancer in New Zealand. It is primarily based on pathology reporting</w:t>
      </w:r>
      <w:r>
        <w:t>,</w:t>
      </w:r>
      <w:r w:rsidRPr="00E23B9F">
        <w:t xml:space="preserve"> but also includes information from other sources</w:t>
      </w:r>
      <w:r>
        <w:t xml:space="preserve">, including </w:t>
      </w:r>
      <w:r w:rsidRPr="00E23B9F">
        <w:t>death certificates and review</w:t>
      </w:r>
      <w:r>
        <w:t xml:space="preserve"> of</w:t>
      </w:r>
      <w:r w:rsidRPr="00E23B9F">
        <w:t xml:space="preserve"> the diagnosis coding for people admitted to public hospitals.</w:t>
      </w:r>
    </w:p>
    <w:p w:rsidR="006A5D28" w:rsidRDefault="006A5D28" w:rsidP="009C7D50"/>
    <w:p w:rsidR="006A5D28" w:rsidRPr="00E23B9F" w:rsidRDefault="006A5D28" w:rsidP="009C7D50">
      <w:pPr>
        <w:pStyle w:val="Heading3"/>
      </w:pPr>
      <w:r w:rsidRPr="00E23B9F">
        <w:lastRenderedPageBreak/>
        <w:t>National Bowel Screening Data Warehouse</w:t>
      </w:r>
    </w:p>
    <w:p w:rsidR="006A5D28" w:rsidRPr="00E23B9F" w:rsidRDefault="006A5D28" w:rsidP="009C7D50">
      <w:r>
        <w:t>T</w:t>
      </w:r>
      <w:r w:rsidRPr="00E23B9F">
        <w:t>he National Bowel Screening Data Warehouse</w:t>
      </w:r>
      <w:r>
        <w:t xml:space="preserve"> holds</w:t>
      </w:r>
      <w:r w:rsidRPr="0060246F">
        <w:t xml:space="preserve"> </w:t>
      </w:r>
      <w:r>
        <w:t>r</w:t>
      </w:r>
      <w:r w:rsidRPr="00E23B9F">
        <w:t>ecords for people who were diagnosed following bowel screening from a publicly funded bowel screening programme.</w:t>
      </w:r>
    </w:p>
    <w:p w:rsidR="006A5D28" w:rsidRDefault="006A5D28" w:rsidP="009C7D50"/>
    <w:p w:rsidR="00E51135" w:rsidRDefault="006A5D28" w:rsidP="009C7D50">
      <w:pPr>
        <w:pStyle w:val="Heading3"/>
      </w:pPr>
      <w:r>
        <w:t>National Minimum Dataset</w:t>
      </w:r>
    </w:p>
    <w:p w:rsidR="006A5D28" w:rsidRDefault="006A5D28" w:rsidP="009C7D50">
      <w:r w:rsidRPr="0050665E">
        <w:t>The National Minimum Dataset (NMDS) is a national collection of public and private hospital discharge information, including coded clinical data for inpatients and day patients</w:t>
      </w:r>
      <w:r>
        <w:t>.</w:t>
      </w:r>
    </w:p>
    <w:p w:rsidR="009C7D50" w:rsidRDefault="009C7D50" w:rsidP="009C7D50"/>
    <w:p w:rsidR="00E51135" w:rsidRDefault="006A5D28" w:rsidP="009C7D50">
      <w:r>
        <w:t>Linking NZCR data to NDMS data allowed a view of the procedures particular patients underwent in public hospitals leading up to their diagnosis and following their diagnosis and treatment.</w:t>
      </w:r>
    </w:p>
    <w:p w:rsidR="009C7D50" w:rsidRDefault="009C7D50" w:rsidP="009C7D50"/>
    <w:p w:rsidR="006A5D28" w:rsidRDefault="006A5D28" w:rsidP="009C7D50">
      <w:pPr>
        <w:pStyle w:val="Heading3"/>
      </w:pPr>
      <w:r>
        <w:t>Radiotherapy dataset</w:t>
      </w:r>
    </w:p>
    <w:p w:rsidR="00E51135" w:rsidRDefault="006A5D28" w:rsidP="009C7D50">
      <w:r w:rsidRPr="000F17C7">
        <w:t>The Radiation Oncology Collection is a national collection of delivered private and public courses of radiation therapy.</w:t>
      </w:r>
    </w:p>
    <w:p w:rsidR="009C7D50" w:rsidRDefault="009C7D50" w:rsidP="009C7D50"/>
    <w:p w:rsidR="00E51135" w:rsidRDefault="006A5D28" w:rsidP="009C7D50">
      <w:pPr>
        <w:rPr>
          <w:lang w:eastAsia="en-NZ"/>
        </w:rPr>
      </w:pPr>
      <w:r>
        <w:rPr>
          <w:lang w:eastAsia="en-NZ"/>
        </w:rPr>
        <w:t>T</w:t>
      </w:r>
      <w:r w:rsidRPr="000F17C7">
        <w:rPr>
          <w:lang w:eastAsia="en-NZ"/>
        </w:rPr>
        <w:t xml:space="preserve">reatment centres </w:t>
      </w:r>
      <w:r>
        <w:rPr>
          <w:lang w:eastAsia="en-NZ"/>
        </w:rPr>
        <w:t xml:space="preserve">have submitted data electronically in an agreed format </w:t>
      </w:r>
      <w:r w:rsidRPr="000F17C7">
        <w:rPr>
          <w:lang w:eastAsia="en-NZ"/>
        </w:rPr>
        <w:t>since 2018, although most providers have supplied historic data back to 2012.</w:t>
      </w:r>
    </w:p>
    <w:p w:rsidR="009C7D50" w:rsidRDefault="009C7D50" w:rsidP="009C7D50">
      <w:pPr>
        <w:rPr>
          <w:lang w:eastAsia="en-NZ"/>
        </w:rPr>
      </w:pPr>
    </w:p>
    <w:p w:rsidR="006A5D28" w:rsidRPr="000F17C7" w:rsidRDefault="006A5D28" w:rsidP="009C7D50">
      <w:pPr>
        <w:rPr>
          <w:lang w:eastAsia="en-NZ"/>
        </w:rPr>
      </w:pPr>
      <w:r w:rsidRPr="000F17C7">
        <w:rPr>
          <w:lang w:eastAsia="en-NZ"/>
        </w:rPr>
        <w:t>Data collected for each course of radiation therapy delivered includes treatment centre, diagnosis code (</w:t>
      </w:r>
      <w:r>
        <w:rPr>
          <w:lang w:eastAsia="en-NZ"/>
        </w:rPr>
        <w:t xml:space="preserve">according to the </w:t>
      </w:r>
      <w:r>
        <w:t xml:space="preserve">International Statistical Classification of Diseases and Related Health Problems, Tenth Revision, Australian Modification </w:t>
      </w:r>
      <w:r>
        <w:rPr>
          <w:lang w:eastAsia="en-NZ"/>
        </w:rPr>
        <w:t>(</w:t>
      </w:r>
      <w:r w:rsidRPr="000F17C7">
        <w:rPr>
          <w:lang w:eastAsia="en-NZ"/>
        </w:rPr>
        <w:t>ICD-10</w:t>
      </w:r>
      <w:r>
        <w:rPr>
          <w:lang w:eastAsia="en-NZ"/>
        </w:rPr>
        <w:t xml:space="preserve">-AM), </w:t>
      </w:r>
      <w:r>
        <w:t>8</w:t>
      </w:r>
      <w:r w:rsidRPr="0009223F">
        <w:t>th</w:t>
      </w:r>
      <w:r>
        <w:t xml:space="preserve"> edition</w:t>
      </w:r>
      <w:r w:rsidRPr="000F17C7">
        <w:rPr>
          <w:lang w:eastAsia="en-NZ"/>
        </w:rPr>
        <w:t>),</w:t>
      </w:r>
      <w:r>
        <w:rPr>
          <w:lang w:eastAsia="en-NZ"/>
        </w:rPr>
        <w:t xml:space="preserve"> treatment site,</w:t>
      </w:r>
      <w:r w:rsidRPr="000F17C7">
        <w:rPr>
          <w:lang w:eastAsia="en-NZ"/>
        </w:rPr>
        <w:t xml:space="preserve"> </w:t>
      </w:r>
      <w:r w:rsidRPr="000F17C7">
        <w:t xml:space="preserve">intent of the treatment </w:t>
      </w:r>
      <w:r w:rsidRPr="000F17C7">
        <w:rPr>
          <w:lang w:eastAsia="en-NZ"/>
        </w:rPr>
        <w:t>and number of treatment sessions.</w:t>
      </w:r>
    </w:p>
    <w:p w:rsidR="006A5D28" w:rsidRDefault="006A5D28" w:rsidP="009C7D50"/>
    <w:p w:rsidR="00E51135" w:rsidRDefault="006A5D28" w:rsidP="009C7D50">
      <w:pPr>
        <w:pStyle w:val="Heading3"/>
      </w:pPr>
      <w:r>
        <w:t xml:space="preserve">National Non-Admitted </w:t>
      </w:r>
      <w:r w:rsidRPr="00C820D0">
        <w:t>Patients</w:t>
      </w:r>
      <w:r>
        <w:t xml:space="preserve"> Collection</w:t>
      </w:r>
    </w:p>
    <w:p w:rsidR="006A5D28" w:rsidRDefault="006A5D28" w:rsidP="009C7D50">
      <w:r w:rsidRPr="00EF282C">
        <w:t xml:space="preserve">The National Non-Admitted Patients Collection (NNPAC) information includes event-based purchase units that relate to medical and surgical outpatient events and </w:t>
      </w:r>
      <w:r>
        <w:t xml:space="preserve">ED </w:t>
      </w:r>
      <w:r w:rsidRPr="00EF282C">
        <w:t>events. This includes information on the type of service provided and the health specialty involved.</w:t>
      </w:r>
    </w:p>
    <w:p w:rsidR="009C7D50" w:rsidRPr="00EF282C" w:rsidRDefault="009C7D50" w:rsidP="009C7D50"/>
    <w:p w:rsidR="00E51135" w:rsidRDefault="006A5D28" w:rsidP="009C7D50">
      <w:r>
        <w:t xml:space="preserve">The </w:t>
      </w:r>
      <w:r w:rsidRPr="00EF282C">
        <w:t>NNPAC allows the Ministry of Health and DHBs to monitor outpatient activity and ensure that DHBs are appropriately remunerated for the services they provide.</w:t>
      </w:r>
    </w:p>
    <w:p w:rsidR="009C7D50" w:rsidRDefault="009C7D50" w:rsidP="009C7D50"/>
    <w:p w:rsidR="00E51135" w:rsidRDefault="006A5D28" w:rsidP="009C7D50">
      <w:r>
        <w:t xml:space="preserve">The </w:t>
      </w:r>
      <w:r w:rsidRPr="00EF282C">
        <w:t xml:space="preserve">NNPAC provides </w:t>
      </w:r>
      <w:r>
        <w:t>national consistent data on non-</w:t>
      </w:r>
      <w:r w:rsidRPr="00EF282C">
        <w:t xml:space="preserve">admitted patient (outpatient and </w:t>
      </w:r>
      <w:r>
        <w:t>ED</w:t>
      </w:r>
      <w:r w:rsidRPr="00EF282C">
        <w:t>) activity.</w:t>
      </w:r>
    </w:p>
    <w:p w:rsidR="006A5D28" w:rsidRDefault="006A5D28" w:rsidP="009C7D50"/>
    <w:p w:rsidR="006A5D28" w:rsidRDefault="006A5D28" w:rsidP="009C7D50">
      <w:pPr>
        <w:pStyle w:val="Heading2"/>
      </w:pPr>
      <w:bookmarkStart w:id="32" w:name="_Toc532290820"/>
      <w:bookmarkStart w:id="33" w:name="_Toc517851"/>
      <w:bookmarkStart w:id="34" w:name="_Toc2253730"/>
      <w:r>
        <w:lastRenderedPageBreak/>
        <w:t>Data p</w:t>
      </w:r>
      <w:r w:rsidRPr="00064F5C">
        <w:t>r</w:t>
      </w:r>
      <w:r>
        <w:t>ocessing</w:t>
      </w:r>
      <w:bookmarkEnd w:id="32"/>
      <w:bookmarkEnd w:id="33"/>
      <w:bookmarkEnd w:id="34"/>
    </w:p>
    <w:p w:rsidR="006A5D28" w:rsidRDefault="006A5D28" w:rsidP="009C7D50">
      <w:r>
        <w:t>We calculated all indicators from existing data within the Ministry of Health</w:t>
      </w:r>
      <w:r w:rsidR="00E51135">
        <w:t>’</w:t>
      </w:r>
      <w:r>
        <w:t>s National Collections ie</w:t>
      </w:r>
      <w:r w:rsidR="009C7D50">
        <w:t>,</w:t>
      </w:r>
      <w:r>
        <w:t xml:space="preserve"> no </w:t>
      </w:r>
      <w:r w:rsidRPr="00B16E51">
        <w:t xml:space="preserve">data </w:t>
      </w:r>
      <w:r>
        <w:t>was provided by DHBs specifically for these indicators.</w:t>
      </w:r>
    </w:p>
    <w:p w:rsidR="009C7D50" w:rsidRDefault="009C7D50" w:rsidP="009C7D50"/>
    <w:p w:rsidR="006A5D28" w:rsidRDefault="006A5D28" w:rsidP="009C7D50">
      <w:r>
        <w:t>For all people diagnosed with bowel cancer between 2013 and 2016, we used existing routinely available national administrative data sources to work backwards through individual patients</w:t>
      </w:r>
      <w:r w:rsidR="00E51135">
        <w:t>’</w:t>
      </w:r>
      <w:r>
        <w:t xml:space="preserve"> cancer journeys to examine the sequence of events that took them to that diagnosis, treatment and outcome. These routes to diagnosis included emergency presentation, screening and referral to a clinic (as inpatients (NMDS) or outpatients (NNPAC)).</w:t>
      </w:r>
    </w:p>
    <w:p w:rsidR="009C7D50" w:rsidRDefault="009C7D50" w:rsidP="009C7D50"/>
    <w:p w:rsidR="006A5D28" w:rsidRDefault="006A5D28" w:rsidP="009C7D50">
      <w:r>
        <w:t>We processed data by linking data sources within the National Collections using the encrypted NHI.</w:t>
      </w:r>
    </w:p>
    <w:p w:rsidR="009C7D50" w:rsidRDefault="009C7D50" w:rsidP="009C7D50"/>
    <w:p w:rsidR="006A5D28" w:rsidRDefault="006A5D28" w:rsidP="009C7D50">
      <w:r>
        <w:t>We considered a patient to be diagnosed with primary bowel cancer when that patient was registered on the NZCR for the first time with a diagnosis of bowel cancer. We defined bowel cancer as C18, C19 or C20 according to the ICD-10-AM, 8</w:t>
      </w:r>
      <w:r w:rsidRPr="000E2F84">
        <w:t>th</w:t>
      </w:r>
      <w:r>
        <w:t xml:space="preserve"> edition. We defined rectal cancer as C20 and colon cancer as C18 or C19. We assumed a patient</w:t>
      </w:r>
      <w:r w:rsidR="00E51135">
        <w:t>’</w:t>
      </w:r>
      <w:r>
        <w:t xml:space="preserve">s diagnosis to be the first diagnosis if we could identify no previous diagnosis for that patient in the NZCR since </w:t>
      </w:r>
      <w:r w:rsidRPr="00D8519E">
        <w:t>1 January 1995</w:t>
      </w:r>
      <w:r>
        <w:t>.</w:t>
      </w:r>
    </w:p>
    <w:p w:rsidR="009C7D50" w:rsidRDefault="009C7D50" w:rsidP="009C7D50"/>
    <w:p w:rsidR="006A5D28" w:rsidRDefault="006A5D28" w:rsidP="009C7D50">
      <w:r>
        <w:t>We excluded from all analyses people who were registered from death certificates only and those diagnosed</w:t>
      </w:r>
      <w:r w:rsidRPr="00141A3F">
        <w:t xml:space="preserve"> with</w:t>
      </w:r>
      <w:r>
        <w:t xml:space="preserve"> appendiceal cancer (C18.1), neuroendocrine tumours</w:t>
      </w:r>
      <w:r w:rsidRPr="00141A3F">
        <w:t xml:space="preserve">, gastrointestinal stromal </w:t>
      </w:r>
      <w:r>
        <w:t>tumours</w:t>
      </w:r>
      <w:r w:rsidRPr="00141A3F">
        <w:t xml:space="preserve">, lymphomas, squamous cell carcinomas and </w:t>
      </w:r>
      <w:r>
        <w:t>m</w:t>
      </w:r>
      <w:r w:rsidRPr="00141A3F">
        <w:t>elanomas</w:t>
      </w:r>
      <w:r>
        <w:t>.</w:t>
      </w:r>
    </w:p>
    <w:p w:rsidR="006A5D28" w:rsidRDefault="006A5D28" w:rsidP="009C7D50"/>
    <w:p w:rsidR="006A5D28" w:rsidRDefault="006A5D28" w:rsidP="009C7D50">
      <w:pPr>
        <w:pStyle w:val="Heading2"/>
      </w:pPr>
      <w:bookmarkStart w:id="35" w:name="_Toc532290821"/>
      <w:bookmarkStart w:id="36" w:name="_Toc517852"/>
      <w:bookmarkStart w:id="37" w:name="_Toc2253731"/>
      <w:r>
        <w:t>Data completeness</w:t>
      </w:r>
      <w:bookmarkEnd w:id="35"/>
      <w:bookmarkEnd w:id="36"/>
      <w:bookmarkEnd w:id="37"/>
    </w:p>
    <w:p w:rsidR="006A5D28" w:rsidRDefault="006A5D28" w:rsidP="009C7D50">
      <w:r>
        <w:t>We defined d</w:t>
      </w:r>
      <w:r w:rsidRPr="00AB3A0D">
        <w:t xml:space="preserve">ata completeness as the proportion of </w:t>
      </w:r>
      <w:r>
        <w:t>people</w:t>
      </w:r>
      <w:r w:rsidRPr="00AB3A0D">
        <w:t xml:space="preserve"> with complete data on all </w:t>
      </w:r>
      <w:r>
        <w:t>four</w:t>
      </w:r>
      <w:r w:rsidRPr="00AB3A0D">
        <w:t xml:space="preserve"> of the variable</w:t>
      </w:r>
      <w:r>
        <w:t>s</w:t>
      </w:r>
      <w:r w:rsidRPr="00AB3A0D">
        <w:t xml:space="preserve"> age</w:t>
      </w:r>
      <w:r>
        <w:t>;</w:t>
      </w:r>
      <w:r w:rsidRPr="00AB3A0D">
        <w:t xml:space="preserve"> sex</w:t>
      </w:r>
      <w:r>
        <w:t>;</w:t>
      </w:r>
      <w:r w:rsidRPr="00AB3A0D">
        <w:t xml:space="preserve"> pathological </w:t>
      </w:r>
      <w:r>
        <w:t>tumour, node, metastasis (</w:t>
      </w:r>
      <w:r w:rsidRPr="00AB3A0D">
        <w:t>TNM</w:t>
      </w:r>
      <w:r>
        <w:t>)</w:t>
      </w:r>
      <w:r w:rsidRPr="00AB3A0D">
        <w:t xml:space="preserve"> stage</w:t>
      </w:r>
      <w:r>
        <w:t>;</w:t>
      </w:r>
      <w:r w:rsidRPr="00AB3A0D">
        <w:t xml:space="preserve"> and site of cancer</w:t>
      </w:r>
      <w:r>
        <w:t>,</w:t>
      </w:r>
      <w:r w:rsidRPr="00AB3A0D">
        <w:t xml:space="preserve"> as </w:t>
      </w:r>
      <w:r>
        <w:t xml:space="preserve">we will use </w:t>
      </w:r>
      <w:r w:rsidRPr="00AB3A0D">
        <w:t xml:space="preserve">these variables for risk adjustment in future. </w:t>
      </w:r>
      <w:r>
        <w:t>In the future, the risk adjustment model will also need data on m</w:t>
      </w:r>
      <w:r w:rsidRPr="00AB3A0D">
        <w:t xml:space="preserve">ode of admission and number of co-morbidities. </w:t>
      </w:r>
      <w:r>
        <w:t>We only assessed d</w:t>
      </w:r>
      <w:r w:rsidRPr="00AB3A0D">
        <w:t>ata completeness in patients who underwent major surgery</w:t>
      </w:r>
      <w:r>
        <w:t>,</w:t>
      </w:r>
      <w:r w:rsidRPr="00AB3A0D">
        <w:t xml:space="preserve"> because only in these patients could </w:t>
      </w:r>
      <w:r>
        <w:t xml:space="preserve">we expect </w:t>
      </w:r>
      <w:r w:rsidRPr="00AB3A0D">
        <w:t>all six data items to be complete.</w:t>
      </w:r>
    </w:p>
    <w:p w:rsidR="004347ED" w:rsidRDefault="004347ED" w:rsidP="009C7D50"/>
    <w:p w:rsidR="006A5D28" w:rsidRDefault="006A5D28" w:rsidP="004347ED">
      <w:r>
        <w:t>National Collections have high rates of completion of data fields. Mode of admission was available for all patients. For patients undergoing major surgery, data on all patients included sex, age and site of cancer.</w:t>
      </w:r>
    </w:p>
    <w:p w:rsidR="004347ED" w:rsidRDefault="004347ED" w:rsidP="004347ED"/>
    <w:p w:rsidR="006A5D28" w:rsidRDefault="006A5D28" w:rsidP="004347ED">
      <w:r>
        <w:t>The NZCR included data on T and N stage for most people (80% or more), but data on M</w:t>
      </w:r>
      <w:r w:rsidR="004347ED">
        <w:t> </w:t>
      </w:r>
      <w:r>
        <w:t>stage only rarely (11%) (</w:t>
      </w:r>
      <w:r>
        <w:rPr>
          <w:highlight w:val="yellow"/>
        </w:rPr>
        <w:fldChar w:fldCharType="begin"/>
      </w:r>
      <w:r>
        <w:instrText xml:space="preserve"> REF _Ref527619655 \h </w:instrText>
      </w:r>
      <w:r>
        <w:rPr>
          <w:highlight w:val="yellow"/>
        </w:rPr>
      </w:r>
      <w:r>
        <w:rPr>
          <w:highlight w:val="yellow"/>
        </w:rPr>
        <w:fldChar w:fldCharType="separate"/>
      </w:r>
      <w:r w:rsidR="002B5148">
        <w:t xml:space="preserve">Table </w:t>
      </w:r>
      <w:r w:rsidR="002B5148">
        <w:rPr>
          <w:noProof/>
        </w:rPr>
        <w:t>1</w:t>
      </w:r>
      <w:r>
        <w:rPr>
          <w:highlight w:val="yellow"/>
        </w:rPr>
        <w:fldChar w:fldCharType="end"/>
      </w:r>
      <w:r>
        <w:t>).</w:t>
      </w:r>
    </w:p>
    <w:p w:rsidR="004347ED" w:rsidRDefault="004347ED" w:rsidP="004347ED"/>
    <w:p w:rsidR="006A5D28" w:rsidRDefault="006A5D28" w:rsidP="004347ED">
      <w:pPr>
        <w:pStyle w:val="Table"/>
      </w:pPr>
      <w:bookmarkStart w:id="38" w:name="_Ref527619655"/>
      <w:bookmarkStart w:id="39" w:name="_Toc535936723"/>
      <w:bookmarkStart w:id="40" w:name="_Toc2254042"/>
      <w:r>
        <w:lastRenderedPageBreak/>
        <w:t xml:space="preserve">Table </w:t>
      </w:r>
      <w:r>
        <w:rPr>
          <w:noProof/>
        </w:rPr>
        <w:fldChar w:fldCharType="begin"/>
      </w:r>
      <w:r>
        <w:rPr>
          <w:noProof/>
        </w:rPr>
        <w:instrText xml:space="preserve"> SEQ Table \* ARABIC </w:instrText>
      </w:r>
      <w:r>
        <w:rPr>
          <w:noProof/>
        </w:rPr>
        <w:fldChar w:fldCharType="separate"/>
      </w:r>
      <w:r w:rsidR="002B5148">
        <w:rPr>
          <w:noProof/>
        </w:rPr>
        <w:t>1</w:t>
      </w:r>
      <w:r>
        <w:rPr>
          <w:noProof/>
        </w:rPr>
        <w:fldChar w:fldCharType="end"/>
      </w:r>
      <w:bookmarkEnd w:id="38"/>
      <w:r w:rsidR="00192356">
        <w:rPr>
          <w:noProof/>
        </w:rPr>
        <w:t>:</w:t>
      </w:r>
      <w:r>
        <w:rPr>
          <w:noProof/>
        </w:rPr>
        <w:t xml:space="preserve"> </w:t>
      </w:r>
      <w:r>
        <w:t>P</w:t>
      </w:r>
      <w:r w:rsidRPr="009C2281">
        <w:t xml:space="preserve">eople who had bowel cancer surgery with pathological </w:t>
      </w:r>
      <w:r>
        <w:t xml:space="preserve">tumour, node, metastasis </w:t>
      </w:r>
      <w:r w:rsidRPr="009C2281">
        <w:t>stage available on the New Zealand Cancer Registry, 2013</w:t>
      </w:r>
      <w:r>
        <w:t>–</w:t>
      </w:r>
      <w:r w:rsidRPr="009C2281">
        <w:t>16</w:t>
      </w:r>
      <w:bookmarkEnd w:id="39"/>
      <w:bookmarkEnd w:id="40"/>
    </w:p>
    <w:tbl>
      <w:tblPr>
        <w:tblW w:w="8081"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850"/>
        <w:gridCol w:w="652"/>
        <w:gridCol w:w="652"/>
        <w:gridCol w:w="652"/>
        <w:gridCol w:w="652"/>
        <w:gridCol w:w="653"/>
        <w:gridCol w:w="652"/>
        <w:gridCol w:w="652"/>
        <w:gridCol w:w="652"/>
        <w:gridCol w:w="652"/>
        <w:gridCol w:w="653"/>
      </w:tblGrid>
      <w:tr w:rsidR="004347ED" w:rsidRPr="004347ED" w:rsidTr="004347ED">
        <w:trPr>
          <w:cantSplit/>
          <w:trHeight w:val="20"/>
        </w:trPr>
        <w:tc>
          <w:tcPr>
            <w:tcW w:w="709" w:type="dxa"/>
            <w:vMerge w:val="restart"/>
            <w:tcBorders>
              <w:top w:val="nil"/>
              <w:right w:val="single" w:sz="4" w:space="0" w:color="A6A6A6" w:themeColor="background1" w:themeShade="A6"/>
            </w:tcBorders>
            <w:shd w:val="clear" w:color="DDEBF7" w:fill="D9D9D9" w:themeFill="background1" w:themeFillShade="D9"/>
            <w:noWrap/>
            <w:hideMark/>
          </w:tcPr>
          <w:p w:rsidR="004347ED" w:rsidRPr="004347ED" w:rsidRDefault="00076E1A" w:rsidP="004347ED">
            <w:pPr>
              <w:pStyle w:val="TableText"/>
              <w:rPr>
                <w:b/>
                <w:lang w:eastAsia="en-NZ"/>
              </w:rPr>
            </w:pPr>
            <w:r>
              <w:rPr>
                <w:b/>
                <w:lang w:eastAsia="en-NZ"/>
              </w:rPr>
              <w:t>Year</w:t>
            </w:r>
          </w:p>
        </w:tc>
        <w:tc>
          <w:tcPr>
            <w:tcW w:w="850" w:type="dxa"/>
            <w:vMerge w:val="restart"/>
            <w:tcBorders>
              <w:top w:val="nil"/>
              <w:left w:val="single" w:sz="4" w:space="0" w:color="A6A6A6" w:themeColor="background1" w:themeShade="A6"/>
              <w:right w:val="single" w:sz="4" w:space="0" w:color="A6A6A6" w:themeColor="background1" w:themeShade="A6"/>
            </w:tcBorders>
            <w:shd w:val="clear" w:color="DDEBF7" w:fill="D9D9D9" w:themeFill="background1" w:themeFillShade="D9"/>
            <w:noWrap/>
            <w:hideMark/>
          </w:tcPr>
          <w:p w:rsidR="004347ED" w:rsidRPr="004347ED" w:rsidRDefault="004347ED" w:rsidP="004347ED">
            <w:pPr>
              <w:pStyle w:val="TableText"/>
              <w:jc w:val="center"/>
              <w:rPr>
                <w:b/>
                <w:lang w:eastAsia="en-NZ"/>
              </w:rPr>
            </w:pPr>
            <w:r w:rsidRPr="004347ED">
              <w:rPr>
                <w:b/>
                <w:lang w:eastAsia="en-NZ"/>
              </w:rPr>
              <w:t>Total</w:t>
            </w:r>
          </w:p>
        </w:tc>
        <w:tc>
          <w:tcPr>
            <w:tcW w:w="1304" w:type="dxa"/>
            <w:gridSpan w:val="2"/>
            <w:tcBorders>
              <w:top w:val="nil"/>
              <w:left w:val="single" w:sz="4" w:space="0" w:color="A6A6A6" w:themeColor="background1" w:themeShade="A6"/>
              <w:bottom w:val="nil"/>
              <w:right w:val="single" w:sz="4" w:space="0" w:color="A6A6A6" w:themeColor="background1" w:themeShade="A6"/>
            </w:tcBorders>
            <w:shd w:val="clear" w:color="DDEBF7" w:fill="D9D9D9" w:themeFill="background1" w:themeFillShade="D9"/>
            <w:hideMark/>
          </w:tcPr>
          <w:p w:rsidR="004347ED" w:rsidRPr="004347ED" w:rsidRDefault="004347ED" w:rsidP="004347ED">
            <w:pPr>
              <w:pStyle w:val="TableText"/>
              <w:jc w:val="center"/>
              <w:rPr>
                <w:b/>
                <w:lang w:eastAsia="en-NZ"/>
              </w:rPr>
            </w:pPr>
            <w:r w:rsidRPr="004347ED">
              <w:rPr>
                <w:b/>
                <w:lang w:eastAsia="en-NZ"/>
              </w:rPr>
              <w:t>Tumour</w:t>
            </w:r>
            <w:r>
              <w:rPr>
                <w:b/>
                <w:lang w:eastAsia="en-NZ"/>
              </w:rPr>
              <w:br/>
            </w:r>
            <w:r w:rsidRPr="004347ED">
              <w:rPr>
                <w:b/>
                <w:lang w:eastAsia="en-NZ"/>
              </w:rPr>
              <w:t>(T)</w:t>
            </w:r>
          </w:p>
        </w:tc>
        <w:tc>
          <w:tcPr>
            <w:tcW w:w="1304" w:type="dxa"/>
            <w:gridSpan w:val="2"/>
            <w:tcBorders>
              <w:top w:val="nil"/>
              <w:left w:val="single" w:sz="4" w:space="0" w:color="A6A6A6" w:themeColor="background1" w:themeShade="A6"/>
              <w:bottom w:val="nil"/>
              <w:right w:val="single" w:sz="4" w:space="0" w:color="A6A6A6" w:themeColor="background1" w:themeShade="A6"/>
            </w:tcBorders>
            <w:shd w:val="clear" w:color="DDEBF7" w:fill="D9D9D9" w:themeFill="background1" w:themeFillShade="D9"/>
            <w:hideMark/>
          </w:tcPr>
          <w:p w:rsidR="004347ED" w:rsidRPr="004347ED" w:rsidRDefault="004347ED" w:rsidP="004347ED">
            <w:pPr>
              <w:pStyle w:val="TableText"/>
              <w:jc w:val="center"/>
              <w:rPr>
                <w:b/>
                <w:lang w:eastAsia="en-NZ"/>
              </w:rPr>
            </w:pPr>
            <w:r w:rsidRPr="004347ED">
              <w:rPr>
                <w:b/>
                <w:lang w:eastAsia="en-NZ"/>
              </w:rPr>
              <w:t>Node</w:t>
            </w:r>
            <w:r>
              <w:rPr>
                <w:b/>
                <w:lang w:eastAsia="en-NZ"/>
              </w:rPr>
              <w:br/>
            </w:r>
            <w:r w:rsidRPr="004347ED">
              <w:rPr>
                <w:b/>
                <w:lang w:eastAsia="en-NZ"/>
              </w:rPr>
              <w:t>(N)</w:t>
            </w:r>
          </w:p>
        </w:tc>
        <w:tc>
          <w:tcPr>
            <w:tcW w:w="1305" w:type="dxa"/>
            <w:gridSpan w:val="2"/>
            <w:tcBorders>
              <w:top w:val="nil"/>
              <w:left w:val="single" w:sz="4" w:space="0" w:color="A6A6A6" w:themeColor="background1" w:themeShade="A6"/>
              <w:bottom w:val="nil"/>
              <w:right w:val="single" w:sz="4" w:space="0" w:color="A6A6A6" w:themeColor="background1" w:themeShade="A6"/>
            </w:tcBorders>
            <w:shd w:val="clear" w:color="DDEBF7" w:fill="D9D9D9" w:themeFill="background1" w:themeFillShade="D9"/>
            <w:hideMark/>
          </w:tcPr>
          <w:p w:rsidR="004347ED" w:rsidRPr="004347ED" w:rsidRDefault="004347ED" w:rsidP="004347ED">
            <w:pPr>
              <w:pStyle w:val="TableText"/>
              <w:jc w:val="center"/>
              <w:rPr>
                <w:b/>
                <w:lang w:eastAsia="en-NZ"/>
              </w:rPr>
            </w:pPr>
            <w:r w:rsidRPr="004347ED">
              <w:rPr>
                <w:b/>
                <w:lang w:eastAsia="en-NZ"/>
              </w:rPr>
              <w:t>Metastases</w:t>
            </w:r>
            <w:r>
              <w:rPr>
                <w:b/>
                <w:lang w:eastAsia="en-NZ"/>
              </w:rPr>
              <w:br/>
            </w:r>
            <w:r w:rsidRPr="004347ED">
              <w:rPr>
                <w:b/>
                <w:lang w:eastAsia="en-NZ"/>
              </w:rPr>
              <w:t>(M)</w:t>
            </w:r>
            <w:r w:rsidRPr="004347ED">
              <w:rPr>
                <w:rStyle w:val="FootnoteReference"/>
              </w:rPr>
              <w:footnoteReference w:id="1"/>
            </w:r>
          </w:p>
        </w:tc>
        <w:tc>
          <w:tcPr>
            <w:tcW w:w="1304" w:type="dxa"/>
            <w:gridSpan w:val="2"/>
            <w:tcBorders>
              <w:top w:val="nil"/>
              <w:left w:val="single" w:sz="4" w:space="0" w:color="A6A6A6" w:themeColor="background1" w:themeShade="A6"/>
              <w:bottom w:val="nil"/>
              <w:right w:val="single" w:sz="4" w:space="0" w:color="A6A6A6" w:themeColor="background1" w:themeShade="A6"/>
            </w:tcBorders>
            <w:shd w:val="clear" w:color="DDEBF7" w:fill="D9D9D9" w:themeFill="background1" w:themeFillShade="D9"/>
            <w:hideMark/>
          </w:tcPr>
          <w:p w:rsidR="004347ED" w:rsidRPr="004347ED" w:rsidRDefault="004347ED" w:rsidP="004347ED">
            <w:pPr>
              <w:pStyle w:val="TableText"/>
              <w:jc w:val="center"/>
              <w:rPr>
                <w:b/>
                <w:lang w:eastAsia="en-NZ"/>
              </w:rPr>
            </w:pPr>
            <w:r w:rsidRPr="004347ED">
              <w:rPr>
                <w:b/>
                <w:lang w:eastAsia="en-NZ"/>
              </w:rPr>
              <w:t>Any</w:t>
            </w:r>
            <w:r w:rsidRPr="004347ED">
              <w:rPr>
                <w:b/>
              </w:rPr>
              <w:br/>
              <w:t>(T,</w:t>
            </w:r>
            <w:r w:rsidR="00B96170">
              <w:rPr>
                <w:b/>
              </w:rPr>
              <w:t xml:space="preserve"> </w:t>
            </w:r>
            <w:r w:rsidRPr="004347ED">
              <w:rPr>
                <w:b/>
              </w:rPr>
              <w:t>N or M)</w:t>
            </w:r>
          </w:p>
        </w:tc>
        <w:tc>
          <w:tcPr>
            <w:tcW w:w="1305" w:type="dxa"/>
            <w:gridSpan w:val="2"/>
            <w:tcBorders>
              <w:top w:val="nil"/>
              <w:left w:val="single" w:sz="4" w:space="0" w:color="A6A6A6" w:themeColor="background1" w:themeShade="A6"/>
              <w:bottom w:val="nil"/>
            </w:tcBorders>
            <w:shd w:val="clear" w:color="DDEBF7" w:fill="D9D9D9" w:themeFill="background1" w:themeFillShade="D9"/>
            <w:hideMark/>
          </w:tcPr>
          <w:p w:rsidR="004347ED" w:rsidRPr="004347ED" w:rsidRDefault="004347ED" w:rsidP="004347ED">
            <w:pPr>
              <w:pStyle w:val="TableText"/>
              <w:jc w:val="center"/>
              <w:rPr>
                <w:b/>
                <w:lang w:eastAsia="en-NZ"/>
              </w:rPr>
            </w:pPr>
            <w:r w:rsidRPr="004347ED">
              <w:rPr>
                <w:b/>
                <w:lang w:eastAsia="en-NZ"/>
              </w:rPr>
              <w:t>All</w:t>
            </w:r>
            <w:r w:rsidRPr="004347ED">
              <w:rPr>
                <w:b/>
              </w:rPr>
              <w:br/>
              <w:t>(T,</w:t>
            </w:r>
            <w:r w:rsidR="00B96170">
              <w:rPr>
                <w:b/>
              </w:rPr>
              <w:t xml:space="preserve"> </w:t>
            </w:r>
            <w:r w:rsidRPr="004347ED">
              <w:rPr>
                <w:b/>
              </w:rPr>
              <w:t>N and M)</w:t>
            </w:r>
          </w:p>
        </w:tc>
      </w:tr>
      <w:tr w:rsidR="004347ED" w:rsidRPr="004347ED" w:rsidTr="004347ED">
        <w:trPr>
          <w:cantSplit/>
          <w:trHeight w:val="20"/>
        </w:trPr>
        <w:tc>
          <w:tcPr>
            <w:tcW w:w="709" w:type="dxa"/>
            <w:vMerge/>
            <w:tcBorders>
              <w:bottom w:val="nil"/>
              <w:right w:val="single" w:sz="4" w:space="0" w:color="A6A6A6" w:themeColor="background1" w:themeShade="A6"/>
            </w:tcBorders>
            <w:shd w:val="clear" w:color="DDEBF7" w:fill="D9D9D9" w:themeFill="background1" w:themeFillShade="D9"/>
            <w:noWrap/>
          </w:tcPr>
          <w:p w:rsidR="004347ED" w:rsidRPr="004347ED" w:rsidRDefault="004347ED" w:rsidP="004347ED">
            <w:pPr>
              <w:pStyle w:val="TableText"/>
              <w:spacing w:before="0"/>
              <w:rPr>
                <w:b/>
                <w:lang w:eastAsia="en-NZ"/>
              </w:rPr>
            </w:pPr>
          </w:p>
        </w:tc>
        <w:tc>
          <w:tcPr>
            <w:tcW w:w="850" w:type="dxa"/>
            <w:vMerge/>
            <w:tcBorders>
              <w:left w:val="single" w:sz="4" w:space="0" w:color="A6A6A6" w:themeColor="background1" w:themeShade="A6"/>
              <w:bottom w:val="nil"/>
              <w:right w:val="single" w:sz="4" w:space="0" w:color="A6A6A6" w:themeColor="background1" w:themeShade="A6"/>
            </w:tcBorders>
            <w:shd w:val="clear" w:color="DDEBF7" w:fill="D9D9D9" w:themeFill="background1" w:themeFillShade="D9"/>
            <w:noWrap/>
          </w:tcPr>
          <w:p w:rsidR="004347ED" w:rsidRPr="004347ED" w:rsidRDefault="004347ED" w:rsidP="004347ED">
            <w:pPr>
              <w:pStyle w:val="TableText"/>
              <w:spacing w:before="0"/>
              <w:jc w:val="center"/>
              <w:rPr>
                <w:b/>
                <w:lang w:eastAsia="en-NZ"/>
              </w:rPr>
            </w:pPr>
          </w:p>
        </w:tc>
        <w:tc>
          <w:tcPr>
            <w:tcW w:w="652" w:type="dxa"/>
            <w:tcBorders>
              <w:top w:val="nil"/>
              <w:left w:val="single" w:sz="4" w:space="0" w:color="A6A6A6" w:themeColor="background1" w:themeShade="A6"/>
              <w:bottom w:val="nil"/>
            </w:tcBorders>
            <w:shd w:val="clear" w:color="DDEBF7" w:fill="D9D9D9" w:themeFill="background1" w:themeFillShade="D9"/>
          </w:tcPr>
          <w:p w:rsidR="004347ED" w:rsidRPr="004347ED" w:rsidRDefault="004347ED" w:rsidP="004347ED">
            <w:pPr>
              <w:pStyle w:val="TableText"/>
              <w:spacing w:before="0"/>
              <w:jc w:val="center"/>
              <w:rPr>
                <w:b/>
                <w:lang w:eastAsia="en-NZ"/>
              </w:rPr>
            </w:pPr>
            <w:r w:rsidRPr="004347ED">
              <w:rPr>
                <w:b/>
                <w:lang w:eastAsia="en-NZ"/>
              </w:rPr>
              <w:t>N</w:t>
            </w:r>
          </w:p>
        </w:tc>
        <w:tc>
          <w:tcPr>
            <w:tcW w:w="652" w:type="dxa"/>
            <w:tcBorders>
              <w:top w:val="nil"/>
              <w:bottom w:val="nil"/>
              <w:right w:val="single" w:sz="4" w:space="0" w:color="A6A6A6" w:themeColor="background1" w:themeShade="A6"/>
            </w:tcBorders>
            <w:shd w:val="clear" w:color="DDEBF7" w:fill="D9D9D9" w:themeFill="background1" w:themeFillShade="D9"/>
          </w:tcPr>
          <w:p w:rsidR="004347ED" w:rsidRPr="004347ED" w:rsidRDefault="004347ED" w:rsidP="004347ED">
            <w:pPr>
              <w:pStyle w:val="TableText"/>
              <w:spacing w:before="0"/>
              <w:jc w:val="center"/>
              <w:rPr>
                <w:b/>
                <w:lang w:eastAsia="en-NZ"/>
              </w:rPr>
            </w:pPr>
            <w:r w:rsidRPr="004347ED">
              <w:rPr>
                <w:b/>
                <w:lang w:eastAsia="en-NZ"/>
              </w:rPr>
              <w:t>%</w:t>
            </w:r>
          </w:p>
        </w:tc>
        <w:tc>
          <w:tcPr>
            <w:tcW w:w="652" w:type="dxa"/>
            <w:tcBorders>
              <w:top w:val="nil"/>
              <w:left w:val="single" w:sz="4" w:space="0" w:color="A6A6A6" w:themeColor="background1" w:themeShade="A6"/>
              <w:bottom w:val="nil"/>
            </w:tcBorders>
            <w:shd w:val="clear" w:color="DDEBF7" w:fill="D9D9D9" w:themeFill="background1" w:themeFillShade="D9"/>
          </w:tcPr>
          <w:p w:rsidR="004347ED" w:rsidRPr="004347ED" w:rsidRDefault="004347ED" w:rsidP="004347ED">
            <w:pPr>
              <w:pStyle w:val="TableText"/>
              <w:spacing w:before="0"/>
              <w:jc w:val="center"/>
              <w:rPr>
                <w:b/>
                <w:lang w:eastAsia="en-NZ"/>
              </w:rPr>
            </w:pPr>
            <w:r w:rsidRPr="004347ED">
              <w:rPr>
                <w:b/>
                <w:lang w:eastAsia="en-NZ"/>
              </w:rPr>
              <w:t>N</w:t>
            </w:r>
          </w:p>
        </w:tc>
        <w:tc>
          <w:tcPr>
            <w:tcW w:w="652" w:type="dxa"/>
            <w:tcBorders>
              <w:top w:val="nil"/>
              <w:bottom w:val="nil"/>
              <w:right w:val="single" w:sz="4" w:space="0" w:color="A6A6A6" w:themeColor="background1" w:themeShade="A6"/>
            </w:tcBorders>
            <w:shd w:val="clear" w:color="DDEBF7" w:fill="D9D9D9" w:themeFill="background1" w:themeFillShade="D9"/>
          </w:tcPr>
          <w:p w:rsidR="004347ED" w:rsidRPr="004347ED" w:rsidRDefault="004347ED" w:rsidP="004347ED">
            <w:pPr>
              <w:pStyle w:val="TableText"/>
              <w:spacing w:before="0"/>
              <w:jc w:val="center"/>
              <w:rPr>
                <w:b/>
                <w:lang w:eastAsia="en-NZ"/>
              </w:rPr>
            </w:pPr>
            <w:r w:rsidRPr="004347ED">
              <w:rPr>
                <w:b/>
                <w:lang w:eastAsia="en-NZ"/>
              </w:rPr>
              <w:t>%</w:t>
            </w:r>
          </w:p>
        </w:tc>
        <w:tc>
          <w:tcPr>
            <w:tcW w:w="653" w:type="dxa"/>
            <w:tcBorders>
              <w:top w:val="nil"/>
              <w:left w:val="single" w:sz="4" w:space="0" w:color="A6A6A6" w:themeColor="background1" w:themeShade="A6"/>
              <w:bottom w:val="nil"/>
            </w:tcBorders>
            <w:shd w:val="clear" w:color="DDEBF7" w:fill="D9D9D9" w:themeFill="background1" w:themeFillShade="D9"/>
          </w:tcPr>
          <w:p w:rsidR="004347ED" w:rsidRPr="004347ED" w:rsidRDefault="004347ED" w:rsidP="004347ED">
            <w:pPr>
              <w:pStyle w:val="TableText"/>
              <w:spacing w:before="0"/>
              <w:jc w:val="center"/>
              <w:rPr>
                <w:b/>
                <w:lang w:eastAsia="en-NZ"/>
              </w:rPr>
            </w:pPr>
            <w:r w:rsidRPr="004347ED">
              <w:rPr>
                <w:b/>
                <w:lang w:eastAsia="en-NZ"/>
              </w:rPr>
              <w:t>N</w:t>
            </w:r>
          </w:p>
        </w:tc>
        <w:tc>
          <w:tcPr>
            <w:tcW w:w="652" w:type="dxa"/>
            <w:tcBorders>
              <w:top w:val="nil"/>
              <w:bottom w:val="nil"/>
              <w:right w:val="single" w:sz="4" w:space="0" w:color="A6A6A6" w:themeColor="background1" w:themeShade="A6"/>
            </w:tcBorders>
            <w:shd w:val="clear" w:color="DDEBF7" w:fill="D9D9D9" w:themeFill="background1" w:themeFillShade="D9"/>
          </w:tcPr>
          <w:p w:rsidR="004347ED" w:rsidRPr="004347ED" w:rsidRDefault="004347ED" w:rsidP="004347ED">
            <w:pPr>
              <w:pStyle w:val="TableText"/>
              <w:spacing w:before="0"/>
              <w:jc w:val="center"/>
              <w:rPr>
                <w:b/>
                <w:lang w:eastAsia="en-NZ"/>
              </w:rPr>
            </w:pPr>
            <w:r w:rsidRPr="004347ED">
              <w:rPr>
                <w:b/>
                <w:lang w:eastAsia="en-NZ"/>
              </w:rPr>
              <w:t>%</w:t>
            </w:r>
          </w:p>
        </w:tc>
        <w:tc>
          <w:tcPr>
            <w:tcW w:w="652" w:type="dxa"/>
            <w:tcBorders>
              <w:top w:val="nil"/>
              <w:left w:val="single" w:sz="4" w:space="0" w:color="A6A6A6" w:themeColor="background1" w:themeShade="A6"/>
              <w:bottom w:val="nil"/>
            </w:tcBorders>
            <w:shd w:val="clear" w:color="DDEBF7" w:fill="D9D9D9" w:themeFill="background1" w:themeFillShade="D9"/>
          </w:tcPr>
          <w:p w:rsidR="004347ED" w:rsidRPr="004347ED" w:rsidRDefault="004347ED" w:rsidP="004347ED">
            <w:pPr>
              <w:pStyle w:val="TableText"/>
              <w:spacing w:before="0"/>
              <w:jc w:val="center"/>
              <w:rPr>
                <w:b/>
                <w:lang w:eastAsia="en-NZ"/>
              </w:rPr>
            </w:pPr>
            <w:r w:rsidRPr="004347ED">
              <w:rPr>
                <w:b/>
                <w:lang w:eastAsia="en-NZ"/>
              </w:rPr>
              <w:t>N</w:t>
            </w:r>
          </w:p>
        </w:tc>
        <w:tc>
          <w:tcPr>
            <w:tcW w:w="652" w:type="dxa"/>
            <w:tcBorders>
              <w:top w:val="nil"/>
              <w:bottom w:val="nil"/>
              <w:right w:val="single" w:sz="4" w:space="0" w:color="A6A6A6" w:themeColor="background1" w:themeShade="A6"/>
            </w:tcBorders>
            <w:shd w:val="clear" w:color="DDEBF7" w:fill="D9D9D9" w:themeFill="background1" w:themeFillShade="D9"/>
          </w:tcPr>
          <w:p w:rsidR="004347ED" w:rsidRPr="004347ED" w:rsidRDefault="004347ED" w:rsidP="004347ED">
            <w:pPr>
              <w:pStyle w:val="TableText"/>
              <w:spacing w:before="0"/>
              <w:jc w:val="center"/>
              <w:rPr>
                <w:b/>
                <w:lang w:eastAsia="en-NZ"/>
              </w:rPr>
            </w:pPr>
            <w:r w:rsidRPr="004347ED">
              <w:rPr>
                <w:b/>
                <w:lang w:eastAsia="en-NZ"/>
              </w:rPr>
              <w:t>%</w:t>
            </w:r>
          </w:p>
        </w:tc>
        <w:tc>
          <w:tcPr>
            <w:tcW w:w="652" w:type="dxa"/>
            <w:tcBorders>
              <w:top w:val="nil"/>
              <w:left w:val="single" w:sz="4" w:space="0" w:color="A6A6A6" w:themeColor="background1" w:themeShade="A6"/>
              <w:bottom w:val="nil"/>
            </w:tcBorders>
            <w:shd w:val="clear" w:color="DDEBF7" w:fill="D9D9D9" w:themeFill="background1" w:themeFillShade="D9"/>
          </w:tcPr>
          <w:p w:rsidR="004347ED" w:rsidRPr="004347ED" w:rsidRDefault="004347ED" w:rsidP="004347ED">
            <w:pPr>
              <w:pStyle w:val="TableText"/>
              <w:spacing w:before="0"/>
              <w:jc w:val="center"/>
              <w:rPr>
                <w:b/>
                <w:lang w:eastAsia="en-NZ"/>
              </w:rPr>
            </w:pPr>
            <w:r w:rsidRPr="004347ED">
              <w:rPr>
                <w:b/>
                <w:lang w:eastAsia="en-NZ"/>
              </w:rPr>
              <w:t>N</w:t>
            </w:r>
          </w:p>
        </w:tc>
        <w:tc>
          <w:tcPr>
            <w:tcW w:w="653" w:type="dxa"/>
            <w:tcBorders>
              <w:top w:val="nil"/>
              <w:bottom w:val="nil"/>
            </w:tcBorders>
            <w:shd w:val="clear" w:color="DDEBF7" w:fill="D9D9D9" w:themeFill="background1" w:themeFillShade="D9"/>
          </w:tcPr>
          <w:p w:rsidR="004347ED" w:rsidRPr="004347ED" w:rsidRDefault="004347ED" w:rsidP="004347ED">
            <w:pPr>
              <w:pStyle w:val="TableText"/>
              <w:spacing w:before="0"/>
              <w:jc w:val="center"/>
              <w:rPr>
                <w:b/>
                <w:lang w:eastAsia="en-NZ"/>
              </w:rPr>
            </w:pPr>
            <w:r w:rsidRPr="004347ED">
              <w:rPr>
                <w:b/>
                <w:lang w:eastAsia="en-NZ"/>
              </w:rPr>
              <w:t>%</w:t>
            </w:r>
          </w:p>
        </w:tc>
      </w:tr>
      <w:tr w:rsidR="004347ED" w:rsidRPr="001818D7" w:rsidTr="004347ED">
        <w:trPr>
          <w:cantSplit/>
          <w:trHeight w:val="20"/>
        </w:trPr>
        <w:tc>
          <w:tcPr>
            <w:tcW w:w="709" w:type="dxa"/>
            <w:tcBorders>
              <w:top w:val="nil"/>
              <w:right w:val="single" w:sz="4" w:space="0" w:color="A6A6A6" w:themeColor="background1" w:themeShade="A6"/>
            </w:tcBorders>
            <w:shd w:val="clear" w:color="auto" w:fill="auto"/>
            <w:noWrap/>
            <w:hideMark/>
          </w:tcPr>
          <w:p w:rsidR="006A5D28" w:rsidRPr="001818D7" w:rsidRDefault="006A5D28" w:rsidP="004347ED">
            <w:pPr>
              <w:pStyle w:val="TableText"/>
              <w:rPr>
                <w:lang w:eastAsia="en-NZ"/>
              </w:rPr>
            </w:pPr>
            <w:r w:rsidRPr="001818D7">
              <w:rPr>
                <w:lang w:eastAsia="en-NZ"/>
              </w:rPr>
              <w:t>Total</w:t>
            </w:r>
          </w:p>
        </w:tc>
        <w:tc>
          <w:tcPr>
            <w:tcW w:w="850" w:type="dxa"/>
            <w:tcBorders>
              <w:top w:val="nil"/>
              <w:left w:val="single" w:sz="4" w:space="0" w:color="A6A6A6" w:themeColor="background1" w:themeShade="A6"/>
              <w:right w:val="single" w:sz="4" w:space="0" w:color="A6A6A6" w:themeColor="background1" w:themeShade="A6"/>
            </w:tcBorders>
            <w:shd w:val="clear" w:color="auto" w:fill="auto"/>
            <w:noWrap/>
            <w:hideMark/>
          </w:tcPr>
          <w:p w:rsidR="006A5D28" w:rsidRDefault="006A5D28" w:rsidP="004347ED">
            <w:pPr>
              <w:pStyle w:val="TableText"/>
              <w:jc w:val="center"/>
            </w:pPr>
            <w:r>
              <w:t>7</w:t>
            </w:r>
            <w:r w:rsidR="004347ED">
              <w:t>,</w:t>
            </w:r>
            <w:r>
              <w:t>170</w:t>
            </w:r>
          </w:p>
        </w:tc>
        <w:tc>
          <w:tcPr>
            <w:tcW w:w="652" w:type="dxa"/>
            <w:tcBorders>
              <w:top w:val="nil"/>
              <w:left w:val="single" w:sz="4" w:space="0" w:color="A6A6A6" w:themeColor="background1" w:themeShade="A6"/>
            </w:tcBorders>
            <w:shd w:val="clear" w:color="auto" w:fill="auto"/>
            <w:noWrap/>
            <w:hideMark/>
          </w:tcPr>
          <w:p w:rsidR="006A5D28" w:rsidRDefault="006A5D28" w:rsidP="004347ED">
            <w:pPr>
              <w:pStyle w:val="TableText"/>
              <w:jc w:val="center"/>
            </w:pPr>
            <w:r>
              <w:t>5</w:t>
            </w:r>
            <w:r w:rsidR="004347ED">
              <w:t>,</w:t>
            </w:r>
            <w:r>
              <w:t>791</w:t>
            </w:r>
          </w:p>
        </w:tc>
        <w:tc>
          <w:tcPr>
            <w:tcW w:w="652" w:type="dxa"/>
            <w:tcBorders>
              <w:top w:val="nil"/>
              <w:right w:val="single" w:sz="4" w:space="0" w:color="A6A6A6" w:themeColor="background1" w:themeShade="A6"/>
            </w:tcBorders>
            <w:shd w:val="clear" w:color="auto" w:fill="auto"/>
            <w:noWrap/>
            <w:hideMark/>
          </w:tcPr>
          <w:p w:rsidR="006A5D28" w:rsidRDefault="006A5D28" w:rsidP="004347ED">
            <w:pPr>
              <w:pStyle w:val="TableText"/>
              <w:jc w:val="center"/>
            </w:pPr>
            <w:r>
              <w:t>80.8</w:t>
            </w:r>
          </w:p>
        </w:tc>
        <w:tc>
          <w:tcPr>
            <w:tcW w:w="652" w:type="dxa"/>
            <w:tcBorders>
              <w:top w:val="nil"/>
              <w:left w:val="single" w:sz="4" w:space="0" w:color="A6A6A6" w:themeColor="background1" w:themeShade="A6"/>
            </w:tcBorders>
            <w:shd w:val="clear" w:color="auto" w:fill="auto"/>
            <w:noWrap/>
            <w:hideMark/>
          </w:tcPr>
          <w:p w:rsidR="006A5D28" w:rsidRDefault="006A5D28" w:rsidP="004347ED">
            <w:pPr>
              <w:pStyle w:val="TableText"/>
              <w:jc w:val="center"/>
            </w:pPr>
            <w:r>
              <w:t>5</w:t>
            </w:r>
            <w:r w:rsidR="004347ED">
              <w:t>,</w:t>
            </w:r>
            <w:r>
              <w:t>671</w:t>
            </w:r>
          </w:p>
        </w:tc>
        <w:tc>
          <w:tcPr>
            <w:tcW w:w="652" w:type="dxa"/>
            <w:tcBorders>
              <w:top w:val="nil"/>
              <w:right w:val="single" w:sz="4" w:space="0" w:color="A6A6A6" w:themeColor="background1" w:themeShade="A6"/>
            </w:tcBorders>
            <w:shd w:val="clear" w:color="auto" w:fill="auto"/>
            <w:noWrap/>
            <w:hideMark/>
          </w:tcPr>
          <w:p w:rsidR="006A5D28" w:rsidRDefault="006A5D28" w:rsidP="004347ED">
            <w:pPr>
              <w:pStyle w:val="TableText"/>
              <w:jc w:val="center"/>
            </w:pPr>
            <w:r>
              <w:t>79.1</w:t>
            </w:r>
          </w:p>
        </w:tc>
        <w:tc>
          <w:tcPr>
            <w:tcW w:w="653" w:type="dxa"/>
            <w:tcBorders>
              <w:top w:val="nil"/>
              <w:left w:val="single" w:sz="4" w:space="0" w:color="A6A6A6" w:themeColor="background1" w:themeShade="A6"/>
            </w:tcBorders>
            <w:shd w:val="clear" w:color="auto" w:fill="auto"/>
            <w:noWrap/>
            <w:hideMark/>
          </w:tcPr>
          <w:p w:rsidR="006A5D28" w:rsidRDefault="006A5D28" w:rsidP="004347ED">
            <w:pPr>
              <w:pStyle w:val="TableText"/>
              <w:jc w:val="center"/>
            </w:pPr>
            <w:r>
              <w:t>821</w:t>
            </w:r>
          </w:p>
        </w:tc>
        <w:tc>
          <w:tcPr>
            <w:tcW w:w="652" w:type="dxa"/>
            <w:tcBorders>
              <w:top w:val="nil"/>
              <w:right w:val="single" w:sz="4" w:space="0" w:color="A6A6A6" w:themeColor="background1" w:themeShade="A6"/>
            </w:tcBorders>
            <w:shd w:val="clear" w:color="auto" w:fill="auto"/>
            <w:noWrap/>
            <w:hideMark/>
          </w:tcPr>
          <w:p w:rsidR="006A5D28" w:rsidRDefault="006A5D28" w:rsidP="004347ED">
            <w:pPr>
              <w:pStyle w:val="TableText"/>
              <w:tabs>
                <w:tab w:val="decimal" w:pos="294"/>
              </w:tabs>
            </w:pPr>
            <w:r>
              <w:t>11.5</w:t>
            </w:r>
          </w:p>
        </w:tc>
        <w:tc>
          <w:tcPr>
            <w:tcW w:w="652" w:type="dxa"/>
            <w:tcBorders>
              <w:top w:val="nil"/>
              <w:left w:val="single" w:sz="4" w:space="0" w:color="A6A6A6" w:themeColor="background1" w:themeShade="A6"/>
            </w:tcBorders>
            <w:shd w:val="clear" w:color="auto" w:fill="auto"/>
            <w:noWrap/>
            <w:hideMark/>
          </w:tcPr>
          <w:p w:rsidR="006A5D28" w:rsidRDefault="006A5D28" w:rsidP="004347ED">
            <w:pPr>
              <w:pStyle w:val="TableText"/>
              <w:jc w:val="center"/>
            </w:pPr>
            <w:r>
              <w:t>5</w:t>
            </w:r>
            <w:r w:rsidR="004347ED">
              <w:t>,</w:t>
            </w:r>
            <w:r>
              <w:t>797</w:t>
            </w:r>
          </w:p>
        </w:tc>
        <w:tc>
          <w:tcPr>
            <w:tcW w:w="652" w:type="dxa"/>
            <w:tcBorders>
              <w:top w:val="nil"/>
              <w:right w:val="single" w:sz="4" w:space="0" w:color="A6A6A6" w:themeColor="background1" w:themeShade="A6"/>
            </w:tcBorders>
            <w:shd w:val="clear" w:color="auto" w:fill="auto"/>
            <w:noWrap/>
            <w:hideMark/>
          </w:tcPr>
          <w:p w:rsidR="006A5D28" w:rsidRDefault="006A5D28" w:rsidP="004347ED">
            <w:pPr>
              <w:pStyle w:val="TableText"/>
              <w:jc w:val="center"/>
            </w:pPr>
            <w:r>
              <w:t>80.9</w:t>
            </w:r>
          </w:p>
        </w:tc>
        <w:tc>
          <w:tcPr>
            <w:tcW w:w="652" w:type="dxa"/>
            <w:tcBorders>
              <w:top w:val="nil"/>
              <w:left w:val="single" w:sz="4" w:space="0" w:color="A6A6A6" w:themeColor="background1" w:themeShade="A6"/>
            </w:tcBorders>
            <w:shd w:val="clear" w:color="auto" w:fill="auto"/>
            <w:noWrap/>
            <w:hideMark/>
          </w:tcPr>
          <w:p w:rsidR="006A5D28" w:rsidRDefault="006A5D28" w:rsidP="004347ED">
            <w:pPr>
              <w:pStyle w:val="TableText"/>
              <w:jc w:val="center"/>
            </w:pPr>
            <w:r>
              <w:t>820</w:t>
            </w:r>
          </w:p>
        </w:tc>
        <w:tc>
          <w:tcPr>
            <w:tcW w:w="653" w:type="dxa"/>
            <w:tcBorders>
              <w:top w:val="nil"/>
            </w:tcBorders>
            <w:shd w:val="clear" w:color="auto" w:fill="auto"/>
            <w:noWrap/>
            <w:hideMark/>
          </w:tcPr>
          <w:p w:rsidR="006A5D28" w:rsidRDefault="006A5D28" w:rsidP="004347ED">
            <w:pPr>
              <w:pStyle w:val="TableText"/>
              <w:tabs>
                <w:tab w:val="decimal" w:pos="278"/>
              </w:tabs>
            </w:pPr>
            <w:r>
              <w:t>11.4</w:t>
            </w:r>
          </w:p>
        </w:tc>
      </w:tr>
      <w:tr w:rsidR="00076E1A" w:rsidRPr="001818D7" w:rsidTr="004347ED">
        <w:trPr>
          <w:cantSplit/>
          <w:trHeight w:val="20"/>
        </w:trPr>
        <w:tc>
          <w:tcPr>
            <w:tcW w:w="709" w:type="dxa"/>
            <w:tcBorders>
              <w:right w:val="single" w:sz="4" w:space="0" w:color="A6A6A6" w:themeColor="background1" w:themeShade="A6"/>
            </w:tcBorders>
            <w:shd w:val="clear" w:color="auto" w:fill="auto"/>
            <w:noWrap/>
            <w:hideMark/>
          </w:tcPr>
          <w:p w:rsidR="00076E1A" w:rsidRPr="001818D7" w:rsidRDefault="00076E1A" w:rsidP="00076E1A">
            <w:pPr>
              <w:pStyle w:val="TableText"/>
              <w:jc w:val="right"/>
              <w:rPr>
                <w:lang w:eastAsia="en-NZ"/>
              </w:rPr>
            </w:pPr>
            <w:r w:rsidRPr="001818D7">
              <w:rPr>
                <w:lang w:eastAsia="en-NZ"/>
              </w:rPr>
              <w:t>2013</w:t>
            </w:r>
          </w:p>
        </w:tc>
        <w:tc>
          <w:tcPr>
            <w:tcW w:w="850" w:type="dxa"/>
            <w:tcBorders>
              <w:left w:val="single" w:sz="4" w:space="0" w:color="A6A6A6" w:themeColor="background1" w:themeShade="A6"/>
              <w:right w:val="single" w:sz="4" w:space="0" w:color="A6A6A6" w:themeColor="background1" w:themeShade="A6"/>
            </w:tcBorders>
            <w:shd w:val="clear" w:color="auto" w:fill="auto"/>
            <w:noWrap/>
          </w:tcPr>
          <w:p w:rsidR="00076E1A" w:rsidRDefault="00076E1A" w:rsidP="00076E1A">
            <w:pPr>
              <w:pStyle w:val="TableText"/>
              <w:jc w:val="center"/>
            </w:pPr>
            <w:r>
              <w:t>1,786</w:t>
            </w:r>
          </w:p>
        </w:tc>
        <w:tc>
          <w:tcPr>
            <w:tcW w:w="652" w:type="dxa"/>
            <w:tcBorders>
              <w:left w:val="single" w:sz="4" w:space="0" w:color="A6A6A6" w:themeColor="background1" w:themeShade="A6"/>
            </w:tcBorders>
            <w:shd w:val="clear" w:color="auto" w:fill="auto"/>
            <w:noWrap/>
          </w:tcPr>
          <w:p w:rsidR="00076E1A" w:rsidRDefault="00076E1A" w:rsidP="00076E1A">
            <w:pPr>
              <w:pStyle w:val="TableText"/>
              <w:jc w:val="center"/>
            </w:pPr>
            <w:r>
              <w:t>1,448</w:t>
            </w:r>
          </w:p>
        </w:tc>
        <w:tc>
          <w:tcPr>
            <w:tcW w:w="652" w:type="dxa"/>
            <w:tcBorders>
              <w:right w:val="single" w:sz="4" w:space="0" w:color="A6A6A6" w:themeColor="background1" w:themeShade="A6"/>
            </w:tcBorders>
            <w:shd w:val="clear" w:color="auto" w:fill="auto"/>
            <w:noWrap/>
          </w:tcPr>
          <w:p w:rsidR="00076E1A" w:rsidRDefault="00076E1A" w:rsidP="00076E1A">
            <w:pPr>
              <w:pStyle w:val="TableText"/>
              <w:jc w:val="center"/>
            </w:pPr>
            <w:r>
              <w:t>81.1</w:t>
            </w:r>
          </w:p>
        </w:tc>
        <w:tc>
          <w:tcPr>
            <w:tcW w:w="652" w:type="dxa"/>
            <w:tcBorders>
              <w:left w:val="single" w:sz="4" w:space="0" w:color="A6A6A6" w:themeColor="background1" w:themeShade="A6"/>
            </w:tcBorders>
            <w:shd w:val="clear" w:color="auto" w:fill="auto"/>
            <w:noWrap/>
          </w:tcPr>
          <w:p w:rsidR="00076E1A" w:rsidRDefault="00076E1A" w:rsidP="00076E1A">
            <w:pPr>
              <w:pStyle w:val="TableText"/>
              <w:jc w:val="center"/>
            </w:pPr>
            <w:r>
              <w:t>1,424</w:t>
            </w:r>
          </w:p>
        </w:tc>
        <w:tc>
          <w:tcPr>
            <w:tcW w:w="652" w:type="dxa"/>
            <w:tcBorders>
              <w:right w:val="single" w:sz="4" w:space="0" w:color="A6A6A6" w:themeColor="background1" w:themeShade="A6"/>
            </w:tcBorders>
            <w:shd w:val="clear" w:color="auto" w:fill="auto"/>
            <w:noWrap/>
          </w:tcPr>
          <w:p w:rsidR="00076E1A" w:rsidRDefault="00076E1A" w:rsidP="00076E1A">
            <w:pPr>
              <w:pStyle w:val="TableText"/>
              <w:jc w:val="center"/>
            </w:pPr>
            <w:r>
              <w:t>79.7</w:t>
            </w:r>
          </w:p>
        </w:tc>
        <w:tc>
          <w:tcPr>
            <w:tcW w:w="653" w:type="dxa"/>
            <w:tcBorders>
              <w:left w:val="single" w:sz="4" w:space="0" w:color="A6A6A6" w:themeColor="background1" w:themeShade="A6"/>
            </w:tcBorders>
            <w:shd w:val="clear" w:color="auto" w:fill="auto"/>
            <w:noWrap/>
          </w:tcPr>
          <w:p w:rsidR="00076E1A" w:rsidRDefault="00076E1A" w:rsidP="00076E1A">
            <w:pPr>
              <w:pStyle w:val="TableText"/>
              <w:jc w:val="center"/>
            </w:pPr>
            <w:r>
              <w:t>137</w:t>
            </w:r>
          </w:p>
        </w:tc>
        <w:tc>
          <w:tcPr>
            <w:tcW w:w="652" w:type="dxa"/>
            <w:tcBorders>
              <w:right w:val="single" w:sz="4" w:space="0" w:color="A6A6A6" w:themeColor="background1" w:themeShade="A6"/>
            </w:tcBorders>
            <w:shd w:val="clear" w:color="auto" w:fill="auto"/>
            <w:noWrap/>
          </w:tcPr>
          <w:p w:rsidR="00076E1A" w:rsidRDefault="00076E1A" w:rsidP="00076E1A">
            <w:pPr>
              <w:pStyle w:val="TableText"/>
              <w:tabs>
                <w:tab w:val="decimal" w:pos="294"/>
              </w:tabs>
            </w:pPr>
            <w:r>
              <w:t>7.7</w:t>
            </w:r>
          </w:p>
        </w:tc>
        <w:tc>
          <w:tcPr>
            <w:tcW w:w="652" w:type="dxa"/>
            <w:tcBorders>
              <w:left w:val="single" w:sz="4" w:space="0" w:color="A6A6A6" w:themeColor="background1" w:themeShade="A6"/>
            </w:tcBorders>
            <w:shd w:val="clear" w:color="auto" w:fill="auto"/>
            <w:noWrap/>
          </w:tcPr>
          <w:p w:rsidR="00076E1A" w:rsidRDefault="00076E1A" w:rsidP="00076E1A">
            <w:pPr>
              <w:pStyle w:val="TableText"/>
              <w:jc w:val="center"/>
            </w:pPr>
            <w:r>
              <w:t>1,450</w:t>
            </w:r>
          </w:p>
        </w:tc>
        <w:tc>
          <w:tcPr>
            <w:tcW w:w="652" w:type="dxa"/>
            <w:tcBorders>
              <w:right w:val="single" w:sz="4" w:space="0" w:color="A6A6A6" w:themeColor="background1" w:themeShade="A6"/>
            </w:tcBorders>
            <w:shd w:val="clear" w:color="auto" w:fill="auto"/>
            <w:noWrap/>
          </w:tcPr>
          <w:p w:rsidR="00076E1A" w:rsidRDefault="00076E1A" w:rsidP="00076E1A">
            <w:pPr>
              <w:pStyle w:val="TableText"/>
              <w:jc w:val="center"/>
            </w:pPr>
            <w:r>
              <w:t>81.2</w:t>
            </w:r>
          </w:p>
        </w:tc>
        <w:tc>
          <w:tcPr>
            <w:tcW w:w="652" w:type="dxa"/>
            <w:tcBorders>
              <w:left w:val="single" w:sz="4" w:space="0" w:color="A6A6A6" w:themeColor="background1" w:themeShade="A6"/>
            </w:tcBorders>
            <w:shd w:val="clear" w:color="auto" w:fill="auto"/>
            <w:noWrap/>
          </w:tcPr>
          <w:p w:rsidR="00076E1A" w:rsidRDefault="00076E1A" w:rsidP="00076E1A">
            <w:pPr>
              <w:pStyle w:val="TableText"/>
              <w:jc w:val="center"/>
            </w:pPr>
            <w:r>
              <w:t>137</w:t>
            </w:r>
          </w:p>
        </w:tc>
        <w:tc>
          <w:tcPr>
            <w:tcW w:w="653" w:type="dxa"/>
            <w:shd w:val="clear" w:color="auto" w:fill="auto"/>
            <w:noWrap/>
          </w:tcPr>
          <w:p w:rsidR="00076E1A" w:rsidRDefault="00076E1A" w:rsidP="00076E1A">
            <w:pPr>
              <w:pStyle w:val="TableText"/>
              <w:tabs>
                <w:tab w:val="decimal" w:pos="278"/>
              </w:tabs>
            </w:pPr>
            <w:r>
              <w:t>7.7</w:t>
            </w:r>
          </w:p>
        </w:tc>
      </w:tr>
      <w:tr w:rsidR="00076E1A" w:rsidRPr="001818D7" w:rsidTr="00076E1A">
        <w:trPr>
          <w:cantSplit/>
          <w:trHeight w:val="20"/>
        </w:trPr>
        <w:tc>
          <w:tcPr>
            <w:tcW w:w="709" w:type="dxa"/>
            <w:tcBorders>
              <w:right w:val="single" w:sz="4" w:space="0" w:color="A6A6A6" w:themeColor="background1" w:themeShade="A6"/>
            </w:tcBorders>
            <w:shd w:val="clear" w:color="auto" w:fill="auto"/>
            <w:noWrap/>
          </w:tcPr>
          <w:p w:rsidR="00076E1A" w:rsidRPr="001818D7" w:rsidRDefault="00076E1A" w:rsidP="00076E1A">
            <w:pPr>
              <w:pStyle w:val="TableText"/>
              <w:jc w:val="right"/>
              <w:rPr>
                <w:lang w:eastAsia="en-NZ"/>
              </w:rPr>
            </w:pPr>
            <w:r w:rsidRPr="001818D7">
              <w:rPr>
                <w:lang w:eastAsia="en-NZ"/>
              </w:rPr>
              <w:t>2014</w:t>
            </w:r>
          </w:p>
        </w:tc>
        <w:tc>
          <w:tcPr>
            <w:tcW w:w="850" w:type="dxa"/>
            <w:tcBorders>
              <w:left w:val="single" w:sz="4" w:space="0" w:color="A6A6A6" w:themeColor="background1" w:themeShade="A6"/>
              <w:right w:val="single" w:sz="4" w:space="0" w:color="A6A6A6" w:themeColor="background1" w:themeShade="A6"/>
            </w:tcBorders>
            <w:shd w:val="clear" w:color="auto" w:fill="auto"/>
            <w:noWrap/>
            <w:hideMark/>
          </w:tcPr>
          <w:p w:rsidR="00076E1A" w:rsidRDefault="00076E1A" w:rsidP="00076E1A">
            <w:pPr>
              <w:pStyle w:val="TableText"/>
              <w:jc w:val="center"/>
            </w:pPr>
            <w:r>
              <w:t>1,851</w:t>
            </w:r>
          </w:p>
        </w:tc>
        <w:tc>
          <w:tcPr>
            <w:tcW w:w="652" w:type="dxa"/>
            <w:tcBorders>
              <w:left w:val="single" w:sz="4" w:space="0" w:color="A6A6A6" w:themeColor="background1" w:themeShade="A6"/>
            </w:tcBorders>
            <w:shd w:val="clear" w:color="auto" w:fill="auto"/>
            <w:noWrap/>
            <w:hideMark/>
          </w:tcPr>
          <w:p w:rsidR="00076E1A" w:rsidRDefault="00076E1A" w:rsidP="00076E1A">
            <w:pPr>
              <w:pStyle w:val="TableText"/>
              <w:jc w:val="center"/>
            </w:pPr>
            <w:r>
              <w:t>1,482</w:t>
            </w:r>
          </w:p>
        </w:tc>
        <w:tc>
          <w:tcPr>
            <w:tcW w:w="652" w:type="dxa"/>
            <w:tcBorders>
              <w:right w:val="single" w:sz="4" w:space="0" w:color="A6A6A6" w:themeColor="background1" w:themeShade="A6"/>
            </w:tcBorders>
            <w:shd w:val="clear" w:color="auto" w:fill="auto"/>
            <w:noWrap/>
            <w:hideMark/>
          </w:tcPr>
          <w:p w:rsidR="00076E1A" w:rsidRDefault="00076E1A" w:rsidP="00076E1A">
            <w:pPr>
              <w:pStyle w:val="TableText"/>
              <w:jc w:val="center"/>
            </w:pPr>
            <w:r>
              <w:t>80.1</w:t>
            </w:r>
          </w:p>
        </w:tc>
        <w:tc>
          <w:tcPr>
            <w:tcW w:w="652" w:type="dxa"/>
            <w:tcBorders>
              <w:left w:val="single" w:sz="4" w:space="0" w:color="A6A6A6" w:themeColor="background1" w:themeShade="A6"/>
            </w:tcBorders>
            <w:shd w:val="clear" w:color="auto" w:fill="auto"/>
            <w:noWrap/>
            <w:hideMark/>
          </w:tcPr>
          <w:p w:rsidR="00076E1A" w:rsidRDefault="00076E1A" w:rsidP="00076E1A">
            <w:pPr>
              <w:pStyle w:val="TableText"/>
              <w:jc w:val="center"/>
            </w:pPr>
            <w:r>
              <w:t>1,455</w:t>
            </w:r>
          </w:p>
        </w:tc>
        <w:tc>
          <w:tcPr>
            <w:tcW w:w="652" w:type="dxa"/>
            <w:tcBorders>
              <w:right w:val="single" w:sz="4" w:space="0" w:color="A6A6A6" w:themeColor="background1" w:themeShade="A6"/>
            </w:tcBorders>
            <w:shd w:val="clear" w:color="auto" w:fill="auto"/>
            <w:noWrap/>
            <w:hideMark/>
          </w:tcPr>
          <w:p w:rsidR="00076E1A" w:rsidRDefault="00076E1A" w:rsidP="00076E1A">
            <w:pPr>
              <w:pStyle w:val="TableText"/>
              <w:jc w:val="center"/>
            </w:pPr>
            <w:r>
              <w:t>78.6</w:t>
            </w:r>
          </w:p>
        </w:tc>
        <w:tc>
          <w:tcPr>
            <w:tcW w:w="653" w:type="dxa"/>
            <w:tcBorders>
              <w:left w:val="single" w:sz="4" w:space="0" w:color="A6A6A6" w:themeColor="background1" w:themeShade="A6"/>
            </w:tcBorders>
            <w:shd w:val="clear" w:color="auto" w:fill="auto"/>
            <w:noWrap/>
            <w:hideMark/>
          </w:tcPr>
          <w:p w:rsidR="00076E1A" w:rsidRDefault="00076E1A" w:rsidP="00076E1A">
            <w:pPr>
              <w:pStyle w:val="TableText"/>
              <w:jc w:val="center"/>
            </w:pPr>
            <w:r>
              <w:t>243</w:t>
            </w:r>
          </w:p>
        </w:tc>
        <w:tc>
          <w:tcPr>
            <w:tcW w:w="652" w:type="dxa"/>
            <w:tcBorders>
              <w:right w:val="single" w:sz="4" w:space="0" w:color="A6A6A6" w:themeColor="background1" w:themeShade="A6"/>
            </w:tcBorders>
            <w:shd w:val="clear" w:color="auto" w:fill="auto"/>
            <w:noWrap/>
            <w:hideMark/>
          </w:tcPr>
          <w:p w:rsidR="00076E1A" w:rsidRDefault="00076E1A" w:rsidP="00076E1A">
            <w:pPr>
              <w:pStyle w:val="TableText"/>
              <w:tabs>
                <w:tab w:val="decimal" w:pos="294"/>
              </w:tabs>
            </w:pPr>
            <w:r>
              <w:t>13.1</w:t>
            </w:r>
          </w:p>
        </w:tc>
        <w:tc>
          <w:tcPr>
            <w:tcW w:w="652" w:type="dxa"/>
            <w:tcBorders>
              <w:left w:val="single" w:sz="4" w:space="0" w:color="A6A6A6" w:themeColor="background1" w:themeShade="A6"/>
            </w:tcBorders>
            <w:shd w:val="clear" w:color="auto" w:fill="auto"/>
            <w:noWrap/>
            <w:hideMark/>
          </w:tcPr>
          <w:p w:rsidR="00076E1A" w:rsidRDefault="00076E1A" w:rsidP="00076E1A">
            <w:pPr>
              <w:pStyle w:val="TableText"/>
              <w:jc w:val="center"/>
            </w:pPr>
            <w:r>
              <w:t>1,482</w:t>
            </w:r>
          </w:p>
        </w:tc>
        <w:tc>
          <w:tcPr>
            <w:tcW w:w="652" w:type="dxa"/>
            <w:tcBorders>
              <w:right w:val="single" w:sz="4" w:space="0" w:color="A6A6A6" w:themeColor="background1" w:themeShade="A6"/>
            </w:tcBorders>
            <w:shd w:val="clear" w:color="auto" w:fill="auto"/>
            <w:noWrap/>
            <w:hideMark/>
          </w:tcPr>
          <w:p w:rsidR="00076E1A" w:rsidRDefault="00076E1A" w:rsidP="00076E1A">
            <w:pPr>
              <w:pStyle w:val="TableText"/>
              <w:jc w:val="center"/>
            </w:pPr>
            <w:r>
              <w:t>80.1</w:t>
            </w:r>
          </w:p>
        </w:tc>
        <w:tc>
          <w:tcPr>
            <w:tcW w:w="652" w:type="dxa"/>
            <w:tcBorders>
              <w:left w:val="single" w:sz="4" w:space="0" w:color="A6A6A6" w:themeColor="background1" w:themeShade="A6"/>
            </w:tcBorders>
            <w:shd w:val="clear" w:color="auto" w:fill="auto"/>
            <w:noWrap/>
            <w:hideMark/>
          </w:tcPr>
          <w:p w:rsidR="00076E1A" w:rsidRDefault="00076E1A" w:rsidP="00076E1A">
            <w:pPr>
              <w:pStyle w:val="TableText"/>
              <w:jc w:val="center"/>
            </w:pPr>
            <w:r>
              <w:t>243</w:t>
            </w:r>
          </w:p>
        </w:tc>
        <w:tc>
          <w:tcPr>
            <w:tcW w:w="653" w:type="dxa"/>
            <w:shd w:val="clear" w:color="auto" w:fill="auto"/>
            <w:noWrap/>
            <w:hideMark/>
          </w:tcPr>
          <w:p w:rsidR="00076E1A" w:rsidRDefault="00076E1A" w:rsidP="00076E1A">
            <w:pPr>
              <w:pStyle w:val="TableText"/>
              <w:tabs>
                <w:tab w:val="decimal" w:pos="278"/>
              </w:tabs>
            </w:pPr>
            <w:r>
              <w:t>13.1</w:t>
            </w:r>
          </w:p>
        </w:tc>
      </w:tr>
      <w:tr w:rsidR="00076E1A" w:rsidRPr="001818D7" w:rsidTr="00076E1A">
        <w:trPr>
          <w:cantSplit/>
          <w:trHeight w:val="20"/>
        </w:trPr>
        <w:tc>
          <w:tcPr>
            <w:tcW w:w="709" w:type="dxa"/>
            <w:tcBorders>
              <w:right w:val="single" w:sz="4" w:space="0" w:color="A6A6A6" w:themeColor="background1" w:themeShade="A6"/>
            </w:tcBorders>
            <w:shd w:val="clear" w:color="auto" w:fill="auto"/>
            <w:noWrap/>
          </w:tcPr>
          <w:p w:rsidR="00076E1A" w:rsidRPr="001818D7" w:rsidRDefault="00076E1A" w:rsidP="00076E1A">
            <w:pPr>
              <w:pStyle w:val="TableText"/>
              <w:jc w:val="right"/>
              <w:rPr>
                <w:lang w:eastAsia="en-NZ"/>
              </w:rPr>
            </w:pPr>
            <w:r w:rsidRPr="001818D7">
              <w:rPr>
                <w:lang w:eastAsia="en-NZ"/>
              </w:rPr>
              <w:t>2015</w:t>
            </w:r>
          </w:p>
        </w:tc>
        <w:tc>
          <w:tcPr>
            <w:tcW w:w="850" w:type="dxa"/>
            <w:tcBorders>
              <w:left w:val="single" w:sz="4" w:space="0" w:color="A6A6A6" w:themeColor="background1" w:themeShade="A6"/>
              <w:right w:val="single" w:sz="4" w:space="0" w:color="A6A6A6" w:themeColor="background1" w:themeShade="A6"/>
            </w:tcBorders>
            <w:shd w:val="clear" w:color="auto" w:fill="auto"/>
            <w:noWrap/>
            <w:hideMark/>
          </w:tcPr>
          <w:p w:rsidR="00076E1A" w:rsidRDefault="00076E1A" w:rsidP="00076E1A">
            <w:pPr>
              <w:pStyle w:val="TableText"/>
              <w:jc w:val="center"/>
            </w:pPr>
            <w:r>
              <w:t>1,734</w:t>
            </w:r>
          </w:p>
        </w:tc>
        <w:tc>
          <w:tcPr>
            <w:tcW w:w="652" w:type="dxa"/>
            <w:tcBorders>
              <w:left w:val="single" w:sz="4" w:space="0" w:color="A6A6A6" w:themeColor="background1" w:themeShade="A6"/>
            </w:tcBorders>
            <w:shd w:val="clear" w:color="auto" w:fill="auto"/>
            <w:noWrap/>
            <w:hideMark/>
          </w:tcPr>
          <w:p w:rsidR="00076E1A" w:rsidRDefault="00076E1A" w:rsidP="00076E1A">
            <w:pPr>
              <w:pStyle w:val="TableText"/>
              <w:jc w:val="center"/>
            </w:pPr>
            <w:r>
              <w:t>1,418</w:t>
            </w:r>
          </w:p>
        </w:tc>
        <w:tc>
          <w:tcPr>
            <w:tcW w:w="652" w:type="dxa"/>
            <w:tcBorders>
              <w:right w:val="single" w:sz="4" w:space="0" w:color="A6A6A6" w:themeColor="background1" w:themeShade="A6"/>
            </w:tcBorders>
            <w:shd w:val="clear" w:color="auto" w:fill="auto"/>
            <w:noWrap/>
            <w:hideMark/>
          </w:tcPr>
          <w:p w:rsidR="00076E1A" w:rsidRDefault="00076E1A" w:rsidP="00076E1A">
            <w:pPr>
              <w:pStyle w:val="TableText"/>
              <w:jc w:val="center"/>
            </w:pPr>
            <w:r>
              <w:t>81.8</w:t>
            </w:r>
          </w:p>
        </w:tc>
        <w:tc>
          <w:tcPr>
            <w:tcW w:w="652" w:type="dxa"/>
            <w:tcBorders>
              <w:left w:val="single" w:sz="4" w:space="0" w:color="A6A6A6" w:themeColor="background1" w:themeShade="A6"/>
            </w:tcBorders>
            <w:shd w:val="clear" w:color="auto" w:fill="auto"/>
            <w:noWrap/>
            <w:hideMark/>
          </w:tcPr>
          <w:p w:rsidR="00076E1A" w:rsidRDefault="00076E1A" w:rsidP="00076E1A">
            <w:pPr>
              <w:pStyle w:val="TableText"/>
              <w:jc w:val="center"/>
            </w:pPr>
            <w:r>
              <w:t>1,393</w:t>
            </w:r>
          </w:p>
        </w:tc>
        <w:tc>
          <w:tcPr>
            <w:tcW w:w="652" w:type="dxa"/>
            <w:tcBorders>
              <w:right w:val="single" w:sz="4" w:space="0" w:color="A6A6A6" w:themeColor="background1" w:themeShade="A6"/>
            </w:tcBorders>
            <w:shd w:val="clear" w:color="auto" w:fill="auto"/>
            <w:noWrap/>
            <w:hideMark/>
          </w:tcPr>
          <w:p w:rsidR="00076E1A" w:rsidRDefault="00076E1A" w:rsidP="00076E1A">
            <w:pPr>
              <w:pStyle w:val="TableText"/>
              <w:jc w:val="center"/>
            </w:pPr>
            <w:r>
              <w:t>80.3</w:t>
            </w:r>
          </w:p>
        </w:tc>
        <w:tc>
          <w:tcPr>
            <w:tcW w:w="653" w:type="dxa"/>
            <w:tcBorders>
              <w:left w:val="single" w:sz="4" w:space="0" w:color="A6A6A6" w:themeColor="background1" w:themeShade="A6"/>
            </w:tcBorders>
            <w:shd w:val="clear" w:color="auto" w:fill="auto"/>
            <w:noWrap/>
            <w:hideMark/>
          </w:tcPr>
          <w:p w:rsidR="00076E1A" w:rsidRDefault="00076E1A" w:rsidP="00076E1A">
            <w:pPr>
              <w:pStyle w:val="TableText"/>
              <w:jc w:val="center"/>
            </w:pPr>
            <w:r>
              <w:t>210</w:t>
            </w:r>
          </w:p>
        </w:tc>
        <w:tc>
          <w:tcPr>
            <w:tcW w:w="652" w:type="dxa"/>
            <w:tcBorders>
              <w:right w:val="single" w:sz="4" w:space="0" w:color="A6A6A6" w:themeColor="background1" w:themeShade="A6"/>
            </w:tcBorders>
            <w:shd w:val="clear" w:color="auto" w:fill="auto"/>
            <w:noWrap/>
            <w:hideMark/>
          </w:tcPr>
          <w:p w:rsidR="00076E1A" w:rsidRDefault="00076E1A" w:rsidP="00076E1A">
            <w:pPr>
              <w:pStyle w:val="TableText"/>
              <w:tabs>
                <w:tab w:val="decimal" w:pos="294"/>
              </w:tabs>
            </w:pPr>
            <w:r>
              <w:t>12.1</w:t>
            </w:r>
          </w:p>
        </w:tc>
        <w:tc>
          <w:tcPr>
            <w:tcW w:w="652" w:type="dxa"/>
            <w:tcBorders>
              <w:left w:val="single" w:sz="4" w:space="0" w:color="A6A6A6" w:themeColor="background1" w:themeShade="A6"/>
            </w:tcBorders>
            <w:shd w:val="clear" w:color="auto" w:fill="auto"/>
            <w:noWrap/>
            <w:hideMark/>
          </w:tcPr>
          <w:p w:rsidR="00076E1A" w:rsidRDefault="00076E1A" w:rsidP="00076E1A">
            <w:pPr>
              <w:pStyle w:val="TableText"/>
              <w:jc w:val="center"/>
            </w:pPr>
            <w:r>
              <w:t>1,419</w:t>
            </w:r>
          </w:p>
        </w:tc>
        <w:tc>
          <w:tcPr>
            <w:tcW w:w="652" w:type="dxa"/>
            <w:tcBorders>
              <w:right w:val="single" w:sz="4" w:space="0" w:color="A6A6A6" w:themeColor="background1" w:themeShade="A6"/>
            </w:tcBorders>
            <w:shd w:val="clear" w:color="auto" w:fill="auto"/>
            <w:noWrap/>
            <w:hideMark/>
          </w:tcPr>
          <w:p w:rsidR="00076E1A" w:rsidRDefault="00076E1A" w:rsidP="00076E1A">
            <w:pPr>
              <w:pStyle w:val="TableText"/>
              <w:jc w:val="center"/>
            </w:pPr>
            <w:r>
              <w:t>81.8</w:t>
            </w:r>
          </w:p>
        </w:tc>
        <w:tc>
          <w:tcPr>
            <w:tcW w:w="652" w:type="dxa"/>
            <w:tcBorders>
              <w:left w:val="single" w:sz="4" w:space="0" w:color="A6A6A6" w:themeColor="background1" w:themeShade="A6"/>
            </w:tcBorders>
            <w:shd w:val="clear" w:color="auto" w:fill="auto"/>
            <w:noWrap/>
            <w:hideMark/>
          </w:tcPr>
          <w:p w:rsidR="00076E1A" w:rsidRDefault="00076E1A" w:rsidP="00076E1A">
            <w:pPr>
              <w:pStyle w:val="TableText"/>
              <w:jc w:val="center"/>
            </w:pPr>
            <w:r>
              <w:t>210</w:t>
            </w:r>
          </w:p>
        </w:tc>
        <w:tc>
          <w:tcPr>
            <w:tcW w:w="653" w:type="dxa"/>
            <w:shd w:val="clear" w:color="auto" w:fill="auto"/>
            <w:noWrap/>
            <w:hideMark/>
          </w:tcPr>
          <w:p w:rsidR="00076E1A" w:rsidRDefault="00076E1A" w:rsidP="00076E1A">
            <w:pPr>
              <w:pStyle w:val="TableText"/>
              <w:tabs>
                <w:tab w:val="decimal" w:pos="278"/>
              </w:tabs>
            </w:pPr>
            <w:r>
              <w:t>12.1</w:t>
            </w:r>
          </w:p>
        </w:tc>
      </w:tr>
      <w:tr w:rsidR="00076E1A" w:rsidRPr="001818D7" w:rsidTr="00076E1A">
        <w:trPr>
          <w:cantSplit/>
          <w:trHeight w:val="20"/>
        </w:trPr>
        <w:tc>
          <w:tcPr>
            <w:tcW w:w="709" w:type="dxa"/>
            <w:tcBorders>
              <w:right w:val="single" w:sz="4" w:space="0" w:color="A6A6A6" w:themeColor="background1" w:themeShade="A6"/>
            </w:tcBorders>
            <w:shd w:val="clear" w:color="auto" w:fill="auto"/>
            <w:noWrap/>
          </w:tcPr>
          <w:p w:rsidR="00076E1A" w:rsidRPr="001818D7" w:rsidRDefault="00076E1A" w:rsidP="00076E1A">
            <w:pPr>
              <w:pStyle w:val="TableText"/>
              <w:jc w:val="right"/>
              <w:rPr>
                <w:lang w:eastAsia="en-NZ"/>
              </w:rPr>
            </w:pPr>
            <w:r w:rsidRPr="001818D7">
              <w:rPr>
                <w:lang w:eastAsia="en-NZ"/>
              </w:rPr>
              <w:t>2016</w:t>
            </w:r>
          </w:p>
        </w:tc>
        <w:tc>
          <w:tcPr>
            <w:tcW w:w="850" w:type="dxa"/>
            <w:tcBorders>
              <w:left w:val="single" w:sz="4" w:space="0" w:color="A6A6A6" w:themeColor="background1" w:themeShade="A6"/>
              <w:right w:val="single" w:sz="4" w:space="0" w:color="A6A6A6" w:themeColor="background1" w:themeShade="A6"/>
            </w:tcBorders>
            <w:shd w:val="clear" w:color="auto" w:fill="auto"/>
            <w:noWrap/>
            <w:hideMark/>
          </w:tcPr>
          <w:p w:rsidR="00076E1A" w:rsidRDefault="00076E1A" w:rsidP="00076E1A">
            <w:pPr>
              <w:pStyle w:val="TableText"/>
              <w:jc w:val="center"/>
            </w:pPr>
            <w:r>
              <w:t>1,799</w:t>
            </w:r>
          </w:p>
        </w:tc>
        <w:tc>
          <w:tcPr>
            <w:tcW w:w="652" w:type="dxa"/>
            <w:tcBorders>
              <w:left w:val="single" w:sz="4" w:space="0" w:color="A6A6A6" w:themeColor="background1" w:themeShade="A6"/>
            </w:tcBorders>
            <w:shd w:val="clear" w:color="auto" w:fill="auto"/>
            <w:noWrap/>
            <w:hideMark/>
          </w:tcPr>
          <w:p w:rsidR="00076E1A" w:rsidRDefault="00076E1A" w:rsidP="00076E1A">
            <w:pPr>
              <w:pStyle w:val="TableText"/>
              <w:jc w:val="center"/>
            </w:pPr>
            <w:r>
              <w:t>1,443</w:t>
            </w:r>
          </w:p>
        </w:tc>
        <w:tc>
          <w:tcPr>
            <w:tcW w:w="652" w:type="dxa"/>
            <w:tcBorders>
              <w:right w:val="single" w:sz="4" w:space="0" w:color="A6A6A6" w:themeColor="background1" w:themeShade="A6"/>
            </w:tcBorders>
            <w:shd w:val="clear" w:color="auto" w:fill="auto"/>
            <w:noWrap/>
            <w:hideMark/>
          </w:tcPr>
          <w:p w:rsidR="00076E1A" w:rsidRDefault="00076E1A" w:rsidP="00076E1A">
            <w:pPr>
              <w:pStyle w:val="TableText"/>
              <w:jc w:val="center"/>
            </w:pPr>
            <w:r>
              <w:t>80.2</w:t>
            </w:r>
          </w:p>
        </w:tc>
        <w:tc>
          <w:tcPr>
            <w:tcW w:w="652" w:type="dxa"/>
            <w:tcBorders>
              <w:left w:val="single" w:sz="4" w:space="0" w:color="A6A6A6" w:themeColor="background1" w:themeShade="A6"/>
            </w:tcBorders>
            <w:shd w:val="clear" w:color="auto" w:fill="auto"/>
            <w:noWrap/>
            <w:hideMark/>
          </w:tcPr>
          <w:p w:rsidR="00076E1A" w:rsidRDefault="00076E1A" w:rsidP="00076E1A">
            <w:pPr>
              <w:pStyle w:val="TableText"/>
              <w:jc w:val="center"/>
            </w:pPr>
            <w:r>
              <w:t>1,399</w:t>
            </w:r>
          </w:p>
        </w:tc>
        <w:tc>
          <w:tcPr>
            <w:tcW w:w="652" w:type="dxa"/>
            <w:tcBorders>
              <w:right w:val="single" w:sz="4" w:space="0" w:color="A6A6A6" w:themeColor="background1" w:themeShade="A6"/>
            </w:tcBorders>
            <w:shd w:val="clear" w:color="auto" w:fill="auto"/>
            <w:noWrap/>
            <w:hideMark/>
          </w:tcPr>
          <w:p w:rsidR="00076E1A" w:rsidRDefault="00076E1A" w:rsidP="00076E1A">
            <w:pPr>
              <w:pStyle w:val="TableText"/>
              <w:jc w:val="center"/>
            </w:pPr>
            <w:r>
              <w:t>77.8</w:t>
            </w:r>
          </w:p>
        </w:tc>
        <w:tc>
          <w:tcPr>
            <w:tcW w:w="653" w:type="dxa"/>
            <w:tcBorders>
              <w:left w:val="single" w:sz="4" w:space="0" w:color="A6A6A6" w:themeColor="background1" w:themeShade="A6"/>
            </w:tcBorders>
            <w:shd w:val="clear" w:color="auto" w:fill="auto"/>
            <w:noWrap/>
            <w:hideMark/>
          </w:tcPr>
          <w:p w:rsidR="00076E1A" w:rsidRDefault="00076E1A" w:rsidP="00076E1A">
            <w:pPr>
              <w:pStyle w:val="TableText"/>
              <w:jc w:val="center"/>
            </w:pPr>
            <w:r>
              <w:t>231</w:t>
            </w:r>
          </w:p>
        </w:tc>
        <w:tc>
          <w:tcPr>
            <w:tcW w:w="652" w:type="dxa"/>
            <w:tcBorders>
              <w:right w:val="single" w:sz="4" w:space="0" w:color="A6A6A6" w:themeColor="background1" w:themeShade="A6"/>
            </w:tcBorders>
            <w:shd w:val="clear" w:color="auto" w:fill="auto"/>
            <w:noWrap/>
            <w:hideMark/>
          </w:tcPr>
          <w:p w:rsidR="00076E1A" w:rsidRDefault="00076E1A" w:rsidP="00076E1A">
            <w:pPr>
              <w:pStyle w:val="TableText"/>
              <w:tabs>
                <w:tab w:val="decimal" w:pos="294"/>
              </w:tabs>
            </w:pPr>
            <w:r>
              <w:t>12.8</w:t>
            </w:r>
          </w:p>
        </w:tc>
        <w:tc>
          <w:tcPr>
            <w:tcW w:w="652" w:type="dxa"/>
            <w:tcBorders>
              <w:left w:val="single" w:sz="4" w:space="0" w:color="A6A6A6" w:themeColor="background1" w:themeShade="A6"/>
            </w:tcBorders>
            <w:shd w:val="clear" w:color="auto" w:fill="auto"/>
            <w:noWrap/>
            <w:hideMark/>
          </w:tcPr>
          <w:p w:rsidR="00076E1A" w:rsidRDefault="00076E1A" w:rsidP="00076E1A">
            <w:pPr>
              <w:pStyle w:val="TableText"/>
              <w:jc w:val="center"/>
            </w:pPr>
            <w:r>
              <w:t>1,446</w:t>
            </w:r>
          </w:p>
        </w:tc>
        <w:tc>
          <w:tcPr>
            <w:tcW w:w="652" w:type="dxa"/>
            <w:tcBorders>
              <w:right w:val="single" w:sz="4" w:space="0" w:color="A6A6A6" w:themeColor="background1" w:themeShade="A6"/>
            </w:tcBorders>
            <w:shd w:val="clear" w:color="auto" w:fill="auto"/>
            <w:noWrap/>
            <w:hideMark/>
          </w:tcPr>
          <w:p w:rsidR="00076E1A" w:rsidRDefault="00076E1A" w:rsidP="00076E1A">
            <w:pPr>
              <w:pStyle w:val="TableText"/>
              <w:jc w:val="center"/>
            </w:pPr>
            <w:r>
              <w:t>80.4</w:t>
            </w:r>
          </w:p>
        </w:tc>
        <w:tc>
          <w:tcPr>
            <w:tcW w:w="652" w:type="dxa"/>
            <w:tcBorders>
              <w:left w:val="single" w:sz="4" w:space="0" w:color="A6A6A6" w:themeColor="background1" w:themeShade="A6"/>
            </w:tcBorders>
            <w:shd w:val="clear" w:color="auto" w:fill="auto"/>
            <w:noWrap/>
            <w:hideMark/>
          </w:tcPr>
          <w:p w:rsidR="00076E1A" w:rsidRDefault="00076E1A" w:rsidP="00076E1A">
            <w:pPr>
              <w:pStyle w:val="TableText"/>
              <w:jc w:val="center"/>
            </w:pPr>
            <w:r>
              <w:t>230</w:t>
            </w:r>
          </w:p>
        </w:tc>
        <w:tc>
          <w:tcPr>
            <w:tcW w:w="653" w:type="dxa"/>
            <w:shd w:val="clear" w:color="auto" w:fill="auto"/>
            <w:noWrap/>
            <w:hideMark/>
          </w:tcPr>
          <w:p w:rsidR="00076E1A" w:rsidRDefault="00076E1A" w:rsidP="00076E1A">
            <w:pPr>
              <w:pStyle w:val="TableText"/>
              <w:tabs>
                <w:tab w:val="decimal" w:pos="278"/>
              </w:tabs>
            </w:pPr>
            <w:r>
              <w:t>12.8</w:t>
            </w:r>
          </w:p>
        </w:tc>
      </w:tr>
    </w:tbl>
    <w:p w:rsidR="006A5D28" w:rsidRDefault="006A5D28" w:rsidP="004347ED"/>
    <w:p w:rsidR="006A5D28" w:rsidRDefault="006A5D28" w:rsidP="004347ED">
      <w:pPr>
        <w:pStyle w:val="Heading2"/>
      </w:pPr>
      <w:bookmarkStart w:id="41" w:name="_Toc532290822"/>
      <w:bookmarkStart w:id="42" w:name="_Toc517853"/>
      <w:bookmarkStart w:id="43" w:name="_Toc2253732"/>
      <w:r>
        <w:t>Privately funded service provider data</w:t>
      </w:r>
      <w:bookmarkEnd w:id="41"/>
      <w:bookmarkEnd w:id="42"/>
      <w:bookmarkEnd w:id="43"/>
    </w:p>
    <w:p w:rsidR="006A5D28" w:rsidRDefault="006A5D28" w:rsidP="004347ED">
      <w:r>
        <w:t>The National Collections include all publicly funded hospital events. Private hospitals in New Zealand have recently begun voluntary submission of treatment data, but reporting was incomplete for the time period 2013–16. This report therefore does not include private care events. We hope that future quality reports will include this data.</w:t>
      </w:r>
    </w:p>
    <w:p w:rsidR="006A5D28" w:rsidRDefault="006A5D28" w:rsidP="004347ED"/>
    <w:p w:rsidR="006A5D28" w:rsidRDefault="006A5D28" w:rsidP="004347ED">
      <w:pPr>
        <w:pStyle w:val="Heading2"/>
      </w:pPr>
      <w:bookmarkStart w:id="44" w:name="_Toc532290823"/>
      <w:bookmarkStart w:id="45" w:name="_Toc517854"/>
      <w:bookmarkStart w:id="46" w:name="_Toc2253733"/>
      <w:r>
        <w:t>Definition of outcomes derived from the National Minimum D</w:t>
      </w:r>
      <w:bookmarkEnd w:id="44"/>
      <w:r>
        <w:t>ataset</w:t>
      </w:r>
      <w:bookmarkEnd w:id="45"/>
      <w:bookmarkEnd w:id="46"/>
    </w:p>
    <w:p w:rsidR="00E51135" w:rsidRDefault="006A5D28" w:rsidP="004347ED">
      <w:r>
        <w:t>We calculated length of hospital stay for patients undergoing major surgery, defined as the number of days between the date of surgical procedure as recorded in the NMDS and either discharge or death.</w:t>
      </w:r>
    </w:p>
    <w:p w:rsidR="004347ED" w:rsidRDefault="004347ED" w:rsidP="004347ED"/>
    <w:p w:rsidR="00E51135" w:rsidRDefault="006A5D28" w:rsidP="004347ED">
      <w:r>
        <w:t>We derived data on unplanned return to theatre within 30 days of surgery for patients undergoing major surgery, defined as return to theatre for surgery involving abdominal or wound complications within 30 days of surgery.</w:t>
      </w:r>
    </w:p>
    <w:p w:rsidR="004347ED" w:rsidRDefault="004347ED" w:rsidP="004347ED"/>
    <w:p w:rsidR="00E51135" w:rsidRDefault="006A5D28" w:rsidP="004347ED">
      <w:pPr>
        <w:keepLines/>
      </w:pPr>
      <w:r>
        <w:lastRenderedPageBreak/>
        <w:t xml:space="preserve">We estimated </w:t>
      </w:r>
      <w:r w:rsidRPr="00AB3A0D">
        <w:t>18-month stoma</w:t>
      </w:r>
      <w:r>
        <w:t>-free</w:t>
      </w:r>
      <w:r w:rsidRPr="00AB3A0D">
        <w:t xml:space="preserve"> rate</w:t>
      </w:r>
      <w:r>
        <w:t>s</w:t>
      </w:r>
      <w:r w:rsidRPr="00AB3A0D">
        <w:t xml:space="preserve"> for rectal cancer patients undergoing major surgery. </w:t>
      </w:r>
      <w:r>
        <w:t>We assumed that p</w:t>
      </w:r>
      <w:r w:rsidRPr="00AB3A0D">
        <w:t>atients undergoing an abdomino-perineal excision of the rectum (APER) (operation to remove the entire rectum and anal canal)</w:t>
      </w:r>
      <w:r>
        <w:t>,</w:t>
      </w:r>
      <w:r w:rsidRPr="00AB3A0D">
        <w:t xml:space="preserve"> Hartmann</w:t>
      </w:r>
      <w:r w:rsidR="00E51135">
        <w:t>’</w:t>
      </w:r>
      <w:r w:rsidRPr="00AB3A0D">
        <w:t xml:space="preserve">s procedure (operation to remove </w:t>
      </w:r>
      <w:r>
        <w:t xml:space="preserve">an </w:t>
      </w:r>
      <w:r w:rsidRPr="00AB3A0D">
        <w:t xml:space="preserve">area of bowel on </w:t>
      </w:r>
      <w:r>
        <w:t xml:space="preserve">the </w:t>
      </w:r>
      <w:r w:rsidRPr="00AB3A0D">
        <w:t>left</w:t>
      </w:r>
      <w:r>
        <w:t>-</w:t>
      </w:r>
      <w:r w:rsidRPr="00AB3A0D">
        <w:t xml:space="preserve">hand side with part of </w:t>
      </w:r>
      <w:r>
        <w:t xml:space="preserve">the </w:t>
      </w:r>
      <w:r w:rsidRPr="00AB3A0D">
        <w:t>rectum, leaving a colostomy) or other identified stoma</w:t>
      </w:r>
      <w:r>
        <w:t>-</w:t>
      </w:r>
      <w:r w:rsidRPr="00AB3A0D">
        <w:t xml:space="preserve">forming procedures had a stoma at the time of their primary procedure. </w:t>
      </w:r>
      <w:r>
        <w:t xml:space="preserve">We </w:t>
      </w:r>
      <w:r w:rsidRPr="00AB3A0D">
        <w:t xml:space="preserve">classified </w:t>
      </w:r>
      <w:r>
        <w:t xml:space="preserve">this </w:t>
      </w:r>
      <w:r w:rsidRPr="00AB3A0D">
        <w:t>as permanent in patients having an APER.</w:t>
      </w:r>
    </w:p>
    <w:p w:rsidR="004347ED" w:rsidRDefault="004347ED" w:rsidP="004347ED"/>
    <w:p w:rsidR="00E51135" w:rsidRDefault="006A5D28" w:rsidP="004347ED">
      <w:r>
        <w:t xml:space="preserve">We used </w:t>
      </w:r>
      <w:r w:rsidRPr="00AB3A0D">
        <w:t>NMDS data to capture whether patients received a stoma</w:t>
      </w:r>
      <w:r>
        <w:t>,</w:t>
      </w:r>
      <w:r w:rsidRPr="00AB3A0D">
        <w:t xml:space="preserve"> and the type of stomas that </w:t>
      </w:r>
      <w:r>
        <w:t xml:space="preserve">were </w:t>
      </w:r>
      <w:r w:rsidRPr="00AB3A0D">
        <w:t xml:space="preserve">created. In patients having an </w:t>
      </w:r>
      <w:r>
        <w:t>anterior resection (</w:t>
      </w:r>
      <w:r w:rsidRPr="00AB3A0D">
        <w:t>AR</w:t>
      </w:r>
      <w:r>
        <w:t>)</w:t>
      </w:r>
      <w:r w:rsidRPr="00AB3A0D">
        <w:t xml:space="preserve"> or Hartmann</w:t>
      </w:r>
      <w:r w:rsidR="00E51135">
        <w:t>’</w:t>
      </w:r>
      <w:r w:rsidRPr="00AB3A0D">
        <w:t xml:space="preserve">s procedure, </w:t>
      </w:r>
      <w:r>
        <w:t xml:space="preserve">we also obtained </w:t>
      </w:r>
      <w:r w:rsidRPr="00AB3A0D">
        <w:t xml:space="preserve">information on subsequent stoma reversal from NMDS. </w:t>
      </w:r>
      <w:r>
        <w:t>We assumed a</w:t>
      </w:r>
      <w:r w:rsidRPr="00AB3A0D">
        <w:t xml:space="preserve"> procedure code for reversal of ileostomy</w:t>
      </w:r>
      <w:r w:rsidRPr="004347ED">
        <w:rPr>
          <w:rStyle w:val="FootnoteReference"/>
        </w:rPr>
        <w:footnoteReference w:id="2"/>
      </w:r>
      <w:r w:rsidRPr="00AB3A0D">
        <w:t xml:space="preserve"> or colostomy</w:t>
      </w:r>
      <w:r w:rsidRPr="004347ED">
        <w:rPr>
          <w:rStyle w:val="FootnoteReference"/>
        </w:rPr>
        <w:footnoteReference w:id="3"/>
      </w:r>
      <w:r w:rsidRPr="00AB3A0D">
        <w:t xml:space="preserve"> within 18</w:t>
      </w:r>
      <w:r w:rsidR="004347ED">
        <w:t> </w:t>
      </w:r>
      <w:r w:rsidRPr="00AB3A0D">
        <w:t>months of surgery to mean that the patient had their stoma reversed.</w:t>
      </w:r>
    </w:p>
    <w:p w:rsidR="004347ED" w:rsidRDefault="004347ED" w:rsidP="004347ED"/>
    <w:p w:rsidR="006A5D28" w:rsidRDefault="006A5D28" w:rsidP="004347ED">
      <w:r>
        <w:t>We made n</w:t>
      </w:r>
      <w:r w:rsidRPr="00AB3A0D">
        <w:t>o adjustments for case</w:t>
      </w:r>
      <w:r>
        <w:t xml:space="preserve"> </w:t>
      </w:r>
      <w:r w:rsidRPr="00AB3A0D">
        <w:t xml:space="preserve">mix using risk factors. </w:t>
      </w:r>
      <w:r>
        <w:t>We pooled d</w:t>
      </w:r>
      <w:r w:rsidRPr="00AB3A0D">
        <w:t>ata over three years</w:t>
      </w:r>
      <w:r>
        <w:t>. (Note this is fewer years than for other indicators, to allow 18 months follow-up after surgery and</w:t>
      </w:r>
      <w:r w:rsidRPr="00AB3A0D">
        <w:t xml:space="preserve"> to ensure </w:t>
      </w:r>
      <w:r>
        <w:t xml:space="preserve">a </w:t>
      </w:r>
      <w:r w:rsidRPr="00AB3A0D">
        <w:t>sufficient number of operations per DHB</w:t>
      </w:r>
      <w:r>
        <w:t>,</w:t>
      </w:r>
      <w:r w:rsidRPr="00AB3A0D">
        <w:t xml:space="preserve"> to make comparisons.</w:t>
      </w:r>
      <w:r>
        <w:t>)</w:t>
      </w:r>
    </w:p>
    <w:p w:rsidR="004347ED" w:rsidRDefault="004347ED" w:rsidP="004347ED"/>
    <w:p w:rsidR="006A5D28" w:rsidRDefault="006A5D28" w:rsidP="004347ED">
      <w:pPr>
        <w:pStyle w:val="Heading2"/>
      </w:pPr>
      <w:bookmarkStart w:id="47" w:name="_Toc517723"/>
      <w:bookmarkStart w:id="48" w:name="_Toc517855"/>
      <w:bookmarkStart w:id="49" w:name="_Toc532290824"/>
      <w:bookmarkStart w:id="50" w:name="_Toc517856"/>
      <w:bookmarkStart w:id="51" w:name="_Toc2253734"/>
      <w:bookmarkEnd w:id="47"/>
      <w:bookmarkEnd w:id="48"/>
      <w:r>
        <w:t>Definition of surgical urgency</w:t>
      </w:r>
      <w:bookmarkEnd w:id="49"/>
      <w:bookmarkEnd w:id="50"/>
      <w:bookmarkEnd w:id="51"/>
    </w:p>
    <w:p w:rsidR="006A5D28" w:rsidRDefault="006A5D28" w:rsidP="004347ED">
      <w:pPr>
        <w:pStyle w:val="Heading3"/>
        <w:numPr>
          <w:ilvl w:val="0"/>
          <w:numId w:val="0"/>
        </w:numPr>
      </w:pPr>
      <w:bookmarkStart w:id="52" w:name="_Toc430940321"/>
      <w:bookmarkStart w:id="53" w:name="_Toc340052532"/>
      <w:r>
        <w:t>Admission types</w:t>
      </w:r>
      <w:bookmarkEnd w:id="52"/>
      <w:bookmarkEnd w:id="53"/>
    </w:p>
    <w:p w:rsidR="00E51135" w:rsidRDefault="006A5D28" w:rsidP="004347ED">
      <w:r>
        <w:t>We defined acute admission according to the Ministry of Health</w:t>
      </w:r>
      <w:r w:rsidR="00E51135">
        <w:t>’</w:t>
      </w:r>
      <w:r>
        <w:t xml:space="preserve">s </w:t>
      </w:r>
      <w:r w:rsidRPr="00E23B9F">
        <w:t>Common Counting Standards 2013–14</w:t>
      </w:r>
      <w:r>
        <w:t>,</w:t>
      </w:r>
      <w:r w:rsidRPr="004347ED">
        <w:rPr>
          <w:rStyle w:val="FootnoteReference"/>
        </w:rPr>
        <w:footnoteReference w:id="4"/>
      </w:r>
      <w:r>
        <w:t xml:space="preserve"> as follows:</w:t>
      </w:r>
    </w:p>
    <w:p w:rsidR="006A5D28" w:rsidRPr="000C441D" w:rsidRDefault="006A5D28" w:rsidP="004347ED">
      <w:pPr>
        <w:pStyle w:val="Quote"/>
      </w:pPr>
      <w:r w:rsidRPr="000C441D">
        <w:rPr>
          <w:b/>
        </w:rPr>
        <w:t>Acute Admission</w:t>
      </w:r>
      <w:r w:rsidRPr="000C441D">
        <w:t xml:space="preserve"> </w:t>
      </w:r>
      <w:r>
        <w:t>–</w:t>
      </w:r>
      <w:r w:rsidRPr="000C441D">
        <w:t xml:space="preserve"> An unplanned admission on the day of presentation at the admitting healthcare facility. Admission may have been from the emergency or outpatient departments of the healthcare facility or a transfer from another facility.</w:t>
      </w:r>
    </w:p>
    <w:p w:rsidR="004347ED" w:rsidRDefault="004347ED" w:rsidP="004347ED"/>
    <w:p w:rsidR="006A5D28" w:rsidRPr="000C441D" w:rsidRDefault="006A5D28" w:rsidP="004347ED">
      <w:r>
        <w:t>We defined a</w:t>
      </w:r>
      <w:r w:rsidRPr="000C441D">
        <w:t xml:space="preserve">ll other admissions as </w:t>
      </w:r>
      <w:r w:rsidR="00E51135">
        <w:t>‘</w:t>
      </w:r>
      <w:r w:rsidRPr="000C441D">
        <w:t>elective</w:t>
      </w:r>
      <w:r w:rsidR="00E51135">
        <w:t>’</w:t>
      </w:r>
      <w:r w:rsidRPr="000C441D">
        <w:t>.</w:t>
      </w:r>
    </w:p>
    <w:p w:rsidR="004347ED" w:rsidRDefault="004347ED" w:rsidP="004347ED"/>
    <w:p w:rsidR="00E51135" w:rsidRDefault="006A5D28" w:rsidP="004347ED">
      <w:r>
        <w:t>We defined emergency surgery a</w:t>
      </w:r>
      <w:r w:rsidRPr="00E23B9F">
        <w:t xml:space="preserve">s any </w:t>
      </w:r>
      <w:r>
        <w:t xml:space="preserve">definite surgery </w:t>
      </w:r>
      <w:r w:rsidRPr="00E23B9F">
        <w:t>procedure</w:t>
      </w:r>
      <w:r>
        <w:t xml:space="preserve"> performed</w:t>
      </w:r>
      <w:r w:rsidRPr="00E23B9F">
        <w:t xml:space="preserve"> </w:t>
      </w:r>
      <w:r>
        <w:t>dur</w:t>
      </w:r>
      <w:r w:rsidRPr="00E23B9F">
        <w:t>ing an acute admission.</w:t>
      </w:r>
    </w:p>
    <w:p w:rsidR="006A5D28" w:rsidRDefault="006A5D28" w:rsidP="004347ED"/>
    <w:p w:rsidR="006A5D28" w:rsidRDefault="006A5D28" w:rsidP="004347ED">
      <w:pPr>
        <w:pStyle w:val="Heading2"/>
      </w:pPr>
      <w:bookmarkStart w:id="54" w:name="_Toc532290825"/>
      <w:bookmarkStart w:id="55" w:name="_Toc517857"/>
      <w:bookmarkStart w:id="56" w:name="_Toc2253735"/>
      <w:r>
        <w:lastRenderedPageBreak/>
        <w:t>Statistical analysis</w:t>
      </w:r>
      <w:bookmarkEnd w:id="54"/>
      <w:bookmarkEnd w:id="55"/>
      <w:bookmarkEnd w:id="56"/>
    </w:p>
    <w:p w:rsidR="00E51135" w:rsidRDefault="006A5D28" w:rsidP="004347ED">
      <w:r>
        <w:t>Most results reported in this report are descriptive. We report the results of categorical data as percentages (%). We typically group results by DHB of service (ie, where the service was located).</w:t>
      </w:r>
    </w:p>
    <w:p w:rsidR="004347ED" w:rsidRDefault="004347ED" w:rsidP="004347ED"/>
    <w:p w:rsidR="006A5D28" w:rsidRDefault="006A5D28" w:rsidP="004347ED">
      <w:r>
        <w:t>We also present r</w:t>
      </w:r>
      <w:r w:rsidRPr="00894087">
        <w:t>esults by year of diagnosis, ethnic</w:t>
      </w:r>
      <w:r>
        <w:t xml:space="preserve"> group (prioritised)</w:t>
      </w:r>
      <w:r w:rsidRPr="00894087">
        <w:t xml:space="preserve">, sex, age group (years) </w:t>
      </w:r>
      <w:r>
        <w:t xml:space="preserve">and </w:t>
      </w:r>
      <w:r w:rsidRPr="00894087">
        <w:t>NZDep2013</w:t>
      </w:r>
      <w:r w:rsidRPr="004347ED">
        <w:rPr>
          <w:rStyle w:val="FootnoteReference"/>
        </w:rPr>
        <w:footnoteReference w:id="5"/>
      </w:r>
      <w:r w:rsidRPr="00DA2E81">
        <w:t xml:space="preserve"> quintile</w:t>
      </w:r>
      <w:r>
        <w:t xml:space="preserve"> (based on domicile at the time of diagnosis) in the data tables in Appendix A.</w:t>
      </w:r>
    </w:p>
    <w:p w:rsidR="004347ED" w:rsidRDefault="004347ED" w:rsidP="004347ED"/>
    <w:p w:rsidR="006A5D28" w:rsidRDefault="006A5D28" w:rsidP="004347ED">
      <w:r>
        <w:t>We have not presented results in the tables when there are fewer than 10 people in the denominator.</w:t>
      </w:r>
    </w:p>
    <w:p w:rsidR="006A5D28" w:rsidRPr="00DA2E81" w:rsidRDefault="006A5D28" w:rsidP="004347ED"/>
    <w:p w:rsidR="006A5D28" w:rsidRDefault="006A5D28" w:rsidP="004347ED">
      <w:pPr>
        <w:pStyle w:val="Heading3"/>
        <w:numPr>
          <w:ilvl w:val="0"/>
          <w:numId w:val="0"/>
        </w:numPr>
      </w:pPr>
      <w:r w:rsidRPr="00DA2E81">
        <w:t>Funnel plots</w:t>
      </w:r>
    </w:p>
    <w:p w:rsidR="006A5D28" w:rsidRDefault="006A5D28" w:rsidP="004347ED">
      <w:r>
        <w:rPr>
          <w:rFonts w:cs="Tms Rmn"/>
          <w:color w:val="000000"/>
        </w:rPr>
        <w:t>This report uses funnel plots to make comparisons between DHBs</w:t>
      </w:r>
      <w:r>
        <w:t>. We plot the rate for each DHB against the total number of patients used to estimate the rate. The average across all DHBs appears as an orange line.</w:t>
      </w:r>
    </w:p>
    <w:p w:rsidR="004347ED" w:rsidRDefault="004347ED" w:rsidP="004347ED"/>
    <w:p w:rsidR="00E51135" w:rsidRDefault="006A5D28" w:rsidP="004347ED">
      <w:r>
        <w:t>The funnel limits depend on the average rate and the number of patients included in the estimate; rate estimates have greater uncertainty when estimated from fewer patients. Results fall outside the inner limits if they are statistically different from the average at a 0.05 level, and outside the outer limits if they are statistically significantly different from the average at a 0.002 level.</w:t>
      </w:r>
    </w:p>
    <w:p w:rsidR="004347ED" w:rsidRDefault="004347ED" w:rsidP="004347ED"/>
    <w:p w:rsidR="00E51135" w:rsidRDefault="006A5D28" w:rsidP="004347ED">
      <w:r>
        <w:t>We contacted all DHBs prior to publication of this report to inform them of their results and provide them with an opportunity to review results and consider areas where they could improve services and outcomes for patients.</w:t>
      </w:r>
    </w:p>
    <w:p w:rsidR="006A5D28" w:rsidRDefault="006A5D28" w:rsidP="004347ED"/>
    <w:p w:rsidR="006A5D28" w:rsidRDefault="006A5D28" w:rsidP="004347ED">
      <w:pPr>
        <w:pStyle w:val="Heading3"/>
        <w:numPr>
          <w:ilvl w:val="0"/>
          <w:numId w:val="0"/>
        </w:numPr>
      </w:pPr>
      <w:r>
        <w:t>Adjusted outcomes</w:t>
      </w:r>
    </w:p>
    <w:p w:rsidR="00E51135" w:rsidRDefault="006A5D28" w:rsidP="004347ED">
      <w:r>
        <w:t>We have made no risk adjustment to the data</w:t>
      </w:r>
      <w:r w:rsidRPr="00A030E8">
        <w:t xml:space="preserve"> </w:t>
      </w:r>
      <w:r>
        <w:t>due to missing stage data and other risks, such as comorbidity.</w:t>
      </w:r>
    </w:p>
    <w:p w:rsidR="004347ED" w:rsidRDefault="004347ED" w:rsidP="004347ED"/>
    <w:p w:rsidR="00E51135" w:rsidRDefault="006A5D28" w:rsidP="004347ED">
      <w:r>
        <w:t>We encourage service providers to interpret their results in context of the case mix of their unit. We have stratified data and present it in data tables in the appendix. Stratifying variables include age group, sex, ethnic group (prioritised) and NZDep2013 quintile with data from the New Zealand Cancer Registry. Other variables (such as TNM group stage and comorbidity) are not available in National Collections, but should be available for patients in local DHB records.</w:t>
      </w:r>
    </w:p>
    <w:p w:rsidR="006A5D28" w:rsidRDefault="006A5D28" w:rsidP="004347ED"/>
    <w:p w:rsidR="006A5D28" w:rsidRDefault="006A5D28" w:rsidP="004347ED">
      <w:pPr>
        <w:pStyle w:val="Heading2"/>
        <w:ind w:left="1134" w:hanging="1134"/>
      </w:pPr>
      <w:bookmarkStart w:id="57" w:name="_Toc532290826"/>
      <w:bookmarkStart w:id="58" w:name="_Toc517858"/>
      <w:bookmarkStart w:id="59" w:name="_Toc2253736"/>
      <w:r>
        <w:lastRenderedPageBreak/>
        <w:t>Comparisons</w:t>
      </w:r>
      <w:bookmarkEnd w:id="57"/>
      <w:bookmarkEnd w:id="58"/>
      <w:bookmarkEnd w:id="59"/>
    </w:p>
    <w:p w:rsidR="00E51135" w:rsidRDefault="006A5D28" w:rsidP="004347ED">
      <w:r>
        <w:t xml:space="preserve">We have compared our results to two reports that have calculated and published similar bowel cancer indicators: the </w:t>
      </w:r>
      <w:r w:rsidR="00B77549">
        <w:t>Piper Project</w:t>
      </w:r>
      <w:r>
        <w:t xml:space="preserve"> and the 2017 National Bowel Cancer Audit (NBOCA) report. Note that differences in data collection or analysis methods may limit comparisons with these reports.</w:t>
      </w:r>
    </w:p>
    <w:p w:rsidR="006A5D28" w:rsidRDefault="006A5D28" w:rsidP="004347ED"/>
    <w:p w:rsidR="006A5D28" w:rsidRDefault="006A5D28" w:rsidP="004347ED">
      <w:pPr>
        <w:pStyle w:val="Heading3"/>
        <w:numPr>
          <w:ilvl w:val="0"/>
          <w:numId w:val="0"/>
        </w:numPr>
      </w:pPr>
      <w:r>
        <w:t xml:space="preserve">The PIPER </w:t>
      </w:r>
      <w:r w:rsidR="00B77549">
        <w:t>Project</w:t>
      </w:r>
    </w:p>
    <w:p w:rsidR="006A5D28" w:rsidRDefault="006A5D28" w:rsidP="004347ED">
      <w:r w:rsidRPr="004404AD">
        <w:t xml:space="preserve">The New Zealand PIPER </w:t>
      </w:r>
      <w:r w:rsidR="00B77549">
        <w:t>Project</w:t>
      </w:r>
      <w:r w:rsidR="00B77549" w:rsidRPr="004404AD">
        <w:t xml:space="preserve"> </w:t>
      </w:r>
      <w:r>
        <w:t>(</w:t>
      </w:r>
      <w:r w:rsidR="00E51135">
        <w:t>‘</w:t>
      </w:r>
      <w:r>
        <w:t>PIPER</w:t>
      </w:r>
      <w:r w:rsidR="00E51135">
        <w:t>’</w:t>
      </w:r>
      <w:r>
        <w:t xml:space="preserve"> stands for presentations, investigations, pathways, e</w:t>
      </w:r>
      <w:r w:rsidRPr="00165435">
        <w:t>valuation and Rx</w:t>
      </w:r>
      <w:r>
        <w:t xml:space="preserve">) looked at </w:t>
      </w:r>
      <w:r w:rsidRPr="004404AD">
        <w:t>colorectal cancer survival according to rurality, ethnicity and socioeconomic deprivation</w:t>
      </w:r>
      <w:r w:rsidR="00B77549">
        <w:rPr>
          <w:rStyle w:val="FootnoteReference"/>
        </w:rPr>
        <w:footnoteReference w:id="6"/>
      </w:r>
      <w:r>
        <w:t>. It was a national retrospective cohort study of all New Zealand residents diagnosed with colorectal adenocarcinoma in New Zealand from 1 January 2007 to 31 December 2008, with an extended cohort of Māori and Pacific people.</w:t>
      </w:r>
    </w:p>
    <w:p w:rsidR="004347ED" w:rsidRDefault="004347ED" w:rsidP="004347ED"/>
    <w:p w:rsidR="00E51135" w:rsidRDefault="006A5D28" w:rsidP="004347ED">
      <w:pPr>
        <w:rPr>
          <w:rFonts w:ascii="Verdana" w:hAnsi="Verdana"/>
          <w:color w:val="2F2F2F"/>
          <w:sz w:val="19"/>
          <w:szCs w:val="19"/>
        </w:rPr>
      </w:pPr>
      <w:r>
        <w:t xml:space="preserve">The </w:t>
      </w:r>
      <w:r w:rsidR="004347ED">
        <w:t>s</w:t>
      </w:r>
      <w:r>
        <w:t xml:space="preserve">tudy identified potential cases from the NZCR </w:t>
      </w:r>
      <w:r>
        <w:rPr>
          <w:rFonts w:ascii="Verdana" w:hAnsi="Verdana"/>
          <w:color w:val="2F2F2F"/>
          <w:sz w:val="19"/>
          <w:szCs w:val="19"/>
        </w:rPr>
        <w:t>(ICD-10-AM codes C18–C20)</w:t>
      </w:r>
      <w:r>
        <w:t>. Researchers obtained data from patient clinical records and national databases of hospitalisations and mortality.</w:t>
      </w:r>
    </w:p>
    <w:p w:rsidR="006A5D28" w:rsidRDefault="006A5D28" w:rsidP="004347ED"/>
    <w:p w:rsidR="006A5D28" w:rsidRDefault="006A5D28" w:rsidP="004347ED">
      <w:pPr>
        <w:pStyle w:val="Heading3"/>
        <w:numPr>
          <w:ilvl w:val="0"/>
          <w:numId w:val="0"/>
        </w:numPr>
      </w:pPr>
      <w:r>
        <w:t>The National Bowel Cancer Audit report</w:t>
      </w:r>
    </w:p>
    <w:p w:rsidR="00E51135" w:rsidRDefault="006A5D28" w:rsidP="004347ED">
      <w:r>
        <w:t>The NBOCA describes and compares the care and outcomes of patients diagnosed with bowel cancer in England and Wales. The Healthcare Quality Improvement Partnership commissions this Audit.</w:t>
      </w:r>
    </w:p>
    <w:p w:rsidR="006A5D28" w:rsidRDefault="006A5D28" w:rsidP="004347ED"/>
    <w:p w:rsidR="00E51135" w:rsidRDefault="006A5D28" w:rsidP="004347ED">
      <w:r>
        <w:t>Our comparison looked at the 2017 Annual Report on the NBOCA, which is the eighth such report; it includes data on over 30,000 patients diagnosed with bowel cancer between 1 April 2015 and 31 March 2016</w:t>
      </w:r>
      <w:r w:rsidR="002F6687">
        <w:rPr>
          <w:rStyle w:val="FootnoteReference"/>
        </w:rPr>
        <w:footnoteReference w:id="7"/>
      </w:r>
      <w:r>
        <w:t>. The overall case ascertainment for England and Wales was 95 percent.</w:t>
      </w:r>
    </w:p>
    <w:p w:rsidR="006A5D28" w:rsidRDefault="006A5D28" w:rsidP="004347ED"/>
    <w:p w:rsidR="006A5D28" w:rsidRDefault="006A5D28" w:rsidP="004347ED">
      <w:pPr>
        <w:pStyle w:val="Heading1"/>
      </w:pPr>
      <w:bookmarkStart w:id="61" w:name="_Toc532290827"/>
      <w:bookmarkStart w:id="62" w:name="_Toc532544050"/>
      <w:bookmarkStart w:id="63" w:name="_Ref536000957"/>
      <w:bookmarkStart w:id="64" w:name="_Toc517859"/>
      <w:bookmarkStart w:id="65" w:name="_Toc2253737"/>
      <w:r>
        <w:lastRenderedPageBreak/>
        <w:t>Care pathway</w:t>
      </w:r>
      <w:bookmarkEnd w:id="61"/>
      <w:bookmarkEnd w:id="62"/>
      <w:bookmarkEnd w:id="63"/>
      <w:bookmarkEnd w:id="64"/>
      <w:bookmarkEnd w:id="65"/>
    </w:p>
    <w:p w:rsidR="006A5D28" w:rsidRDefault="006A5D28" w:rsidP="004347ED">
      <w:pPr>
        <w:pStyle w:val="Heading2"/>
      </w:pPr>
      <w:bookmarkStart w:id="66" w:name="_Toc532290828"/>
      <w:bookmarkStart w:id="67" w:name="_Toc517860"/>
      <w:bookmarkStart w:id="68" w:name="_Toc2253738"/>
      <w:r>
        <w:t>Where are people diagnosed with bowel cancer presenting?</w:t>
      </w:r>
      <w:bookmarkEnd w:id="66"/>
      <w:bookmarkEnd w:id="67"/>
      <w:bookmarkEnd w:id="68"/>
    </w:p>
    <w:p w:rsidR="00E51135" w:rsidRDefault="006A5D28" w:rsidP="004347ED">
      <w:r>
        <w:t>The majority of people (71%) were diagnosed with bowel cancer following referral to a clinic (</w:t>
      </w:r>
      <w:r>
        <w:fldChar w:fldCharType="begin"/>
      </w:r>
      <w:r>
        <w:instrText xml:space="preserve"> REF _Ref527465990 \h </w:instrText>
      </w:r>
      <w:r>
        <w:fldChar w:fldCharType="separate"/>
      </w:r>
      <w:r w:rsidR="002B5148" w:rsidRPr="00664B29">
        <w:t xml:space="preserve">Table </w:t>
      </w:r>
      <w:r w:rsidR="002B5148">
        <w:rPr>
          <w:noProof/>
        </w:rPr>
        <w:t>2</w:t>
      </w:r>
      <w:r>
        <w:fldChar w:fldCharType="end"/>
      </w:r>
      <w:r>
        <w:t>). The proportion of patients diagnosed following a referral from screening services was 3 percent, and 26 percent were diagnosed following presentation at an ED (</w:t>
      </w:r>
      <w:r>
        <w:fldChar w:fldCharType="begin"/>
      </w:r>
      <w:r>
        <w:instrText xml:space="preserve"> REF _Ref527465990 \h </w:instrText>
      </w:r>
      <w:r>
        <w:fldChar w:fldCharType="separate"/>
      </w:r>
      <w:r w:rsidR="002B5148" w:rsidRPr="00664B29">
        <w:t xml:space="preserve">Table </w:t>
      </w:r>
      <w:r w:rsidR="002B5148">
        <w:rPr>
          <w:noProof/>
        </w:rPr>
        <w:t>2</w:t>
      </w:r>
      <w:r>
        <w:fldChar w:fldCharType="end"/>
      </w:r>
      <w:r>
        <w:t>).</w:t>
      </w:r>
    </w:p>
    <w:p w:rsidR="004347ED" w:rsidRDefault="004347ED" w:rsidP="004347ED"/>
    <w:p w:rsidR="006A5D28" w:rsidRPr="00664B29" w:rsidRDefault="006A5D28" w:rsidP="004347ED">
      <w:pPr>
        <w:pStyle w:val="Table"/>
      </w:pPr>
      <w:bookmarkStart w:id="69" w:name="_Ref527465990"/>
      <w:bookmarkStart w:id="70" w:name="_Toc535936724"/>
      <w:bookmarkStart w:id="71" w:name="_Toc2254043"/>
      <w:r w:rsidRPr="00664B29">
        <w:t xml:space="preserve">Table </w:t>
      </w:r>
      <w:r>
        <w:rPr>
          <w:noProof/>
        </w:rPr>
        <w:fldChar w:fldCharType="begin"/>
      </w:r>
      <w:r>
        <w:rPr>
          <w:noProof/>
        </w:rPr>
        <w:instrText xml:space="preserve"> SEQ Table \* ARABIC </w:instrText>
      </w:r>
      <w:r>
        <w:rPr>
          <w:noProof/>
        </w:rPr>
        <w:fldChar w:fldCharType="separate"/>
      </w:r>
      <w:r w:rsidR="002B5148">
        <w:rPr>
          <w:noProof/>
        </w:rPr>
        <w:t>2</w:t>
      </w:r>
      <w:r>
        <w:rPr>
          <w:noProof/>
        </w:rPr>
        <w:fldChar w:fldCharType="end"/>
      </w:r>
      <w:bookmarkEnd w:id="69"/>
      <w:r>
        <w:t>:</w:t>
      </w:r>
      <w:r w:rsidRPr="00664B29">
        <w:t xml:space="preserve"> People diagnosed with colorectal cancer following screening, presentation to an emergency department or referral to a clinic</w:t>
      </w:r>
      <w:r>
        <w:t>,</w:t>
      </w:r>
      <w:r w:rsidRPr="00664B29">
        <w:t xml:space="preserve"> by year, 2013</w:t>
      </w:r>
      <w:r>
        <w:t>–</w:t>
      </w:r>
      <w:r w:rsidRPr="00664B29">
        <w:t>16</w:t>
      </w:r>
      <w:bookmarkEnd w:id="70"/>
      <w:bookmarkEnd w:id="71"/>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560"/>
        <w:gridCol w:w="1275"/>
        <w:gridCol w:w="874"/>
        <w:gridCol w:w="874"/>
        <w:gridCol w:w="874"/>
        <w:gridCol w:w="874"/>
        <w:gridCol w:w="874"/>
        <w:gridCol w:w="875"/>
      </w:tblGrid>
      <w:tr w:rsidR="004347ED" w:rsidRPr="00E81A69" w:rsidTr="00F4528E">
        <w:trPr>
          <w:cantSplit/>
        </w:trPr>
        <w:tc>
          <w:tcPr>
            <w:tcW w:w="1560" w:type="dxa"/>
            <w:vMerge w:val="restart"/>
            <w:tcBorders>
              <w:top w:val="nil"/>
              <w:right w:val="single" w:sz="4" w:space="0" w:color="A6A6A6" w:themeColor="background1" w:themeShade="A6"/>
            </w:tcBorders>
            <w:shd w:val="clear" w:color="auto" w:fill="D9D9D9" w:themeFill="background1" w:themeFillShade="D9"/>
            <w:noWrap/>
            <w:hideMark/>
          </w:tcPr>
          <w:p w:rsidR="004347ED" w:rsidRPr="00E81A69" w:rsidRDefault="004347ED" w:rsidP="004347ED">
            <w:pPr>
              <w:pStyle w:val="TableText"/>
              <w:rPr>
                <w:lang w:eastAsia="en-NZ"/>
              </w:rPr>
            </w:pPr>
          </w:p>
        </w:tc>
        <w:tc>
          <w:tcPr>
            <w:tcW w:w="1275"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4347ED" w:rsidRPr="00E81A69" w:rsidRDefault="004347ED" w:rsidP="00F4528E">
            <w:pPr>
              <w:pStyle w:val="TableText"/>
              <w:jc w:val="center"/>
              <w:rPr>
                <w:b/>
                <w:bCs/>
                <w:color w:val="000000"/>
                <w:lang w:eastAsia="en-NZ"/>
              </w:rPr>
            </w:pPr>
            <w:r w:rsidRPr="00E81A69">
              <w:rPr>
                <w:b/>
                <w:bCs/>
                <w:color w:val="000000"/>
                <w:lang w:eastAsia="en-NZ"/>
              </w:rPr>
              <w:t>People diagnosed</w:t>
            </w:r>
          </w:p>
        </w:tc>
        <w:tc>
          <w:tcPr>
            <w:tcW w:w="1748"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rsidR="004347ED" w:rsidRPr="00E81A69" w:rsidRDefault="004347ED" w:rsidP="004347ED">
            <w:pPr>
              <w:pStyle w:val="TableText"/>
              <w:jc w:val="center"/>
              <w:rPr>
                <w:b/>
                <w:bCs/>
                <w:color w:val="000000"/>
                <w:lang w:eastAsia="en-NZ"/>
              </w:rPr>
            </w:pPr>
            <w:r w:rsidRPr="00E81A69">
              <w:rPr>
                <w:b/>
                <w:bCs/>
                <w:color w:val="000000"/>
                <w:lang w:eastAsia="en-NZ"/>
              </w:rPr>
              <w:t>ED presentation</w:t>
            </w:r>
          </w:p>
        </w:tc>
        <w:tc>
          <w:tcPr>
            <w:tcW w:w="1748"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noWrap/>
            <w:hideMark/>
          </w:tcPr>
          <w:p w:rsidR="004347ED" w:rsidRPr="00E81A69" w:rsidRDefault="004347ED" w:rsidP="004347ED">
            <w:pPr>
              <w:pStyle w:val="TableText"/>
              <w:jc w:val="center"/>
              <w:rPr>
                <w:b/>
                <w:bCs/>
                <w:color w:val="000000"/>
                <w:lang w:eastAsia="en-NZ"/>
              </w:rPr>
            </w:pPr>
            <w:r w:rsidRPr="00E81A69">
              <w:rPr>
                <w:b/>
                <w:bCs/>
                <w:color w:val="000000"/>
                <w:lang w:eastAsia="en-NZ"/>
              </w:rPr>
              <w:t>Referral to clinic</w:t>
            </w:r>
          </w:p>
        </w:tc>
        <w:tc>
          <w:tcPr>
            <w:tcW w:w="1749" w:type="dxa"/>
            <w:gridSpan w:val="2"/>
            <w:tcBorders>
              <w:top w:val="nil"/>
              <w:left w:val="single" w:sz="4" w:space="0" w:color="A6A6A6" w:themeColor="background1" w:themeShade="A6"/>
              <w:bottom w:val="nil"/>
            </w:tcBorders>
            <w:shd w:val="clear" w:color="auto" w:fill="D9D9D9" w:themeFill="background1" w:themeFillShade="D9"/>
            <w:noWrap/>
            <w:hideMark/>
          </w:tcPr>
          <w:p w:rsidR="004347ED" w:rsidRPr="00E81A69" w:rsidRDefault="004347ED" w:rsidP="004347ED">
            <w:pPr>
              <w:pStyle w:val="TableText"/>
              <w:jc w:val="center"/>
              <w:rPr>
                <w:b/>
                <w:bCs/>
                <w:color w:val="000000"/>
                <w:lang w:eastAsia="en-NZ"/>
              </w:rPr>
            </w:pPr>
            <w:r w:rsidRPr="00E81A69">
              <w:rPr>
                <w:b/>
                <w:bCs/>
                <w:color w:val="000000"/>
                <w:lang w:eastAsia="en-NZ"/>
              </w:rPr>
              <w:t>Screening</w:t>
            </w:r>
          </w:p>
        </w:tc>
      </w:tr>
      <w:tr w:rsidR="004347ED" w:rsidRPr="00E81A69" w:rsidTr="00F4528E">
        <w:trPr>
          <w:cantSplit/>
        </w:trPr>
        <w:tc>
          <w:tcPr>
            <w:tcW w:w="1560" w:type="dxa"/>
            <w:vMerge/>
            <w:tcBorders>
              <w:bottom w:val="nil"/>
              <w:right w:val="single" w:sz="4" w:space="0" w:color="A6A6A6" w:themeColor="background1" w:themeShade="A6"/>
            </w:tcBorders>
            <w:shd w:val="clear" w:color="auto" w:fill="D9D9D9" w:themeFill="background1" w:themeFillShade="D9"/>
            <w:noWrap/>
            <w:hideMark/>
          </w:tcPr>
          <w:p w:rsidR="004347ED" w:rsidRPr="00E81A69" w:rsidRDefault="004347ED" w:rsidP="004347ED">
            <w:pPr>
              <w:pStyle w:val="TableText"/>
              <w:rPr>
                <w:b/>
                <w:bCs/>
                <w:color w:val="000000"/>
                <w:lang w:eastAsia="en-NZ"/>
              </w:rPr>
            </w:pPr>
          </w:p>
        </w:tc>
        <w:tc>
          <w:tcPr>
            <w:tcW w:w="1275"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noWrap/>
            <w:hideMark/>
          </w:tcPr>
          <w:p w:rsidR="004347ED" w:rsidRPr="00E81A69" w:rsidRDefault="004347ED" w:rsidP="004347ED">
            <w:pPr>
              <w:pStyle w:val="TableText"/>
              <w:rPr>
                <w:b/>
                <w:bCs/>
                <w:color w:val="000000"/>
                <w:lang w:eastAsia="en-NZ"/>
              </w:rPr>
            </w:pPr>
          </w:p>
        </w:tc>
        <w:tc>
          <w:tcPr>
            <w:tcW w:w="874" w:type="dxa"/>
            <w:tcBorders>
              <w:top w:val="nil"/>
              <w:left w:val="single" w:sz="4" w:space="0" w:color="A6A6A6" w:themeColor="background1" w:themeShade="A6"/>
              <w:bottom w:val="nil"/>
            </w:tcBorders>
            <w:shd w:val="clear" w:color="auto" w:fill="D9D9D9" w:themeFill="background1" w:themeFillShade="D9"/>
            <w:noWrap/>
            <w:hideMark/>
          </w:tcPr>
          <w:p w:rsidR="004347ED" w:rsidRPr="00E81A69" w:rsidRDefault="004347ED" w:rsidP="004347ED">
            <w:pPr>
              <w:pStyle w:val="TableText"/>
              <w:spacing w:before="0"/>
              <w:jc w:val="center"/>
              <w:rPr>
                <w:b/>
                <w:bCs/>
                <w:color w:val="000000"/>
                <w:lang w:eastAsia="en-NZ"/>
              </w:rPr>
            </w:pPr>
            <w:r w:rsidRPr="00E81A69">
              <w:rPr>
                <w:b/>
                <w:bCs/>
                <w:color w:val="000000"/>
                <w:lang w:eastAsia="en-NZ"/>
              </w:rPr>
              <w:t>Number</w:t>
            </w:r>
          </w:p>
        </w:tc>
        <w:tc>
          <w:tcPr>
            <w:tcW w:w="874" w:type="dxa"/>
            <w:tcBorders>
              <w:top w:val="nil"/>
              <w:bottom w:val="nil"/>
              <w:right w:val="single" w:sz="4" w:space="0" w:color="A6A6A6" w:themeColor="background1" w:themeShade="A6"/>
            </w:tcBorders>
            <w:shd w:val="clear" w:color="auto" w:fill="D9D9D9" w:themeFill="background1" w:themeFillShade="D9"/>
            <w:noWrap/>
            <w:hideMark/>
          </w:tcPr>
          <w:p w:rsidR="004347ED" w:rsidRPr="00E81A69" w:rsidRDefault="004347ED" w:rsidP="004347ED">
            <w:pPr>
              <w:pStyle w:val="TableText"/>
              <w:spacing w:before="0"/>
              <w:jc w:val="center"/>
              <w:rPr>
                <w:b/>
                <w:bCs/>
                <w:color w:val="000000"/>
                <w:lang w:eastAsia="en-NZ"/>
              </w:rPr>
            </w:pPr>
            <w:r w:rsidRPr="00E81A69">
              <w:rPr>
                <w:b/>
                <w:bCs/>
                <w:color w:val="000000"/>
                <w:lang w:eastAsia="en-NZ"/>
              </w:rPr>
              <w:t>%</w:t>
            </w:r>
          </w:p>
        </w:tc>
        <w:tc>
          <w:tcPr>
            <w:tcW w:w="874" w:type="dxa"/>
            <w:tcBorders>
              <w:top w:val="nil"/>
              <w:left w:val="single" w:sz="4" w:space="0" w:color="A6A6A6" w:themeColor="background1" w:themeShade="A6"/>
              <w:bottom w:val="nil"/>
            </w:tcBorders>
            <w:shd w:val="clear" w:color="auto" w:fill="D9D9D9" w:themeFill="background1" w:themeFillShade="D9"/>
            <w:noWrap/>
            <w:hideMark/>
          </w:tcPr>
          <w:p w:rsidR="004347ED" w:rsidRPr="00E81A69" w:rsidRDefault="004347ED" w:rsidP="004347ED">
            <w:pPr>
              <w:pStyle w:val="TableText"/>
              <w:spacing w:before="0"/>
              <w:jc w:val="center"/>
              <w:rPr>
                <w:b/>
                <w:bCs/>
                <w:color w:val="000000"/>
                <w:lang w:eastAsia="en-NZ"/>
              </w:rPr>
            </w:pPr>
            <w:r w:rsidRPr="00E81A69">
              <w:rPr>
                <w:b/>
                <w:bCs/>
                <w:color w:val="000000"/>
                <w:lang w:eastAsia="en-NZ"/>
              </w:rPr>
              <w:t>Number</w:t>
            </w:r>
          </w:p>
        </w:tc>
        <w:tc>
          <w:tcPr>
            <w:tcW w:w="874" w:type="dxa"/>
            <w:tcBorders>
              <w:top w:val="nil"/>
              <w:bottom w:val="nil"/>
              <w:right w:val="single" w:sz="4" w:space="0" w:color="A6A6A6" w:themeColor="background1" w:themeShade="A6"/>
            </w:tcBorders>
            <w:shd w:val="clear" w:color="auto" w:fill="D9D9D9" w:themeFill="background1" w:themeFillShade="D9"/>
            <w:noWrap/>
            <w:hideMark/>
          </w:tcPr>
          <w:p w:rsidR="004347ED" w:rsidRPr="00E81A69" w:rsidRDefault="004347ED" w:rsidP="004347ED">
            <w:pPr>
              <w:pStyle w:val="TableText"/>
              <w:spacing w:before="0"/>
              <w:jc w:val="center"/>
              <w:rPr>
                <w:b/>
                <w:bCs/>
                <w:color w:val="000000"/>
                <w:lang w:eastAsia="en-NZ"/>
              </w:rPr>
            </w:pPr>
            <w:r w:rsidRPr="00E81A69">
              <w:rPr>
                <w:b/>
                <w:bCs/>
                <w:color w:val="000000"/>
                <w:lang w:eastAsia="en-NZ"/>
              </w:rPr>
              <w:t>%</w:t>
            </w:r>
          </w:p>
        </w:tc>
        <w:tc>
          <w:tcPr>
            <w:tcW w:w="874" w:type="dxa"/>
            <w:tcBorders>
              <w:top w:val="nil"/>
              <w:left w:val="single" w:sz="4" w:space="0" w:color="A6A6A6" w:themeColor="background1" w:themeShade="A6"/>
              <w:bottom w:val="nil"/>
            </w:tcBorders>
            <w:shd w:val="clear" w:color="auto" w:fill="D9D9D9" w:themeFill="background1" w:themeFillShade="D9"/>
            <w:noWrap/>
            <w:hideMark/>
          </w:tcPr>
          <w:p w:rsidR="004347ED" w:rsidRPr="00E81A69" w:rsidRDefault="004347ED" w:rsidP="004347ED">
            <w:pPr>
              <w:pStyle w:val="TableText"/>
              <w:spacing w:before="0"/>
              <w:jc w:val="center"/>
              <w:rPr>
                <w:b/>
                <w:bCs/>
                <w:color w:val="000000"/>
                <w:lang w:eastAsia="en-NZ"/>
              </w:rPr>
            </w:pPr>
            <w:r w:rsidRPr="00E81A69">
              <w:rPr>
                <w:b/>
                <w:bCs/>
                <w:color w:val="000000"/>
                <w:lang w:eastAsia="en-NZ"/>
              </w:rPr>
              <w:t>Number</w:t>
            </w:r>
          </w:p>
        </w:tc>
        <w:tc>
          <w:tcPr>
            <w:tcW w:w="875" w:type="dxa"/>
            <w:tcBorders>
              <w:top w:val="nil"/>
              <w:bottom w:val="nil"/>
            </w:tcBorders>
            <w:shd w:val="clear" w:color="auto" w:fill="D9D9D9" w:themeFill="background1" w:themeFillShade="D9"/>
            <w:noWrap/>
            <w:hideMark/>
          </w:tcPr>
          <w:p w:rsidR="004347ED" w:rsidRPr="00E81A69" w:rsidRDefault="004347ED" w:rsidP="004347ED">
            <w:pPr>
              <w:pStyle w:val="TableText"/>
              <w:spacing w:before="0"/>
              <w:jc w:val="center"/>
              <w:rPr>
                <w:b/>
                <w:bCs/>
                <w:color w:val="000000"/>
                <w:lang w:eastAsia="en-NZ"/>
              </w:rPr>
            </w:pPr>
            <w:r w:rsidRPr="00E81A69">
              <w:rPr>
                <w:b/>
                <w:bCs/>
                <w:color w:val="000000"/>
                <w:lang w:eastAsia="en-NZ"/>
              </w:rPr>
              <w:t>%</w:t>
            </w:r>
          </w:p>
        </w:tc>
      </w:tr>
      <w:tr w:rsidR="004347ED" w:rsidRPr="00E81A69" w:rsidTr="00F4528E">
        <w:trPr>
          <w:cantSplit/>
        </w:trPr>
        <w:tc>
          <w:tcPr>
            <w:tcW w:w="1560" w:type="dxa"/>
            <w:tcBorders>
              <w:top w:val="nil"/>
              <w:right w:val="single" w:sz="4" w:space="0" w:color="A6A6A6" w:themeColor="background1" w:themeShade="A6"/>
            </w:tcBorders>
            <w:shd w:val="clear" w:color="auto" w:fill="auto"/>
            <w:noWrap/>
            <w:vAlign w:val="bottom"/>
            <w:hideMark/>
          </w:tcPr>
          <w:p w:rsidR="004347ED" w:rsidRPr="00E81A69" w:rsidRDefault="004347ED" w:rsidP="004347ED">
            <w:pPr>
              <w:pStyle w:val="TableText"/>
              <w:rPr>
                <w:color w:val="000000"/>
                <w:lang w:eastAsia="en-NZ"/>
              </w:rPr>
            </w:pPr>
            <w:r w:rsidRPr="00E81A69">
              <w:rPr>
                <w:color w:val="000000"/>
                <w:lang w:eastAsia="en-NZ"/>
              </w:rPr>
              <w:t>Total</w:t>
            </w:r>
          </w:p>
        </w:tc>
        <w:tc>
          <w:tcPr>
            <w:tcW w:w="1275" w:type="dxa"/>
            <w:tcBorders>
              <w:top w:val="nil"/>
              <w:left w:val="single" w:sz="4" w:space="0" w:color="A6A6A6" w:themeColor="background1" w:themeShade="A6"/>
              <w:right w:val="single" w:sz="4" w:space="0" w:color="A6A6A6" w:themeColor="background1" w:themeShade="A6"/>
            </w:tcBorders>
            <w:shd w:val="clear" w:color="auto" w:fill="auto"/>
            <w:noWrap/>
            <w:hideMark/>
          </w:tcPr>
          <w:p w:rsidR="004347ED" w:rsidRPr="00E81A69" w:rsidRDefault="004347ED" w:rsidP="00F4528E">
            <w:pPr>
              <w:pStyle w:val="TableText"/>
              <w:tabs>
                <w:tab w:val="decimal" w:pos="818"/>
              </w:tabs>
              <w:rPr>
                <w:color w:val="000000"/>
                <w:lang w:eastAsia="en-NZ"/>
              </w:rPr>
            </w:pPr>
            <w:r w:rsidRPr="00E81A69">
              <w:rPr>
                <w:color w:val="000000"/>
                <w:lang w:eastAsia="en-NZ"/>
              </w:rPr>
              <w:t>11</w:t>
            </w:r>
            <w:r>
              <w:rPr>
                <w:color w:val="000000"/>
                <w:lang w:eastAsia="en-NZ"/>
              </w:rPr>
              <w:t>,</w:t>
            </w:r>
            <w:r w:rsidRPr="00E81A69">
              <w:rPr>
                <w:color w:val="000000"/>
                <w:lang w:eastAsia="en-NZ"/>
              </w:rPr>
              <w:t>428</w:t>
            </w:r>
          </w:p>
        </w:tc>
        <w:tc>
          <w:tcPr>
            <w:tcW w:w="874" w:type="dxa"/>
            <w:tcBorders>
              <w:top w:val="nil"/>
              <w:left w:val="single" w:sz="4" w:space="0" w:color="A6A6A6" w:themeColor="background1" w:themeShade="A6"/>
            </w:tcBorders>
            <w:shd w:val="clear" w:color="auto" w:fill="auto"/>
            <w:noWrap/>
            <w:hideMark/>
          </w:tcPr>
          <w:p w:rsidR="004347ED" w:rsidRPr="00E81A69" w:rsidRDefault="004347ED" w:rsidP="00F4528E">
            <w:pPr>
              <w:pStyle w:val="TableText"/>
              <w:tabs>
                <w:tab w:val="decimal" w:pos="577"/>
              </w:tabs>
              <w:rPr>
                <w:color w:val="000000"/>
                <w:lang w:eastAsia="en-NZ"/>
              </w:rPr>
            </w:pPr>
            <w:r w:rsidRPr="00E81A69">
              <w:rPr>
                <w:color w:val="000000"/>
                <w:lang w:eastAsia="en-NZ"/>
              </w:rPr>
              <w:t>3</w:t>
            </w:r>
            <w:r>
              <w:rPr>
                <w:color w:val="000000"/>
                <w:lang w:eastAsia="en-NZ"/>
              </w:rPr>
              <w:t>,</w:t>
            </w:r>
            <w:r w:rsidRPr="00E81A69">
              <w:rPr>
                <w:color w:val="000000"/>
                <w:lang w:eastAsia="en-NZ"/>
              </w:rPr>
              <w:t>002</w:t>
            </w:r>
          </w:p>
        </w:tc>
        <w:tc>
          <w:tcPr>
            <w:tcW w:w="874" w:type="dxa"/>
            <w:tcBorders>
              <w:top w:val="nil"/>
              <w:right w:val="single" w:sz="4" w:space="0" w:color="A6A6A6" w:themeColor="background1" w:themeShade="A6"/>
            </w:tcBorders>
            <w:shd w:val="clear" w:color="auto" w:fill="auto"/>
            <w:noWrap/>
            <w:hideMark/>
          </w:tcPr>
          <w:p w:rsidR="004347ED" w:rsidRPr="00E81A69" w:rsidRDefault="004347ED" w:rsidP="00F4528E">
            <w:pPr>
              <w:pStyle w:val="TableText"/>
              <w:jc w:val="center"/>
              <w:rPr>
                <w:color w:val="000000"/>
                <w:lang w:eastAsia="en-NZ"/>
              </w:rPr>
            </w:pPr>
            <w:r w:rsidRPr="00E81A69">
              <w:rPr>
                <w:color w:val="000000"/>
                <w:lang w:eastAsia="en-NZ"/>
              </w:rPr>
              <w:t>26.3</w:t>
            </w:r>
          </w:p>
        </w:tc>
        <w:tc>
          <w:tcPr>
            <w:tcW w:w="874" w:type="dxa"/>
            <w:tcBorders>
              <w:top w:val="nil"/>
              <w:left w:val="single" w:sz="4" w:space="0" w:color="A6A6A6" w:themeColor="background1" w:themeShade="A6"/>
            </w:tcBorders>
            <w:shd w:val="clear" w:color="auto" w:fill="auto"/>
            <w:noWrap/>
            <w:hideMark/>
          </w:tcPr>
          <w:p w:rsidR="004347ED" w:rsidRPr="00E81A69" w:rsidRDefault="004347ED" w:rsidP="00F4528E">
            <w:pPr>
              <w:pStyle w:val="TableText"/>
              <w:jc w:val="center"/>
              <w:rPr>
                <w:color w:val="000000"/>
                <w:lang w:eastAsia="en-NZ"/>
              </w:rPr>
            </w:pPr>
            <w:r w:rsidRPr="00E81A69">
              <w:rPr>
                <w:color w:val="000000"/>
                <w:lang w:eastAsia="en-NZ"/>
              </w:rPr>
              <w:t>8</w:t>
            </w:r>
            <w:r>
              <w:rPr>
                <w:color w:val="000000"/>
                <w:lang w:eastAsia="en-NZ"/>
              </w:rPr>
              <w:t>,</w:t>
            </w:r>
            <w:r w:rsidRPr="00E81A69">
              <w:rPr>
                <w:color w:val="000000"/>
                <w:lang w:eastAsia="en-NZ"/>
              </w:rPr>
              <w:t>123</w:t>
            </w:r>
          </w:p>
        </w:tc>
        <w:tc>
          <w:tcPr>
            <w:tcW w:w="874" w:type="dxa"/>
            <w:tcBorders>
              <w:top w:val="nil"/>
              <w:right w:val="single" w:sz="4" w:space="0" w:color="A6A6A6" w:themeColor="background1" w:themeShade="A6"/>
            </w:tcBorders>
            <w:shd w:val="clear" w:color="auto" w:fill="auto"/>
            <w:noWrap/>
            <w:hideMark/>
          </w:tcPr>
          <w:p w:rsidR="004347ED" w:rsidRPr="00E81A69" w:rsidRDefault="004347ED" w:rsidP="00F4528E">
            <w:pPr>
              <w:pStyle w:val="TableText"/>
              <w:jc w:val="center"/>
              <w:rPr>
                <w:color w:val="000000"/>
                <w:lang w:eastAsia="en-NZ"/>
              </w:rPr>
            </w:pPr>
            <w:r w:rsidRPr="00E81A69">
              <w:rPr>
                <w:color w:val="000000"/>
                <w:lang w:eastAsia="en-NZ"/>
              </w:rPr>
              <w:t>71.1</w:t>
            </w:r>
          </w:p>
        </w:tc>
        <w:tc>
          <w:tcPr>
            <w:tcW w:w="874" w:type="dxa"/>
            <w:tcBorders>
              <w:top w:val="nil"/>
              <w:left w:val="single" w:sz="4" w:space="0" w:color="A6A6A6" w:themeColor="background1" w:themeShade="A6"/>
            </w:tcBorders>
            <w:shd w:val="clear" w:color="auto" w:fill="auto"/>
            <w:noWrap/>
            <w:hideMark/>
          </w:tcPr>
          <w:p w:rsidR="004347ED" w:rsidRPr="00E81A69" w:rsidRDefault="004347ED" w:rsidP="00F4528E">
            <w:pPr>
              <w:pStyle w:val="TableText"/>
              <w:tabs>
                <w:tab w:val="decimal" w:pos="458"/>
              </w:tabs>
              <w:rPr>
                <w:color w:val="000000"/>
                <w:lang w:eastAsia="en-NZ"/>
              </w:rPr>
            </w:pPr>
            <w:r w:rsidRPr="00E81A69">
              <w:rPr>
                <w:color w:val="000000"/>
                <w:lang w:eastAsia="en-NZ"/>
              </w:rPr>
              <w:t>303</w:t>
            </w:r>
          </w:p>
        </w:tc>
        <w:tc>
          <w:tcPr>
            <w:tcW w:w="875" w:type="dxa"/>
            <w:tcBorders>
              <w:top w:val="nil"/>
            </w:tcBorders>
            <w:shd w:val="clear" w:color="auto" w:fill="auto"/>
            <w:noWrap/>
            <w:hideMark/>
          </w:tcPr>
          <w:p w:rsidR="004347ED" w:rsidRPr="00E81A69" w:rsidRDefault="004347ED" w:rsidP="00F4528E">
            <w:pPr>
              <w:pStyle w:val="TableText"/>
              <w:jc w:val="center"/>
              <w:rPr>
                <w:color w:val="000000"/>
                <w:lang w:eastAsia="en-NZ"/>
              </w:rPr>
            </w:pPr>
            <w:r w:rsidRPr="00E81A69">
              <w:rPr>
                <w:color w:val="000000"/>
                <w:lang w:eastAsia="en-NZ"/>
              </w:rPr>
              <w:t>2.7</w:t>
            </w:r>
          </w:p>
        </w:tc>
      </w:tr>
      <w:tr w:rsidR="004347ED" w:rsidRPr="00E81A69" w:rsidTr="00F4528E">
        <w:trPr>
          <w:cantSplit/>
        </w:trPr>
        <w:tc>
          <w:tcPr>
            <w:tcW w:w="1560" w:type="dxa"/>
            <w:tcBorders>
              <w:right w:val="single" w:sz="4" w:space="0" w:color="A6A6A6" w:themeColor="background1" w:themeShade="A6"/>
            </w:tcBorders>
            <w:shd w:val="clear" w:color="auto" w:fill="auto"/>
            <w:noWrap/>
            <w:vAlign w:val="bottom"/>
            <w:hideMark/>
          </w:tcPr>
          <w:p w:rsidR="004347ED" w:rsidRPr="00E81A69" w:rsidRDefault="004347ED" w:rsidP="004347ED">
            <w:pPr>
              <w:pStyle w:val="TableText"/>
              <w:rPr>
                <w:color w:val="000000"/>
                <w:lang w:eastAsia="en-NZ"/>
              </w:rPr>
            </w:pPr>
            <w:r w:rsidRPr="00E81A69">
              <w:rPr>
                <w:color w:val="000000"/>
                <w:lang w:eastAsia="en-NZ"/>
              </w:rPr>
              <w:t>Year of diagnosis</w:t>
            </w:r>
          </w:p>
        </w:tc>
        <w:tc>
          <w:tcPr>
            <w:tcW w:w="1275" w:type="dxa"/>
            <w:tcBorders>
              <w:left w:val="single" w:sz="4" w:space="0" w:color="A6A6A6" w:themeColor="background1" w:themeShade="A6"/>
              <w:right w:val="single" w:sz="4" w:space="0" w:color="A6A6A6" w:themeColor="background1" w:themeShade="A6"/>
            </w:tcBorders>
            <w:shd w:val="clear" w:color="auto" w:fill="auto"/>
            <w:noWrap/>
          </w:tcPr>
          <w:p w:rsidR="004347ED" w:rsidRPr="00E81A69" w:rsidRDefault="004347ED" w:rsidP="00F4528E">
            <w:pPr>
              <w:pStyle w:val="TableText"/>
              <w:tabs>
                <w:tab w:val="decimal" w:pos="818"/>
              </w:tabs>
              <w:rPr>
                <w:color w:val="000000"/>
                <w:lang w:eastAsia="en-NZ"/>
              </w:rPr>
            </w:pP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tabs>
                <w:tab w:val="decimal" w:pos="577"/>
              </w:tabs>
              <w:rPr>
                <w:color w:val="000000"/>
                <w:lang w:eastAsia="en-NZ"/>
              </w:rPr>
            </w:pPr>
          </w:p>
        </w:tc>
        <w:tc>
          <w:tcPr>
            <w:tcW w:w="874" w:type="dxa"/>
            <w:tcBorders>
              <w:righ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p>
        </w:tc>
        <w:tc>
          <w:tcPr>
            <w:tcW w:w="874" w:type="dxa"/>
            <w:tcBorders>
              <w:righ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tabs>
                <w:tab w:val="decimal" w:pos="458"/>
              </w:tabs>
              <w:rPr>
                <w:color w:val="000000"/>
                <w:lang w:eastAsia="en-NZ"/>
              </w:rPr>
            </w:pPr>
          </w:p>
        </w:tc>
        <w:tc>
          <w:tcPr>
            <w:tcW w:w="875" w:type="dxa"/>
            <w:shd w:val="clear" w:color="auto" w:fill="auto"/>
            <w:noWrap/>
          </w:tcPr>
          <w:p w:rsidR="004347ED" w:rsidRPr="00E81A69" w:rsidRDefault="004347ED" w:rsidP="00F4528E">
            <w:pPr>
              <w:pStyle w:val="TableText"/>
              <w:jc w:val="center"/>
              <w:rPr>
                <w:color w:val="000000"/>
                <w:lang w:eastAsia="en-NZ"/>
              </w:rPr>
            </w:pPr>
          </w:p>
        </w:tc>
      </w:tr>
      <w:tr w:rsidR="004347ED" w:rsidRPr="00E81A69" w:rsidTr="00F4528E">
        <w:trPr>
          <w:cantSplit/>
        </w:trPr>
        <w:tc>
          <w:tcPr>
            <w:tcW w:w="1560" w:type="dxa"/>
            <w:tcBorders>
              <w:right w:val="single" w:sz="4" w:space="0" w:color="A6A6A6" w:themeColor="background1" w:themeShade="A6"/>
            </w:tcBorders>
            <w:shd w:val="clear" w:color="auto" w:fill="auto"/>
            <w:noWrap/>
            <w:vAlign w:val="bottom"/>
            <w:hideMark/>
          </w:tcPr>
          <w:p w:rsidR="004347ED" w:rsidRPr="00E81A69" w:rsidRDefault="004347ED" w:rsidP="004347ED">
            <w:pPr>
              <w:pStyle w:val="TableText"/>
              <w:ind w:right="567"/>
              <w:jc w:val="right"/>
              <w:rPr>
                <w:color w:val="000000"/>
                <w:lang w:eastAsia="en-NZ"/>
              </w:rPr>
            </w:pPr>
            <w:r w:rsidRPr="00E81A69">
              <w:rPr>
                <w:color w:val="000000"/>
                <w:lang w:eastAsia="en-NZ"/>
              </w:rPr>
              <w:t>2013</w:t>
            </w:r>
          </w:p>
        </w:tc>
        <w:tc>
          <w:tcPr>
            <w:tcW w:w="1275" w:type="dxa"/>
            <w:tcBorders>
              <w:left w:val="single" w:sz="4" w:space="0" w:color="A6A6A6" w:themeColor="background1" w:themeShade="A6"/>
              <w:right w:val="single" w:sz="4" w:space="0" w:color="A6A6A6" w:themeColor="background1" w:themeShade="A6"/>
            </w:tcBorders>
            <w:shd w:val="clear" w:color="auto" w:fill="auto"/>
            <w:noWrap/>
          </w:tcPr>
          <w:p w:rsidR="004347ED" w:rsidRPr="00E81A69" w:rsidRDefault="004347ED" w:rsidP="00F4528E">
            <w:pPr>
              <w:pStyle w:val="TableText"/>
              <w:tabs>
                <w:tab w:val="decimal" w:pos="818"/>
              </w:tabs>
              <w:rPr>
                <w:color w:val="000000"/>
                <w:lang w:eastAsia="en-NZ"/>
              </w:rPr>
            </w:pPr>
            <w:r w:rsidRPr="00E81A69">
              <w:rPr>
                <w:color w:val="000000"/>
                <w:lang w:eastAsia="en-NZ"/>
              </w:rPr>
              <w:t>2</w:t>
            </w:r>
            <w:r>
              <w:rPr>
                <w:color w:val="000000"/>
                <w:lang w:eastAsia="en-NZ"/>
              </w:rPr>
              <w:t>,</w:t>
            </w:r>
            <w:r w:rsidRPr="00E81A69">
              <w:rPr>
                <w:color w:val="000000"/>
                <w:lang w:eastAsia="en-NZ"/>
              </w:rPr>
              <w:t>809</w:t>
            </w: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tabs>
                <w:tab w:val="decimal" w:pos="577"/>
              </w:tabs>
              <w:rPr>
                <w:color w:val="000000"/>
                <w:lang w:eastAsia="en-NZ"/>
              </w:rPr>
            </w:pPr>
            <w:r w:rsidRPr="00E81A69">
              <w:rPr>
                <w:color w:val="000000"/>
                <w:lang w:eastAsia="en-NZ"/>
              </w:rPr>
              <w:t>749</w:t>
            </w:r>
          </w:p>
        </w:tc>
        <w:tc>
          <w:tcPr>
            <w:tcW w:w="874" w:type="dxa"/>
            <w:tcBorders>
              <w:righ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26.7</w:t>
            </w: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1</w:t>
            </w:r>
            <w:r>
              <w:rPr>
                <w:color w:val="000000"/>
                <w:lang w:eastAsia="en-NZ"/>
              </w:rPr>
              <w:t>,</w:t>
            </w:r>
            <w:r w:rsidRPr="00E81A69">
              <w:rPr>
                <w:color w:val="000000"/>
                <w:lang w:eastAsia="en-NZ"/>
              </w:rPr>
              <w:t>948</w:t>
            </w:r>
          </w:p>
        </w:tc>
        <w:tc>
          <w:tcPr>
            <w:tcW w:w="874" w:type="dxa"/>
            <w:tcBorders>
              <w:righ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69.3</w:t>
            </w: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tabs>
                <w:tab w:val="decimal" w:pos="458"/>
              </w:tabs>
              <w:rPr>
                <w:color w:val="000000"/>
                <w:lang w:eastAsia="en-NZ"/>
              </w:rPr>
            </w:pPr>
            <w:r w:rsidRPr="00E81A69">
              <w:rPr>
                <w:color w:val="000000"/>
                <w:lang w:eastAsia="en-NZ"/>
              </w:rPr>
              <w:t>112</w:t>
            </w:r>
          </w:p>
        </w:tc>
        <w:tc>
          <w:tcPr>
            <w:tcW w:w="875" w:type="dxa"/>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4.0</w:t>
            </w:r>
          </w:p>
        </w:tc>
      </w:tr>
      <w:tr w:rsidR="004347ED" w:rsidRPr="00E81A69" w:rsidTr="00F4528E">
        <w:trPr>
          <w:cantSplit/>
        </w:trPr>
        <w:tc>
          <w:tcPr>
            <w:tcW w:w="1560" w:type="dxa"/>
            <w:tcBorders>
              <w:right w:val="single" w:sz="4" w:space="0" w:color="A6A6A6" w:themeColor="background1" w:themeShade="A6"/>
            </w:tcBorders>
            <w:shd w:val="clear" w:color="auto" w:fill="auto"/>
            <w:noWrap/>
            <w:vAlign w:val="bottom"/>
            <w:hideMark/>
          </w:tcPr>
          <w:p w:rsidR="004347ED" w:rsidRPr="00E81A69" w:rsidRDefault="004347ED" w:rsidP="004347ED">
            <w:pPr>
              <w:pStyle w:val="TableText"/>
              <w:ind w:right="567"/>
              <w:jc w:val="right"/>
              <w:rPr>
                <w:color w:val="000000"/>
                <w:lang w:eastAsia="en-NZ"/>
              </w:rPr>
            </w:pPr>
            <w:r w:rsidRPr="00E81A69">
              <w:rPr>
                <w:color w:val="000000"/>
                <w:lang w:eastAsia="en-NZ"/>
              </w:rPr>
              <w:t>2014</w:t>
            </w:r>
          </w:p>
        </w:tc>
        <w:tc>
          <w:tcPr>
            <w:tcW w:w="1275" w:type="dxa"/>
            <w:tcBorders>
              <w:left w:val="single" w:sz="4" w:space="0" w:color="A6A6A6" w:themeColor="background1" w:themeShade="A6"/>
              <w:right w:val="single" w:sz="4" w:space="0" w:color="A6A6A6" w:themeColor="background1" w:themeShade="A6"/>
            </w:tcBorders>
            <w:shd w:val="clear" w:color="auto" w:fill="auto"/>
            <w:noWrap/>
          </w:tcPr>
          <w:p w:rsidR="004347ED" w:rsidRPr="00E81A69" w:rsidRDefault="004347ED" w:rsidP="00F4528E">
            <w:pPr>
              <w:pStyle w:val="TableText"/>
              <w:tabs>
                <w:tab w:val="decimal" w:pos="818"/>
              </w:tabs>
              <w:rPr>
                <w:color w:val="000000"/>
                <w:lang w:eastAsia="en-NZ"/>
              </w:rPr>
            </w:pPr>
            <w:r w:rsidRPr="00E81A69">
              <w:rPr>
                <w:color w:val="000000"/>
                <w:lang w:eastAsia="en-NZ"/>
              </w:rPr>
              <w:t>2</w:t>
            </w:r>
            <w:r>
              <w:rPr>
                <w:color w:val="000000"/>
                <w:lang w:eastAsia="en-NZ"/>
              </w:rPr>
              <w:t>,</w:t>
            </w:r>
            <w:r w:rsidRPr="00E81A69">
              <w:rPr>
                <w:color w:val="000000"/>
                <w:lang w:eastAsia="en-NZ"/>
              </w:rPr>
              <w:t>933</w:t>
            </w: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tabs>
                <w:tab w:val="decimal" w:pos="577"/>
              </w:tabs>
              <w:rPr>
                <w:color w:val="000000"/>
                <w:lang w:eastAsia="en-NZ"/>
              </w:rPr>
            </w:pPr>
            <w:r w:rsidRPr="00E81A69">
              <w:rPr>
                <w:color w:val="000000"/>
                <w:lang w:eastAsia="en-NZ"/>
              </w:rPr>
              <w:t>729</w:t>
            </w:r>
          </w:p>
        </w:tc>
        <w:tc>
          <w:tcPr>
            <w:tcW w:w="874" w:type="dxa"/>
            <w:tcBorders>
              <w:righ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24.9</w:t>
            </w: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2</w:t>
            </w:r>
            <w:r>
              <w:rPr>
                <w:color w:val="000000"/>
                <w:lang w:eastAsia="en-NZ"/>
              </w:rPr>
              <w:t>,</w:t>
            </w:r>
            <w:r w:rsidRPr="00E81A69">
              <w:rPr>
                <w:color w:val="000000"/>
                <w:lang w:eastAsia="en-NZ"/>
              </w:rPr>
              <w:t>137</w:t>
            </w:r>
          </w:p>
        </w:tc>
        <w:tc>
          <w:tcPr>
            <w:tcW w:w="874" w:type="dxa"/>
            <w:tcBorders>
              <w:righ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72.9</w:t>
            </w: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tabs>
                <w:tab w:val="decimal" w:pos="458"/>
              </w:tabs>
              <w:rPr>
                <w:color w:val="000000"/>
                <w:lang w:eastAsia="en-NZ"/>
              </w:rPr>
            </w:pPr>
            <w:r w:rsidRPr="00E81A69">
              <w:rPr>
                <w:color w:val="000000"/>
                <w:lang w:eastAsia="en-NZ"/>
              </w:rPr>
              <w:t>67</w:t>
            </w:r>
          </w:p>
        </w:tc>
        <w:tc>
          <w:tcPr>
            <w:tcW w:w="875" w:type="dxa"/>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2.3</w:t>
            </w:r>
          </w:p>
        </w:tc>
      </w:tr>
      <w:tr w:rsidR="004347ED" w:rsidRPr="00E81A69" w:rsidTr="00F4528E">
        <w:trPr>
          <w:cantSplit/>
        </w:trPr>
        <w:tc>
          <w:tcPr>
            <w:tcW w:w="1560" w:type="dxa"/>
            <w:tcBorders>
              <w:right w:val="single" w:sz="4" w:space="0" w:color="A6A6A6" w:themeColor="background1" w:themeShade="A6"/>
            </w:tcBorders>
            <w:shd w:val="clear" w:color="auto" w:fill="auto"/>
            <w:noWrap/>
            <w:vAlign w:val="bottom"/>
            <w:hideMark/>
          </w:tcPr>
          <w:p w:rsidR="004347ED" w:rsidRPr="00E81A69" w:rsidRDefault="004347ED" w:rsidP="004347ED">
            <w:pPr>
              <w:pStyle w:val="TableText"/>
              <w:ind w:right="567"/>
              <w:jc w:val="right"/>
              <w:rPr>
                <w:color w:val="000000"/>
                <w:lang w:eastAsia="en-NZ"/>
              </w:rPr>
            </w:pPr>
            <w:r w:rsidRPr="00E81A69">
              <w:rPr>
                <w:color w:val="000000"/>
                <w:lang w:eastAsia="en-NZ"/>
              </w:rPr>
              <w:t>2015</w:t>
            </w:r>
          </w:p>
        </w:tc>
        <w:tc>
          <w:tcPr>
            <w:tcW w:w="1275" w:type="dxa"/>
            <w:tcBorders>
              <w:left w:val="single" w:sz="4" w:space="0" w:color="A6A6A6" w:themeColor="background1" w:themeShade="A6"/>
              <w:right w:val="single" w:sz="4" w:space="0" w:color="A6A6A6" w:themeColor="background1" w:themeShade="A6"/>
            </w:tcBorders>
            <w:shd w:val="clear" w:color="auto" w:fill="auto"/>
            <w:noWrap/>
          </w:tcPr>
          <w:p w:rsidR="004347ED" w:rsidRPr="00E81A69" w:rsidRDefault="004347ED" w:rsidP="00F4528E">
            <w:pPr>
              <w:pStyle w:val="TableText"/>
              <w:tabs>
                <w:tab w:val="decimal" w:pos="818"/>
              </w:tabs>
              <w:rPr>
                <w:color w:val="000000"/>
                <w:lang w:eastAsia="en-NZ"/>
              </w:rPr>
            </w:pPr>
            <w:r w:rsidRPr="00E81A69">
              <w:rPr>
                <w:color w:val="000000"/>
                <w:lang w:eastAsia="en-NZ"/>
              </w:rPr>
              <w:t>2</w:t>
            </w:r>
            <w:r>
              <w:rPr>
                <w:color w:val="000000"/>
                <w:lang w:eastAsia="en-NZ"/>
              </w:rPr>
              <w:t>,</w:t>
            </w:r>
            <w:r w:rsidRPr="00E81A69">
              <w:rPr>
                <w:color w:val="000000"/>
                <w:lang w:eastAsia="en-NZ"/>
              </w:rPr>
              <w:t>802</w:t>
            </w: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tabs>
                <w:tab w:val="decimal" w:pos="577"/>
              </w:tabs>
              <w:rPr>
                <w:color w:val="000000"/>
                <w:lang w:eastAsia="en-NZ"/>
              </w:rPr>
            </w:pPr>
            <w:r w:rsidRPr="00E81A69">
              <w:rPr>
                <w:color w:val="000000"/>
                <w:lang w:eastAsia="en-NZ"/>
              </w:rPr>
              <w:t>769</w:t>
            </w:r>
          </w:p>
        </w:tc>
        <w:tc>
          <w:tcPr>
            <w:tcW w:w="874" w:type="dxa"/>
            <w:tcBorders>
              <w:righ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27.4</w:t>
            </w: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1</w:t>
            </w:r>
            <w:r>
              <w:rPr>
                <w:color w:val="000000"/>
                <w:lang w:eastAsia="en-NZ"/>
              </w:rPr>
              <w:t>,</w:t>
            </w:r>
            <w:r w:rsidRPr="00E81A69">
              <w:rPr>
                <w:color w:val="000000"/>
                <w:lang w:eastAsia="en-NZ"/>
              </w:rPr>
              <w:t>977</w:t>
            </w:r>
          </w:p>
        </w:tc>
        <w:tc>
          <w:tcPr>
            <w:tcW w:w="874" w:type="dxa"/>
            <w:tcBorders>
              <w:righ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70.6</w:t>
            </w: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tabs>
                <w:tab w:val="decimal" w:pos="458"/>
              </w:tabs>
              <w:rPr>
                <w:color w:val="000000"/>
                <w:lang w:eastAsia="en-NZ"/>
              </w:rPr>
            </w:pPr>
            <w:r w:rsidRPr="00E81A69">
              <w:rPr>
                <w:color w:val="000000"/>
                <w:lang w:eastAsia="en-NZ"/>
              </w:rPr>
              <w:t>56</w:t>
            </w:r>
          </w:p>
        </w:tc>
        <w:tc>
          <w:tcPr>
            <w:tcW w:w="875" w:type="dxa"/>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2.0</w:t>
            </w:r>
          </w:p>
        </w:tc>
      </w:tr>
      <w:tr w:rsidR="004347ED" w:rsidRPr="00E81A69" w:rsidTr="00F4528E">
        <w:trPr>
          <w:cantSplit/>
        </w:trPr>
        <w:tc>
          <w:tcPr>
            <w:tcW w:w="1560" w:type="dxa"/>
            <w:tcBorders>
              <w:right w:val="single" w:sz="4" w:space="0" w:color="A6A6A6" w:themeColor="background1" w:themeShade="A6"/>
            </w:tcBorders>
            <w:shd w:val="clear" w:color="auto" w:fill="auto"/>
            <w:noWrap/>
            <w:vAlign w:val="bottom"/>
          </w:tcPr>
          <w:p w:rsidR="004347ED" w:rsidRPr="00E81A69" w:rsidRDefault="004347ED" w:rsidP="004347ED">
            <w:pPr>
              <w:pStyle w:val="TableText"/>
              <w:ind w:right="567"/>
              <w:jc w:val="right"/>
              <w:rPr>
                <w:color w:val="000000"/>
                <w:lang w:eastAsia="en-NZ"/>
              </w:rPr>
            </w:pPr>
            <w:r w:rsidRPr="00E81A69">
              <w:rPr>
                <w:color w:val="000000"/>
                <w:lang w:eastAsia="en-NZ"/>
              </w:rPr>
              <w:t>2016</w:t>
            </w:r>
          </w:p>
        </w:tc>
        <w:tc>
          <w:tcPr>
            <w:tcW w:w="1275" w:type="dxa"/>
            <w:tcBorders>
              <w:left w:val="single" w:sz="4" w:space="0" w:color="A6A6A6" w:themeColor="background1" w:themeShade="A6"/>
              <w:right w:val="single" w:sz="4" w:space="0" w:color="A6A6A6" w:themeColor="background1" w:themeShade="A6"/>
            </w:tcBorders>
            <w:shd w:val="clear" w:color="auto" w:fill="auto"/>
            <w:noWrap/>
          </w:tcPr>
          <w:p w:rsidR="004347ED" w:rsidRPr="00E81A69" w:rsidRDefault="004347ED" w:rsidP="00F4528E">
            <w:pPr>
              <w:pStyle w:val="TableText"/>
              <w:tabs>
                <w:tab w:val="decimal" w:pos="818"/>
              </w:tabs>
              <w:rPr>
                <w:color w:val="000000"/>
                <w:lang w:eastAsia="en-NZ"/>
              </w:rPr>
            </w:pPr>
            <w:r w:rsidRPr="00E81A69">
              <w:rPr>
                <w:color w:val="000000"/>
                <w:lang w:eastAsia="en-NZ"/>
              </w:rPr>
              <w:t>2</w:t>
            </w:r>
            <w:r>
              <w:rPr>
                <w:color w:val="000000"/>
                <w:lang w:eastAsia="en-NZ"/>
              </w:rPr>
              <w:t>,</w:t>
            </w:r>
            <w:r w:rsidRPr="00E81A69">
              <w:rPr>
                <w:color w:val="000000"/>
                <w:lang w:eastAsia="en-NZ"/>
              </w:rPr>
              <w:t>884</w:t>
            </w: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tabs>
                <w:tab w:val="decimal" w:pos="577"/>
              </w:tabs>
              <w:rPr>
                <w:color w:val="000000"/>
                <w:lang w:eastAsia="en-NZ"/>
              </w:rPr>
            </w:pPr>
            <w:r w:rsidRPr="00E81A69">
              <w:rPr>
                <w:color w:val="000000"/>
                <w:lang w:eastAsia="en-NZ"/>
              </w:rPr>
              <w:t>755</w:t>
            </w:r>
          </w:p>
        </w:tc>
        <w:tc>
          <w:tcPr>
            <w:tcW w:w="874" w:type="dxa"/>
            <w:tcBorders>
              <w:righ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26.2</w:t>
            </w: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2</w:t>
            </w:r>
            <w:r>
              <w:rPr>
                <w:color w:val="000000"/>
                <w:lang w:eastAsia="en-NZ"/>
              </w:rPr>
              <w:t>,</w:t>
            </w:r>
            <w:r w:rsidRPr="00E81A69">
              <w:rPr>
                <w:color w:val="000000"/>
                <w:lang w:eastAsia="en-NZ"/>
              </w:rPr>
              <w:t>061</w:t>
            </w:r>
          </w:p>
        </w:tc>
        <w:tc>
          <w:tcPr>
            <w:tcW w:w="874" w:type="dxa"/>
            <w:tcBorders>
              <w:right w:val="single" w:sz="4" w:space="0" w:color="A6A6A6" w:themeColor="background1" w:themeShade="A6"/>
            </w:tcBorders>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71.5</w:t>
            </w:r>
          </w:p>
        </w:tc>
        <w:tc>
          <w:tcPr>
            <w:tcW w:w="874" w:type="dxa"/>
            <w:tcBorders>
              <w:left w:val="single" w:sz="4" w:space="0" w:color="A6A6A6" w:themeColor="background1" w:themeShade="A6"/>
            </w:tcBorders>
            <w:shd w:val="clear" w:color="auto" w:fill="auto"/>
            <w:noWrap/>
          </w:tcPr>
          <w:p w:rsidR="004347ED" w:rsidRPr="00E81A69" w:rsidRDefault="004347ED" w:rsidP="00F4528E">
            <w:pPr>
              <w:pStyle w:val="TableText"/>
              <w:tabs>
                <w:tab w:val="decimal" w:pos="458"/>
              </w:tabs>
              <w:rPr>
                <w:color w:val="000000"/>
                <w:lang w:eastAsia="en-NZ"/>
              </w:rPr>
            </w:pPr>
            <w:r w:rsidRPr="00E81A69">
              <w:rPr>
                <w:color w:val="000000"/>
                <w:lang w:eastAsia="en-NZ"/>
              </w:rPr>
              <w:t>68</w:t>
            </w:r>
          </w:p>
        </w:tc>
        <w:tc>
          <w:tcPr>
            <w:tcW w:w="875" w:type="dxa"/>
            <w:shd w:val="clear" w:color="auto" w:fill="auto"/>
            <w:noWrap/>
          </w:tcPr>
          <w:p w:rsidR="004347ED" w:rsidRPr="00E81A69" w:rsidRDefault="004347ED" w:rsidP="00F4528E">
            <w:pPr>
              <w:pStyle w:val="TableText"/>
              <w:jc w:val="center"/>
              <w:rPr>
                <w:color w:val="000000"/>
                <w:lang w:eastAsia="en-NZ"/>
              </w:rPr>
            </w:pPr>
            <w:r w:rsidRPr="00E81A69">
              <w:rPr>
                <w:color w:val="000000"/>
                <w:lang w:eastAsia="en-NZ"/>
              </w:rPr>
              <w:t>2.4</w:t>
            </w:r>
          </w:p>
        </w:tc>
      </w:tr>
    </w:tbl>
    <w:p w:rsidR="006A5D28" w:rsidRDefault="006A5D28" w:rsidP="00F4528E"/>
    <w:p w:rsidR="006A5D28" w:rsidRDefault="006A5D28" w:rsidP="004347ED">
      <w:r>
        <w:t>Waitemata was the only DHB providing publicly funded screening services</w:t>
      </w:r>
      <w:r w:rsidRPr="00EF58C6">
        <w:t xml:space="preserve"> </w:t>
      </w:r>
      <w:r>
        <w:t>during the reporting period (</w:t>
      </w:r>
      <w:r>
        <w:fldChar w:fldCharType="begin"/>
      </w:r>
      <w:r>
        <w:instrText xml:space="preserve"> REF _Ref524361186 \h </w:instrText>
      </w:r>
      <w:r>
        <w:fldChar w:fldCharType="separate"/>
      </w:r>
      <w:r w:rsidR="002B5148">
        <w:t xml:space="preserve">Figure </w:t>
      </w:r>
      <w:r w:rsidR="002B5148">
        <w:rPr>
          <w:noProof/>
        </w:rPr>
        <w:t>1</w:t>
      </w:r>
      <w:r>
        <w:fldChar w:fldCharType="end"/>
      </w:r>
      <w:r>
        <w:t>). Of people in Waitemata DHB who were diagnosed with colorectal cancer in this period, 22 percent were diagnosed following screening.</w:t>
      </w:r>
    </w:p>
    <w:p w:rsidR="004347ED" w:rsidRDefault="004347ED" w:rsidP="004347ED"/>
    <w:p w:rsidR="006A5D28" w:rsidRPr="00526152" w:rsidRDefault="006A5D28" w:rsidP="004347ED">
      <w:pPr>
        <w:pStyle w:val="Figure"/>
      </w:pPr>
      <w:bookmarkStart w:id="72" w:name="_Ref524361186"/>
      <w:bookmarkStart w:id="73" w:name="_Ref524361180"/>
      <w:bookmarkStart w:id="74" w:name="_Toc518030"/>
      <w:bookmarkStart w:id="75" w:name="_Toc2254068"/>
      <w:r>
        <w:lastRenderedPageBreak/>
        <w:t xml:space="preserve">Figure </w:t>
      </w:r>
      <w:r>
        <w:rPr>
          <w:noProof/>
        </w:rPr>
        <w:fldChar w:fldCharType="begin"/>
      </w:r>
      <w:r>
        <w:rPr>
          <w:noProof/>
        </w:rPr>
        <w:instrText xml:space="preserve"> SEQ Figure \* ARABIC </w:instrText>
      </w:r>
      <w:r>
        <w:rPr>
          <w:noProof/>
        </w:rPr>
        <w:fldChar w:fldCharType="separate"/>
      </w:r>
      <w:r w:rsidR="002B5148">
        <w:rPr>
          <w:noProof/>
        </w:rPr>
        <w:t>1</w:t>
      </w:r>
      <w:r>
        <w:rPr>
          <w:noProof/>
        </w:rPr>
        <w:fldChar w:fldCharType="end"/>
      </w:r>
      <w:bookmarkEnd w:id="72"/>
      <w:r>
        <w:t>:</w:t>
      </w:r>
      <w:r w:rsidRPr="00526152">
        <w:t xml:space="preserve"> Referral sources for </w:t>
      </w:r>
      <w:r>
        <w:t>people</w:t>
      </w:r>
      <w:r w:rsidRPr="00526152">
        <w:t xml:space="preserve"> diagnosed with bowel cancer</w:t>
      </w:r>
      <w:r>
        <w:t>,</w:t>
      </w:r>
      <w:r w:rsidRPr="00526152">
        <w:t xml:space="preserve"> by </w:t>
      </w:r>
      <w:r>
        <w:t>district health board</w:t>
      </w:r>
      <w:r w:rsidRPr="00526152">
        <w:t xml:space="preserve"> of domicile, 2013</w:t>
      </w:r>
      <w:r>
        <w:t>–</w:t>
      </w:r>
      <w:r w:rsidRPr="00526152">
        <w:t>16</w:t>
      </w:r>
      <w:bookmarkEnd w:id="73"/>
      <w:bookmarkEnd w:id="74"/>
      <w:bookmarkEnd w:id="75"/>
    </w:p>
    <w:p w:rsidR="006A5D28" w:rsidRDefault="006A5D28" w:rsidP="00F4528E">
      <w:r>
        <w:rPr>
          <w:noProof/>
          <w:lang w:eastAsia="en-NZ"/>
        </w:rPr>
        <w:drawing>
          <wp:inline distT="0" distB="0" distL="0" distR="0" wp14:anchorId="3E823B8F" wp14:editId="2533C254">
            <wp:extent cx="5128953" cy="2889451"/>
            <wp:effectExtent l="0" t="0" r="0" b="6350"/>
            <wp:docPr id="4" name="Picture 4" title="Figure 1: Referral sources for people diagnosed with bowel cancer, by district health board of domicile, 20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CQI01_Route.png"/>
                    <pic:cNvPicPr/>
                  </pic:nvPicPr>
                  <pic:blipFill rotWithShape="1">
                    <a:blip r:embed="rId21" cstate="print">
                      <a:extLst>
                        <a:ext uri="{28A0092B-C50C-407E-A947-70E740481C1C}">
                          <a14:useLocalDpi xmlns:a14="http://schemas.microsoft.com/office/drawing/2010/main" val="0"/>
                        </a:ext>
                      </a:extLst>
                    </a:blip>
                    <a:srcRect t="1181" b="2243"/>
                    <a:stretch/>
                  </pic:blipFill>
                  <pic:spPr bwMode="auto">
                    <a:xfrm>
                      <a:off x="0" y="0"/>
                      <a:ext cx="5128964" cy="2889457"/>
                    </a:xfrm>
                    <a:prstGeom prst="rect">
                      <a:avLst/>
                    </a:prstGeom>
                    <a:ln>
                      <a:noFill/>
                    </a:ln>
                    <a:extLst>
                      <a:ext uri="{53640926-AAD7-44D8-BBD7-CCE9431645EC}">
                        <a14:shadowObscured xmlns:a14="http://schemas.microsoft.com/office/drawing/2010/main"/>
                      </a:ext>
                    </a:extLst>
                  </pic:spPr>
                </pic:pic>
              </a:graphicData>
            </a:graphic>
          </wp:inline>
        </w:drawing>
      </w:r>
    </w:p>
    <w:p w:rsidR="00F4528E" w:rsidRDefault="00F4528E" w:rsidP="00F4528E"/>
    <w:p w:rsidR="006A5D28" w:rsidRDefault="006A5D28" w:rsidP="00F4528E">
      <w:r>
        <w:t>There was wide variation between DHBs for diagnosis following presentation at an ED (</w:t>
      </w:r>
      <w:r>
        <w:fldChar w:fldCharType="begin"/>
      </w:r>
      <w:r>
        <w:instrText xml:space="preserve"> REF _Ref527473651 \h </w:instrText>
      </w:r>
      <w:r>
        <w:fldChar w:fldCharType="separate"/>
      </w:r>
      <w:r w:rsidR="002B5148" w:rsidRPr="00E22D83">
        <w:t xml:space="preserve">Figure </w:t>
      </w:r>
      <w:r w:rsidR="002B5148">
        <w:rPr>
          <w:noProof/>
        </w:rPr>
        <w:t>2</w:t>
      </w:r>
      <w:r>
        <w:fldChar w:fldCharType="end"/>
      </w:r>
      <w:r>
        <w:t>). Two DHBs were outside the outer limits of the funnel plot.</w:t>
      </w:r>
    </w:p>
    <w:p w:rsidR="00F4528E" w:rsidRDefault="00F4528E" w:rsidP="00F4528E"/>
    <w:p w:rsidR="006A5D28" w:rsidRDefault="006A5D28" w:rsidP="00F4528E">
      <w:pPr>
        <w:pStyle w:val="Figure"/>
      </w:pPr>
      <w:bookmarkStart w:id="76" w:name="_Ref527473651"/>
      <w:bookmarkStart w:id="77" w:name="_Toc518031"/>
      <w:bookmarkStart w:id="78" w:name="_Toc2254069"/>
      <w:r w:rsidRPr="00E22D83">
        <w:t xml:space="preserve">Figure </w:t>
      </w:r>
      <w:r w:rsidR="00A15D10">
        <w:rPr>
          <w:noProof/>
        </w:rPr>
        <w:fldChar w:fldCharType="begin"/>
      </w:r>
      <w:r w:rsidR="00A15D10">
        <w:rPr>
          <w:noProof/>
        </w:rPr>
        <w:instrText xml:space="preserve"> SEQ Figure \* ARABIC </w:instrText>
      </w:r>
      <w:r w:rsidR="00A15D10">
        <w:rPr>
          <w:noProof/>
        </w:rPr>
        <w:fldChar w:fldCharType="separate"/>
      </w:r>
      <w:r w:rsidR="002B5148">
        <w:rPr>
          <w:noProof/>
        </w:rPr>
        <w:t>2</w:t>
      </w:r>
      <w:r w:rsidR="00A15D10">
        <w:rPr>
          <w:noProof/>
        </w:rPr>
        <w:fldChar w:fldCharType="end"/>
      </w:r>
      <w:bookmarkEnd w:id="76"/>
      <w:r>
        <w:t>:</w:t>
      </w:r>
      <w:r w:rsidRPr="00526152">
        <w:t xml:space="preserve"> Proportion of </w:t>
      </w:r>
      <w:r>
        <w:t>people</w:t>
      </w:r>
      <w:r w:rsidRPr="00526152">
        <w:t xml:space="preserve"> diagnosed with bowel cancer following presentation at an emergency department</w:t>
      </w:r>
      <w:r>
        <w:t>,</w:t>
      </w:r>
      <w:r w:rsidRPr="00526152">
        <w:t xml:space="preserve"> by </w:t>
      </w:r>
      <w:r w:rsidR="00F4528E">
        <w:t>d</w:t>
      </w:r>
      <w:r>
        <w:t xml:space="preserve">istrict </w:t>
      </w:r>
      <w:r w:rsidR="00F4528E">
        <w:t>h</w:t>
      </w:r>
      <w:r>
        <w:t xml:space="preserve">ealth </w:t>
      </w:r>
      <w:r w:rsidR="00F4528E">
        <w:t>b</w:t>
      </w:r>
      <w:r>
        <w:t>oard</w:t>
      </w:r>
      <w:r w:rsidRPr="00526152">
        <w:t xml:space="preserve"> of domicile, 2013</w:t>
      </w:r>
      <w:r>
        <w:t>–</w:t>
      </w:r>
      <w:r w:rsidRPr="00526152">
        <w:t>16</w:t>
      </w:r>
      <w:bookmarkEnd w:id="77"/>
      <w:bookmarkEnd w:id="78"/>
    </w:p>
    <w:p w:rsidR="006A5D28" w:rsidRPr="00C820D0" w:rsidRDefault="006A5D28" w:rsidP="00F4528E">
      <w:r>
        <w:rPr>
          <w:noProof/>
          <w:lang w:eastAsia="en-NZ"/>
        </w:rPr>
        <w:drawing>
          <wp:inline distT="0" distB="0" distL="0" distR="0" wp14:anchorId="4535B2FD" wp14:editId="382061D6">
            <wp:extent cx="5178829" cy="2654557"/>
            <wp:effectExtent l="0" t="0" r="3175" b="0"/>
            <wp:docPr id="28" name="Picture 28" title="Figure 2: Proportion of people diagnosed with bowel cancer following presentation at an emergency department, by district health board of domicile, 20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CQI01_ED.png"/>
                    <pic:cNvPicPr/>
                  </pic:nvPicPr>
                  <pic:blipFill rotWithShape="1">
                    <a:blip r:embed="rId22" cstate="print">
                      <a:extLst>
                        <a:ext uri="{28A0092B-C50C-407E-A947-70E740481C1C}">
                          <a14:useLocalDpi xmlns:a14="http://schemas.microsoft.com/office/drawing/2010/main" val="0"/>
                        </a:ext>
                      </a:extLst>
                    </a:blip>
                    <a:srcRect t="12209" r="3637" b="3116"/>
                    <a:stretch/>
                  </pic:blipFill>
                  <pic:spPr bwMode="auto">
                    <a:xfrm>
                      <a:off x="0" y="0"/>
                      <a:ext cx="5178840" cy="2654563"/>
                    </a:xfrm>
                    <a:prstGeom prst="rect">
                      <a:avLst/>
                    </a:prstGeom>
                    <a:ln>
                      <a:noFill/>
                    </a:ln>
                    <a:extLst>
                      <a:ext uri="{53640926-AAD7-44D8-BBD7-CCE9431645EC}">
                        <a14:shadowObscured xmlns:a14="http://schemas.microsoft.com/office/drawing/2010/main"/>
                      </a:ext>
                    </a:extLst>
                  </pic:spPr>
                </pic:pic>
              </a:graphicData>
            </a:graphic>
          </wp:inline>
        </w:drawing>
      </w:r>
    </w:p>
    <w:p w:rsidR="00F4528E" w:rsidRDefault="00F4528E" w:rsidP="00F4528E"/>
    <w:p w:rsidR="006A5D28" w:rsidRDefault="006A5D28" w:rsidP="00F4528E">
      <w:r>
        <w:t>People aged younger than 50 years or 75 years and older, women, Pacific people, Māori and those living in areas of high social deprivation were more likely to be diagnosed after presenting at an ED (</w:t>
      </w:r>
      <w:r>
        <w:fldChar w:fldCharType="begin"/>
      </w:r>
      <w:r>
        <w:instrText xml:space="preserve"> REF _Ref527473689 \h </w:instrText>
      </w:r>
      <w:r>
        <w:fldChar w:fldCharType="separate"/>
      </w:r>
      <w:r w:rsidR="002B5148">
        <w:t xml:space="preserve">Table </w:t>
      </w:r>
      <w:r w:rsidR="002B5148">
        <w:rPr>
          <w:noProof/>
        </w:rPr>
        <w:t>3</w:t>
      </w:r>
      <w:r>
        <w:fldChar w:fldCharType="end"/>
      </w:r>
      <w:r>
        <w:t>).</w:t>
      </w:r>
    </w:p>
    <w:p w:rsidR="00F4528E" w:rsidRDefault="00F4528E" w:rsidP="00F4528E"/>
    <w:p w:rsidR="006A5D28" w:rsidRPr="00826409" w:rsidRDefault="006A5D28" w:rsidP="00F4528E">
      <w:pPr>
        <w:pStyle w:val="Table"/>
        <w:rPr>
          <w:rFonts w:cs="Arial"/>
          <w:color w:val="000000"/>
          <w:lang w:eastAsia="en-NZ"/>
        </w:rPr>
      </w:pPr>
      <w:bookmarkStart w:id="79" w:name="_Ref527473689"/>
      <w:bookmarkStart w:id="80" w:name="_Toc535936725"/>
      <w:bookmarkStart w:id="81" w:name="_Toc2254044"/>
      <w:r>
        <w:lastRenderedPageBreak/>
        <w:t xml:space="preserve">Table </w:t>
      </w:r>
      <w:r>
        <w:rPr>
          <w:noProof/>
        </w:rPr>
        <w:fldChar w:fldCharType="begin"/>
      </w:r>
      <w:r>
        <w:rPr>
          <w:noProof/>
        </w:rPr>
        <w:instrText xml:space="preserve"> SEQ Table \* ARABIC </w:instrText>
      </w:r>
      <w:r>
        <w:rPr>
          <w:noProof/>
        </w:rPr>
        <w:fldChar w:fldCharType="separate"/>
      </w:r>
      <w:r w:rsidR="002B5148">
        <w:rPr>
          <w:noProof/>
        </w:rPr>
        <w:t>3</w:t>
      </w:r>
      <w:r>
        <w:rPr>
          <w:noProof/>
        </w:rPr>
        <w:fldChar w:fldCharType="end"/>
      </w:r>
      <w:bookmarkEnd w:id="79"/>
      <w:r>
        <w:rPr>
          <w:noProof/>
        </w:rPr>
        <w:t>:</w:t>
      </w:r>
      <w:r w:rsidRPr="00826409">
        <w:t xml:space="preserve"> People diagnosed with colorectal cancer following screening, presentation to an emergency department</w:t>
      </w:r>
      <w:r>
        <w:t xml:space="preserve"> </w:t>
      </w:r>
      <w:r w:rsidRPr="00826409">
        <w:t>or referral to a clinic</w:t>
      </w:r>
      <w:r>
        <w:t>,</w:t>
      </w:r>
      <w:r w:rsidRPr="00826409">
        <w:t xml:space="preserve"> by age group, sex, ethnic group and </w:t>
      </w:r>
      <w:r>
        <w:t>social deprivation</w:t>
      </w:r>
      <w:r w:rsidRPr="00826409">
        <w:t xml:space="preserve">, </w:t>
      </w:r>
      <w:r w:rsidRPr="000E2F84">
        <w:t>2013</w:t>
      </w:r>
      <w:r>
        <w:t>–</w:t>
      </w:r>
      <w:r w:rsidRPr="000E2F84">
        <w:t>16</w:t>
      </w:r>
      <w:bookmarkEnd w:id="80"/>
      <w:bookmarkEnd w:id="81"/>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985"/>
        <w:gridCol w:w="1134"/>
        <w:gridCol w:w="826"/>
        <w:gridCol w:w="827"/>
        <w:gridCol w:w="827"/>
        <w:gridCol w:w="827"/>
        <w:gridCol w:w="827"/>
        <w:gridCol w:w="827"/>
      </w:tblGrid>
      <w:tr w:rsidR="00F4528E" w:rsidRPr="00E644EE" w:rsidTr="00F4528E">
        <w:trPr>
          <w:cantSplit/>
        </w:trPr>
        <w:tc>
          <w:tcPr>
            <w:tcW w:w="1985" w:type="dxa"/>
            <w:vMerge w:val="restart"/>
            <w:tcBorders>
              <w:top w:val="nil"/>
              <w:bottom w:val="nil"/>
              <w:right w:val="single" w:sz="4" w:space="0" w:color="A6A6A6" w:themeColor="background1" w:themeShade="A6"/>
            </w:tcBorders>
            <w:shd w:val="clear" w:color="auto" w:fill="D9D9D9" w:themeFill="background1" w:themeFillShade="D9"/>
          </w:tcPr>
          <w:p w:rsidR="00F4528E" w:rsidRPr="00B20EAA" w:rsidRDefault="00F4528E" w:rsidP="00F4528E">
            <w:pPr>
              <w:pStyle w:val="TableText"/>
              <w:rPr>
                <w:b/>
                <w:bCs/>
                <w:color w:val="000000"/>
                <w:lang w:eastAsia="en-NZ"/>
              </w:rPr>
            </w:pP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noWrap/>
            <w:hideMark/>
          </w:tcPr>
          <w:p w:rsidR="00F4528E" w:rsidRPr="00F4528E" w:rsidRDefault="00F4528E" w:rsidP="00F4528E">
            <w:pPr>
              <w:pStyle w:val="TableText"/>
              <w:jc w:val="center"/>
              <w:rPr>
                <w:b/>
                <w:lang w:eastAsia="en-NZ"/>
              </w:rPr>
            </w:pPr>
            <w:r w:rsidRPr="00F4528E">
              <w:rPr>
                <w:b/>
                <w:lang w:eastAsia="en-NZ"/>
              </w:rPr>
              <w:t>People diagnosed</w:t>
            </w:r>
          </w:p>
        </w:tc>
        <w:tc>
          <w:tcPr>
            <w:tcW w:w="1653"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rsidR="00F4528E" w:rsidRPr="00F4528E" w:rsidRDefault="00F4528E" w:rsidP="00F4528E">
            <w:pPr>
              <w:pStyle w:val="TableText"/>
              <w:jc w:val="center"/>
              <w:rPr>
                <w:b/>
                <w:lang w:eastAsia="en-NZ"/>
              </w:rPr>
            </w:pPr>
            <w:r w:rsidRPr="00F4528E">
              <w:rPr>
                <w:b/>
                <w:lang w:eastAsia="en-NZ"/>
              </w:rPr>
              <w:t>ED presentation</w:t>
            </w:r>
          </w:p>
        </w:tc>
        <w:tc>
          <w:tcPr>
            <w:tcW w:w="1654"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noWrap/>
            <w:hideMark/>
          </w:tcPr>
          <w:p w:rsidR="00F4528E" w:rsidRPr="00F4528E" w:rsidRDefault="00F4528E" w:rsidP="00F4528E">
            <w:pPr>
              <w:pStyle w:val="TableText"/>
              <w:jc w:val="center"/>
              <w:rPr>
                <w:b/>
                <w:lang w:eastAsia="en-NZ"/>
              </w:rPr>
            </w:pPr>
            <w:r w:rsidRPr="00F4528E">
              <w:rPr>
                <w:b/>
                <w:lang w:eastAsia="en-NZ"/>
              </w:rPr>
              <w:t>Referral to clinic</w:t>
            </w:r>
          </w:p>
        </w:tc>
        <w:tc>
          <w:tcPr>
            <w:tcW w:w="1654" w:type="dxa"/>
            <w:gridSpan w:val="2"/>
            <w:tcBorders>
              <w:top w:val="nil"/>
              <w:left w:val="single" w:sz="4" w:space="0" w:color="A6A6A6" w:themeColor="background1" w:themeShade="A6"/>
              <w:bottom w:val="nil"/>
            </w:tcBorders>
            <w:shd w:val="clear" w:color="auto" w:fill="D9D9D9" w:themeFill="background1" w:themeFillShade="D9"/>
            <w:noWrap/>
            <w:hideMark/>
          </w:tcPr>
          <w:p w:rsidR="00F4528E" w:rsidRPr="00F4528E" w:rsidRDefault="00F4528E" w:rsidP="00F4528E">
            <w:pPr>
              <w:pStyle w:val="TableText"/>
              <w:jc w:val="center"/>
              <w:rPr>
                <w:b/>
                <w:lang w:eastAsia="en-NZ"/>
              </w:rPr>
            </w:pPr>
            <w:r w:rsidRPr="00F4528E">
              <w:rPr>
                <w:b/>
                <w:lang w:eastAsia="en-NZ"/>
              </w:rPr>
              <w:t>Screening</w:t>
            </w:r>
          </w:p>
        </w:tc>
      </w:tr>
      <w:tr w:rsidR="00F4528E" w:rsidRPr="00E644EE" w:rsidTr="00F4528E">
        <w:trPr>
          <w:cantSplit/>
        </w:trPr>
        <w:tc>
          <w:tcPr>
            <w:tcW w:w="1985" w:type="dxa"/>
            <w:vMerge/>
            <w:tcBorders>
              <w:top w:val="nil"/>
              <w:bottom w:val="nil"/>
              <w:right w:val="single" w:sz="4" w:space="0" w:color="A6A6A6" w:themeColor="background1" w:themeShade="A6"/>
            </w:tcBorders>
            <w:shd w:val="clear" w:color="auto" w:fill="D9D9D9" w:themeFill="background1" w:themeFillShade="D9"/>
            <w:noWrap/>
          </w:tcPr>
          <w:p w:rsidR="00F4528E" w:rsidRPr="00B20EAA" w:rsidRDefault="00F4528E" w:rsidP="00F4528E">
            <w:pPr>
              <w:pStyle w:val="TableText"/>
              <w:rPr>
                <w:b/>
                <w:bCs/>
                <w:color w:val="000000"/>
                <w:lang w:eastAsia="en-NZ"/>
              </w:rPr>
            </w:pP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noWrap/>
            <w:hideMark/>
          </w:tcPr>
          <w:p w:rsidR="00F4528E" w:rsidRPr="00F4528E" w:rsidRDefault="00F4528E" w:rsidP="00F4528E">
            <w:pPr>
              <w:pStyle w:val="TableText"/>
              <w:spacing w:before="0"/>
              <w:jc w:val="center"/>
              <w:rPr>
                <w:b/>
                <w:lang w:eastAsia="en-NZ"/>
              </w:rPr>
            </w:pPr>
            <w:r w:rsidRPr="00F4528E">
              <w:rPr>
                <w:b/>
                <w:lang w:eastAsia="en-NZ"/>
              </w:rPr>
              <w:t>N</w:t>
            </w:r>
          </w:p>
        </w:tc>
        <w:tc>
          <w:tcPr>
            <w:tcW w:w="826" w:type="dxa"/>
            <w:tcBorders>
              <w:top w:val="nil"/>
              <w:left w:val="single" w:sz="4" w:space="0" w:color="A6A6A6" w:themeColor="background1" w:themeShade="A6"/>
              <w:bottom w:val="nil"/>
            </w:tcBorders>
            <w:shd w:val="clear" w:color="auto" w:fill="D9D9D9" w:themeFill="background1" w:themeFillShade="D9"/>
            <w:noWrap/>
            <w:hideMark/>
          </w:tcPr>
          <w:p w:rsidR="00F4528E" w:rsidRPr="00F4528E" w:rsidRDefault="00F4528E" w:rsidP="00F4528E">
            <w:pPr>
              <w:pStyle w:val="TableText"/>
              <w:spacing w:before="0"/>
              <w:jc w:val="center"/>
              <w:rPr>
                <w:b/>
                <w:lang w:eastAsia="en-NZ"/>
              </w:rPr>
            </w:pPr>
            <w:r w:rsidRPr="00F4528E">
              <w:rPr>
                <w:b/>
                <w:lang w:eastAsia="en-NZ"/>
              </w:rPr>
              <w:t>N</w:t>
            </w:r>
          </w:p>
        </w:tc>
        <w:tc>
          <w:tcPr>
            <w:tcW w:w="827" w:type="dxa"/>
            <w:tcBorders>
              <w:top w:val="nil"/>
              <w:bottom w:val="nil"/>
              <w:right w:val="single" w:sz="4" w:space="0" w:color="A6A6A6" w:themeColor="background1" w:themeShade="A6"/>
            </w:tcBorders>
            <w:shd w:val="clear" w:color="auto" w:fill="D9D9D9" w:themeFill="background1" w:themeFillShade="D9"/>
            <w:noWrap/>
            <w:hideMark/>
          </w:tcPr>
          <w:p w:rsidR="00F4528E" w:rsidRPr="00F4528E" w:rsidRDefault="00F4528E" w:rsidP="00F4528E">
            <w:pPr>
              <w:pStyle w:val="TableText"/>
              <w:spacing w:before="0"/>
              <w:jc w:val="center"/>
              <w:rPr>
                <w:b/>
                <w:lang w:eastAsia="en-NZ"/>
              </w:rPr>
            </w:pPr>
            <w:r w:rsidRPr="00F4528E">
              <w:rPr>
                <w:b/>
                <w:lang w:eastAsia="en-NZ"/>
              </w:rPr>
              <w:t>%</w:t>
            </w:r>
          </w:p>
        </w:tc>
        <w:tc>
          <w:tcPr>
            <w:tcW w:w="827" w:type="dxa"/>
            <w:tcBorders>
              <w:top w:val="nil"/>
              <w:left w:val="single" w:sz="4" w:space="0" w:color="A6A6A6" w:themeColor="background1" w:themeShade="A6"/>
              <w:bottom w:val="nil"/>
            </w:tcBorders>
            <w:shd w:val="clear" w:color="auto" w:fill="D9D9D9" w:themeFill="background1" w:themeFillShade="D9"/>
            <w:noWrap/>
            <w:hideMark/>
          </w:tcPr>
          <w:p w:rsidR="00F4528E" w:rsidRPr="00F4528E" w:rsidRDefault="00F4528E" w:rsidP="00F4528E">
            <w:pPr>
              <w:pStyle w:val="TableText"/>
              <w:spacing w:before="0"/>
              <w:jc w:val="center"/>
              <w:rPr>
                <w:b/>
                <w:lang w:eastAsia="en-NZ"/>
              </w:rPr>
            </w:pPr>
            <w:r w:rsidRPr="00F4528E">
              <w:rPr>
                <w:b/>
                <w:lang w:eastAsia="en-NZ"/>
              </w:rPr>
              <w:t>N</w:t>
            </w:r>
          </w:p>
        </w:tc>
        <w:tc>
          <w:tcPr>
            <w:tcW w:w="827" w:type="dxa"/>
            <w:tcBorders>
              <w:top w:val="nil"/>
              <w:bottom w:val="nil"/>
              <w:right w:val="single" w:sz="4" w:space="0" w:color="A6A6A6" w:themeColor="background1" w:themeShade="A6"/>
            </w:tcBorders>
            <w:shd w:val="clear" w:color="auto" w:fill="D9D9D9" w:themeFill="background1" w:themeFillShade="D9"/>
            <w:noWrap/>
            <w:hideMark/>
          </w:tcPr>
          <w:p w:rsidR="00F4528E" w:rsidRPr="00F4528E" w:rsidRDefault="00F4528E" w:rsidP="00F4528E">
            <w:pPr>
              <w:pStyle w:val="TableText"/>
              <w:spacing w:before="0"/>
              <w:jc w:val="center"/>
              <w:rPr>
                <w:b/>
                <w:lang w:eastAsia="en-NZ"/>
              </w:rPr>
            </w:pPr>
            <w:r w:rsidRPr="00F4528E">
              <w:rPr>
                <w:b/>
                <w:lang w:eastAsia="en-NZ"/>
              </w:rPr>
              <w:t>%</w:t>
            </w:r>
          </w:p>
        </w:tc>
        <w:tc>
          <w:tcPr>
            <w:tcW w:w="827" w:type="dxa"/>
            <w:tcBorders>
              <w:top w:val="nil"/>
              <w:left w:val="single" w:sz="4" w:space="0" w:color="A6A6A6" w:themeColor="background1" w:themeShade="A6"/>
              <w:bottom w:val="nil"/>
            </w:tcBorders>
            <w:shd w:val="clear" w:color="auto" w:fill="D9D9D9" w:themeFill="background1" w:themeFillShade="D9"/>
            <w:noWrap/>
            <w:hideMark/>
          </w:tcPr>
          <w:p w:rsidR="00F4528E" w:rsidRPr="00F4528E" w:rsidRDefault="00F4528E" w:rsidP="00F4528E">
            <w:pPr>
              <w:pStyle w:val="TableText"/>
              <w:spacing w:before="0"/>
              <w:jc w:val="center"/>
              <w:rPr>
                <w:b/>
                <w:lang w:eastAsia="en-NZ"/>
              </w:rPr>
            </w:pPr>
            <w:r w:rsidRPr="00F4528E">
              <w:rPr>
                <w:b/>
                <w:lang w:eastAsia="en-NZ"/>
              </w:rPr>
              <w:t>N</w:t>
            </w:r>
          </w:p>
        </w:tc>
        <w:tc>
          <w:tcPr>
            <w:tcW w:w="827" w:type="dxa"/>
            <w:tcBorders>
              <w:top w:val="nil"/>
              <w:bottom w:val="nil"/>
            </w:tcBorders>
            <w:shd w:val="clear" w:color="auto" w:fill="D9D9D9" w:themeFill="background1" w:themeFillShade="D9"/>
            <w:noWrap/>
            <w:hideMark/>
          </w:tcPr>
          <w:p w:rsidR="00F4528E" w:rsidRPr="00F4528E" w:rsidRDefault="00F4528E" w:rsidP="00F4528E">
            <w:pPr>
              <w:pStyle w:val="TableText"/>
              <w:spacing w:before="0"/>
              <w:jc w:val="center"/>
              <w:rPr>
                <w:b/>
                <w:lang w:eastAsia="en-NZ"/>
              </w:rPr>
            </w:pPr>
            <w:r w:rsidRPr="00F4528E">
              <w:rPr>
                <w:b/>
                <w:lang w:eastAsia="en-NZ"/>
              </w:rPr>
              <w:t>%</w:t>
            </w:r>
          </w:p>
        </w:tc>
      </w:tr>
      <w:tr w:rsidR="00F4528E" w:rsidRPr="00C51817" w:rsidTr="00F4528E">
        <w:trPr>
          <w:cantSplit/>
        </w:trPr>
        <w:tc>
          <w:tcPr>
            <w:tcW w:w="1985" w:type="dxa"/>
            <w:tcBorders>
              <w:top w:val="nil"/>
              <w:right w:val="single" w:sz="4" w:space="0" w:color="A6A6A6" w:themeColor="background1" w:themeShade="A6"/>
            </w:tcBorders>
            <w:shd w:val="clear" w:color="auto" w:fill="auto"/>
            <w:noWrap/>
          </w:tcPr>
          <w:p w:rsidR="00F4528E" w:rsidRPr="00F4528E" w:rsidRDefault="00F4528E" w:rsidP="00F4528E">
            <w:pPr>
              <w:pStyle w:val="TableText"/>
              <w:rPr>
                <w:b/>
                <w:lang w:eastAsia="en-NZ"/>
              </w:rPr>
            </w:pPr>
            <w:r w:rsidRPr="00F4528E">
              <w:rPr>
                <w:b/>
                <w:color w:val="000000"/>
                <w:lang w:eastAsia="en-NZ"/>
              </w:rPr>
              <w:t>Age group</w:t>
            </w:r>
          </w:p>
        </w:tc>
        <w:tc>
          <w:tcPr>
            <w:tcW w:w="1134" w:type="dxa"/>
            <w:tcBorders>
              <w:top w:val="nil"/>
              <w:left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F4528E">
            <w:pPr>
              <w:pStyle w:val="TableText"/>
              <w:tabs>
                <w:tab w:val="decimal" w:pos="737"/>
              </w:tabs>
              <w:rPr>
                <w:lang w:eastAsia="en-NZ"/>
              </w:rPr>
            </w:pPr>
          </w:p>
        </w:tc>
        <w:tc>
          <w:tcPr>
            <w:tcW w:w="826" w:type="dxa"/>
            <w:tcBorders>
              <w:top w:val="nil"/>
              <w:left w:val="single" w:sz="4" w:space="0" w:color="A6A6A6" w:themeColor="background1" w:themeShade="A6"/>
            </w:tcBorders>
            <w:shd w:val="clear" w:color="auto" w:fill="auto"/>
            <w:noWrap/>
          </w:tcPr>
          <w:p w:rsidR="00F4528E" w:rsidRPr="00B20EAA" w:rsidRDefault="00F4528E" w:rsidP="00F4528E">
            <w:pPr>
              <w:pStyle w:val="TableText"/>
              <w:tabs>
                <w:tab w:val="decimal" w:pos="542"/>
              </w:tabs>
              <w:rPr>
                <w:lang w:eastAsia="en-NZ"/>
              </w:rPr>
            </w:pPr>
          </w:p>
        </w:tc>
        <w:tc>
          <w:tcPr>
            <w:tcW w:w="827" w:type="dxa"/>
            <w:tcBorders>
              <w:top w:val="nil"/>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p>
        </w:tc>
        <w:tc>
          <w:tcPr>
            <w:tcW w:w="827" w:type="dxa"/>
            <w:tcBorders>
              <w:top w:val="nil"/>
              <w:left w:val="single" w:sz="4" w:space="0" w:color="A6A6A6" w:themeColor="background1" w:themeShade="A6"/>
            </w:tcBorders>
            <w:shd w:val="clear" w:color="auto" w:fill="auto"/>
            <w:noWrap/>
          </w:tcPr>
          <w:p w:rsidR="00F4528E" w:rsidRPr="00B20EAA" w:rsidRDefault="00F4528E" w:rsidP="00F4528E">
            <w:pPr>
              <w:pStyle w:val="TableText"/>
              <w:tabs>
                <w:tab w:val="decimal" w:pos="538"/>
              </w:tabs>
              <w:rPr>
                <w:lang w:eastAsia="en-NZ"/>
              </w:rPr>
            </w:pPr>
          </w:p>
        </w:tc>
        <w:tc>
          <w:tcPr>
            <w:tcW w:w="827" w:type="dxa"/>
            <w:tcBorders>
              <w:top w:val="nil"/>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p>
        </w:tc>
        <w:tc>
          <w:tcPr>
            <w:tcW w:w="827" w:type="dxa"/>
            <w:tcBorders>
              <w:top w:val="nil"/>
              <w:left w:val="single" w:sz="4" w:space="0" w:color="A6A6A6" w:themeColor="background1" w:themeShade="A6"/>
            </w:tcBorders>
            <w:shd w:val="clear" w:color="auto" w:fill="auto"/>
            <w:noWrap/>
          </w:tcPr>
          <w:p w:rsidR="00F4528E" w:rsidRPr="00B20EAA" w:rsidRDefault="00F4528E" w:rsidP="00F4528E">
            <w:pPr>
              <w:pStyle w:val="TableText"/>
              <w:tabs>
                <w:tab w:val="decimal" w:pos="494"/>
              </w:tabs>
              <w:rPr>
                <w:lang w:eastAsia="en-NZ"/>
              </w:rPr>
            </w:pPr>
          </w:p>
        </w:tc>
        <w:tc>
          <w:tcPr>
            <w:tcW w:w="827" w:type="dxa"/>
            <w:tcBorders>
              <w:top w:val="nil"/>
            </w:tcBorders>
            <w:shd w:val="clear" w:color="auto" w:fill="auto"/>
            <w:noWrap/>
          </w:tcPr>
          <w:p w:rsidR="00F4528E" w:rsidRPr="00B20EAA" w:rsidRDefault="00F4528E" w:rsidP="00F4528E">
            <w:pPr>
              <w:pStyle w:val="TableText"/>
              <w:jc w:val="center"/>
              <w:rPr>
                <w:lang w:eastAsia="en-NZ"/>
              </w:rPr>
            </w:pPr>
          </w:p>
        </w:tc>
      </w:tr>
      <w:tr w:rsidR="00F4528E" w:rsidRPr="00C51817" w:rsidTr="00F4528E">
        <w:trPr>
          <w:cantSplit/>
        </w:trPr>
        <w:tc>
          <w:tcPr>
            <w:tcW w:w="1985" w:type="dxa"/>
            <w:tcBorders>
              <w:right w:val="single" w:sz="4" w:space="0" w:color="A6A6A6" w:themeColor="background1" w:themeShade="A6"/>
            </w:tcBorders>
            <w:shd w:val="clear" w:color="auto" w:fill="auto"/>
            <w:noWrap/>
          </w:tcPr>
          <w:p w:rsidR="00F4528E" w:rsidRPr="00B20EAA" w:rsidRDefault="00F4528E" w:rsidP="007A7532">
            <w:pPr>
              <w:pStyle w:val="TableText"/>
              <w:ind w:left="284"/>
              <w:rPr>
                <w:lang w:eastAsia="en-NZ"/>
              </w:rPr>
            </w:pPr>
            <w:r w:rsidRPr="00B20EAA">
              <w:rPr>
                <w:lang w:eastAsia="en-NZ"/>
              </w:rPr>
              <w:t>18</w:t>
            </w:r>
            <w:r>
              <w:rPr>
                <w:lang w:eastAsia="en-NZ"/>
              </w:rPr>
              <w:t>–</w:t>
            </w:r>
            <w:r w:rsidRPr="00B20EAA">
              <w:rPr>
                <w:lang w:eastAsia="en-NZ"/>
              </w:rPr>
              <w:t>49</w:t>
            </w:r>
          </w:p>
        </w:tc>
        <w:tc>
          <w:tcPr>
            <w:tcW w:w="1134" w:type="dxa"/>
            <w:tcBorders>
              <w:left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F4528E">
            <w:pPr>
              <w:pStyle w:val="TableText"/>
              <w:tabs>
                <w:tab w:val="decimal" w:pos="737"/>
              </w:tabs>
              <w:rPr>
                <w:lang w:eastAsia="en-NZ"/>
              </w:rPr>
            </w:pPr>
            <w:r w:rsidRPr="00C51817">
              <w:rPr>
                <w:lang w:eastAsia="en-NZ"/>
              </w:rPr>
              <w:t>733</w:t>
            </w:r>
          </w:p>
        </w:tc>
        <w:tc>
          <w:tcPr>
            <w:tcW w:w="826" w:type="dxa"/>
            <w:tcBorders>
              <w:left w:val="single" w:sz="4" w:space="0" w:color="A6A6A6" w:themeColor="background1" w:themeShade="A6"/>
            </w:tcBorders>
            <w:shd w:val="clear" w:color="auto" w:fill="auto"/>
            <w:noWrap/>
          </w:tcPr>
          <w:p w:rsidR="00F4528E" w:rsidRPr="00B20EAA" w:rsidRDefault="00F4528E" w:rsidP="00F4528E">
            <w:pPr>
              <w:pStyle w:val="TableText"/>
              <w:tabs>
                <w:tab w:val="decimal" w:pos="542"/>
              </w:tabs>
              <w:rPr>
                <w:lang w:eastAsia="en-NZ"/>
              </w:rPr>
            </w:pPr>
            <w:r w:rsidRPr="00C51817">
              <w:rPr>
                <w:lang w:eastAsia="en-NZ"/>
              </w:rPr>
              <w:t>239</w:t>
            </w:r>
          </w:p>
        </w:tc>
        <w:tc>
          <w:tcPr>
            <w:tcW w:w="827" w:type="dxa"/>
            <w:tcBorders>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r w:rsidRPr="00C51817">
              <w:rPr>
                <w:lang w:eastAsia="en-NZ"/>
              </w:rPr>
              <w:t>32.6</w:t>
            </w:r>
          </w:p>
        </w:tc>
        <w:tc>
          <w:tcPr>
            <w:tcW w:w="827" w:type="dxa"/>
            <w:tcBorders>
              <w:left w:val="single" w:sz="4" w:space="0" w:color="A6A6A6" w:themeColor="background1" w:themeShade="A6"/>
            </w:tcBorders>
            <w:shd w:val="clear" w:color="auto" w:fill="auto"/>
            <w:noWrap/>
          </w:tcPr>
          <w:p w:rsidR="00F4528E" w:rsidRPr="00B20EAA" w:rsidRDefault="00F4528E" w:rsidP="00F4528E">
            <w:pPr>
              <w:pStyle w:val="TableText"/>
              <w:tabs>
                <w:tab w:val="decimal" w:pos="538"/>
              </w:tabs>
              <w:rPr>
                <w:lang w:eastAsia="en-NZ"/>
              </w:rPr>
            </w:pPr>
            <w:r w:rsidRPr="00C51817">
              <w:rPr>
                <w:lang w:eastAsia="en-NZ"/>
              </w:rPr>
              <w:t>494</w:t>
            </w:r>
          </w:p>
        </w:tc>
        <w:tc>
          <w:tcPr>
            <w:tcW w:w="827" w:type="dxa"/>
            <w:tcBorders>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r w:rsidRPr="00C51817">
              <w:rPr>
                <w:lang w:eastAsia="en-NZ"/>
              </w:rPr>
              <w:t>67.4</w:t>
            </w:r>
          </w:p>
        </w:tc>
        <w:tc>
          <w:tcPr>
            <w:tcW w:w="827" w:type="dxa"/>
            <w:tcBorders>
              <w:left w:val="single" w:sz="4" w:space="0" w:color="A6A6A6" w:themeColor="background1" w:themeShade="A6"/>
            </w:tcBorders>
            <w:shd w:val="clear" w:color="auto" w:fill="auto"/>
            <w:noWrap/>
          </w:tcPr>
          <w:p w:rsidR="00F4528E" w:rsidRPr="00B20EAA" w:rsidRDefault="00F4528E" w:rsidP="00F4528E">
            <w:pPr>
              <w:pStyle w:val="TableText"/>
              <w:tabs>
                <w:tab w:val="decimal" w:pos="494"/>
              </w:tabs>
              <w:rPr>
                <w:lang w:eastAsia="en-NZ"/>
              </w:rPr>
            </w:pPr>
            <w:r w:rsidRPr="00C51817">
              <w:rPr>
                <w:lang w:eastAsia="en-NZ"/>
              </w:rPr>
              <w:t>0</w:t>
            </w:r>
          </w:p>
        </w:tc>
        <w:tc>
          <w:tcPr>
            <w:tcW w:w="827" w:type="dxa"/>
            <w:shd w:val="clear" w:color="auto" w:fill="auto"/>
            <w:noWrap/>
          </w:tcPr>
          <w:p w:rsidR="00F4528E" w:rsidRPr="00B20EAA" w:rsidRDefault="00F4528E" w:rsidP="00F4528E">
            <w:pPr>
              <w:pStyle w:val="TableText"/>
              <w:jc w:val="center"/>
              <w:rPr>
                <w:lang w:eastAsia="en-NZ"/>
              </w:rPr>
            </w:pPr>
            <w:r w:rsidRPr="00C51817">
              <w:rPr>
                <w:lang w:eastAsia="en-NZ"/>
              </w:rPr>
              <w:t>0.0</w:t>
            </w:r>
          </w:p>
        </w:tc>
      </w:tr>
      <w:tr w:rsidR="00F4528E" w:rsidRPr="00C51817" w:rsidTr="00F4528E">
        <w:trPr>
          <w:cantSplit/>
        </w:trPr>
        <w:tc>
          <w:tcPr>
            <w:tcW w:w="1985" w:type="dxa"/>
            <w:tcBorders>
              <w:right w:val="single" w:sz="4" w:space="0" w:color="A6A6A6" w:themeColor="background1" w:themeShade="A6"/>
            </w:tcBorders>
            <w:shd w:val="clear" w:color="auto" w:fill="auto"/>
            <w:noWrap/>
          </w:tcPr>
          <w:p w:rsidR="00F4528E" w:rsidRPr="00B20EAA" w:rsidRDefault="00F4528E" w:rsidP="007A7532">
            <w:pPr>
              <w:pStyle w:val="TableText"/>
              <w:ind w:left="284"/>
              <w:rPr>
                <w:lang w:eastAsia="en-NZ"/>
              </w:rPr>
            </w:pPr>
            <w:r w:rsidRPr="00B20EAA">
              <w:rPr>
                <w:lang w:eastAsia="en-NZ"/>
              </w:rPr>
              <w:t>50</w:t>
            </w:r>
            <w:r>
              <w:rPr>
                <w:lang w:eastAsia="en-NZ"/>
              </w:rPr>
              <w:t>–</w:t>
            </w:r>
            <w:r w:rsidRPr="00B20EAA">
              <w:rPr>
                <w:lang w:eastAsia="en-NZ"/>
              </w:rPr>
              <w:t>59</w:t>
            </w:r>
          </w:p>
        </w:tc>
        <w:tc>
          <w:tcPr>
            <w:tcW w:w="1134" w:type="dxa"/>
            <w:tcBorders>
              <w:left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F4528E">
            <w:pPr>
              <w:pStyle w:val="TableText"/>
              <w:tabs>
                <w:tab w:val="decimal" w:pos="737"/>
              </w:tabs>
              <w:rPr>
                <w:lang w:eastAsia="en-NZ"/>
              </w:rPr>
            </w:pPr>
            <w:r w:rsidRPr="00C51817">
              <w:rPr>
                <w:lang w:eastAsia="en-NZ"/>
              </w:rPr>
              <w:t>1</w:t>
            </w:r>
            <w:r>
              <w:rPr>
                <w:lang w:eastAsia="en-NZ"/>
              </w:rPr>
              <w:t>,</w:t>
            </w:r>
            <w:r w:rsidRPr="00C51817">
              <w:rPr>
                <w:lang w:eastAsia="en-NZ"/>
              </w:rPr>
              <w:t>371</w:t>
            </w:r>
          </w:p>
        </w:tc>
        <w:tc>
          <w:tcPr>
            <w:tcW w:w="826" w:type="dxa"/>
            <w:tcBorders>
              <w:left w:val="single" w:sz="4" w:space="0" w:color="A6A6A6" w:themeColor="background1" w:themeShade="A6"/>
            </w:tcBorders>
            <w:shd w:val="clear" w:color="auto" w:fill="auto"/>
            <w:noWrap/>
          </w:tcPr>
          <w:p w:rsidR="00F4528E" w:rsidRPr="00B20EAA" w:rsidRDefault="00F4528E" w:rsidP="00F4528E">
            <w:pPr>
              <w:pStyle w:val="TableText"/>
              <w:tabs>
                <w:tab w:val="decimal" w:pos="542"/>
              </w:tabs>
              <w:rPr>
                <w:lang w:eastAsia="en-NZ"/>
              </w:rPr>
            </w:pPr>
            <w:r w:rsidRPr="00C51817">
              <w:rPr>
                <w:lang w:eastAsia="en-NZ"/>
              </w:rPr>
              <w:t>333</w:t>
            </w:r>
          </w:p>
        </w:tc>
        <w:tc>
          <w:tcPr>
            <w:tcW w:w="827" w:type="dxa"/>
            <w:tcBorders>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r w:rsidRPr="00C51817">
              <w:rPr>
                <w:lang w:eastAsia="en-NZ"/>
              </w:rPr>
              <w:t>24.3</w:t>
            </w:r>
          </w:p>
        </w:tc>
        <w:tc>
          <w:tcPr>
            <w:tcW w:w="827" w:type="dxa"/>
            <w:tcBorders>
              <w:left w:val="single" w:sz="4" w:space="0" w:color="A6A6A6" w:themeColor="background1" w:themeShade="A6"/>
            </w:tcBorders>
            <w:shd w:val="clear" w:color="auto" w:fill="auto"/>
            <w:noWrap/>
          </w:tcPr>
          <w:p w:rsidR="00F4528E" w:rsidRPr="00B20EAA" w:rsidRDefault="00F4528E" w:rsidP="00F4528E">
            <w:pPr>
              <w:pStyle w:val="TableText"/>
              <w:tabs>
                <w:tab w:val="decimal" w:pos="538"/>
              </w:tabs>
              <w:rPr>
                <w:lang w:eastAsia="en-NZ"/>
              </w:rPr>
            </w:pPr>
            <w:r w:rsidRPr="00C51817">
              <w:rPr>
                <w:lang w:eastAsia="en-NZ"/>
              </w:rPr>
              <w:t>967</w:t>
            </w:r>
          </w:p>
        </w:tc>
        <w:tc>
          <w:tcPr>
            <w:tcW w:w="827" w:type="dxa"/>
            <w:tcBorders>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r w:rsidRPr="00C51817">
              <w:rPr>
                <w:lang w:eastAsia="en-NZ"/>
              </w:rPr>
              <w:t>70.5</w:t>
            </w:r>
          </w:p>
        </w:tc>
        <w:tc>
          <w:tcPr>
            <w:tcW w:w="827" w:type="dxa"/>
            <w:tcBorders>
              <w:left w:val="single" w:sz="4" w:space="0" w:color="A6A6A6" w:themeColor="background1" w:themeShade="A6"/>
            </w:tcBorders>
            <w:shd w:val="clear" w:color="auto" w:fill="auto"/>
            <w:noWrap/>
          </w:tcPr>
          <w:p w:rsidR="00F4528E" w:rsidRPr="00B20EAA" w:rsidRDefault="00F4528E" w:rsidP="00F4528E">
            <w:pPr>
              <w:pStyle w:val="TableText"/>
              <w:tabs>
                <w:tab w:val="decimal" w:pos="494"/>
              </w:tabs>
              <w:rPr>
                <w:lang w:eastAsia="en-NZ"/>
              </w:rPr>
            </w:pPr>
            <w:r w:rsidRPr="00C51817">
              <w:rPr>
                <w:lang w:eastAsia="en-NZ"/>
              </w:rPr>
              <w:t>71</w:t>
            </w:r>
          </w:p>
        </w:tc>
        <w:tc>
          <w:tcPr>
            <w:tcW w:w="827" w:type="dxa"/>
            <w:shd w:val="clear" w:color="auto" w:fill="auto"/>
            <w:noWrap/>
          </w:tcPr>
          <w:p w:rsidR="00F4528E" w:rsidRPr="00B20EAA" w:rsidRDefault="00F4528E" w:rsidP="00F4528E">
            <w:pPr>
              <w:pStyle w:val="TableText"/>
              <w:jc w:val="center"/>
              <w:rPr>
                <w:lang w:eastAsia="en-NZ"/>
              </w:rPr>
            </w:pPr>
            <w:r w:rsidRPr="00C51817">
              <w:rPr>
                <w:lang w:eastAsia="en-NZ"/>
              </w:rPr>
              <w:t>5.2</w:t>
            </w:r>
          </w:p>
        </w:tc>
      </w:tr>
      <w:tr w:rsidR="00F4528E" w:rsidRPr="00C51817" w:rsidTr="00F4528E">
        <w:trPr>
          <w:cantSplit/>
        </w:trPr>
        <w:tc>
          <w:tcPr>
            <w:tcW w:w="1985" w:type="dxa"/>
            <w:tcBorders>
              <w:right w:val="single" w:sz="4" w:space="0" w:color="A6A6A6" w:themeColor="background1" w:themeShade="A6"/>
            </w:tcBorders>
            <w:shd w:val="clear" w:color="auto" w:fill="auto"/>
            <w:noWrap/>
            <w:hideMark/>
          </w:tcPr>
          <w:p w:rsidR="00F4528E" w:rsidRPr="00B20EAA" w:rsidRDefault="00F4528E" w:rsidP="007A7532">
            <w:pPr>
              <w:pStyle w:val="TableText"/>
              <w:ind w:left="284"/>
              <w:rPr>
                <w:lang w:eastAsia="en-NZ"/>
              </w:rPr>
            </w:pPr>
            <w:r w:rsidRPr="00B20EAA">
              <w:rPr>
                <w:lang w:eastAsia="en-NZ"/>
              </w:rPr>
              <w:t>60</w:t>
            </w:r>
            <w:r>
              <w:rPr>
                <w:lang w:eastAsia="en-NZ"/>
              </w:rPr>
              <w:t>–</w:t>
            </w:r>
            <w:r w:rsidRPr="00B20EAA">
              <w:rPr>
                <w:lang w:eastAsia="en-NZ"/>
              </w:rPr>
              <w:t>74</w:t>
            </w:r>
          </w:p>
        </w:tc>
        <w:tc>
          <w:tcPr>
            <w:tcW w:w="1134" w:type="dxa"/>
            <w:tcBorders>
              <w:left w:val="single" w:sz="4" w:space="0" w:color="A6A6A6" w:themeColor="background1" w:themeShade="A6"/>
              <w:right w:val="single" w:sz="4" w:space="0" w:color="A6A6A6" w:themeColor="background1" w:themeShade="A6"/>
            </w:tcBorders>
            <w:shd w:val="clear" w:color="auto" w:fill="auto"/>
            <w:noWrap/>
            <w:hideMark/>
          </w:tcPr>
          <w:p w:rsidR="00F4528E" w:rsidRPr="00B20EAA" w:rsidRDefault="00F4528E" w:rsidP="00F4528E">
            <w:pPr>
              <w:pStyle w:val="TableText"/>
              <w:tabs>
                <w:tab w:val="decimal" w:pos="737"/>
              </w:tabs>
              <w:rPr>
                <w:lang w:eastAsia="en-NZ"/>
              </w:rPr>
            </w:pPr>
            <w:r w:rsidRPr="00C51817">
              <w:rPr>
                <w:lang w:eastAsia="en-NZ"/>
              </w:rPr>
              <w:t>4</w:t>
            </w:r>
            <w:r>
              <w:rPr>
                <w:lang w:eastAsia="en-NZ"/>
              </w:rPr>
              <w:t>,</w:t>
            </w:r>
            <w:r w:rsidRPr="00C51817">
              <w:rPr>
                <w:lang w:eastAsia="en-NZ"/>
              </w:rPr>
              <w:t>434</w:t>
            </w:r>
          </w:p>
        </w:tc>
        <w:tc>
          <w:tcPr>
            <w:tcW w:w="826"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42"/>
              </w:tabs>
              <w:rPr>
                <w:lang w:eastAsia="en-NZ"/>
              </w:rPr>
            </w:pPr>
            <w:r w:rsidRPr="00C51817">
              <w:rPr>
                <w:lang w:eastAsia="en-NZ"/>
              </w:rPr>
              <w:t>951</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21.4</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38"/>
              </w:tabs>
              <w:rPr>
                <w:lang w:eastAsia="en-NZ"/>
              </w:rPr>
            </w:pPr>
            <w:r w:rsidRPr="00C51817">
              <w:rPr>
                <w:lang w:eastAsia="en-NZ"/>
              </w:rPr>
              <w:t>3</w:t>
            </w:r>
            <w:r>
              <w:rPr>
                <w:lang w:eastAsia="en-NZ"/>
              </w:rPr>
              <w:t>,</w:t>
            </w:r>
            <w:r w:rsidRPr="00C51817">
              <w:rPr>
                <w:lang w:eastAsia="en-NZ"/>
              </w:rPr>
              <w:t>253</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73.4</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494"/>
              </w:tabs>
              <w:rPr>
                <w:lang w:eastAsia="en-NZ"/>
              </w:rPr>
            </w:pPr>
            <w:r w:rsidRPr="00C51817">
              <w:rPr>
                <w:lang w:eastAsia="en-NZ"/>
              </w:rPr>
              <w:t>230</w:t>
            </w:r>
          </w:p>
        </w:tc>
        <w:tc>
          <w:tcPr>
            <w:tcW w:w="827" w:type="dxa"/>
            <w:shd w:val="clear" w:color="auto" w:fill="auto"/>
            <w:noWrap/>
            <w:hideMark/>
          </w:tcPr>
          <w:p w:rsidR="00F4528E" w:rsidRPr="00B20EAA" w:rsidRDefault="00F4528E" w:rsidP="00F4528E">
            <w:pPr>
              <w:pStyle w:val="TableText"/>
              <w:jc w:val="center"/>
              <w:rPr>
                <w:lang w:eastAsia="en-NZ"/>
              </w:rPr>
            </w:pPr>
            <w:r w:rsidRPr="00C51817">
              <w:rPr>
                <w:lang w:eastAsia="en-NZ"/>
              </w:rPr>
              <w:t>5.2</w:t>
            </w:r>
          </w:p>
        </w:tc>
      </w:tr>
      <w:tr w:rsidR="00F4528E" w:rsidRPr="00C51817" w:rsidTr="00F4528E">
        <w:trPr>
          <w:cantSplit/>
        </w:trPr>
        <w:tc>
          <w:tcPr>
            <w:tcW w:w="1985" w:type="dxa"/>
            <w:tcBorders>
              <w:bottom w:val="single" w:sz="4" w:space="0" w:color="7F7F7F" w:themeColor="text1" w:themeTint="80"/>
              <w:right w:val="single" w:sz="4" w:space="0" w:color="A6A6A6" w:themeColor="background1" w:themeShade="A6"/>
            </w:tcBorders>
            <w:shd w:val="clear" w:color="auto" w:fill="auto"/>
            <w:noWrap/>
            <w:hideMark/>
          </w:tcPr>
          <w:p w:rsidR="00F4528E" w:rsidRPr="00B20EAA" w:rsidRDefault="00F4528E" w:rsidP="007A7532">
            <w:pPr>
              <w:pStyle w:val="TableText"/>
              <w:ind w:left="284"/>
              <w:rPr>
                <w:lang w:eastAsia="en-NZ"/>
              </w:rPr>
            </w:pPr>
            <w:r w:rsidRPr="00B20EAA">
              <w:rPr>
                <w:lang w:eastAsia="en-NZ"/>
              </w:rPr>
              <w:t>75+</w:t>
            </w:r>
          </w:p>
        </w:tc>
        <w:tc>
          <w:tcPr>
            <w:tcW w:w="1134" w:type="dxa"/>
            <w:tcBorders>
              <w:left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hideMark/>
          </w:tcPr>
          <w:p w:rsidR="00F4528E" w:rsidRPr="00B20EAA" w:rsidRDefault="00F4528E" w:rsidP="00F4528E">
            <w:pPr>
              <w:pStyle w:val="TableText"/>
              <w:tabs>
                <w:tab w:val="decimal" w:pos="737"/>
              </w:tabs>
              <w:rPr>
                <w:lang w:eastAsia="en-NZ"/>
              </w:rPr>
            </w:pPr>
            <w:r w:rsidRPr="00C51817">
              <w:rPr>
                <w:lang w:eastAsia="en-NZ"/>
              </w:rPr>
              <w:t>4</w:t>
            </w:r>
            <w:r>
              <w:rPr>
                <w:lang w:eastAsia="en-NZ"/>
              </w:rPr>
              <w:t>,</w:t>
            </w:r>
            <w:r w:rsidRPr="00C51817">
              <w:rPr>
                <w:lang w:eastAsia="en-NZ"/>
              </w:rPr>
              <w:t>890</w:t>
            </w:r>
          </w:p>
        </w:tc>
        <w:tc>
          <w:tcPr>
            <w:tcW w:w="826" w:type="dxa"/>
            <w:tcBorders>
              <w:left w:val="single" w:sz="4" w:space="0" w:color="A6A6A6" w:themeColor="background1" w:themeShade="A6"/>
              <w:bottom w:val="single" w:sz="4" w:space="0" w:color="7F7F7F" w:themeColor="text1" w:themeTint="80"/>
            </w:tcBorders>
            <w:shd w:val="clear" w:color="auto" w:fill="auto"/>
            <w:noWrap/>
            <w:hideMark/>
          </w:tcPr>
          <w:p w:rsidR="00F4528E" w:rsidRPr="00B20EAA" w:rsidRDefault="00F4528E" w:rsidP="00F4528E">
            <w:pPr>
              <w:pStyle w:val="TableText"/>
              <w:tabs>
                <w:tab w:val="decimal" w:pos="542"/>
              </w:tabs>
              <w:rPr>
                <w:lang w:eastAsia="en-NZ"/>
              </w:rPr>
            </w:pPr>
            <w:r w:rsidRPr="00C51817">
              <w:rPr>
                <w:lang w:eastAsia="en-NZ"/>
              </w:rPr>
              <w:t>1</w:t>
            </w:r>
            <w:r>
              <w:rPr>
                <w:lang w:eastAsia="en-NZ"/>
              </w:rPr>
              <w:t>,</w:t>
            </w:r>
            <w:r w:rsidRPr="00C51817">
              <w:rPr>
                <w:lang w:eastAsia="en-NZ"/>
              </w:rPr>
              <w:t>479</w:t>
            </w:r>
          </w:p>
        </w:tc>
        <w:tc>
          <w:tcPr>
            <w:tcW w:w="827" w:type="dxa"/>
            <w:tcBorders>
              <w:bottom w:val="single" w:sz="4" w:space="0" w:color="7F7F7F" w:themeColor="text1" w:themeTint="80"/>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30.2</w:t>
            </w:r>
          </w:p>
        </w:tc>
        <w:tc>
          <w:tcPr>
            <w:tcW w:w="827" w:type="dxa"/>
            <w:tcBorders>
              <w:left w:val="single" w:sz="4" w:space="0" w:color="A6A6A6" w:themeColor="background1" w:themeShade="A6"/>
              <w:bottom w:val="single" w:sz="4" w:space="0" w:color="7F7F7F" w:themeColor="text1" w:themeTint="80"/>
            </w:tcBorders>
            <w:shd w:val="clear" w:color="auto" w:fill="auto"/>
            <w:noWrap/>
            <w:hideMark/>
          </w:tcPr>
          <w:p w:rsidR="00F4528E" w:rsidRPr="00B20EAA" w:rsidRDefault="00F4528E" w:rsidP="00F4528E">
            <w:pPr>
              <w:pStyle w:val="TableText"/>
              <w:tabs>
                <w:tab w:val="decimal" w:pos="538"/>
              </w:tabs>
              <w:rPr>
                <w:lang w:eastAsia="en-NZ"/>
              </w:rPr>
            </w:pPr>
            <w:r w:rsidRPr="00C51817">
              <w:rPr>
                <w:lang w:eastAsia="en-NZ"/>
              </w:rPr>
              <w:t>3</w:t>
            </w:r>
            <w:r>
              <w:rPr>
                <w:lang w:eastAsia="en-NZ"/>
              </w:rPr>
              <w:t>,</w:t>
            </w:r>
            <w:r w:rsidRPr="00C51817">
              <w:rPr>
                <w:lang w:eastAsia="en-NZ"/>
              </w:rPr>
              <w:t>409</w:t>
            </w:r>
          </w:p>
        </w:tc>
        <w:tc>
          <w:tcPr>
            <w:tcW w:w="827" w:type="dxa"/>
            <w:tcBorders>
              <w:bottom w:val="single" w:sz="4" w:space="0" w:color="7F7F7F" w:themeColor="text1" w:themeTint="80"/>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69.7</w:t>
            </w:r>
          </w:p>
        </w:tc>
        <w:tc>
          <w:tcPr>
            <w:tcW w:w="827" w:type="dxa"/>
            <w:tcBorders>
              <w:left w:val="single" w:sz="4" w:space="0" w:color="A6A6A6" w:themeColor="background1" w:themeShade="A6"/>
              <w:bottom w:val="single" w:sz="4" w:space="0" w:color="7F7F7F" w:themeColor="text1" w:themeTint="80"/>
            </w:tcBorders>
            <w:shd w:val="clear" w:color="auto" w:fill="auto"/>
            <w:noWrap/>
            <w:hideMark/>
          </w:tcPr>
          <w:p w:rsidR="00F4528E" w:rsidRPr="00B20EAA" w:rsidRDefault="00F4528E" w:rsidP="00F4528E">
            <w:pPr>
              <w:pStyle w:val="TableText"/>
              <w:tabs>
                <w:tab w:val="decimal" w:pos="494"/>
              </w:tabs>
              <w:rPr>
                <w:lang w:eastAsia="en-NZ"/>
              </w:rPr>
            </w:pPr>
            <w:r w:rsidRPr="00C51817">
              <w:rPr>
                <w:lang w:eastAsia="en-NZ"/>
              </w:rPr>
              <w:t>2</w:t>
            </w:r>
          </w:p>
        </w:tc>
        <w:tc>
          <w:tcPr>
            <w:tcW w:w="827" w:type="dxa"/>
            <w:tcBorders>
              <w:bottom w:val="single" w:sz="4" w:space="0" w:color="7F7F7F" w:themeColor="text1" w:themeTint="80"/>
            </w:tcBorders>
            <w:shd w:val="clear" w:color="auto" w:fill="auto"/>
            <w:noWrap/>
            <w:hideMark/>
          </w:tcPr>
          <w:p w:rsidR="00F4528E" w:rsidRPr="00B20EAA" w:rsidRDefault="00F4528E" w:rsidP="00F4528E">
            <w:pPr>
              <w:pStyle w:val="TableText"/>
              <w:jc w:val="center"/>
              <w:rPr>
                <w:lang w:eastAsia="en-NZ"/>
              </w:rPr>
            </w:pPr>
            <w:r w:rsidRPr="00C51817">
              <w:rPr>
                <w:lang w:eastAsia="en-NZ"/>
              </w:rPr>
              <w:t>0.0</w:t>
            </w:r>
          </w:p>
        </w:tc>
      </w:tr>
      <w:tr w:rsidR="00F4528E" w:rsidRPr="00C51817" w:rsidTr="00F4528E">
        <w:trPr>
          <w:cantSplit/>
        </w:trPr>
        <w:tc>
          <w:tcPr>
            <w:tcW w:w="1985"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F4528E" w:rsidRPr="00F4528E" w:rsidRDefault="00F4528E" w:rsidP="00F4528E">
            <w:pPr>
              <w:pStyle w:val="TableText"/>
              <w:rPr>
                <w:b/>
                <w:lang w:eastAsia="en-NZ"/>
              </w:rPr>
            </w:pPr>
            <w:r>
              <w:rPr>
                <w:b/>
                <w:lang w:eastAsia="en-NZ"/>
              </w:rPr>
              <w:t>Sex</w:t>
            </w:r>
          </w:p>
        </w:tc>
        <w:tc>
          <w:tcPr>
            <w:tcW w:w="1134"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F4528E">
            <w:pPr>
              <w:pStyle w:val="TableText"/>
              <w:tabs>
                <w:tab w:val="decimal" w:pos="737"/>
              </w:tabs>
              <w:rPr>
                <w:lang w:eastAsia="en-NZ"/>
              </w:rPr>
            </w:pPr>
          </w:p>
        </w:tc>
        <w:tc>
          <w:tcPr>
            <w:tcW w:w="826"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noWrap/>
          </w:tcPr>
          <w:p w:rsidR="00F4528E" w:rsidRPr="00B20EAA" w:rsidRDefault="00F4528E" w:rsidP="00F4528E">
            <w:pPr>
              <w:pStyle w:val="TableText"/>
              <w:tabs>
                <w:tab w:val="decimal" w:pos="542"/>
              </w:tabs>
              <w:rPr>
                <w:lang w:eastAsia="en-NZ"/>
              </w:rPr>
            </w:pPr>
          </w:p>
        </w:tc>
        <w:tc>
          <w:tcPr>
            <w:tcW w:w="827"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p>
        </w:tc>
        <w:tc>
          <w:tcPr>
            <w:tcW w:w="827"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noWrap/>
          </w:tcPr>
          <w:p w:rsidR="00F4528E" w:rsidRPr="00B20EAA" w:rsidRDefault="00F4528E" w:rsidP="00F4528E">
            <w:pPr>
              <w:pStyle w:val="TableText"/>
              <w:tabs>
                <w:tab w:val="decimal" w:pos="538"/>
              </w:tabs>
              <w:rPr>
                <w:lang w:eastAsia="en-NZ"/>
              </w:rPr>
            </w:pPr>
          </w:p>
        </w:tc>
        <w:tc>
          <w:tcPr>
            <w:tcW w:w="827"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p>
        </w:tc>
        <w:tc>
          <w:tcPr>
            <w:tcW w:w="827"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noWrap/>
          </w:tcPr>
          <w:p w:rsidR="00F4528E" w:rsidRPr="00B20EAA" w:rsidRDefault="00F4528E" w:rsidP="00F4528E">
            <w:pPr>
              <w:pStyle w:val="TableText"/>
              <w:tabs>
                <w:tab w:val="decimal" w:pos="494"/>
              </w:tabs>
              <w:rPr>
                <w:lang w:eastAsia="en-NZ"/>
              </w:rPr>
            </w:pPr>
          </w:p>
        </w:tc>
        <w:tc>
          <w:tcPr>
            <w:tcW w:w="827" w:type="dxa"/>
            <w:tcBorders>
              <w:top w:val="single" w:sz="4" w:space="0" w:color="7F7F7F" w:themeColor="text1" w:themeTint="80"/>
              <w:bottom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p>
        </w:tc>
      </w:tr>
      <w:tr w:rsidR="00F4528E" w:rsidRPr="00C51817" w:rsidTr="00F4528E">
        <w:trPr>
          <w:cantSplit/>
        </w:trPr>
        <w:tc>
          <w:tcPr>
            <w:tcW w:w="1985" w:type="dxa"/>
            <w:tcBorders>
              <w:top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7A7532">
            <w:pPr>
              <w:pStyle w:val="TableText"/>
              <w:ind w:left="284"/>
              <w:rPr>
                <w:lang w:eastAsia="en-NZ"/>
              </w:rPr>
            </w:pPr>
            <w:r w:rsidRPr="00B20EAA">
              <w:rPr>
                <w:lang w:eastAsia="en-NZ"/>
              </w:rPr>
              <w:t>Female</w:t>
            </w:r>
          </w:p>
        </w:tc>
        <w:tc>
          <w:tcPr>
            <w:tcW w:w="113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F4528E">
            <w:pPr>
              <w:pStyle w:val="TableText"/>
              <w:tabs>
                <w:tab w:val="decimal" w:pos="737"/>
              </w:tabs>
              <w:rPr>
                <w:lang w:eastAsia="en-NZ"/>
              </w:rPr>
            </w:pPr>
            <w:r w:rsidRPr="00C51817">
              <w:rPr>
                <w:lang w:eastAsia="en-NZ"/>
              </w:rPr>
              <w:t>5</w:t>
            </w:r>
            <w:r>
              <w:rPr>
                <w:lang w:eastAsia="en-NZ"/>
              </w:rPr>
              <w:t>,</w:t>
            </w:r>
            <w:r w:rsidRPr="00C51817">
              <w:rPr>
                <w:lang w:eastAsia="en-NZ"/>
              </w:rPr>
              <w:t>416</w:t>
            </w:r>
          </w:p>
        </w:tc>
        <w:tc>
          <w:tcPr>
            <w:tcW w:w="826" w:type="dxa"/>
            <w:tcBorders>
              <w:top w:val="single" w:sz="4" w:space="0" w:color="A6A6A6" w:themeColor="background1" w:themeShade="A6"/>
              <w:left w:val="single" w:sz="4" w:space="0" w:color="A6A6A6" w:themeColor="background1" w:themeShade="A6"/>
            </w:tcBorders>
            <w:shd w:val="clear" w:color="auto" w:fill="auto"/>
            <w:noWrap/>
          </w:tcPr>
          <w:p w:rsidR="00F4528E" w:rsidRPr="00B20EAA" w:rsidRDefault="00F4528E" w:rsidP="00F4528E">
            <w:pPr>
              <w:pStyle w:val="TableText"/>
              <w:tabs>
                <w:tab w:val="decimal" w:pos="542"/>
              </w:tabs>
              <w:rPr>
                <w:lang w:eastAsia="en-NZ"/>
              </w:rPr>
            </w:pPr>
            <w:r w:rsidRPr="00C51817">
              <w:rPr>
                <w:lang w:eastAsia="en-NZ"/>
              </w:rPr>
              <w:t>1</w:t>
            </w:r>
            <w:r>
              <w:rPr>
                <w:lang w:eastAsia="en-NZ"/>
              </w:rPr>
              <w:t>,</w:t>
            </w:r>
            <w:r w:rsidRPr="00C51817">
              <w:rPr>
                <w:lang w:eastAsia="en-NZ"/>
              </w:rPr>
              <w:t>546</w:t>
            </w:r>
          </w:p>
        </w:tc>
        <w:tc>
          <w:tcPr>
            <w:tcW w:w="827" w:type="dxa"/>
            <w:tcBorders>
              <w:top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r w:rsidRPr="00C51817">
              <w:rPr>
                <w:lang w:eastAsia="en-NZ"/>
              </w:rPr>
              <w:t>28.5</w:t>
            </w:r>
          </w:p>
        </w:tc>
        <w:tc>
          <w:tcPr>
            <w:tcW w:w="827" w:type="dxa"/>
            <w:tcBorders>
              <w:top w:val="single" w:sz="4" w:space="0" w:color="A6A6A6" w:themeColor="background1" w:themeShade="A6"/>
              <w:left w:val="single" w:sz="4" w:space="0" w:color="A6A6A6" w:themeColor="background1" w:themeShade="A6"/>
            </w:tcBorders>
            <w:shd w:val="clear" w:color="auto" w:fill="auto"/>
            <w:noWrap/>
          </w:tcPr>
          <w:p w:rsidR="00F4528E" w:rsidRPr="00B20EAA" w:rsidRDefault="00F4528E" w:rsidP="00F4528E">
            <w:pPr>
              <w:pStyle w:val="TableText"/>
              <w:tabs>
                <w:tab w:val="decimal" w:pos="538"/>
              </w:tabs>
              <w:rPr>
                <w:lang w:eastAsia="en-NZ"/>
              </w:rPr>
            </w:pPr>
            <w:r w:rsidRPr="00C51817">
              <w:rPr>
                <w:lang w:eastAsia="en-NZ"/>
              </w:rPr>
              <w:t>3</w:t>
            </w:r>
            <w:r>
              <w:rPr>
                <w:lang w:eastAsia="en-NZ"/>
              </w:rPr>
              <w:t>,</w:t>
            </w:r>
            <w:r w:rsidRPr="00C51817">
              <w:rPr>
                <w:lang w:eastAsia="en-NZ"/>
              </w:rPr>
              <w:t>734</w:t>
            </w:r>
          </w:p>
        </w:tc>
        <w:tc>
          <w:tcPr>
            <w:tcW w:w="827" w:type="dxa"/>
            <w:tcBorders>
              <w:top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r w:rsidRPr="00C51817">
              <w:rPr>
                <w:lang w:eastAsia="en-NZ"/>
              </w:rPr>
              <w:t>68.9</w:t>
            </w:r>
          </w:p>
        </w:tc>
        <w:tc>
          <w:tcPr>
            <w:tcW w:w="827" w:type="dxa"/>
            <w:tcBorders>
              <w:top w:val="single" w:sz="4" w:space="0" w:color="A6A6A6" w:themeColor="background1" w:themeShade="A6"/>
              <w:left w:val="single" w:sz="4" w:space="0" w:color="A6A6A6" w:themeColor="background1" w:themeShade="A6"/>
            </w:tcBorders>
            <w:shd w:val="clear" w:color="auto" w:fill="auto"/>
            <w:noWrap/>
          </w:tcPr>
          <w:p w:rsidR="00F4528E" w:rsidRPr="00B20EAA" w:rsidRDefault="00F4528E" w:rsidP="00F4528E">
            <w:pPr>
              <w:pStyle w:val="TableText"/>
              <w:tabs>
                <w:tab w:val="decimal" w:pos="494"/>
              </w:tabs>
              <w:rPr>
                <w:lang w:eastAsia="en-NZ"/>
              </w:rPr>
            </w:pPr>
            <w:r w:rsidRPr="00C51817">
              <w:rPr>
                <w:lang w:eastAsia="en-NZ"/>
              </w:rPr>
              <w:t>136</w:t>
            </w:r>
          </w:p>
        </w:tc>
        <w:tc>
          <w:tcPr>
            <w:tcW w:w="827" w:type="dxa"/>
            <w:tcBorders>
              <w:top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r w:rsidRPr="00C51817">
              <w:rPr>
                <w:lang w:eastAsia="en-NZ"/>
              </w:rPr>
              <w:t>2.5</w:t>
            </w:r>
          </w:p>
        </w:tc>
      </w:tr>
      <w:tr w:rsidR="00F4528E" w:rsidRPr="00C51817" w:rsidTr="00F4528E">
        <w:trPr>
          <w:cantSplit/>
        </w:trPr>
        <w:tc>
          <w:tcPr>
            <w:tcW w:w="1985"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hideMark/>
          </w:tcPr>
          <w:p w:rsidR="00F4528E" w:rsidRPr="00B20EAA" w:rsidRDefault="00F4528E" w:rsidP="007A7532">
            <w:pPr>
              <w:pStyle w:val="TableText"/>
              <w:ind w:left="284"/>
              <w:rPr>
                <w:lang w:eastAsia="en-NZ"/>
              </w:rPr>
            </w:pPr>
            <w:r w:rsidRPr="00B20EAA">
              <w:rPr>
                <w:lang w:eastAsia="en-NZ"/>
              </w:rPr>
              <w:t>Male</w:t>
            </w:r>
          </w:p>
        </w:tc>
        <w:tc>
          <w:tcPr>
            <w:tcW w:w="1134"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hideMark/>
          </w:tcPr>
          <w:p w:rsidR="00F4528E" w:rsidRPr="00B20EAA" w:rsidRDefault="00F4528E" w:rsidP="00F4528E">
            <w:pPr>
              <w:pStyle w:val="TableText"/>
              <w:tabs>
                <w:tab w:val="decimal" w:pos="737"/>
              </w:tabs>
              <w:rPr>
                <w:lang w:eastAsia="en-NZ"/>
              </w:rPr>
            </w:pPr>
            <w:r w:rsidRPr="00C51817">
              <w:rPr>
                <w:lang w:eastAsia="en-NZ"/>
              </w:rPr>
              <w:t>6</w:t>
            </w:r>
            <w:r>
              <w:rPr>
                <w:lang w:eastAsia="en-NZ"/>
              </w:rPr>
              <w:t>,</w:t>
            </w:r>
            <w:r w:rsidRPr="00C51817">
              <w:rPr>
                <w:lang w:eastAsia="en-NZ"/>
              </w:rPr>
              <w:t>012</w:t>
            </w:r>
          </w:p>
        </w:tc>
        <w:tc>
          <w:tcPr>
            <w:tcW w:w="826"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noWrap/>
            <w:hideMark/>
          </w:tcPr>
          <w:p w:rsidR="00F4528E" w:rsidRPr="00B20EAA" w:rsidRDefault="00F4528E" w:rsidP="00F4528E">
            <w:pPr>
              <w:pStyle w:val="TableText"/>
              <w:tabs>
                <w:tab w:val="decimal" w:pos="542"/>
              </w:tabs>
              <w:rPr>
                <w:lang w:eastAsia="en-NZ"/>
              </w:rPr>
            </w:pPr>
            <w:r w:rsidRPr="00C51817">
              <w:rPr>
                <w:lang w:eastAsia="en-NZ"/>
              </w:rPr>
              <w:t>1</w:t>
            </w:r>
            <w:r>
              <w:rPr>
                <w:lang w:eastAsia="en-NZ"/>
              </w:rPr>
              <w:t>,</w:t>
            </w:r>
            <w:r w:rsidRPr="00C51817">
              <w:rPr>
                <w:lang w:eastAsia="en-NZ"/>
              </w:rPr>
              <w:t>456</w:t>
            </w:r>
          </w:p>
        </w:tc>
        <w:tc>
          <w:tcPr>
            <w:tcW w:w="827"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24.2</w:t>
            </w:r>
          </w:p>
        </w:tc>
        <w:tc>
          <w:tcPr>
            <w:tcW w:w="827"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noWrap/>
            <w:hideMark/>
          </w:tcPr>
          <w:p w:rsidR="00F4528E" w:rsidRPr="00B20EAA" w:rsidRDefault="00F4528E" w:rsidP="00F4528E">
            <w:pPr>
              <w:pStyle w:val="TableText"/>
              <w:tabs>
                <w:tab w:val="decimal" w:pos="538"/>
              </w:tabs>
              <w:rPr>
                <w:lang w:eastAsia="en-NZ"/>
              </w:rPr>
            </w:pPr>
            <w:r w:rsidRPr="00C51817">
              <w:rPr>
                <w:lang w:eastAsia="en-NZ"/>
              </w:rPr>
              <w:t>4</w:t>
            </w:r>
            <w:r>
              <w:rPr>
                <w:lang w:eastAsia="en-NZ"/>
              </w:rPr>
              <w:t>,</w:t>
            </w:r>
            <w:r w:rsidRPr="00C51817">
              <w:rPr>
                <w:lang w:eastAsia="en-NZ"/>
              </w:rPr>
              <w:t>389</w:t>
            </w:r>
          </w:p>
        </w:tc>
        <w:tc>
          <w:tcPr>
            <w:tcW w:w="827"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73.0</w:t>
            </w:r>
          </w:p>
        </w:tc>
        <w:tc>
          <w:tcPr>
            <w:tcW w:w="827"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noWrap/>
            <w:hideMark/>
          </w:tcPr>
          <w:p w:rsidR="00F4528E" w:rsidRPr="00B20EAA" w:rsidRDefault="00F4528E" w:rsidP="00F4528E">
            <w:pPr>
              <w:pStyle w:val="TableText"/>
              <w:tabs>
                <w:tab w:val="decimal" w:pos="494"/>
              </w:tabs>
              <w:rPr>
                <w:lang w:eastAsia="en-NZ"/>
              </w:rPr>
            </w:pPr>
            <w:r w:rsidRPr="00C51817">
              <w:rPr>
                <w:lang w:eastAsia="en-NZ"/>
              </w:rPr>
              <w:t>167</w:t>
            </w:r>
          </w:p>
        </w:tc>
        <w:tc>
          <w:tcPr>
            <w:tcW w:w="827" w:type="dxa"/>
            <w:tcBorders>
              <w:top w:val="single" w:sz="4" w:space="0" w:color="A6A6A6" w:themeColor="background1" w:themeShade="A6"/>
              <w:bottom w:val="single" w:sz="4" w:space="0" w:color="7F7F7F" w:themeColor="text1" w:themeTint="80"/>
            </w:tcBorders>
            <w:shd w:val="clear" w:color="auto" w:fill="auto"/>
            <w:noWrap/>
            <w:hideMark/>
          </w:tcPr>
          <w:p w:rsidR="00F4528E" w:rsidRPr="00B20EAA" w:rsidRDefault="00F4528E" w:rsidP="00F4528E">
            <w:pPr>
              <w:pStyle w:val="TableText"/>
              <w:jc w:val="center"/>
              <w:rPr>
                <w:lang w:eastAsia="en-NZ"/>
              </w:rPr>
            </w:pPr>
            <w:r w:rsidRPr="00C51817">
              <w:rPr>
                <w:lang w:eastAsia="en-NZ"/>
              </w:rPr>
              <w:t>2.8</w:t>
            </w:r>
          </w:p>
        </w:tc>
      </w:tr>
      <w:tr w:rsidR="00F4528E" w:rsidRPr="00C51817" w:rsidTr="00F4528E">
        <w:trPr>
          <w:cantSplit/>
        </w:trPr>
        <w:tc>
          <w:tcPr>
            <w:tcW w:w="1985" w:type="dxa"/>
            <w:tcBorders>
              <w:top w:val="single" w:sz="4" w:space="0" w:color="7F7F7F" w:themeColor="text1" w:themeTint="80"/>
              <w:right w:val="single" w:sz="4" w:space="0" w:color="A6A6A6" w:themeColor="background1" w:themeShade="A6"/>
            </w:tcBorders>
            <w:shd w:val="clear" w:color="auto" w:fill="auto"/>
            <w:noWrap/>
          </w:tcPr>
          <w:p w:rsidR="00F4528E" w:rsidRPr="00F4528E" w:rsidRDefault="00F4528E" w:rsidP="00F4528E">
            <w:pPr>
              <w:pStyle w:val="TableText"/>
              <w:rPr>
                <w:b/>
                <w:lang w:eastAsia="en-NZ"/>
              </w:rPr>
            </w:pPr>
            <w:r>
              <w:rPr>
                <w:b/>
                <w:lang w:eastAsia="en-NZ"/>
              </w:rPr>
              <w:t>Ethnic group</w:t>
            </w:r>
          </w:p>
        </w:tc>
        <w:tc>
          <w:tcPr>
            <w:tcW w:w="1134" w:type="dxa"/>
            <w:tcBorders>
              <w:top w:val="single" w:sz="4" w:space="0" w:color="7F7F7F" w:themeColor="text1" w:themeTint="80"/>
              <w:left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F4528E">
            <w:pPr>
              <w:pStyle w:val="TableText"/>
              <w:tabs>
                <w:tab w:val="decimal" w:pos="737"/>
              </w:tabs>
              <w:rPr>
                <w:lang w:eastAsia="en-NZ"/>
              </w:rPr>
            </w:pPr>
          </w:p>
        </w:tc>
        <w:tc>
          <w:tcPr>
            <w:tcW w:w="826" w:type="dxa"/>
            <w:tcBorders>
              <w:top w:val="single" w:sz="4" w:space="0" w:color="7F7F7F" w:themeColor="text1" w:themeTint="80"/>
              <w:left w:val="single" w:sz="4" w:space="0" w:color="A6A6A6" w:themeColor="background1" w:themeShade="A6"/>
            </w:tcBorders>
            <w:shd w:val="clear" w:color="auto" w:fill="auto"/>
            <w:noWrap/>
          </w:tcPr>
          <w:p w:rsidR="00F4528E" w:rsidRPr="00B20EAA" w:rsidRDefault="00F4528E" w:rsidP="00F4528E">
            <w:pPr>
              <w:pStyle w:val="TableText"/>
              <w:tabs>
                <w:tab w:val="decimal" w:pos="542"/>
              </w:tabs>
              <w:rPr>
                <w:lang w:eastAsia="en-NZ"/>
              </w:rPr>
            </w:pPr>
          </w:p>
        </w:tc>
        <w:tc>
          <w:tcPr>
            <w:tcW w:w="827" w:type="dxa"/>
            <w:tcBorders>
              <w:top w:val="single" w:sz="4" w:space="0" w:color="7F7F7F" w:themeColor="text1" w:themeTint="80"/>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p>
        </w:tc>
        <w:tc>
          <w:tcPr>
            <w:tcW w:w="827" w:type="dxa"/>
            <w:tcBorders>
              <w:top w:val="single" w:sz="4" w:space="0" w:color="7F7F7F" w:themeColor="text1" w:themeTint="80"/>
              <w:left w:val="single" w:sz="4" w:space="0" w:color="A6A6A6" w:themeColor="background1" w:themeShade="A6"/>
            </w:tcBorders>
            <w:shd w:val="clear" w:color="auto" w:fill="auto"/>
            <w:noWrap/>
          </w:tcPr>
          <w:p w:rsidR="00F4528E" w:rsidRPr="00B20EAA" w:rsidRDefault="00F4528E" w:rsidP="00F4528E">
            <w:pPr>
              <w:pStyle w:val="TableText"/>
              <w:tabs>
                <w:tab w:val="decimal" w:pos="538"/>
              </w:tabs>
              <w:rPr>
                <w:lang w:eastAsia="en-NZ"/>
              </w:rPr>
            </w:pPr>
          </w:p>
        </w:tc>
        <w:tc>
          <w:tcPr>
            <w:tcW w:w="827" w:type="dxa"/>
            <w:tcBorders>
              <w:top w:val="single" w:sz="4" w:space="0" w:color="7F7F7F" w:themeColor="text1" w:themeTint="80"/>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p>
        </w:tc>
        <w:tc>
          <w:tcPr>
            <w:tcW w:w="827" w:type="dxa"/>
            <w:tcBorders>
              <w:top w:val="single" w:sz="4" w:space="0" w:color="7F7F7F" w:themeColor="text1" w:themeTint="80"/>
              <w:left w:val="single" w:sz="4" w:space="0" w:color="A6A6A6" w:themeColor="background1" w:themeShade="A6"/>
            </w:tcBorders>
            <w:shd w:val="clear" w:color="auto" w:fill="auto"/>
            <w:noWrap/>
          </w:tcPr>
          <w:p w:rsidR="00F4528E" w:rsidRPr="00B20EAA" w:rsidRDefault="00F4528E" w:rsidP="00F4528E">
            <w:pPr>
              <w:pStyle w:val="TableText"/>
              <w:tabs>
                <w:tab w:val="decimal" w:pos="494"/>
              </w:tabs>
              <w:rPr>
                <w:lang w:eastAsia="en-NZ"/>
              </w:rPr>
            </w:pPr>
          </w:p>
        </w:tc>
        <w:tc>
          <w:tcPr>
            <w:tcW w:w="827" w:type="dxa"/>
            <w:tcBorders>
              <w:top w:val="single" w:sz="4" w:space="0" w:color="7F7F7F" w:themeColor="text1" w:themeTint="80"/>
            </w:tcBorders>
            <w:shd w:val="clear" w:color="auto" w:fill="auto"/>
            <w:noWrap/>
          </w:tcPr>
          <w:p w:rsidR="00F4528E" w:rsidRPr="00B20EAA" w:rsidRDefault="00F4528E" w:rsidP="00F4528E">
            <w:pPr>
              <w:pStyle w:val="TableText"/>
              <w:jc w:val="center"/>
              <w:rPr>
                <w:lang w:eastAsia="en-NZ"/>
              </w:rPr>
            </w:pPr>
          </w:p>
        </w:tc>
      </w:tr>
      <w:tr w:rsidR="00F4528E" w:rsidRPr="00C51817" w:rsidTr="00F4528E">
        <w:trPr>
          <w:cantSplit/>
        </w:trPr>
        <w:tc>
          <w:tcPr>
            <w:tcW w:w="1985" w:type="dxa"/>
            <w:tcBorders>
              <w:right w:val="single" w:sz="4" w:space="0" w:color="A6A6A6" w:themeColor="background1" w:themeShade="A6"/>
            </w:tcBorders>
            <w:shd w:val="clear" w:color="auto" w:fill="auto"/>
            <w:noWrap/>
          </w:tcPr>
          <w:p w:rsidR="00F4528E" w:rsidRPr="00B20EAA" w:rsidRDefault="00F4528E" w:rsidP="007A7532">
            <w:pPr>
              <w:pStyle w:val="TableText"/>
              <w:ind w:left="284"/>
              <w:rPr>
                <w:lang w:eastAsia="en-NZ"/>
              </w:rPr>
            </w:pPr>
            <w:r>
              <w:rPr>
                <w:lang w:eastAsia="en-NZ"/>
              </w:rPr>
              <w:t>Māori</w:t>
            </w:r>
          </w:p>
        </w:tc>
        <w:tc>
          <w:tcPr>
            <w:tcW w:w="1134" w:type="dxa"/>
            <w:tcBorders>
              <w:left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F4528E">
            <w:pPr>
              <w:pStyle w:val="TableText"/>
              <w:tabs>
                <w:tab w:val="decimal" w:pos="737"/>
              </w:tabs>
              <w:rPr>
                <w:lang w:eastAsia="en-NZ"/>
              </w:rPr>
            </w:pPr>
            <w:r w:rsidRPr="00C51817">
              <w:rPr>
                <w:lang w:eastAsia="en-NZ"/>
              </w:rPr>
              <w:t>649</w:t>
            </w:r>
          </w:p>
        </w:tc>
        <w:tc>
          <w:tcPr>
            <w:tcW w:w="826" w:type="dxa"/>
            <w:tcBorders>
              <w:left w:val="single" w:sz="4" w:space="0" w:color="A6A6A6" w:themeColor="background1" w:themeShade="A6"/>
            </w:tcBorders>
            <w:shd w:val="clear" w:color="auto" w:fill="auto"/>
            <w:noWrap/>
          </w:tcPr>
          <w:p w:rsidR="00F4528E" w:rsidRPr="00B20EAA" w:rsidRDefault="00F4528E" w:rsidP="00F4528E">
            <w:pPr>
              <w:pStyle w:val="TableText"/>
              <w:tabs>
                <w:tab w:val="decimal" w:pos="542"/>
              </w:tabs>
              <w:rPr>
                <w:lang w:eastAsia="en-NZ"/>
              </w:rPr>
            </w:pPr>
            <w:r w:rsidRPr="00C51817">
              <w:rPr>
                <w:lang w:eastAsia="en-NZ"/>
              </w:rPr>
              <w:t>229</w:t>
            </w:r>
          </w:p>
        </w:tc>
        <w:tc>
          <w:tcPr>
            <w:tcW w:w="827" w:type="dxa"/>
            <w:tcBorders>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r w:rsidRPr="00C51817">
              <w:rPr>
                <w:lang w:eastAsia="en-NZ"/>
              </w:rPr>
              <w:t>35.3</w:t>
            </w:r>
          </w:p>
        </w:tc>
        <w:tc>
          <w:tcPr>
            <w:tcW w:w="827" w:type="dxa"/>
            <w:tcBorders>
              <w:left w:val="single" w:sz="4" w:space="0" w:color="A6A6A6" w:themeColor="background1" w:themeShade="A6"/>
            </w:tcBorders>
            <w:shd w:val="clear" w:color="auto" w:fill="auto"/>
            <w:noWrap/>
          </w:tcPr>
          <w:p w:rsidR="00F4528E" w:rsidRPr="00B20EAA" w:rsidRDefault="00F4528E" w:rsidP="00F4528E">
            <w:pPr>
              <w:pStyle w:val="TableText"/>
              <w:tabs>
                <w:tab w:val="decimal" w:pos="538"/>
              </w:tabs>
              <w:rPr>
                <w:lang w:eastAsia="en-NZ"/>
              </w:rPr>
            </w:pPr>
            <w:r w:rsidRPr="00C51817">
              <w:rPr>
                <w:lang w:eastAsia="en-NZ"/>
              </w:rPr>
              <w:t>409</w:t>
            </w:r>
          </w:p>
        </w:tc>
        <w:tc>
          <w:tcPr>
            <w:tcW w:w="827" w:type="dxa"/>
            <w:tcBorders>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r w:rsidRPr="00C51817">
              <w:rPr>
                <w:lang w:eastAsia="en-NZ"/>
              </w:rPr>
              <w:t>63.0</w:t>
            </w:r>
          </w:p>
        </w:tc>
        <w:tc>
          <w:tcPr>
            <w:tcW w:w="827" w:type="dxa"/>
            <w:tcBorders>
              <w:left w:val="single" w:sz="4" w:space="0" w:color="A6A6A6" w:themeColor="background1" w:themeShade="A6"/>
            </w:tcBorders>
            <w:shd w:val="clear" w:color="auto" w:fill="auto"/>
            <w:noWrap/>
          </w:tcPr>
          <w:p w:rsidR="00F4528E" w:rsidRPr="00B20EAA" w:rsidRDefault="00F4528E" w:rsidP="00F4528E">
            <w:pPr>
              <w:pStyle w:val="TableText"/>
              <w:tabs>
                <w:tab w:val="decimal" w:pos="494"/>
              </w:tabs>
              <w:rPr>
                <w:lang w:eastAsia="en-NZ"/>
              </w:rPr>
            </w:pPr>
            <w:r w:rsidRPr="00C51817">
              <w:rPr>
                <w:lang w:eastAsia="en-NZ"/>
              </w:rPr>
              <w:t>11</w:t>
            </w:r>
          </w:p>
        </w:tc>
        <w:tc>
          <w:tcPr>
            <w:tcW w:w="827" w:type="dxa"/>
            <w:shd w:val="clear" w:color="auto" w:fill="auto"/>
            <w:noWrap/>
          </w:tcPr>
          <w:p w:rsidR="00F4528E" w:rsidRPr="00B20EAA" w:rsidRDefault="00F4528E" w:rsidP="00F4528E">
            <w:pPr>
              <w:pStyle w:val="TableText"/>
              <w:jc w:val="center"/>
              <w:rPr>
                <w:lang w:eastAsia="en-NZ"/>
              </w:rPr>
            </w:pPr>
            <w:r w:rsidRPr="00C51817">
              <w:rPr>
                <w:lang w:eastAsia="en-NZ"/>
              </w:rPr>
              <w:t>1.7</w:t>
            </w:r>
          </w:p>
        </w:tc>
      </w:tr>
      <w:tr w:rsidR="00F4528E" w:rsidRPr="00C51817" w:rsidTr="00F4528E">
        <w:trPr>
          <w:cantSplit/>
        </w:trPr>
        <w:tc>
          <w:tcPr>
            <w:tcW w:w="1985" w:type="dxa"/>
            <w:tcBorders>
              <w:right w:val="single" w:sz="4" w:space="0" w:color="A6A6A6" w:themeColor="background1" w:themeShade="A6"/>
            </w:tcBorders>
            <w:shd w:val="clear" w:color="auto" w:fill="auto"/>
            <w:noWrap/>
            <w:hideMark/>
          </w:tcPr>
          <w:p w:rsidR="00F4528E" w:rsidRPr="00B20EAA" w:rsidRDefault="00F4528E" w:rsidP="007A7532">
            <w:pPr>
              <w:pStyle w:val="TableText"/>
              <w:ind w:left="284"/>
              <w:rPr>
                <w:lang w:eastAsia="en-NZ"/>
              </w:rPr>
            </w:pPr>
            <w:r w:rsidRPr="00B20EAA">
              <w:rPr>
                <w:lang w:eastAsia="en-NZ"/>
              </w:rPr>
              <w:t>Pacific peoples</w:t>
            </w:r>
          </w:p>
        </w:tc>
        <w:tc>
          <w:tcPr>
            <w:tcW w:w="1134" w:type="dxa"/>
            <w:tcBorders>
              <w:left w:val="single" w:sz="4" w:space="0" w:color="A6A6A6" w:themeColor="background1" w:themeShade="A6"/>
              <w:right w:val="single" w:sz="4" w:space="0" w:color="A6A6A6" w:themeColor="background1" w:themeShade="A6"/>
            </w:tcBorders>
            <w:shd w:val="clear" w:color="auto" w:fill="auto"/>
            <w:noWrap/>
            <w:hideMark/>
          </w:tcPr>
          <w:p w:rsidR="00F4528E" w:rsidRPr="00B20EAA" w:rsidRDefault="00F4528E" w:rsidP="00F4528E">
            <w:pPr>
              <w:pStyle w:val="TableText"/>
              <w:tabs>
                <w:tab w:val="decimal" w:pos="737"/>
              </w:tabs>
              <w:rPr>
                <w:lang w:eastAsia="en-NZ"/>
              </w:rPr>
            </w:pPr>
            <w:r w:rsidRPr="00C51817">
              <w:rPr>
                <w:lang w:eastAsia="en-NZ"/>
              </w:rPr>
              <w:t>264</w:t>
            </w:r>
          </w:p>
        </w:tc>
        <w:tc>
          <w:tcPr>
            <w:tcW w:w="826"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42"/>
              </w:tabs>
              <w:rPr>
                <w:lang w:eastAsia="en-NZ"/>
              </w:rPr>
            </w:pPr>
            <w:r w:rsidRPr="00C51817">
              <w:rPr>
                <w:lang w:eastAsia="en-NZ"/>
              </w:rPr>
              <w:t>115</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43.6</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38"/>
              </w:tabs>
              <w:rPr>
                <w:lang w:eastAsia="en-NZ"/>
              </w:rPr>
            </w:pPr>
            <w:r w:rsidRPr="00C51817">
              <w:rPr>
                <w:lang w:eastAsia="en-NZ"/>
              </w:rPr>
              <w:t>141</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53.4</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494"/>
              </w:tabs>
              <w:rPr>
                <w:lang w:eastAsia="en-NZ"/>
              </w:rPr>
            </w:pPr>
            <w:r w:rsidRPr="00C51817">
              <w:rPr>
                <w:lang w:eastAsia="en-NZ"/>
              </w:rPr>
              <w:t>8</w:t>
            </w:r>
          </w:p>
        </w:tc>
        <w:tc>
          <w:tcPr>
            <w:tcW w:w="827" w:type="dxa"/>
            <w:shd w:val="clear" w:color="auto" w:fill="auto"/>
            <w:noWrap/>
            <w:hideMark/>
          </w:tcPr>
          <w:p w:rsidR="00F4528E" w:rsidRPr="00B20EAA" w:rsidRDefault="00F4528E" w:rsidP="00F4528E">
            <w:pPr>
              <w:pStyle w:val="TableText"/>
              <w:jc w:val="center"/>
              <w:rPr>
                <w:lang w:eastAsia="en-NZ"/>
              </w:rPr>
            </w:pPr>
            <w:r w:rsidRPr="00C51817">
              <w:rPr>
                <w:lang w:eastAsia="en-NZ"/>
              </w:rPr>
              <w:t>3.0</w:t>
            </w:r>
          </w:p>
        </w:tc>
      </w:tr>
      <w:tr w:rsidR="00F4528E" w:rsidRPr="00C51817" w:rsidTr="00F4528E">
        <w:trPr>
          <w:cantSplit/>
        </w:trPr>
        <w:tc>
          <w:tcPr>
            <w:tcW w:w="1985" w:type="dxa"/>
            <w:tcBorders>
              <w:right w:val="single" w:sz="4" w:space="0" w:color="A6A6A6" w:themeColor="background1" w:themeShade="A6"/>
            </w:tcBorders>
            <w:shd w:val="clear" w:color="auto" w:fill="auto"/>
            <w:noWrap/>
            <w:hideMark/>
          </w:tcPr>
          <w:p w:rsidR="00F4528E" w:rsidRPr="00B20EAA" w:rsidRDefault="00F4528E" w:rsidP="007A7532">
            <w:pPr>
              <w:pStyle w:val="TableText"/>
              <w:ind w:left="284"/>
              <w:rPr>
                <w:lang w:eastAsia="en-NZ"/>
              </w:rPr>
            </w:pPr>
            <w:r w:rsidRPr="00B20EAA">
              <w:rPr>
                <w:lang w:eastAsia="en-NZ"/>
              </w:rPr>
              <w:t>Asian</w:t>
            </w:r>
          </w:p>
        </w:tc>
        <w:tc>
          <w:tcPr>
            <w:tcW w:w="1134" w:type="dxa"/>
            <w:tcBorders>
              <w:left w:val="single" w:sz="4" w:space="0" w:color="A6A6A6" w:themeColor="background1" w:themeShade="A6"/>
              <w:right w:val="single" w:sz="4" w:space="0" w:color="A6A6A6" w:themeColor="background1" w:themeShade="A6"/>
            </w:tcBorders>
            <w:shd w:val="clear" w:color="auto" w:fill="auto"/>
            <w:noWrap/>
            <w:hideMark/>
          </w:tcPr>
          <w:p w:rsidR="00F4528E" w:rsidRPr="00B20EAA" w:rsidRDefault="00F4528E" w:rsidP="00F4528E">
            <w:pPr>
              <w:pStyle w:val="TableText"/>
              <w:tabs>
                <w:tab w:val="decimal" w:pos="737"/>
              </w:tabs>
              <w:rPr>
                <w:lang w:eastAsia="en-NZ"/>
              </w:rPr>
            </w:pPr>
            <w:r w:rsidRPr="00C51817">
              <w:rPr>
                <w:lang w:eastAsia="en-NZ"/>
              </w:rPr>
              <w:t>442</w:t>
            </w:r>
          </w:p>
        </w:tc>
        <w:tc>
          <w:tcPr>
            <w:tcW w:w="826"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42"/>
              </w:tabs>
              <w:rPr>
                <w:lang w:eastAsia="en-NZ"/>
              </w:rPr>
            </w:pPr>
            <w:r w:rsidRPr="00C51817">
              <w:rPr>
                <w:lang w:eastAsia="en-NZ"/>
              </w:rPr>
              <w:t>127</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28.7</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38"/>
              </w:tabs>
              <w:rPr>
                <w:lang w:eastAsia="en-NZ"/>
              </w:rPr>
            </w:pPr>
            <w:r w:rsidRPr="00C51817">
              <w:rPr>
                <w:lang w:eastAsia="en-NZ"/>
              </w:rPr>
              <w:t>280</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63.3</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494"/>
              </w:tabs>
              <w:rPr>
                <w:lang w:eastAsia="en-NZ"/>
              </w:rPr>
            </w:pPr>
            <w:r w:rsidRPr="00C51817">
              <w:rPr>
                <w:lang w:eastAsia="en-NZ"/>
              </w:rPr>
              <w:t>35</w:t>
            </w:r>
          </w:p>
        </w:tc>
        <w:tc>
          <w:tcPr>
            <w:tcW w:w="827" w:type="dxa"/>
            <w:shd w:val="clear" w:color="auto" w:fill="auto"/>
            <w:noWrap/>
            <w:hideMark/>
          </w:tcPr>
          <w:p w:rsidR="00F4528E" w:rsidRPr="00B20EAA" w:rsidRDefault="00F4528E" w:rsidP="00F4528E">
            <w:pPr>
              <w:pStyle w:val="TableText"/>
              <w:jc w:val="center"/>
              <w:rPr>
                <w:lang w:eastAsia="en-NZ"/>
              </w:rPr>
            </w:pPr>
            <w:r w:rsidRPr="00C51817">
              <w:rPr>
                <w:lang w:eastAsia="en-NZ"/>
              </w:rPr>
              <w:t>7.9</w:t>
            </w:r>
          </w:p>
        </w:tc>
      </w:tr>
      <w:tr w:rsidR="00F4528E" w:rsidRPr="00C51817" w:rsidTr="00F4528E">
        <w:trPr>
          <w:cantSplit/>
        </w:trPr>
        <w:tc>
          <w:tcPr>
            <w:tcW w:w="1985" w:type="dxa"/>
            <w:tcBorders>
              <w:right w:val="single" w:sz="4" w:space="0" w:color="A6A6A6" w:themeColor="background1" w:themeShade="A6"/>
            </w:tcBorders>
            <w:shd w:val="clear" w:color="auto" w:fill="auto"/>
            <w:noWrap/>
            <w:hideMark/>
          </w:tcPr>
          <w:p w:rsidR="00F4528E" w:rsidRPr="00B20EAA" w:rsidRDefault="00076E1A" w:rsidP="007A7532">
            <w:pPr>
              <w:pStyle w:val="TableText"/>
              <w:ind w:left="284"/>
              <w:rPr>
                <w:lang w:eastAsia="en-NZ"/>
              </w:rPr>
            </w:pPr>
            <w:r>
              <w:rPr>
                <w:lang w:eastAsia="en-NZ"/>
              </w:rPr>
              <w:t>European/</w:t>
            </w:r>
            <w:bookmarkStart w:id="82" w:name="_GoBack"/>
            <w:bookmarkEnd w:id="82"/>
            <w:r w:rsidR="00F4528E" w:rsidRPr="00B20EAA">
              <w:rPr>
                <w:lang w:eastAsia="en-NZ"/>
              </w:rPr>
              <w:t>Other</w:t>
            </w:r>
          </w:p>
        </w:tc>
        <w:tc>
          <w:tcPr>
            <w:tcW w:w="1134" w:type="dxa"/>
            <w:tcBorders>
              <w:left w:val="single" w:sz="4" w:space="0" w:color="A6A6A6" w:themeColor="background1" w:themeShade="A6"/>
              <w:right w:val="single" w:sz="4" w:space="0" w:color="A6A6A6" w:themeColor="background1" w:themeShade="A6"/>
            </w:tcBorders>
            <w:shd w:val="clear" w:color="auto" w:fill="auto"/>
            <w:noWrap/>
            <w:hideMark/>
          </w:tcPr>
          <w:p w:rsidR="00F4528E" w:rsidRPr="00B20EAA" w:rsidRDefault="00F4528E" w:rsidP="00F4528E">
            <w:pPr>
              <w:pStyle w:val="TableText"/>
              <w:tabs>
                <w:tab w:val="decimal" w:pos="737"/>
              </w:tabs>
              <w:rPr>
                <w:lang w:eastAsia="en-NZ"/>
              </w:rPr>
            </w:pPr>
            <w:r w:rsidRPr="00C51817">
              <w:rPr>
                <w:lang w:eastAsia="en-NZ"/>
              </w:rPr>
              <w:t>9</w:t>
            </w:r>
            <w:r>
              <w:rPr>
                <w:lang w:eastAsia="en-NZ"/>
              </w:rPr>
              <w:t>,</w:t>
            </w:r>
            <w:r w:rsidRPr="00C51817">
              <w:rPr>
                <w:lang w:eastAsia="en-NZ"/>
              </w:rPr>
              <w:t>912</w:t>
            </w:r>
          </w:p>
        </w:tc>
        <w:tc>
          <w:tcPr>
            <w:tcW w:w="826"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42"/>
              </w:tabs>
              <w:rPr>
                <w:lang w:eastAsia="en-NZ"/>
              </w:rPr>
            </w:pPr>
            <w:r w:rsidRPr="00C51817">
              <w:rPr>
                <w:lang w:eastAsia="en-NZ"/>
              </w:rPr>
              <w:t>2</w:t>
            </w:r>
            <w:r>
              <w:rPr>
                <w:lang w:eastAsia="en-NZ"/>
              </w:rPr>
              <w:t>,</w:t>
            </w:r>
            <w:r w:rsidRPr="00C51817">
              <w:rPr>
                <w:lang w:eastAsia="en-NZ"/>
              </w:rPr>
              <w:t>506</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25.3</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38"/>
              </w:tabs>
              <w:rPr>
                <w:lang w:eastAsia="en-NZ"/>
              </w:rPr>
            </w:pPr>
            <w:r w:rsidRPr="00C51817">
              <w:rPr>
                <w:lang w:eastAsia="en-NZ"/>
              </w:rPr>
              <w:t>7</w:t>
            </w:r>
            <w:r>
              <w:rPr>
                <w:lang w:eastAsia="en-NZ"/>
              </w:rPr>
              <w:t>,</w:t>
            </w:r>
            <w:r w:rsidRPr="00C51817">
              <w:rPr>
                <w:lang w:eastAsia="en-NZ"/>
              </w:rPr>
              <w:t>163</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72.3</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494"/>
              </w:tabs>
              <w:rPr>
                <w:lang w:eastAsia="en-NZ"/>
              </w:rPr>
            </w:pPr>
            <w:r w:rsidRPr="00C51817">
              <w:rPr>
                <w:lang w:eastAsia="en-NZ"/>
              </w:rPr>
              <w:t>243</w:t>
            </w:r>
          </w:p>
        </w:tc>
        <w:tc>
          <w:tcPr>
            <w:tcW w:w="827" w:type="dxa"/>
            <w:shd w:val="clear" w:color="auto" w:fill="auto"/>
            <w:noWrap/>
            <w:hideMark/>
          </w:tcPr>
          <w:p w:rsidR="00F4528E" w:rsidRPr="00B20EAA" w:rsidRDefault="00F4528E" w:rsidP="00F4528E">
            <w:pPr>
              <w:pStyle w:val="TableText"/>
              <w:jc w:val="center"/>
              <w:rPr>
                <w:lang w:eastAsia="en-NZ"/>
              </w:rPr>
            </w:pPr>
            <w:r w:rsidRPr="00C51817">
              <w:rPr>
                <w:lang w:eastAsia="en-NZ"/>
              </w:rPr>
              <w:t>2.5</w:t>
            </w:r>
          </w:p>
        </w:tc>
      </w:tr>
      <w:tr w:rsidR="00F4528E" w:rsidRPr="00C51817" w:rsidTr="00F4528E">
        <w:trPr>
          <w:cantSplit/>
        </w:trPr>
        <w:tc>
          <w:tcPr>
            <w:tcW w:w="1985" w:type="dxa"/>
            <w:tcBorders>
              <w:bottom w:val="single" w:sz="4" w:space="0" w:color="7F7F7F" w:themeColor="text1" w:themeTint="80"/>
              <w:right w:val="single" w:sz="4" w:space="0" w:color="A6A6A6" w:themeColor="background1" w:themeShade="A6"/>
            </w:tcBorders>
            <w:shd w:val="clear" w:color="auto" w:fill="auto"/>
            <w:noWrap/>
            <w:hideMark/>
          </w:tcPr>
          <w:p w:rsidR="00F4528E" w:rsidRPr="00B20EAA" w:rsidRDefault="00F4528E" w:rsidP="007A7532">
            <w:pPr>
              <w:pStyle w:val="TableText"/>
              <w:ind w:left="284"/>
              <w:rPr>
                <w:lang w:eastAsia="en-NZ"/>
              </w:rPr>
            </w:pPr>
            <w:r w:rsidRPr="00B20EAA">
              <w:rPr>
                <w:lang w:eastAsia="en-NZ"/>
              </w:rPr>
              <w:t>Unknown</w:t>
            </w:r>
          </w:p>
        </w:tc>
        <w:tc>
          <w:tcPr>
            <w:tcW w:w="1134" w:type="dxa"/>
            <w:tcBorders>
              <w:left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hideMark/>
          </w:tcPr>
          <w:p w:rsidR="00F4528E" w:rsidRPr="00B20EAA" w:rsidRDefault="00F4528E" w:rsidP="00F4528E">
            <w:pPr>
              <w:pStyle w:val="TableText"/>
              <w:tabs>
                <w:tab w:val="decimal" w:pos="737"/>
              </w:tabs>
              <w:rPr>
                <w:lang w:eastAsia="en-NZ"/>
              </w:rPr>
            </w:pPr>
            <w:r w:rsidRPr="00C51817">
              <w:rPr>
                <w:lang w:eastAsia="en-NZ"/>
              </w:rPr>
              <w:t>161</w:t>
            </w:r>
          </w:p>
        </w:tc>
        <w:tc>
          <w:tcPr>
            <w:tcW w:w="826" w:type="dxa"/>
            <w:tcBorders>
              <w:left w:val="single" w:sz="4" w:space="0" w:color="A6A6A6" w:themeColor="background1" w:themeShade="A6"/>
              <w:bottom w:val="single" w:sz="4" w:space="0" w:color="7F7F7F" w:themeColor="text1" w:themeTint="80"/>
            </w:tcBorders>
            <w:shd w:val="clear" w:color="auto" w:fill="auto"/>
            <w:noWrap/>
            <w:hideMark/>
          </w:tcPr>
          <w:p w:rsidR="00F4528E" w:rsidRPr="00B20EAA" w:rsidRDefault="00F4528E" w:rsidP="00F4528E">
            <w:pPr>
              <w:pStyle w:val="TableText"/>
              <w:tabs>
                <w:tab w:val="decimal" w:pos="542"/>
              </w:tabs>
              <w:rPr>
                <w:lang w:eastAsia="en-NZ"/>
              </w:rPr>
            </w:pPr>
            <w:r w:rsidRPr="00C51817">
              <w:rPr>
                <w:lang w:eastAsia="en-NZ"/>
              </w:rPr>
              <w:t>25</w:t>
            </w:r>
          </w:p>
        </w:tc>
        <w:tc>
          <w:tcPr>
            <w:tcW w:w="827" w:type="dxa"/>
            <w:tcBorders>
              <w:bottom w:val="single" w:sz="4" w:space="0" w:color="7F7F7F" w:themeColor="text1" w:themeTint="80"/>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15.5</w:t>
            </w:r>
          </w:p>
        </w:tc>
        <w:tc>
          <w:tcPr>
            <w:tcW w:w="827" w:type="dxa"/>
            <w:tcBorders>
              <w:left w:val="single" w:sz="4" w:space="0" w:color="A6A6A6" w:themeColor="background1" w:themeShade="A6"/>
              <w:bottom w:val="single" w:sz="4" w:space="0" w:color="7F7F7F" w:themeColor="text1" w:themeTint="80"/>
            </w:tcBorders>
            <w:shd w:val="clear" w:color="auto" w:fill="auto"/>
            <w:noWrap/>
            <w:hideMark/>
          </w:tcPr>
          <w:p w:rsidR="00F4528E" w:rsidRPr="00B20EAA" w:rsidRDefault="00F4528E" w:rsidP="00F4528E">
            <w:pPr>
              <w:pStyle w:val="TableText"/>
              <w:tabs>
                <w:tab w:val="decimal" w:pos="538"/>
              </w:tabs>
              <w:rPr>
                <w:lang w:eastAsia="en-NZ"/>
              </w:rPr>
            </w:pPr>
            <w:r w:rsidRPr="00C51817">
              <w:rPr>
                <w:lang w:eastAsia="en-NZ"/>
              </w:rPr>
              <w:t>130</w:t>
            </w:r>
          </w:p>
        </w:tc>
        <w:tc>
          <w:tcPr>
            <w:tcW w:w="827" w:type="dxa"/>
            <w:tcBorders>
              <w:bottom w:val="single" w:sz="4" w:space="0" w:color="7F7F7F" w:themeColor="text1" w:themeTint="80"/>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80.7</w:t>
            </w:r>
          </w:p>
        </w:tc>
        <w:tc>
          <w:tcPr>
            <w:tcW w:w="827" w:type="dxa"/>
            <w:tcBorders>
              <w:left w:val="single" w:sz="4" w:space="0" w:color="A6A6A6" w:themeColor="background1" w:themeShade="A6"/>
              <w:bottom w:val="single" w:sz="4" w:space="0" w:color="7F7F7F" w:themeColor="text1" w:themeTint="80"/>
            </w:tcBorders>
            <w:shd w:val="clear" w:color="auto" w:fill="auto"/>
            <w:noWrap/>
            <w:hideMark/>
          </w:tcPr>
          <w:p w:rsidR="00F4528E" w:rsidRPr="00B20EAA" w:rsidRDefault="00F4528E" w:rsidP="00F4528E">
            <w:pPr>
              <w:pStyle w:val="TableText"/>
              <w:tabs>
                <w:tab w:val="decimal" w:pos="494"/>
              </w:tabs>
              <w:rPr>
                <w:lang w:eastAsia="en-NZ"/>
              </w:rPr>
            </w:pPr>
            <w:r w:rsidRPr="00C51817">
              <w:rPr>
                <w:lang w:eastAsia="en-NZ"/>
              </w:rPr>
              <w:t>6</w:t>
            </w:r>
          </w:p>
        </w:tc>
        <w:tc>
          <w:tcPr>
            <w:tcW w:w="827" w:type="dxa"/>
            <w:tcBorders>
              <w:bottom w:val="single" w:sz="4" w:space="0" w:color="7F7F7F" w:themeColor="text1" w:themeTint="80"/>
            </w:tcBorders>
            <w:shd w:val="clear" w:color="auto" w:fill="auto"/>
            <w:noWrap/>
            <w:hideMark/>
          </w:tcPr>
          <w:p w:rsidR="00F4528E" w:rsidRPr="00B20EAA" w:rsidRDefault="00F4528E" w:rsidP="00F4528E">
            <w:pPr>
              <w:pStyle w:val="TableText"/>
              <w:jc w:val="center"/>
              <w:rPr>
                <w:lang w:eastAsia="en-NZ"/>
              </w:rPr>
            </w:pPr>
            <w:r w:rsidRPr="00C51817">
              <w:rPr>
                <w:lang w:eastAsia="en-NZ"/>
              </w:rPr>
              <w:t>3.7</w:t>
            </w:r>
          </w:p>
        </w:tc>
      </w:tr>
      <w:tr w:rsidR="00F4528E" w:rsidRPr="00E644EE" w:rsidTr="00F4528E">
        <w:trPr>
          <w:cantSplit/>
        </w:trPr>
        <w:tc>
          <w:tcPr>
            <w:tcW w:w="1985" w:type="dxa"/>
            <w:tcBorders>
              <w:top w:val="single" w:sz="4" w:space="0" w:color="7F7F7F" w:themeColor="text1" w:themeTint="80"/>
              <w:right w:val="single" w:sz="4" w:space="0" w:color="A6A6A6" w:themeColor="background1" w:themeShade="A6"/>
            </w:tcBorders>
            <w:shd w:val="clear" w:color="auto" w:fill="auto"/>
            <w:noWrap/>
          </w:tcPr>
          <w:p w:rsidR="00F4528E" w:rsidRPr="00F4528E" w:rsidRDefault="00F4528E" w:rsidP="00F4528E">
            <w:pPr>
              <w:pStyle w:val="TableText"/>
              <w:rPr>
                <w:b/>
                <w:lang w:eastAsia="en-NZ"/>
              </w:rPr>
            </w:pPr>
            <w:r w:rsidRPr="00F4528E">
              <w:rPr>
                <w:b/>
                <w:color w:val="000000"/>
                <w:lang w:eastAsia="en-NZ"/>
              </w:rPr>
              <w:t>NZDep2013 quintile</w:t>
            </w:r>
          </w:p>
        </w:tc>
        <w:tc>
          <w:tcPr>
            <w:tcW w:w="1134" w:type="dxa"/>
            <w:tcBorders>
              <w:top w:val="single" w:sz="4" w:space="0" w:color="7F7F7F" w:themeColor="text1" w:themeTint="80"/>
              <w:left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F4528E">
            <w:pPr>
              <w:pStyle w:val="TableText"/>
              <w:tabs>
                <w:tab w:val="decimal" w:pos="737"/>
              </w:tabs>
              <w:rPr>
                <w:lang w:eastAsia="en-NZ"/>
              </w:rPr>
            </w:pPr>
          </w:p>
        </w:tc>
        <w:tc>
          <w:tcPr>
            <w:tcW w:w="826" w:type="dxa"/>
            <w:tcBorders>
              <w:top w:val="single" w:sz="4" w:space="0" w:color="7F7F7F" w:themeColor="text1" w:themeTint="80"/>
              <w:left w:val="single" w:sz="4" w:space="0" w:color="A6A6A6" w:themeColor="background1" w:themeShade="A6"/>
            </w:tcBorders>
            <w:shd w:val="clear" w:color="auto" w:fill="auto"/>
            <w:noWrap/>
          </w:tcPr>
          <w:p w:rsidR="00F4528E" w:rsidRPr="00B20EAA" w:rsidRDefault="00F4528E" w:rsidP="00F4528E">
            <w:pPr>
              <w:pStyle w:val="TableText"/>
              <w:tabs>
                <w:tab w:val="decimal" w:pos="542"/>
              </w:tabs>
              <w:rPr>
                <w:lang w:eastAsia="en-NZ"/>
              </w:rPr>
            </w:pPr>
          </w:p>
        </w:tc>
        <w:tc>
          <w:tcPr>
            <w:tcW w:w="827" w:type="dxa"/>
            <w:tcBorders>
              <w:top w:val="single" w:sz="4" w:space="0" w:color="7F7F7F" w:themeColor="text1" w:themeTint="80"/>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p>
        </w:tc>
        <w:tc>
          <w:tcPr>
            <w:tcW w:w="827" w:type="dxa"/>
            <w:tcBorders>
              <w:top w:val="single" w:sz="4" w:space="0" w:color="7F7F7F" w:themeColor="text1" w:themeTint="80"/>
              <w:left w:val="single" w:sz="4" w:space="0" w:color="A6A6A6" w:themeColor="background1" w:themeShade="A6"/>
            </w:tcBorders>
            <w:shd w:val="clear" w:color="auto" w:fill="auto"/>
            <w:noWrap/>
          </w:tcPr>
          <w:p w:rsidR="00F4528E" w:rsidRPr="00B20EAA" w:rsidRDefault="00F4528E" w:rsidP="00F4528E">
            <w:pPr>
              <w:pStyle w:val="TableText"/>
              <w:tabs>
                <w:tab w:val="decimal" w:pos="538"/>
              </w:tabs>
              <w:rPr>
                <w:lang w:eastAsia="en-NZ"/>
              </w:rPr>
            </w:pPr>
          </w:p>
        </w:tc>
        <w:tc>
          <w:tcPr>
            <w:tcW w:w="827" w:type="dxa"/>
            <w:tcBorders>
              <w:top w:val="single" w:sz="4" w:space="0" w:color="7F7F7F" w:themeColor="text1" w:themeTint="80"/>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p>
        </w:tc>
        <w:tc>
          <w:tcPr>
            <w:tcW w:w="827" w:type="dxa"/>
            <w:tcBorders>
              <w:top w:val="single" w:sz="4" w:space="0" w:color="7F7F7F" w:themeColor="text1" w:themeTint="80"/>
              <w:left w:val="single" w:sz="4" w:space="0" w:color="A6A6A6" w:themeColor="background1" w:themeShade="A6"/>
            </w:tcBorders>
            <w:shd w:val="clear" w:color="auto" w:fill="auto"/>
            <w:noWrap/>
          </w:tcPr>
          <w:p w:rsidR="00F4528E" w:rsidRPr="00B20EAA" w:rsidRDefault="00F4528E" w:rsidP="00F4528E">
            <w:pPr>
              <w:pStyle w:val="TableText"/>
              <w:tabs>
                <w:tab w:val="decimal" w:pos="494"/>
              </w:tabs>
              <w:rPr>
                <w:lang w:eastAsia="en-NZ"/>
              </w:rPr>
            </w:pPr>
          </w:p>
        </w:tc>
        <w:tc>
          <w:tcPr>
            <w:tcW w:w="827" w:type="dxa"/>
            <w:tcBorders>
              <w:top w:val="single" w:sz="4" w:space="0" w:color="7F7F7F" w:themeColor="text1" w:themeTint="80"/>
            </w:tcBorders>
            <w:shd w:val="clear" w:color="auto" w:fill="auto"/>
            <w:noWrap/>
          </w:tcPr>
          <w:p w:rsidR="00F4528E" w:rsidRPr="00B20EAA" w:rsidRDefault="00F4528E" w:rsidP="00F4528E">
            <w:pPr>
              <w:pStyle w:val="TableText"/>
              <w:jc w:val="center"/>
              <w:rPr>
                <w:lang w:eastAsia="en-NZ"/>
              </w:rPr>
            </w:pPr>
          </w:p>
        </w:tc>
      </w:tr>
      <w:tr w:rsidR="00F4528E" w:rsidRPr="00E644EE" w:rsidTr="00F4528E">
        <w:trPr>
          <w:cantSplit/>
        </w:trPr>
        <w:tc>
          <w:tcPr>
            <w:tcW w:w="1985" w:type="dxa"/>
            <w:tcBorders>
              <w:right w:val="single" w:sz="4" w:space="0" w:color="A6A6A6" w:themeColor="background1" w:themeShade="A6"/>
            </w:tcBorders>
            <w:shd w:val="clear" w:color="auto" w:fill="auto"/>
            <w:noWrap/>
          </w:tcPr>
          <w:p w:rsidR="00F4528E" w:rsidRPr="00B20EAA" w:rsidRDefault="00F4528E" w:rsidP="007A7532">
            <w:pPr>
              <w:pStyle w:val="TableText"/>
              <w:ind w:left="284"/>
              <w:rPr>
                <w:lang w:eastAsia="en-NZ"/>
              </w:rPr>
            </w:pPr>
            <w:r w:rsidRPr="00B20EAA">
              <w:rPr>
                <w:lang w:eastAsia="en-NZ"/>
              </w:rPr>
              <w:t>1</w:t>
            </w:r>
          </w:p>
        </w:tc>
        <w:tc>
          <w:tcPr>
            <w:tcW w:w="1134" w:type="dxa"/>
            <w:tcBorders>
              <w:left w:val="single" w:sz="4" w:space="0" w:color="A6A6A6" w:themeColor="background1" w:themeShade="A6"/>
              <w:right w:val="single" w:sz="4" w:space="0" w:color="A6A6A6" w:themeColor="background1" w:themeShade="A6"/>
            </w:tcBorders>
            <w:shd w:val="clear" w:color="auto" w:fill="auto"/>
            <w:noWrap/>
          </w:tcPr>
          <w:p w:rsidR="00F4528E" w:rsidRPr="00B20EAA" w:rsidRDefault="00F4528E" w:rsidP="00F4528E">
            <w:pPr>
              <w:pStyle w:val="TableText"/>
              <w:tabs>
                <w:tab w:val="decimal" w:pos="737"/>
              </w:tabs>
              <w:rPr>
                <w:lang w:eastAsia="en-NZ"/>
              </w:rPr>
            </w:pPr>
            <w:r w:rsidRPr="00C51817">
              <w:rPr>
                <w:lang w:eastAsia="en-NZ"/>
              </w:rPr>
              <w:t>2</w:t>
            </w:r>
            <w:r>
              <w:rPr>
                <w:lang w:eastAsia="en-NZ"/>
              </w:rPr>
              <w:t>,</w:t>
            </w:r>
            <w:r w:rsidRPr="00C51817">
              <w:rPr>
                <w:lang w:eastAsia="en-NZ"/>
              </w:rPr>
              <w:t>049</w:t>
            </w:r>
          </w:p>
        </w:tc>
        <w:tc>
          <w:tcPr>
            <w:tcW w:w="826" w:type="dxa"/>
            <w:tcBorders>
              <w:left w:val="single" w:sz="4" w:space="0" w:color="A6A6A6" w:themeColor="background1" w:themeShade="A6"/>
            </w:tcBorders>
            <w:shd w:val="clear" w:color="auto" w:fill="auto"/>
            <w:noWrap/>
          </w:tcPr>
          <w:p w:rsidR="00F4528E" w:rsidRPr="00B20EAA" w:rsidRDefault="00F4528E" w:rsidP="00F4528E">
            <w:pPr>
              <w:pStyle w:val="TableText"/>
              <w:tabs>
                <w:tab w:val="decimal" w:pos="542"/>
              </w:tabs>
              <w:rPr>
                <w:lang w:eastAsia="en-NZ"/>
              </w:rPr>
            </w:pPr>
            <w:r w:rsidRPr="00C51817">
              <w:rPr>
                <w:lang w:eastAsia="en-NZ"/>
              </w:rPr>
              <w:t>442</w:t>
            </w:r>
          </w:p>
        </w:tc>
        <w:tc>
          <w:tcPr>
            <w:tcW w:w="827" w:type="dxa"/>
            <w:tcBorders>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r w:rsidRPr="00C51817">
              <w:rPr>
                <w:lang w:eastAsia="en-NZ"/>
              </w:rPr>
              <w:t>21.6</w:t>
            </w:r>
          </w:p>
        </w:tc>
        <w:tc>
          <w:tcPr>
            <w:tcW w:w="827" w:type="dxa"/>
            <w:tcBorders>
              <w:left w:val="single" w:sz="4" w:space="0" w:color="A6A6A6" w:themeColor="background1" w:themeShade="A6"/>
            </w:tcBorders>
            <w:shd w:val="clear" w:color="auto" w:fill="auto"/>
            <w:noWrap/>
          </w:tcPr>
          <w:p w:rsidR="00F4528E" w:rsidRPr="00B20EAA" w:rsidRDefault="00F4528E" w:rsidP="00F4528E">
            <w:pPr>
              <w:pStyle w:val="TableText"/>
              <w:tabs>
                <w:tab w:val="decimal" w:pos="538"/>
              </w:tabs>
              <w:rPr>
                <w:lang w:eastAsia="en-NZ"/>
              </w:rPr>
            </w:pPr>
            <w:r w:rsidRPr="00C51817">
              <w:rPr>
                <w:lang w:eastAsia="en-NZ"/>
              </w:rPr>
              <w:t>1</w:t>
            </w:r>
            <w:r>
              <w:rPr>
                <w:lang w:eastAsia="en-NZ"/>
              </w:rPr>
              <w:t>,</w:t>
            </w:r>
            <w:r w:rsidRPr="00C51817">
              <w:rPr>
                <w:lang w:eastAsia="en-NZ"/>
              </w:rPr>
              <w:t>521</w:t>
            </w:r>
          </w:p>
        </w:tc>
        <w:tc>
          <w:tcPr>
            <w:tcW w:w="827" w:type="dxa"/>
            <w:tcBorders>
              <w:right w:val="single" w:sz="4" w:space="0" w:color="A6A6A6" w:themeColor="background1" w:themeShade="A6"/>
            </w:tcBorders>
            <w:shd w:val="clear" w:color="auto" w:fill="auto"/>
            <w:noWrap/>
          </w:tcPr>
          <w:p w:rsidR="00F4528E" w:rsidRPr="00B20EAA" w:rsidRDefault="00F4528E" w:rsidP="00F4528E">
            <w:pPr>
              <w:pStyle w:val="TableText"/>
              <w:jc w:val="center"/>
              <w:rPr>
                <w:lang w:eastAsia="en-NZ"/>
              </w:rPr>
            </w:pPr>
            <w:r w:rsidRPr="00C51817">
              <w:rPr>
                <w:lang w:eastAsia="en-NZ"/>
              </w:rPr>
              <w:t>74.2</w:t>
            </w:r>
          </w:p>
        </w:tc>
        <w:tc>
          <w:tcPr>
            <w:tcW w:w="827" w:type="dxa"/>
            <w:tcBorders>
              <w:left w:val="single" w:sz="4" w:space="0" w:color="A6A6A6" w:themeColor="background1" w:themeShade="A6"/>
            </w:tcBorders>
            <w:shd w:val="clear" w:color="auto" w:fill="auto"/>
            <w:noWrap/>
          </w:tcPr>
          <w:p w:rsidR="00F4528E" w:rsidRPr="00B20EAA" w:rsidRDefault="00F4528E" w:rsidP="00F4528E">
            <w:pPr>
              <w:pStyle w:val="TableText"/>
              <w:tabs>
                <w:tab w:val="decimal" w:pos="494"/>
              </w:tabs>
              <w:rPr>
                <w:lang w:eastAsia="en-NZ"/>
              </w:rPr>
            </w:pPr>
            <w:r w:rsidRPr="00C51817">
              <w:rPr>
                <w:lang w:eastAsia="en-NZ"/>
              </w:rPr>
              <w:t>86</w:t>
            </w:r>
          </w:p>
        </w:tc>
        <w:tc>
          <w:tcPr>
            <w:tcW w:w="827" w:type="dxa"/>
            <w:shd w:val="clear" w:color="auto" w:fill="auto"/>
            <w:noWrap/>
          </w:tcPr>
          <w:p w:rsidR="00F4528E" w:rsidRPr="00B20EAA" w:rsidRDefault="00F4528E" w:rsidP="00F4528E">
            <w:pPr>
              <w:pStyle w:val="TableText"/>
              <w:jc w:val="center"/>
              <w:rPr>
                <w:lang w:eastAsia="en-NZ"/>
              </w:rPr>
            </w:pPr>
            <w:r w:rsidRPr="00C51817">
              <w:rPr>
                <w:lang w:eastAsia="en-NZ"/>
              </w:rPr>
              <w:t>4.2</w:t>
            </w:r>
          </w:p>
        </w:tc>
      </w:tr>
      <w:tr w:rsidR="00F4528E" w:rsidRPr="00E644EE" w:rsidTr="00F4528E">
        <w:trPr>
          <w:cantSplit/>
        </w:trPr>
        <w:tc>
          <w:tcPr>
            <w:tcW w:w="1985" w:type="dxa"/>
            <w:tcBorders>
              <w:right w:val="single" w:sz="4" w:space="0" w:color="A6A6A6" w:themeColor="background1" w:themeShade="A6"/>
            </w:tcBorders>
            <w:shd w:val="clear" w:color="auto" w:fill="auto"/>
            <w:noWrap/>
            <w:hideMark/>
          </w:tcPr>
          <w:p w:rsidR="00F4528E" w:rsidRPr="00B20EAA" w:rsidRDefault="00F4528E" w:rsidP="007A7532">
            <w:pPr>
              <w:pStyle w:val="TableText"/>
              <w:ind w:left="284"/>
              <w:rPr>
                <w:lang w:eastAsia="en-NZ"/>
              </w:rPr>
            </w:pPr>
            <w:r w:rsidRPr="00B20EAA">
              <w:rPr>
                <w:lang w:eastAsia="en-NZ"/>
              </w:rPr>
              <w:t>2</w:t>
            </w:r>
          </w:p>
        </w:tc>
        <w:tc>
          <w:tcPr>
            <w:tcW w:w="1134" w:type="dxa"/>
            <w:tcBorders>
              <w:left w:val="single" w:sz="4" w:space="0" w:color="A6A6A6" w:themeColor="background1" w:themeShade="A6"/>
              <w:right w:val="single" w:sz="4" w:space="0" w:color="A6A6A6" w:themeColor="background1" w:themeShade="A6"/>
            </w:tcBorders>
            <w:shd w:val="clear" w:color="auto" w:fill="auto"/>
            <w:noWrap/>
            <w:hideMark/>
          </w:tcPr>
          <w:p w:rsidR="00F4528E" w:rsidRPr="00B20EAA" w:rsidRDefault="00F4528E" w:rsidP="00F4528E">
            <w:pPr>
              <w:pStyle w:val="TableText"/>
              <w:tabs>
                <w:tab w:val="decimal" w:pos="737"/>
              </w:tabs>
              <w:rPr>
                <w:lang w:eastAsia="en-NZ"/>
              </w:rPr>
            </w:pPr>
            <w:r w:rsidRPr="00C51817">
              <w:rPr>
                <w:lang w:eastAsia="en-NZ"/>
              </w:rPr>
              <w:t>2</w:t>
            </w:r>
            <w:r>
              <w:rPr>
                <w:lang w:eastAsia="en-NZ"/>
              </w:rPr>
              <w:t>,</w:t>
            </w:r>
            <w:r w:rsidRPr="00C51817">
              <w:rPr>
                <w:lang w:eastAsia="en-NZ"/>
              </w:rPr>
              <w:t>117</w:t>
            </w:r>
          </w:p>
        </w:tc>
        <w:tc>
          <w:tcPr>
            <w:tcW w:w="826"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42"/>
              </w:tabs>
              <w:rPr>
                <w:lang w:eastAsia="en-NZ"/>
              </w:rPr>
            </w:pPr>
            <w:r w:rsidRPr="00C51817">
              <w:rPr>
                <w:lang w:eastAsia="en-NZ"/>
              </w:rPr>
              <w:t>539</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25.5</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38"/>
              </w:tabs>
              <w:rPr>
                <w:lang w:eastAsia="en-NZ"/>
              </w:rPr>
            </w:pPr>
            <w:r w:rsidRPr="00C51817">
              <w:rPr>
                <w:lang w:eastAsia="en-NZ"/>
              </w:rPr>
              <w:t>1</w:t>
            </w:r>
            <w:r>
              <w:rPr>
                <w:lang w:eastAsia="en-NZ"/>
              </w:rPr>
              <w:t>,</w:t>
            </w:r>
            <w:r w:rsidRPr="00C51817">
              <w:rPr>
                <w:lang w:eastAsia="en-NZ"/>
              </w:rPr>
              <w:t>496</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70.7</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494"/>
              </w:tabs>
              <w:rPr>
                <w:lang w:eastAsia="en-NZ"/>
              </w:rPr>
            </w:pPr>
            <w:r w:rsidRPr="00C51817">
              <w:rPr>
                <w:lang w:eastAsia="en-NZ"/>
              </w:rPr>
              <w:t>82</w:t>
            </w:r>
          </w:p>
        </w:tc>
        <w:tc>
          <w:tcPr>
            <w:tcW w:w="827" w:type="dxa"/>
            <w:shd w:val="clear" w:color="auto" w:fill="auto"/>
            <w:noWrap/>
            <w:hideMark/>
          </w:tcPr>
          <w:p w:rsidR="00F4528E" w:rsidRPr="00B20EAA" w:rsidRDefault="00F4528E" w:rsidP="00F4528E">
            <w:pPr>
              <w:pStyle w:val="TableText"/>
              <w:jc w:val="center"/>
              <w:rPr>
                <w:lang w:eastAsia="en-NZ"/>
              </w:rPr>
            </w:pPr>
            <w:r w:rsidRPr="00C51817">
              <w:rPr>
                <w:lang w:eastAsia="en-NZ"/>
              </w:rPr>
              <w:t>3.9</w:t>
            </w:r>
          </w:p>
        </w:tc>
      </w:tr>
      <w:tr w:rsidR="00F4528E" w:rsidRPr="00E644EE" w:rsidTr="00F4528E">
        <w:trPr>
          <w:cantSplit/>
        </w:trPr>
        <w:tc>
          <w:tcPr>
            <w:tcW w:w="1985" w:type="dxa"/>
            <w:tcBorders>
              <w:right w:val="single" w:sz="4" w:space="0" w:color="A6A6A6" w:themeColor="background1" w:themeShade="A6"/>
            </w:tcBorders>
            <w:shd w:val="clear" w:color="auto" w:fill="auto"/>
            <w:noWrap/>
            <w:hideMark/>
          </w:tcPr>
          <w:p w:rsidR="00F4528E" w:rsidRPr="00B20EAA" w:rsidRDefault="00F4528E" w:rsidP="007A7532">
            <w:pPr>
              <w:pStyle w:val="TableText"/>
              <w:ind w:left="284"/>
              <w:rPr>
                <w:lang w:eastAsia="en-NZ"/>
              </w:rPr>
            </w:pPr>
            <w:r w:rsidRPr="00B20EAA">
              <w:rPr>
                <w:lang w:eastAsia="en-NZ"/>
              </w:rPr>
              <w:t>3</w:t>
            </w:r>
          </w:p>
        </w:tc>
        <w:tc>
          <w:tcPr>
            <w:tcW w:w="1134" w:type="dxa"/>
            <w:tcBorders>
              <w:left w:val="single" w:sz="4" w:space="0" w:color="A6A6A6" w:themeColor="background1" w:themeShade="A6"/>
              <w:right w:val="single" w:sz="4" w:space="0" w:color="A6A6A6" w:themeColor="background1" w:themeShade="A6"/>
            </w:tcBorders>
            <w:shd w:val="clear" w:color="auto" w:fill="auto"/>
            <w:noWrap/>
            <w:hideMark/>
          </w:tcPr>
          <w:p w:rsidR="00F4528E" w:rsidRPr="00B20EAA" w:rsidRDefault="00F4528E" w:rsidP="00F4528E">
            <w:pPr>
              <w:pStyle w:val="TableText"/>
              <w:tabs>
                <w:tab w:val="decimal" w:pos="737"/>
              </w:tabs>
              <w:rPr>
                <w:lang w:eastAsia="en-NZ"/>
              </w:rPr>
            </w:pPr>
            <w:r w:rsidRPr="00C51817">
              <w:rPr>
                <w:lang w:eastAsia="en-NZ"/>
              </w:rPr>
              <w:t>2</w:t>
            </w:r>
            <w:r>
              <w:rPr>
                <w:lang w:eastAsia="en-NZ"/>
              </w:rPr>
              <w:t>,</w:t>
            </w:r>
            <w:r w:rsidRPr="00C51817">
              <w:rPr>
                <w:lang w:eastAsia="en-NZ"/>
              </w:rPr>
              <w:t>494</w:t>
            </w:r>
          </w:p>
        </w:tc>
        <w:tc>
          <w:tcPr>
            <w:tcW w:w="826"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42"/>
              </w:tabs>
              <w:rPr>
                <w:lang w:eastAsia="en-NZ"/>
              </w:rPr>
            </w:pPr>
            <w:r w:rsidRPr="00C51817">
              <w:rPr>
                <w:lang w:eastAsia="en-NZ"/>
              </w:rPr>
              <w:t>622</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24.9</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38"/>
              </w:tabs>
              <w:rPr>
                <w:lang w:eastAsia="en-NZ"/>
              </w:rPr>
            </w:pPr>
            <w:r w:rsidRPr="00C51817">
              <w:rPr>
                <w:lang w:eastAsia="en-NZ"/>
              </w:rPr>
              <w:t>1</w:t>
            </w:r>
            <w:r>
              <w:rPr>
                <w:lang w:eastAsia="en-NZ"/>
              </w:rPr>
              <w:t>,</w:t>
            </w:r>
            <w:r w:rsidRPr="00C51817">
              <w:rPr>
                <w:lang w:eastAsia="en-NZ"/>
              </w:rPr>
              <w:t>797</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72.1</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494"/>
              </w:tabs>
              <w:rPr>
                <w:lang w:eastAsia="en-NZ"/>
              </w:rPr>
            </w:pPr>
            <w:r w:rsidRPr="00C51817">
              <w:rPr>
                <w:lang w:eastAsia="en-NZ"/>
              </w:rPr>
              <w:t>75</w:t>
            </w:r>
          </w:p>
        </w:tc>
        <w:tc>
          <w:tcPr>
            <w:tcW w:w="827" w:type="dxa"/>
            <w:shd w:val="clear" w:color="auto" w:fill="auto"/>
            <w:noWrap/>
            <w:hideMark/>
          </w:tcPr>
          <w:p w:rsidR="00F4528E" w:rsidRPr="00B20EAA" w:rsidRDefault="00F4528E" w:rsidP="00F4528E">
            <w:pPr>
              <w:pStyle w:val="TableText"/>
              <w:jc w:val="center"/>
              <w:rPr>
                <w:lang w:eastAsia="en-NZ"/>
              </w:rPr>
            </w:pPr>
            <w:r w:rsidRPr="00C51817">
              <w:rPr>
                <w:lang w:eastAsia="en-NZ"/>
              </w:rPr>
              <w:t>3.0</w:t>
            </w:r>
          </w:p>
        </w:tc>
      </w:tr>
      <w:tr w:rsidR="00F4528E" w:rsidRPr="00E644EE" w:rsidTr="00F4528E">
        <w:trPr>
          <w:cantSplit/>
        </w:trPr>
        <w:tc>
          <w:tcPr>
            <w:tcW w:w="1985" w:type="dxa"/>
            <w:tcBorders>
              <w:right w:val="single" w:sz="4" w:space="0" w:color="A6A6A6" w:themeColor="background1" w:themeShade="A6"/>
            </w:tcBorders>
            <w:shd w:val="clear" w:color="auto" w:fill="auto"/>
            <w:noWrap/>
            <w:hideMark/>
          </w:tcPr>
          <w:p w:rsidR="00F4528E" w:rsidRPr="00B20EAA" w:rsidRDefault="00F4528E" w:rsidP="007A7532">
            <w:pPr>
              <w:pStyle w:val="TableText"/>
              <w:ind w:left="284"/>
              <w:rPr>
                <w:lang w:eastAsia="en-NZ"/>
              </w:rPr>
            </w:pPr>
            <w:r w:rsidRPr="00B20EAA">
              <w:rPr>
                <w:lang w:eastAsia="en-NZ"/>
              </w:rPr>
              <w:t>4</w:t>
            </w:r>
          </w:p>
        </w:tc>
        <w:tc>
          <w:tcPr>
            <w:tcW w:w="1134" w:type="dxa"/>
            <w:tcBorders>
              <w:left w:val="single" w:sz="4" w:space="0" w:color="A6A6A6" w:themeColor="background1" w:themeShade="A6"/>
              <w:right w:val="single" w:sz="4" w:space="0" w:color="A6A6A6" w:themeColor="background1" w:themeShade="A6"/>
            </w:tcBorders>
            <w:shd w:val="clear" w:color="auto" w:fill="auto"/>
            <w:noWrap/>
            <w:hideMark/>
          </w:tcPr>
          <w:p w:rsidR="00F4528E" w:rsidRPr="00B20EAA" w:rsidRDefault="00F4528E" w:rsidP="00F4528E">
            <w:pPr>
              <w:pStyle w:val="TableText"/>
              <w:tabs>
                <w:tab w:val="decimal" w:pos="737"/>
              </w:tabs>
              <w:rPr>
                <w:lang w:eastAsia="en-NZ"/>
              </w:rPr>
            </w:pPr>
            <w:r w:rsidRPr="00C51817">
              <w:rPr>
                <w:lang w:eastAsia="en-NZ"/>
              </w:rPr>
              <w:t>2</w:t>
            </w:r>
            <w:r>
              <w:rPr>
                <w:lang w:eastAsia="en-NZ"/>
              </w:rPr>
              <w:t>,</w:t>
            </w:r>
            <w:r w:rsidRPr="00C51817">
              <w:rPr>
                <w:lang w:eastAsia="en-NZ"/>
              </w:rPr>
              <w:t>643</w:t>
            </w:r>
          </w:p>
        </w:tc>
        <w:tc>
          <w:tcPr>
            <w:tcW w:w="826"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42"/>
              </w:tabs>
              <w:rPr>
                <w:lang w:eastAsia="en-NZ"/>
              </w:rPr>
            </w:pPr>
            <w:r w:rsidRPr="00C51817">
              <w:rPr>
                <w:lang w:eastAsia="en-NZ"/>
              </w:rPr>
              <w:t>709</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26.8</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38"/>
              </w:tabs>
              <w:rPr>
                <w:lang w:eastAsia="en-NZ"/>
              </w:rPr>
            </w:pPr>
            <w:r w:rsidRPr="00C51817">
              <w:rPr>
                <w:lang w:eastAsia="en-NZ"/>
              </w:rPr>
              <w:t>1</w:t>
            </w:r>
            <w:r>
              <w:rPr>
                <w:lang w:eastAsia="en-NZ"/>
              </w:rPr>
              <w:t>,</w:t>
            </w:r>
            <w:r w:rsidRPr="00C51817">
              <w:rPr>
                <w:lang w:eastAsia="en-NZ"/>
              </w:rPr>
              <w:t>902</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72.0</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494"/>
              </w:tabs>
              <w:rPr>
                <w:lang w:eastAsia="en-NZ"/>
              </w:rPr>
            </w:pPr>
            <w:r w:rsidRPr="00C51817">
              <w:rPr>
                <w:lang w:eastAsia="en-NZ"/>
              </w:rPr>
              <w:t>32</w:t>
            </w:r>
          </w:p>
        </w:tc>
        <w:tc>
          <w:tcPr>
            <w:tcW w:w="827" w:type="dxa"/>
            <w:shd w:val="clear" w:color="auto" w:fill="auto"/>
            <w:noWrap/>
            <w:hideMark/>
          </w:tcPr>
          <w:p w:rsidR="00F4528E" w:rsidRPr="00B20EAA" w:rsidRDefault="00F4528E" w:rsidP="00F4528E">
            <w:pPr>
              <w:pStyle w:val="TableText"/>
              <w:jc w:val="center"/>
              <w:rPr>
                <w:lang w:eastAsia="en-NZ"/>
              </w:rPr>
            </w:pPr>
            <w:r w:rsidRPr="00C51817">
              <w:rPr>
                <w:lang w:eastAsia="en-NZ"/>
              </w:rPr>
              <w:t>1.2</w:t>
            </w:r>
          </w:p>
        </w:tc>
      </w:tr>
      <w:tr w:rsidR="00F4528E" w:rsidRPr="00E644EE" w:rsidTr="00F4528E">
        <w:trPr>
          <w:cantSplit/>
        </w:trPr>
        <w:tc>
          <w:tcPr>
            <w:tcW w:w="1985" w:type="dxa"/>
            <w:tcBorders>
              <w:right w:val="single" w:sz="4" w:space="0" w:color="A6A6A6" w:themeColor="background1" w:themeShade="A6"/>
            </w:tcBorders>
            <w:shd w:val="clear" w:color="auto" w:fill="auto"/>
            <w:noWrap/>
            <w:hideMark/>
          </w:tcPr>
          <w:p w:rsidR="00F4528E" w:rsidRPr="00B20EAA" w:rsidRDefault="00F4528E" w:rsidP="007A7532">
            <w:pPr>
              <w:pStyle w:val="TableText"/>
              <w:ind w:left="284"/>
              <w:rPr>
                <w:lang w:eastAsia="en-NZ"/>
              </w:rPr>
            </w:pPr>
            <w:r w:rsidRPr="00B20EAA">
              <w:rPr>
                <w:lang w:eastAsia="en-NZ"/>
              </w:rPr>
              <w:t>5</w:t>
            </w:r>
          </w:p>
        </w:tc>
        <w:tc>
          <w:tcPr>
            <w:tcW w:w="1134" w:type="dxa"/>
            <w:tcBorders>
              <w:left w:val="single" w:sz="4" w:space="0" w:color="A6A6A6" w:themeColor="background1" w:themeShade="A6"/>
              <w:right w:val="single" w:sz="4" w:space="0" w:color="A6A6A6" w:themeColor="background1" w:themeShade="A6"/>
            </w:tcBorders>
            <w:shd w:val="clear" w:color="auto" w:fill="auto"/>
            <w:noWrap/>
            <w:hideMark/>
          </w:tcPr>
          <w:p w:rsidR="00F4528E" w:rsidRPr="00B20EAA" w:rsidRDefault="00F4528E" w:rsidP="00F4528E">
            <w:pPr>
              <w:pStyle w:val="TableText"/>
              <w:tabs>
                <w:tab w:val="decimal" w:pos="737"/>
              </w:tabs>
              <w:rPr>
                <w:lang w:eastAsia="en-NZ"/>
              </w:rPr>
            </w:pPr>
            <w:r w:rsidRPr="00C51817">
              <w:rPr>
                <w:lang w:eastAsia="en-NZ"/>
              </w:rPr>
              <w:t>2</w:t>
            </w:r>
            <w:r>
              <w:rPr>
                <w:lang w:eastAsia="en-NZ"/>
              </w:rPr>
              <w:t>,</w:t>
            </w:r>
            <w:r w:rsidRPr="00C51817">
              <w:rPr>
                <w:lang w:eastAsia="en-NZ"/>
              </w:rPr>
              <w:t>125</w:t>
            </w:r>
          </w:p>
        </w:tc>
        <w:tc>
          <w:tcPr>
            <w:tcW w:w="826"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42"/>
              </w:tabs>
              <w:rPr>
                <w:lang w:eastAsia="en-NZ"/>
              </w:rPr>
            </w:pPr>
            <w:r w:rsidRPr="00C51817">
              <w:rPr>
                <w:lang w:eastAsia="en-NZ"/>
              </w:rPr>
              <w:t>690</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32.5</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538"/>
              </w:tabs>
              <w:rPr>
                <w:lang w:eastAsia="en-NZ"/>
              </w:rPr>
            </w:pPr>
            <w:r w:rsidRPr="00C51817">
              <w:rPr>
                <w:lang w:eastAsia="en-NZ"/>
              </w:rPr>
              <w:t>1</w:t>
            </w:r>
            <w:r>
              <w:rPr>
                <w:lang w:eastAsia="en-NZ"/>
              </w:rPr>
              <w:t>,</w:t>
            </w:r>
            <w:r w:rsidRPr="00C51817">
              <w:rPr>
                <w:lang w:eastAsia="en-NZ"/>
              </w:rPr>
              <w:t>407</w:t>
            </w:r>
          </w:p>
        </w:tc>
        <w:tc>
          <w:tcPr>
            <w:tcW w:w="827" w:type="dxa"/>
            <w:tcBorders>
              <w:right w:val="single" w:sz="4" w:space="0" w:color="A6A6A6" w:themeColor="background1" w:themeShade="A6"/>
            </w:tcBorders>
            <w:shd w:val="clear" w:color="auto" w:fill="auto"/>
            <w:noWrap/>
            <w:hideMark/>
          </w:tcPr>
          <w:p w:rsidR="00F4528E" w:rsidRPr="00B20EAA" w:rsidRDefault="00F4528E" w:rsidP="00F4528E">
            <w:pPr>
              <w:pStyle w:val="TableText"/>
              <w:jc w:val="center"/>
              <w:rPr>
                <w:lang w:eastAsia="en-NZ"/>
              </w:rPr>
            </w:pPr>
            <w:r w:rsidRPr="00C51817">
              <w:rPr>
                <w:lang w:eastAsia="en-NZ"/>
              </w:rPr>
              <w:t>66.2</w:t>
            </w:r>
          </w:p>
        </w:tc>
        <w:tc>
          <w:tcPr>
            <w:tcW w:w="827" w:type="dxa"/>
            <w:tcBorders>
              <w:left w:val="single" w:sz="4" w:space="0" w:color="A6A6A6" w:themeColor="background1" w:themeShade="A6"/>
            </w:tcBorders>
            <w:shd w:val="clear" w:color="auto" w:fill="auto"/>
            <w:noWrap/>
            <w:hideMark/>
          </w:tcPr>
          <w:p w:rsidR="00F4528E" w:rsidRPr="00B20EAA" w:rsidRDefault="00F4528E" w:rsidP="00F4528E">
            <w:pPr>
              <w:pStyle w:val="TableText"/>
              <w:tabs>
                <w:tab w:val="decimal" w:pos="494"/>
              </w:tabs>
              <w:rPr>
                <w:lang w:eastAsia="en-NZ"/>
              </w:rPr>
            </w:pPr>
            <w:r w:rsidRPr="00C51817">
              <w:rPr>
                <w:lang w:eastAsia="en-NZ"/>
              </w:rPr>
              <w:t>28</w:t>
            </w:r>
          </w:p>
        </w:tc>
        <w:tc>
          <w:tcPr>
            <w:tcW w:w="827" w:type="dxa"/>
            <w:shd w:val="clear" w:color="auto" w:fill="auto"/>
            <w:noWrap/>
            <w:hideMark/>
          </w:tcPr>
          <w:p w:rsidR="00F4528E" w:rsidRPr="00B20EAA" w:rsidRDefault="00F4528E" w:rsidP="00F4528E">
            <w:pPr>
              <w:pStyle w:val="TableText"/>
              <w:jc w:val="center"/>
              <w:rPr>
                <w:lang w:eastAsia="en-NZ"/>
              </w:rPr>
            </w:pPr>
            <w:r w:rsidRPr="00C51817">
              <w:rPr>
                <w:lang w:eastAsia="en-NZ"/>
              </w:rPr>
              <w:t>1.3</w:t>
            </w:r>
          </w:p>
        </w:tc>
      </w:tr>
    </w:tbl>
    <w:p w:rsidR="006A5D28" w:rsidRDefault="006A5D28" w:rsidP="00F4528E"/>
    <w:p w:rsidR="009C391C" w:rsidRPr="00D04402" w:rsidRDefault="009C391C" w:rsidP="009C391C">
      <w:pPr>
        <w:pStyle w:val="BoxHeading"/>
      </w:pPr>
      <w:r>
        <w:t xml:space="preserve">The </w:t>
      </w:r>
      <w:r w:rsidRPr="00D04402">
        <w:t>Bowel Screening Programme</w:t>
      </w:r>
    </w:p>
    <w:p w:rsidR="009C391C" w:rsidRDefault="009C391C" w:rsidP="009C391C">
      <w:pPr>
        <w:pStyle w:val="Box"/>
      </w:pPr>
      <w:r>
        <w:t xml:space="preserve">The </w:t>
      </w:r>
      <w:r w:rsidRPr="00920AF4">
        <w:t xml:space="preserve">Bowel Screening Pilot began in Waitemata </w:t>
      </w:r>
      <w:r>
        <w:t xml:space="preserve">DHB </w:t>
      </w:r>
      <w:r w:rsidRPr="00920AF4">
        <w:t xml:space="preserve">in January 2012. </w:t>
      </w:r>
      <w:r>
        <w:t>The DHB offered s</w:t>
      </w:r>
      <w:r w:rsidRPr="00920AF4">
        <w:t>creening to eligible people ag</w:t>
      </w:r>
      <w:r>
        <w:t xml:space="preserve">ed 50–74 living in its </w:t>
      </w:r>
      <w:r w:rsidRPr="00920AF4">
        <w:t>area.</w:t>
      </w:r>
    </w:p>
    <w:p w:rsidR="009C391C" w:rsidRDefault="009C391C" w:rsidP="009C391C">
      <w:pPr>
        <w:pStyle w:val="Box"/>
      </w:pPr>
      <w:r>
        <w:t>Following completion of the pilot, t</w:t>
      </w:r>
      <w:r w:rsidRPr="00054200">
        <w:t xml:space="preserve">he </w:t>
      </w:r>
      <w:r>
        <w:t xml:space="preserve">Ministry of Health is rolling out the </w:t>
      </w:r>
      <w:r w:rsidRPr="00054200">
        <w:t xml:space="preserve">National Bowel Screening Programme progressively across all </w:t>
      </w:r>
      <w:r>
        <w:t>DHBs</w:t>
      </w:r>
      <w:r w:rsidRPr="00054200">
        <w:t xml:space="preserve">. </w:t>
      </w:r>
      <w:r w:rsidRPr="00920AF4">
        <w:t>The eligible age range for the national programme is 60</w:t>
      </w:r>
      <w:r>
        <w:t>–</w:t>
      </w:r>
      <w:r w:rsidRPr="00920AF4">
        <w:t>74.</w:t>
      </w:r>
    </w:p>
    <w:p w:rsidR="009C391C" w:rsidRDefault="009C391C" w:rsidP="009C391C">
      <w:pPr>
        <w:pStyle w:val="Box"/>
      </w:pPr>
      <w:r>
        <w:t xml:space="preserve">Two </w:t>
      </w:r>
      <w:r w:rsidRPr="00054200">
        <w:t>DHBs began free bowel screening from July 2017</w:t>
      </w:r>
      <w:r>
        <w:t>,</w:t>
      </w:r>
      <w:r w:rsidRPr="00054200">
        <w:t xml:space="preserve"> and Waitemata transitioned from the pilot to the national programme in January 2018. </w:t>
      </w:r>
      <w:r w:rsidRPr="00920AF4">
        <w:t>As of August 2018</w:t>
      </w:r>
      <w:r>
        <w:t>,</w:t>
      </w:r>
      <w:r w:rsidRPr="00920AF4">
        <w:t xml:space="preserve"> six DHBs offer free bowel screening</w:t>
      </w:r>
      <w:r>
        <w:t xml:space="preserve">. </w:t>
      </w:r>
      <w:r w:rsidRPr="00054200">
        <w:t>Other DHBs will follow in stages</w:t>
      </w:r>
      <w:r>
        <w:t>; the Ministry expects</w:t>
      </w:r>
      <w:r w:rsidRPr="00054200">
        <w:t xml:space="preserve"> </w:t>
      </w:r>
      <w:r>
        <w:t>that all DHBs</w:t>
      </w:r>
      <w:r w:rsidRPr="00054200">
        <w:t xml:space="preserve"> </w:t>
      </w:r>
      <w:r>
        <w:t>will</w:t>
      </w:r>
      <w:r w:rsidRPr="00054200">
        <w:t xml:space="preserve"> </w:t>
      </w:r>
      <w:r>
        <w:t>offer free</w:t>
      </w:r>
      <w:r w:rsidRPr="00054200">
        <w:t xml:space="preserve"> bowel screening by the end of 2021.</w:t>
      </w:r>
    </w:p>
    <w:p w:rsidR="00F4528E" w:rsidRDefault="00F4528E" w:rsidP="009C391C"/>
    <w:p w:rsidR="00E51135" w:rsidRDefault="006A5D28" w:rsidP="009C391C">
      <w:r>
        <w:lastRenderedPageBreak/>
        <w:t xml:space="preserve">In the PIPER </w:t>
      </w:r>
      <w:r w:rsidR="00B77549">
        <w:t>Project</w:t>
      </w:r>
      <w:r>
        <w:t>,</w:t>
      </w:r>
      <w:r w:rsidRPr="00E86F4F">
        <w:t xml:space="preserve"> 31</w:t>
      </w:r>
      <w:r>
        <w:t> percent</w:t>
      </w:r>
      <w:r w:rsidRPr="00E86F4F">
        <w:t xml:space="preserve"> of </w:t>
      </w:r>
      <w:r>
        <w:t>people</w:t>
      </w:r>
      <w:r w:rsidRPr="00E86F4F">
        <w:t xml:space="preserve"> presented directly to </w:t>
      </w:r>
      <w:r>
        <w:t xml:space="preserve">an </w:t>
      </w:r>
      <w:r w:rsidRPr="00E86F4F">
        <w:t xml:space="preserve">ED. </w:t>
      </w:r>
      <w:r w:rsidRPr="0090250E">
        <w:t xml:space="preserve">Māori </w:t>
      </w:r>
      <w:r>
        <w:t>people</w:t>
      </w:r>
      <w:r w:rsidRPr="0090250E">
        <w:t xml:space="preserve"> were the most likely to present to ED (45%)</w:t>
      </w:r>
      <w:r>
        <w:t>,</w:t>
      </w:r>
      <w:r w:rsidRPr="0090250E">
        <w:t xml:space="preserve"> followed by Pacific </w:t>
      </w:r>
      <w:r>
        <w:t xml:space="preserve">peoples </w:t>
      </w:r>
      <w:r w:rsidRPr="0090250E">
        <w:t xml:space="preserve">(35%) </w:t>
      </w:r>
      <w:r>
        <w:t>and</w:t>
      </w:r>
      <w:r w:rsidRPr="0090250E">
        <w:t xml:space="preserve"> n</w:t>
      </w:r>
      <w:r>
        <w:t>on-Māori/non-Pacific</w:t>
      </w:r>
      <w:r w:rsidRPr="0090250E">
        <w:t xml:space="preserve"> </w:t>
      </w:r>
      <w:r>
        <w:t xml:space="preserve">peoples </w:t>
      </w:r>
      <w:r w:rsidRPr="0090250E">
        <w:t>(30%).</w:t>
      </w:r>
      <w:r w:rsidRPr="00E86F4F">
        <w:t xml:space="preserve"> </w:t>
      </w:r>
      <w:r>
        <w:t>A</w:t>
      </w:r>
      <w:r w:rsidRPr="00E86F4F">
        <w:t xml:space="preserve">fter controlling for demographic characteristics and disease variables such as stage and grade at diagnosis, Māori patients (particularly rural Māori) and those in the highest quintile of deprivation were still significantly more likely to present directly to ED. </w:t>
      </w:r>
      <w:r>
        <w:t>This indicator is therefore likely to reflect inequalities in access to care.</w:t>
      </w:r>
    </w:p>
    <w:p w:rsidR="006A5D28" w:rsidRDefault="006A5D28" w:rsidP="009C391C"/>
    <w:p w:rsidR="006A5D28" w:rsidRDefault="006A5D28" w:rsidP="009C391C">
      <w:r>
        <w:t>A national bowel screening programme has been in place in England since 2006. In England in 2016, of patients diagnosed with bowel cancer, 55 percent of patients were diagnosed following general practitioner (GP) referral. Just under 10 percent of patients were diagnosed following referral from a screening service, and 23 percent were diagnosed following an emergency admission.</w:t>
      </w:r>
    </w:p>
    <w:p w:rsidR="006A5D28" w:rsidRDefault="006A5D28" w:rsidP="009C391C"/>
    <w:p w:rsidR="00E51135" w:rsidRDefault="006A5D28" w:rsidP="009C391C">
      <w:pPr>
        <w:pStyle w:val="Heading3"/>
        <w:numPr>
          <w:ilvl w:val="0"/>
          <w:numId w:val="0"/>
        </w:numPr>
      </w:pPr>
      <w:r>
        <w:t>Recommendation</w:t>
      </w:r>
    </w:p>
    <w:p w:rsidR="006A5D28" w:rsidRPr="0090250E" w:rsidRDefault="006A5D28" w:rsidP="009C391C">
      <w:r>
        <w:t>A d</w:t>
      </w:r>
      <w:r w:rsidRPr="0090250E">
        <w:t xml:space="preserve">etailed evaluation at DHB level of patients </w:t>
      </w:r>
      <w:r>
        <w:t xml:space="preserve">who </w:t>
      </w:r>
      <w:r w:rsidRPr="0090250E">
        <w:t xml:space="preserve">present acutely is likely to uncover gaps in access to primary care or diagnostic services, and presents an opportunity </w:t>
      </w:r>
      <w:r>
        <w:t>to</w:t>
      </w:r>
      <w:r w:rsidRPr="0090250E">
        <w:t xml:space="preserve"> improv</w:t>
      </w:r>
      <w:r>
        <w:t>e</w:t>
      </w:r>
      <w:r w:rsidRPr="0090250E">
        <w:t xml:space="preserve"> service or care pathways</w:t>
      </w:r>
      <w:r>
        <w:t>. The s</w:t>
      </w:r>
      <w:r w:rsidRPr="0090250E">
        <w:t xml:space="preserve">olutions </w:t>
      </w:r>
      <w:r>
        <w:t xml:space="preserve">required </w:t>
      </w:r>
      <w:r w:rsidRPr="0090250E">
        <w:t xml:space="preserve">to </w:t>
      </w:r>
      <w:r>
        <w:t xml:space="preserve">reduce the proportion of people diagnosed following emergency presentation and increase the proportion of those diagnosed following screening or referral from GPs are </w:t>
      </w:r>
      <w:r w:rsidRPr="0090250E">
        <w:t xml:space="preserve">likely to </w:t>
      </w:r>
      <w:r>
        <w:t xml:space="preserve">vary by </w:t>
      </w:r>
      <w:r w:rsidRPr="0090250E">
        <w:t>region</w:t>
      </w:r>
      <w:r>
        <w:t>.</w:t>
      </w:r>
    </w:p>
    <w:p w:rsidR="009C391C" w:rsidRDefault="009C391C" w:rsidP="009C391C"/>
    <w:p w:rsidR="00E51135" w:rsidRDefault="006A5D28" w:rsidP="009C391C">
      <w:r w:rsidRPr="0090250E">
        <w:t xml:space="preserve">This indicator reflects inequalities in diagnostic pathways, and </w:t>
      </w:r>
      <w:r>
        <w:t>is likely to aff</w:t>
      </w:r>
      <w:r w:rsidRPr="0090250E">
        <w:t>ect outcome</w:t>
      </w:r>
      <w:r>
        <w:t>s for patients.</w:t>
      </w:r>
    </w:p>
    <w:p w:rsidR="006A5D28" w:rsidRDefault="006A5D28" w:rsidP="009C391C"/>
    <w:p w:rsidR="006A5D28" w:rsidRDefault="006A5D28" w:rsidP="009C391C">
      <w:r w:rsidRPr="00F9493B">
        <w:t xml:space="preserve">This indicator provides an opportunity to monitor the consequences of the </w:t>
      </w:r>
      <w:r>
        <w:t>B</w:t>
      </w:r>
      <w:r w:rsidRPr="00F9493B">
        <w:t xml:space="preserve">owel </w:t>
      </w:r>
      <w:r>
        <w:t>S</w:t>
      </w:r>
      <w:r w:rsidRPr="00F9493B">
        <w:t xml:space="preserve">creening </w:t>
      </w:r>
      <w:r>
        <w:t>P</w:t>
      </w:r>
      <w:r w:rsidRPr="00F9493B">
        <w:t>rogramme.</w:t>
      </w:r>
      <w:r>
        <w:t xml:space="preserve"> </w:t>
      </w:r>
      <w:r w:rsidRPr="0090250E">
        <w:t>As an increasing proportion of patients are</w:t>
      </w:r>
      <w:r>
        <w:t xml:space="preserve"> diagnosed following</w:t>
      </w:r>
      <w:r w:rsidRPr="0090250E">
        <w:t xml:space="preserve"> screen</w:t>
      </w:r>
      <w:r>
        <w:t>ing</w:t>
      </w:r>
      <w:r w:rsidRPr="0090250E">
        <w:t xml:space="preserve">, the proportion </w:t>
      </w:r>
      <w:r>
        <w:t xml:space="preserve">of people </w:t>
      </w:r>
      <w:r w:rsidRPr="0090250E">
        <w:t xml:space="preserve">presenting </w:t>
      </w:r>
      <w:r>
        <w:t>with late-stage bowel cancer s</w:t>
      </w:r>
      <w:r w:rsidRPr="0090250E">
        <w:t xml:space="preserve">hould </w:t>
      </w:r>
      <w:r>
        <w:t>decrease.</w:t>
      </w:r>
      <w:r w:rsidRPr="0022138F">
        <w:t xml:space="preserve"> </w:t>
      </w:r>
      <w:r>
        <w:t>People referred from screening services tend to have earlier cancers, and are more likely to be able to be treated with curative intent than people diagnosed via other referral means.</w:t>
      </w:r>
    </w:p>
    <w:p w:rsidR="006A5D28" w:rsidRDefault="006A5D28" w:rsidP="009C391C"/>
    <w:p w:rsidR="006A5D28" w:rsidRDefault="006A5D28" w:rsidP="009C391C">
      <w:pPr>
        <w:pStyle w:val="Heading1"/>
      </w:pPr>
      <w:bookmarkStart w:id="83" w:name="_Toc532290829"/>
      <w:bookmarkStart w:id="84" w:name="_Toc532544051"/>
      <w:bookmarkStart w:id="85" w:name="_Ref536000960"/>
      <w:bookmarkStart w:id="86" w:name="_Toc517861"/>
      <w:bookmarkStart w:id="87" w:name="_Toc2253739"/>
      <w:r>
        <w:lastRenderedPageBreak/>
        <w:t>Surgical care</w:t>
      </w:r>
      <w:bookmarkEnd w:id="83"/>
      <w:bookmarkEnd w:id="84"/>
      <w:bookmarkEnd w:id="85"/>
      <w:bookmarkEnd w:id="86"/>
      <w:bookmarkEnd w:id="87"/>
    </w:p>
    <w:p w:rsidR="006A5D28" w:rsidRDefault="006A5D28" w:rsidP="00AC456F">
      <w:pPr>
        <w:pStyle w:val="Heading2"/>
      </w:pPr>
      <w:bookmarkStart w:id="88" w:name="_Toc532290830"/>
      <w:bookmarkStart w:id="89" w:name="_Toc517862"/>
      <w:bookmarkStart w:id="90" w:name="_Toc2253740"/>
      <w:r>
        <w:t>How many patients die within 90-days of major surgery?</w:t>
      </w:r>
      <w:bookmarkEnd w:id="88"/>
      <w:bookmarkEnd w:id="89"/>
      <w:bookmarkEnd w:id="90"/>
    </w:p>
    <w:p w:rsidR="00E51135" w:rsidRDefault="006A5D28" w:rsidP="00AC456F">
      <w:r>
        <w:t>In people with colorectal cancer, t</w:t>
      </w:r>
      <w:r w:rsidRPr="00720B68">
        <w:t xml:space="preserve">he overall </w:t>
      </w:r>
      <w:r>
        <w:t>90-day</w:t>
      </w:r>
      <w:r w:rsidRPr="00720B68">
        <w:t xml:space="preserve"> mortality following colorectal cancer resection was 4.</w:t>
      </w:r>
      <w:r w:rsidR="009024C5">
        <w:t>0</w:t>
      </w:r>
      <w:r>
        <w:t> percent</w:t>
      </w:r>
      <w:r w:rsidRPr="00720B68">
        <w:t xml:space="preserve">, </w:t>
      </w:r>
      <w:r>
        <w:t xml:space="preserve">and </w:t>
      </w:r>
      <w:r w:rsidRPr="00720B68">
        <w:t xml:space="preserve">the overall </w:t>
      </w:r>
      <w:r>
        <w:t>30-day</w:t>
      </w:r>
      <w:r w:rsidRPr="00720B68">
        <w:t xml:space="preserve"> mortality following colorectal cancer resection was 2.7</w:t>
      </w:r>
      <w:r>
        <w:t> percent</w:t>
      </w:r>
      <w:r w:rsidRPr="00720B68">
        <w:t>.</w:t>
      </w:r>
    </w:p>
    <w:p w:rsidR="00AC456F" w:rsidRDefault="00AC456F" w:rsidP="00AC456F"/>
    <w:p w:rsidR="00E51135" w:rsidRDefault="006A5D28" w:rsidP="00AC456F">
      <w:r w:rsidRPr="00720B68">
        <w:t xml:space="preserve">In </w:t>
      </w:r>
      <w:r>
        <w:t xml:space="preserve">people with colon cancer, </w:t>
      </w:r>
      <w:r w:rsidRPr="00720B68">
        <w:t xml:space="preserve">the </w:t>
      </w:r>
      <w:r>
        <w:t>90-day</w:t>
      </w:r>
      <w:r w:rsidRPr="00720B68">
        <w:t xml:space="preserve"> mortality following resection was 4.8</w:t>
      </w:r>
      <w:r>
        <w:t> percent,</w:t>
      </w:r>
      <w:r w:rsidRPr="00720B68">
        <w:t xml:space="preserve"> and the </w:t>
      </w:r>
      <w:r>
        <w:t>30-day</w:t>
      </w:r>
      <w:r w:rsidRPr="00720B68">
        <w:t xml:space="preserve"> morta</w:t>
      </w:r>
      <w:r>
        <w:t>lity following resection was 3.2 percent</w:t>
      </w:r>
      <w:r w:rsidRPr="00720B68">
        <w:t xml:space="preserve">. In </w:t>
      </w:r>
      <w:r>
        <w:t xml:space="preserve">people with rectal cancer, </w:t>
      </w:r>
      <w:r w:rsidRPr="00720B68">
        <w:t xml:space="preserve">the </w:t>
      </w:r>
      <w:r>
        <w:t>90-day</w:t>
      </w:r>
      <w:r w:rsidRPr="00720B68">
        <w:t xml:space="preserve"> mortality following resection was </w:t>
      </w:r>
      <w:r>
        <w:t>1</w:t>
      </w:r>
      <w:r w:rsidRPr="00720B68">
        <w:t>.</w:t>
      </w:r>
      <w:r>
        <w:t>9 percent,</w:t>
      </w:r>
      <w:r w:rsidRPr="00720B68">
        <w:t xml:space="preserve"> and the </w:t>
      </w:r>
      <w:r>
        <w:t>30-day</w:t>
      </w:r>
      <w:r w:rsidRPr="00720B68">
        <w:t xml:space="preserve"> mortality following resection was 1.</w:t>
      </w:r>
      <w:r>
        <w:t>3 percent</w:t>
      </w:r>
      <w:r w:rsidRPr="00720B68">
        <w:t>.</w:t>
      </w:r>
    </w:p>
    <w:p w:rsidR="006A5D28" w:rsidRPr="00720B68" w:rsidRDefault="006A5D28" w:rsidP="00AC456F"/>
    <w:p w:rsidR="00E51135" w:rsidRDefault="006A5D28" w:rsidP="00AC456F">
      <w:r>
        <w:t>We observed a</w:t>
      </w:r>
      <w:r w:rsidRPr="00720B68">
        <w:t xml:space="preserve"> wide variation in the rate of post-operative mortality</w:t>
      </w:r>
      <w:r>
        <w:t>:</w:t>
      </w:r>
      <w:r w:rsidRPr="00720B68">
        <w:t xml:space="preserve"> 90</w:t>
      </w:r>
      <w:r>
        <w:t>-</w:t>
      </w:r>
      <w:r w:rsidRPr="00720B68">
        <w:t>day post-operative mortality rang</w:t>
      </w:r>
      <w:r>
        <w:t>ed</w:t>
      </w:r>
      <w:r w:rsidRPr="00720B68">
        <w:t xml:space="preserve"> from 0 to </w:t>
      </w:r>
      <w:r>
        <w:t>7.6 percent</w:t>
      </w:r>
      <w:r w:rsidRPr="00720B68">
        <w:t xml:space="preserve"> across different DHBs</w:t>
      </w:r>
      <w:r>
        <w:t xml:space="preserve"> (</w:t>
      </w:r>
      <w:r>
        <w:fldChar w:fldCharType="begin"/>
      </w:r>
      <w:r>
        <w:instrText xml:space="preserve"> REF _Ref527473749 \h </w:instrText>
      </w:r>
      <w:r>
        <w:fldChar w:fldCharType="separate"/>
      </w:r>
      <w:r w:rsidR="002B5148" w:rsidRPr="00822E48">
        <w:t xml:space="preserve">Figure </w:t>
      </w:r>
      <w:r w:rsidR="002B5148">
        <w:rPr>
          <w:noProof/>
        </w:rPr>
        <w:t>3</w:t>
      </w:r>
      <w:r>
        <w:fldChar w:fldCharType="end"/>
      </w:r>
      <w:r>
        <w:t>)</w:t>
      </w:r>
      <w:r w:rsidRPr="00720B68">
        <w:t>. No DHBs were above the 95</w:t>
      </w:r>
      <w:r>
        <w:t> percent</w:t>
      </w:r>
      <w:r w:rsidRPr="00720B68">
        <w:t xml:space="preserve"> confidence </w:t>
      </w:r>
      <w:r>
        <w:t>limit</w:t>
      </w:r>
      <w:r w:rsidRPr="00720B68">
        <w:t xml:space="preserve">s, </w:t>
      </w:r>
      <w:r>
        <w:t xml:space="preserve">and </w:t>
      </w:r>
      <w:r w:rsidRPr="00720B68">
        <w:t>three units were below the 95</w:t>
      </w:r>
      <w:r>
        <w:t> percent</w:t>
      </w:r>
      <w:r w:rsidRPr="00720B68">
        <w:t xml:space="preserve"> confidence </w:t>
      </w:r>
      <w:r>
        <w:t>limit</w:t>
      </w:r>
      <w:r w:rsidRPr="00720B68">
        <w:t>s.</w:t>
      </w:r>
    </w:p>
    <w:p w:rsidR="00AC456F" w:rsidRDefault="00AC456F" w:rsidP="00AC456F"/>
    <w:p w:rsidR="006A5D28" w:rsidRPr="00822E48" w:rsidRDefault="00AC456F" w:rsidP="00AC456F">
      <w:pPr>
        <w:pStyle w:val="Figure"/>
      </w:pPr>
      <w:bookmarkStart w:id="91" w:name="_Ref527473749"/>
      <w:bookmarkStart w:id="92" w:name="_Toc518032"/>
      <w:bookmarkStart w:id="93" w:name="_Toc2254070"/>
      <w:r w:rsidRPr="00822E48">
        <w:t xml:space="preserve">Figure </w:t>
      </w:r>
      <w:r>
        <w:rPr>
          <w:noProof/>
        </w:rPr>
        <w:fldChar w:fldCharType="begin"/>
      </w:r>
      <w:r>
        <w:rPr>
          <w:noProof/>
        </w:rPr>
        <w:instrText xml:space="preserve"> SEQ Figure \* ARABIC </w:instrText>
      </w:r>
      <w:r>
        <w:rPr>
          <w:noProof/>
        </w:rPr>
        <w:fldChar w:fldCharType="separate"/>
      </w:r>
      <w:r w:rsidR="002B5148">
        <w:rPr>
          <w:noProof/>
        </w:rPr>
        <w:t>3</w:t>
      </w:r>
      <w:r>
        <w:rPr>
          <w:noProof/>
        </w:rPr>
        <w:fldChar w:fldCharType="end"/>
      </w:r>
      <w:bookmarkEnd w:id="91"/>
      <w:r>
        <w:t>:</w:t>
      </w:r>
      <w:r w:rsidRPr="00822E48">
        <w:t xml:space="preserve"> Observed 90-day post-operative mortality (elective and emergency admissions) for patients diagnosed with bowel cancer</w:t>
      </w:r>
      <w:r>
        <w:t>,</w:t>
      </w:r>
      <w:r w:rsidRPr="00822E48">
        <w:t xml:space="preserve"> by </w:t>
      </w:r>
      <w:r>
        <w:t xml:space="preserve">district health board </w:t>
      </w:r>
      <w:r w:rsidRPr="00822E48">
        <w:t>of service</w:t>
      </w:r>
      <w:r>
        <w:t>,</w:t>
      </w:r>
      <w:r w:rsidRPr="00822E48">
        <w:t xml:space="preserve"> 2013</w:t>
      </w:r>
      <w:r>
        <w:t>–</w:t>
      </w:r>
      <w:r w:rsidRPr="00822E48">
        <w:t>16</w:t>
      </w:r>
      <w:bookmarkEnd w:id="92"/>
      <w:bookmarkEnd w:id="93"/>
    </w:p>
    <w:p w:rsidR="006A5D28" w:rsidRDefault="006A5D28" w:rsidP="00AC456F">
      <w:r>
        <w:rPr>
          <w:noProof/>
          <w:lang w:eastAsia="en-NZ"/>
        </w:rPr>
        <w:drawing>
          <wp:inline distT="0" distB="0" distL="0" distR="0" wp14:anchorId="1E407D24" wp14:editId="2B0D82D4">
            <wp:extent cx="5079076" cy="2571583"/>
            <wp:effectExtent l="0" t="0" r="7620" b="635"/>
            <wp:docPr id="21" name="Picture 21" title="Figure 3: Observed 90-day post-operative mortality (elective and emergency admissions) for patients diagnosed with bowel cancer, by district health board of service, 20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CQI07_Bowel.png"/>
                    <pic:cNvPicPr/>
                  </pic:nvPicPr>
                  <pic:blipFill rotWithShape="1">
                    <a:blip r:embed="rId23" cstate="print">
                      <a:extLst>
                        <a:ext uri="{28A0092B-C50C-407E-A947-70E740481C1C}">
                          <a14:useLocalDpi xmlns:a14="http://schemas.microsoft.com/office/drawing/2010/main" val="0"/>
                        </a:ext>
                      </a:extLst>
                    </a:blip>
                    <a:srcRect t="13247" r="3939" b="3377"/>
                    <a:stretch/>
                  </pic:blipFill>
                  <pic:spPr bwMode="auto">
                    <a:xfrm>
                      <a:off x="0" y="0"/>
                      <a:ext cx="5079087" cy="2571589"/>
                    </a:xfrm>
                    <a:prstGeom prst="rect">
                      <a:avLst/>
                    </a:prstGeom>
                    <a:ln>
                      <a:noFill/>
                    </a:ln>
                    <a:extLst>
                      <a:ext uri="{53640926-AAD7-44D8-BBD7-CCE9431645EC}">
                        <a14:shadowObscured xmlns:a14="http://schemas.microsoft.com/office/drawing/2010/main"/>
                      </a:ext>
                    </a:extLst>
                  </pic:spPr>
                </pic:pic>
              </a:graphicData>
            </a:graphic>
          </wp:inline>
        </w:drawing>
      </w:r>
    </w:p>
    <w:p w:rsidR="00AC456F" w:rsidRDefault="00AC456F" w:rsidP="00AC456F"/>
    <w:p w:rsidR="00E51135" w:rsidRDefault="006A5D28" w:rsidP="00AC456F">
      <w:r w:rsidRPr="00720B68">
        <w:t xml:space="preserve">There was </w:t>
      </w:r>
      <w:r>
        <w:t xml:space="preserve">a </w:t>
      </w:r>
      <w:r w:rsidRPr="00720B68">
        <w:t>significant increase in mortality associated with emergency surgery (</w:t>
      </w:r>
      <w:r>
        <w:t>see section</w:t>
      </w:r>
      <w:r w:rsidR="00AC456F">
        <w:t> </w:t>
      </w:r>
      <w:r>
        <w:fldChar w:fldCharType="begin"/>
      </w:r>
      <w:r>
        <w:instrText xml:space="preserve"> REF _Ref535998974 \r \h </w:instrText>
      </w:r>
      <w:r>
        <w:fldChar w:fldCharType="separate"/>
      </w:r>
      <w:r w:rsidR="002B5148">
        <w:t>6.2</w:t>
      </w:r>
      <w:r>
        <w:fldChar w:fldCharType="end"/>
      </w:r>
      <w:r w:rsidRPr="00720B68">
        <w:t>).</w:t>
      </w:r>
    </w:p>
    <w:p w:rsidR="00AC456F" w:rsidRDefault="00AC456F" w:rsidP="00AC456F"/>
    <w:p w:rsidR="00E51135" w:rsidRDefault="006A5D28" w:rsidP="00AC456F">
      <w:r w:rsidRPr="00720B68">
        <w:t>The wide variation in mortality observe</w:t>
      </w:r>
      <w:r>
        <w:t>d</w:t>
      </w:r>
      <w:r w:rsidRPr="00720B68">
        <w:t xml:space="preserve"> increased if </w:t>
      </w:r>
      <w:r>
        <w:t xml:space="preserve">we </w:t>
      </w:r>
      <w:r w:rsidRPr="00720B68">
        <w:t xml:space="preserve">only </w:t>
      </w:r>
      <w:r>
        <w:t xml:space="preserve">considered </w:t>
      </w:r>
      <w:r w:rsidRPr="00720B68">
        <w:t xml:space="preserve">elective procedures </w:t>
      </w:r>
      <w:r>
        <w:t>(</w:t>
      </w:r>
      <w:r>
        <w:fldChar w:fldCharType="begin"/>
      </w:r>
      <w:r>
        <w:instrText xml:space="preserve"> REF _Ref527473774 \h </w:instrText>
      </w:r>
      <w:r>
        <w:fldChar w:fldCharType="separate"/>
      </w:r>
      <w:r w:rsidR="002B5148" w:rsidRPr="00822E48">
        <w:t xml:space="preserve">Figure </w:t>
      </w:r>
      <w:r w:rsidR="002B5148">
        <w:rPr>
          <w:noProof/>
        </w:rPr>
        <w:t>4</w:t>
      </w:r>
      <w:r>
        <w:fldChar w:fldCharType="end"/>
      </w:r>
      <w:r>
        <w:t>)</w:t>
      </w:r>
      <w:r w:rsidRPr="00720B68">
        <w:t>. One unit was above the 95</w:t>
      </w:r>
      <w:r>
        <w:t> percent</w:t>
      </w:r>
      <w:r w:rsidRPr="00720B68">
        <w:t xml:space="preserve"> confidence </w:t>
      </w:r>
      <w:r>
        <w:t>limit</w:t>
      </w:r>
      <w:r w:rsidRPr="00720B68">
        <w:t>s</w:t>
      </w:r>
      <w:r>
        <w:t>,</w:t>
      </w:r>
      <w:r w:rsidRPr="00720B68">
        <w:t xml:space="preserve"> and </w:t>
      </w:r>
      <w:r>
        <w:t>four</w:t>
      </w:r>
      <w:r w:rsidRPr="00720B68">
        <w:t xml:space="preserve"> units</w:t>
      </w:r>
      <w:r>
        <w:t xml:space="preserve"> were</w:t>
      </w:r>
      <w:r w:rsidRPr="00720B68">
        <w:t xml:space="preserve"> below the 95</w:t>
      </w:r>
      <w:r>
        <w:t> percent</w:t>
      </w:r>
      <w:r w:rsidRPr="00720B68">
        <w:t xml:space="preserve"> confidence </w:t>
      </w:r>
      <w:r>
        <w:t>limit</w:t>
      </w:r>
      <w:r w:rsidRPr="00720B68">
        <w:t>s.</w:t>
      </w:r>
    </w:p>
    <w:p w:rsidR="00AC456F" w:rsidRDefault="00AC456F" w:rsidP="00AC456F"/>
    <w:p w:rsidR="006A5D28" w:rsidRDefault="006A5D28" w:rsidP="00AC456F">
      <w:r w:rsidRPr="00720B68">
        <w:lastRenderedPageBreak/>
        <w:t>Overall</w:t>
      </w:r>
      <w:r>
        <w:t>, the</w:t>
      </w:r>
      <w:r w:rsidRPr="00720B68">
        <w:t xml:space="preserve"> </w:t>
      </w:r>
      <w:r>
        <w:t>90-day</w:t>
      </w:r>
      <w:r w:rsidRPr="00720B68">
        <w:t xml:space="preserve"> post-operative mortality rate was highest </w:t>
      </w:r>
      <w:r>
        <w:t>for people aged 75 years and over (7.6 percent).</w:t>
      </w:r>
    </w:p>
    <w:p w:rsidR="00AC456F" w:rsidRDefault="00AC456F" w:rsidP="00AC456F"/>
    <w:p w:rsidR="006A5D28" w:rsidRPr="00822E48" w:rsidRDefault="006A5D28" w:rsidP="00AC456F">
      <w:pPr>
        <w:pStyle w:val="Figure"/>
      </w:pPr>
      <w:bookmarkStart w:id="94" w:name="_Ref527473774"/>
      <w:bookmarkStart w:id="95" w:name="_Toc518033"/>
      <w:bookmarkStart w:id="96" w:name="_Toc2254071"/>
      <w:r w:rsidRPr="00822E48">
        <w:t xml:space="preserve">Figure </w:t>
      </w:r>
      <w:r>
        <w:rPr>
          <w:noProof/>
        </w:rPr>
        <w:fldChar w:fldCharType="begin"/>
      </w:r>
      <w:r>
        <w:rPr>
          <w:noProof/>
        </w:rPr>
        <w:instrText xml:space="preserve"> SEQ Figure \* ARABIC </w:instrText>
      </w:r>
      <w:r>
        <w:rPr>
          <w:noProof/>
        </w:rPr>
        <w:fldChar w:fldCharType="separate"/>
      </w:r>
      <w:r w:rsidR="002B5148">
        <w:rPr>
          <w:noProof/>
        </w:rPr>
        <w:t>4</w:t>
      </w:r>
      <w:r>
        <w:rPr>
          <w:noProof/>
        </w:rPr>
        <w:fldChar w:fldCharType="end"/>
      </w:r>
      <w:bookmarkEnd w:id="94"/>
      <w:r>
        <w:t>:</w:t>
      </w:r>
      <w:r w:rsidRPr="00822E48">
        <w:t xml:space="preserve"> Observed 90-day post-operative mortality (elective admissions only) for patients diagnosed with bowel cancer</w:t>
      </w:r>
      <w:r>
        <w:t>,</w:t>
      </w:r>
      <w:r w:rsidRPr="00822E48">
        <w:t xml:space="preserve"> by </w:t>
      </w:r>
      <w:r>
        <w:t xml:space="preserve">district health board </w:t>
      </w:r>
      <w:r w:rsidRPr="00822E48">
        <w:t>of service</w:t>
      </w:r>
      <w:r>
        <w:t>,</w:t>
      </w:r>
      <w:r w:rsidRPr="00822E48">
        <w:t xml:space="preserve"> 2013</w:t>
      </w:r>
      <w:r>
        <w:t>–</w:t>
      </w:r>
      <w:r w:rsidRPr="00822E48">
        <w:t>16</w:t>
      </w:r>
      <w:bookmarkEnd w:id="95"/>
      <w:bookmarkEnd w:id="96"/>
    </w:p>
    <w:p w:rsidR="006A5D28" w:rsidRDefault="006A5D28" w:rsidP="00AC456F">
      <w:r>
        <w:rPr>
          <w:noProof/>
          <w:lang w:eastAsia="en-NZ"/>
        </w:rPr>
        <w:drawing>
          <wp:inline distT="0" distB="0" distL="0" distR="0" wp14:anchorId="39C2CF4E" wp14:editId="0197AA72">
            <wp:extent cx="5087389" cy="2603972"/>
            <wp:effectExtent l="0" t="0" r="0" b="6350"/>
            <wp:docPr id="22" name="Picture 22" title="Figure 4: Observed 90-day post-operative mortality (elective admissions only) for patients diagnosed with bowel cancer, by district health board of service, 20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CQI07_Bowel_EL.png"/>
                    <pic:cNvPicPr/>
                  </pic:nvPicPr>
                  <pic:blipFill rotWithShape="1">
                    <a:blip r:embed="rId24" cstate="print">
                      <a:extLst>
                        <a:ext uri="{28A0092B-C50C-407E-A947-70E740481C1C}">
                          <a14:useLocalDpi xmlns:a14="http://schemas.microsoft.com/office/drawing/2010/main" val="0"/>
                        </a:ext>
                      </a:extLst>
                    </a:blip>
                    <a:srcRect t="12987" r="4091" b="2857"/>
                    <a:stretch/>
                  </pic:blipFill>
                  <pic:spPr bwMode="auto">
                    <a:xfrm>
                      <a:off x="0" y="0"/>
                      <a:ext cx="5087401" cy="2603978"/>
                    </a:xfrm>
                    <a:prstGeom prst="rect">
                      <a:avLst/>
                    </a:prstGeom>
                    <a:ln>
                      <a:noFill/>
                    </a:ln>
                    <a:extLst>
                      <a:ext uri="{53640926-AAD7-44D8-BBD7-CCE9431645EC}">
                        <a14:shadowObscured xmlns:a14="http://schemas.microsoft.com/office/drawing/2010/main"/>
                      </a:ext>
                    </a:extLst>
                  </pic:spPr>
                </pic:pic>
              </a:graphicData>
            </a:graphic>
          </wp:inline>
        </w:drawing>
      </w:r>
    </w:p>
    <w:p w:rsidR="006A5D28" w:rsidRPr="00F22378" w:rsidRDefault="006A5D28" w:rsidP="00AC456F"/>
    <w:p w:rsidR="006A5D28" w:rsidRDefault="006A5D28" w:rsidP="00AC456F">
      <w:r w:rsidRPr="00720B68">
        <w:t xml:space="preserve">The </w:t>
      </w:r>
      <w:r>
        <w:t>90-day</w:t>
      </w:r>
      <w:r w:rsidRPr="00720B68">
        <w:t xml:space="preserve"> post-operative mortality in patients undergoing major resection</w:t>
      </w:r>
      <w:r>
        <w:t xml:space="preserve"> reported in the </w:t>
      </w:r>
      <w:r w:rsidRPr="00720B68">
        <w:t>NBOCA audit</w:t>
      </w:r>
      <w:r>
        <w:t>s</w:t>
      </w:r>
      <w:r w:rsidRPr="00720B68">
        <w:t xml:space="preserve"> </w:t>
      </w:r>
      <w:r>
        <w:t xml:space="preserve">for the four year period 2013–16 </w:t>
      </w:r>
      <w:r w:rsidRPr="00720B68">
        <w:t xml:space="preserve">was </w:t>
      </w:r>
      <w:r>
        <w:t>3.8 percent. In the 2017 report t</w:t>
      </w:r>
      <w:r w:rsidRPr="00720B68">
        <w:t xml:space="preserve">he </w:t>
      </w:r>
      <w:r>
        <w:t>90-day</w:t>
      </w:r>
      <w:r w:rsidRPr="00720B68">
        <w:t xml:space="preserve"> mortality in patients undergoing emergency surgery</w:t>
      </w:r>
      <w:r>
        <w:t xml:space="preserve"> was significantly higher than for those having elective surgery</w:t>
      </w:r>
      <w:r w:rsidRPr="00720B68">
        <w:t xml:space="preserve"> </w:t>
      </w:r>
      <w:r>
        <w:t>(</w:t>
      </w:r>
      <w:r w:rsidRPr="00720B68">
        <w:t xml:space="preserve">10.3% </w:t>
      </w:r>
      <w:r>
        <w:t>compared to</w:t>
      </w:r>
      <w:r w:rsidRPr="00720B68">
        <w:t xml:space="preserve"> 1.9%). There was wide variation in </w:t>
      </w:r>
      <w:r>
        <w:t>90-day</w:t>
      </w:r>
      <w:r w:rsidRPr="00720B68">
        <w:t xml:space="preserve"> mortality between </w:t>
      </w:r>
      <w:r>
        <w:t>trusts</w:t>
      </w:r>
      <w:r w:rsidRPr="00720B68">
        <w:t>.</w:t>
      </w:r>
    </w:p>
    <w:p w:rsidR="006A5D28" w:rsidRPr="00720B68" w:rsidRDefault="006A5D28" w:rsidP="00AC456F"/>
    <w:p w:rsidR="006A5D28" w:rsidRDefault="006A5D28" w:rsidP="00AC456F">
      <w:pPr>
        <w:pStyle w:val="Heading3"/>
        <w:numPr>
          <w:ilvl w:val="0"/>
          <w:numId w:val="0"/>
        </w:numPr>
      </w:pPr>
      <w:r>
        <w:t>Recommendation</w:t>
      </w:r>
    </w:p>
    <w:p w:rsidR="00E51135" w:rsidRDefault="006A5D28" w:rsidP="00AC456F">
      <w:r w:rsidRPr="00720B68">
        <w:t xml:space="preserve">The overall post-operative mortality in patients undergoing surgery for colorectal cancer in New Zealand is acceptable, but there is </w:t>
      </w:r>
      <w:r>
        <w:t xml:space="preserve">currently </w:t>
      </w:r>
      <w:r w:rsidRPr="00720B68">
        <w:t>wide variation between DHBs</w:t>
      </w:r>
      <w:r>
        <w:t xml:space="preserve"> that needs investigating</w:t>
      </w:r>
      <w:r w:rsidRPr="00720B68">
        <w:t>.</w:t>
      </w:r>
    </w:p>
    <w:p w:rsidR="00AC456F" w:rsidRDefault="00AC456F" w:rsidP="00AC456F"/>
    <w:p w:rsidR="006A5D28" w:rsidRPr="00720B68" w:rsidRDefault="006A5D28" w:rsidP="00AC456F">
      <w:r>
        <w:t xml:space="preserve">District health boards that have performed </w:t>
      </w:r>
      <w:r w:rsidRPr="00C17153">
        <w:t>excellen</w:t>
      </w:r>
      <w:r>
        <w:t>tly</w:t>
      </w:r>
      <w:r w:rsidRPr="00C17153">
        <w:t xml:space="preserve"> </w:t>
      </w:r>
      <w:r>
        <w:t xml:space="preserve">against </w:t>
      </w:r>
      <w:r w:rsidRPr="00C17153">
        <w:t xml:space="preserve">this indicator may be a helpful resource </w:t>
      </w:r>
      <w:r>
        <w:t>to support quality improvement programmes in DHBs with higher rates of mortality.</w:t>
      </w:r>
    </w:p>
    <w:p w:rsidR="00AC456F" w:rsidRDefault="00AC456F" w:rsidP="00AC456F"/>
    <w:p w:rsidR="006A5D28" w:rsidRDefault="006A5D28" w:rsidP="00AC456F">
      <w:r w:rsidRPr="00720B68">
        <w:t xml:space="preserve">National initiatives to improve outcomes in patients undergoing emergency surgery </w:t>
      </w:r>
      <w:r>
        <w:t xml:space="preserve">and to </w:t>
      </w:r>
      <w:r w:rsidRPr="00720B68">
        <w:t>improv</w:t>
      </w:r>
      <w:r>
        <w:t>e</w:t>
      </w:r>
      <w:r w:rsidRPr="00720B68">
        <w:t xml:space="preserve"> pathways that reduce the rate of emergency surgery </w:t>
      </w:r>
      <w:r>
        <w:t xml:space="preserve">are </w:t>
      </w:r>
      <w:r w:rsidRPr="00720B68">
        <w:t>likely to reduce overall post-operative mortality.</w:t>
      </w:r>
    </w:p>
    <w:p w:rsidR="00AC456F" w:rsidRDefault="00AC456F" w:rsidP="00AC456F"/>
    <w:p w:rsidR="006A5D28" w:rsidRDefault="006A5D28" w:rsidP="00AC456F">
      <w:pPr>
        <w:pStyle w:val="Heading2"/>
      </w:pPr>
      <w:bookmarkStart w:id="97" w:name="_Toc532290831"/>
      <w:bookmarkStart w:id="98" w:name="_Ref535998974"/>
      <w:bookmarkStart w:id="99" w:name="_Toc517863"/>
      <w:bookmarkStart w:id="100" w:name="_Toc2253741"/>
      <w:r>
        <w:lastRenderedPageBreak/>
        <w:t>How many patients have emergency surgery?</w:t>
      </w:r>
      <w:bookmarkEnd w:id="97"/>
      <w:bookmarkEnd w:id="98"/>
      <w:bookmarkEnd w:id="99"/>
      <w:bookmarkEnd w:id="100"/>
    </w:p>
    <w:p w:rsidR="00E51135" w:rsidRDefault="006A5D28" w:rsidP="00DA76BC">
      <w:r>
        <w:t>The proportion of people with colorectal cancer who undergo major surgical resection performed as an emergency in New Zealand was 19.6 percent. In people with colon cancer, the rate of emergency surgery was 24.7 percent, and in people with rectal cancer the rate was 4.4 percent.</w:t>
      </w:r>
    </w:p>
    <w:p w:rsidR="00DA76BC" w:rsidRDefault="00DA76BC" w:rsidP="00DA76BC"/>
    <w:p w:rsidR="00E51135" w:rsidRDefault="006A5D28" w:rsidP="00DA76BC">
      <w:r>
        <w:t>For both colon and rectal cancer, 90-day mortality was significantly higher in patients undergoing emergency surgery.</w:t>
      </w:r>
    </w:p>
    <w:p w:rsidR="00DA76BC" w:rsidRDefault="00DA76BC" w:rsidP="00DA76BC"/>
    <w:p w:rsidR="006A5D28" w:rsidRDefault="006A5D28" w:rsidP="00DA76BC">
      <w:pPr>
        <w:pStyle w:val="Table"/>
      </w:pPr>
      <w:bookmarkStart w:id="101" w:name="_Toc535936726"/>
      <w:bookmarkStart w:id="102" w:name="_Toc2254045"/>
      <w:r>
        <w:t xml:space="preserve">Table </w:t>
      </w:r>
      <w:r>
        <w:rPr>
          <w:noProof/>
        </w:rPr>
        <w:fldChar w:fldCharType="begin"/>
      </w:r>
      <w:r>
        <w:rPr>
          <w:noProof/>
        </w:rPr>
        <w:instrText xml:space="preserve"> SEQ Table \* ARABIC </w:instrText>
      </w:r>
      <w:r>
        <w:rPr>
          <w:noProof/>
        </w:rPr>
        <w:fldChar w:fldCharType="separate"/>
      </w:r>
      <w:r w:rsidR="002B5148">
        <w:rPr>
          <w:noProof/>
        </w:rPr>
        <w:t>4</w:t>
      </w:r>
      <w:r>
        <w:rPr>
          <w:noProof/>
        </w:rPr>
        <w:fldChar w:fldCharType="end"/>
      </w:r>
      <w:r>
        <w:t>: 90-day mortality following surgery for people diagnosed with bowel cancer, by surgical urgency, 2013–16</w:t>
      </w:r>
      <w:bookmarkEnd w:id="101"/>
      <w:bookmarkEnd w:id="102"/>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43"/>
        <w:gridCol w:w="992"/>
        <w:gridCol w:w="874"/>
        <w:gridCol w:w="874"/>
        <w:gridCol w:w="874"/>
        <w:gridCol w:w="874"/>
        <w:gridCol w:w="874"/>
        <w:gridCol w:w="875"/>
      </w:tblGrid>
      <w:tr w:rsidR="00DA76BC" w:rsidRPr="00DA76BC" w:rsidTr="00DA76BC">
        <w:trPr>
          <w:cantSplit/>
        </w:trPr>
        <w:tc>
          <w:tcPr>
            <w:tcW w:w="1843" w:type="dxa"/>
            <w:vMerge w:val="restart"/>
            <w:tcBorders>
              <w:top w:val="nil"/>
              <w:bottom w:val="nil"/>
              <w:right w:val="single" w:sz="4" w:space="0" w:color="A6A6A6" w:themeColor="background1" w:themeShade="A6"/>
            </w:tcBorders>
            <w:shd w:val="clear" w:color="auto" w:fill="D9D9D9" w:themeFill="background1" w:themeFillShade="D9"/>
          </w:tcPr>
          <w:p w:rsidR="00DA76BC" w:rsidRPr="00DA76BC" w:rsidRDefault="00DA76BC" w:rsidP="00DA76BC">
            <w:pPr>
              <w:pStyle w:val="TableText"/>
              <w:rPr>
                <w:b/>
              </w:rPr>
            </w:pPr>
          </w:p>
        </w:tc>
        <w:tc>
          <w:tcPr>
            <w:tcW w:w="992" w:type="dxa"/>
            <w:vMerge w:val="restart"/>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DA76BC" w:rsidRPr="00DA76BC" w:rsidRDefault="00DA76BC" w:rsidP="00DA76BC">
            <w:pPr>
              <w:pStyle w:val="TableText"/>
              <w:jc w:val="center"/>
              <w:rPr>
                <w:b/>
              </w:rPr>
            </w:pPr>
            <w:r w:rsidRPr="00DA76BC">
              <w:rPr>
                <w:b/>
              </w:rPr>
              <w:t>Total people</w:t>
            </w:r>
          </w:p>
        </w:tc>
        <w:tc>
          <w:tcPr>
            <w:tcW w:w="5245" w:type="dxa"/>
            <w:gridSpan w:val="6"/>
            <w:tcBorders>
              <w:top w:val="nil"/>
              <w:left w:val="single" w:sz="4" w:space="0" w:color="A6A6A6" w:themeColor="background1" w:themeShade="A6"/>
              <w:bottom w:val="single" w:sz="4" w:space="0" w:color="A6A6A6" w:themeColor="background1" w:themeShade="A6"/>
            </w:tcBorders>
            <w:shd w:val="clear" w:color="auto" w:fill="D9D9D9" w:themeFill="background1" w:themeFillShade="D9"/>
          </w:tcPr>
          <w:p w:rsidR="00DA76BC" w:rsidRPr="00DA76BC" w:rsidRDefault="00DA76BC" w:rsidP="00DA76BC">
            <w:pPr>
              <w:pStyle w:val="TableText"/>
              <w:jc w:val="center"/>
              <w:rPr>
                <w:b/>
              </w:rPr>
            </w:pPr>
            <w:r w:rsidRPr="00DA76BC">
              <w:rPr>
                <w:b/>
              </w:rPr>
              <w:t>90-day mortality</w:t>
            </w:r>
          </w:p>
        </w:tc>
      </w:tr>
      <w:tr w:rsidR="00DA76BC" w:rsidRPr="00DA76BC" w:rsidTr="00DA76BC">
        <w:trPr>
          <w:cantSplit/>
        </w:trPr>
        <w:tc>
          <w:tcPr>
            <w:tcW w:w="1843" w:type="dxa"/>
            <w:vMerge/>
            <w:tcBorders>
              <w:top w:val="nil"/>
              <w:bottom w:val="nil"/>
              <w:right w:val="single" w:sz="4" w:space="0" w:color="A6A6A6" w:themeColor="background1" w:themeShade="A6"/>
            </w:tcBorders>
            <w:shd w:val="clear" w:color="auto" w:fill="D9D9D9" w:themeFill="background1" w:themeFillShade="D9"/>
          </w:tcPr>
          <w:p w:rsidR="00DA76BC" w:rsidRPr="00DA76BC" w:rsidRDefault="00DA76BC" w:rsidP="00DA76BC">
            <w:pPr>
              <w:pStyle w:val="TableText"/>
              <w:rPr>
                <w:b/>
              </w:rPr>
            </w:pPr>
          </w:p>
        </w:tc>
        <w:tc>
          <w:tcPr>
            <w:tcW w:w="992" w:type="dxa"/>
            <w:vMerge/>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DA76BC" w:rsidRPr="00DA76BC" w:rsidRDefault="00DA76BC" w:rsidP="00DA76BC">
            <w:pPr>
              <w:pStyle w:val="TableText"/>
              <w:jc w:val="center"/>
              <w:rPr>
                <w:b/>
              </w:rPr>
            </w:pPr>
          </w:p>
        </w:tc>
        <w:tc>
          <w:tcPr>
            <w:tcW w:w="1748"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DA76BC" w:rsidRPr="00DA76BC" w:rsidRDefault="00DA76BC" w:rsidP="00DA76BC">
            <w:pPr>
              <w:pStyle w:val="TableText"/>
              <w:jc w:val="center"/>
              <w:rPr>
                <w:b/>
              </w:rPr>
            </w:pPr>
            <w:r w:rsidRPr="00DA76BC">
              <w:rPr>
                <w:b/>
              </w:rPr>
              <w:t>All</w:t>
            </w:r>
          </w:p>
        </w:tc>
        <w:tc>
          <w:tcPr>
            <w:tcW w:w="1748"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DA76BC" w:rsidRPr="00DA76BC" w:rsidRDefault="00DA76BC" w:rsidP="00DA76BC">
            <w:pPr>
              <w:pStyle w:val="TableText"/>
              <w:jc w:val="center"/>
              <w:rPr>
                <w:b/>
              </w:rPr>
            </w:pPr>
            <w:r w:rsidRPr="00DA76BC">
              <w:rPr>
                <w:b/>
              </w:rPr>
              <w:t>Colon</w:t>
            </w:r>
          </w:p>
        </w:tc>
        <w:tc>
          <w:tcPr>
            <w:tcW w:w="1749" w:type="dxa"/>
            <w:gridSpan w:val="2"/>
            <w:tcBorders>
              <w:top w:val="single" w:sz="4" w:space="0" w:color="A6A6A6" w:themeColor="background1" w:themeShade="A6"/>
              <w:left w:val="single" w:sz="4" w:space="0" w:color="A6A6A6" w:themeColor="background1" w:themeShade="A6"/>
              <w:bottom w:val="nil"/>
            </w:tcBorders>
            <w:shd w:val="clear" w:color="auto" w:fill="D9D9D9" w:themeFill="background1" w:themeFillShade="D9"/>
          </w:tcPr>
          <w:p w:rsidR="00DA76BC" w:rsidRPr="00DA76BC" w:rsidRDefault="00DA76BC" w:rsidP="00DA76BC">
            <w:pPr>
              <w:pStyle w:val="TableText"/>
              <w:jc w:val="center"/>
              <w:rPr>
                <w:b/>
              </w:rPr>
            </w:pPr>
            <w:r w:rsidRPr="00DA76BC">
              <w:rPr>
                <w:b/>
              </w:rPr>
              <w:t>Rectal</w:t>
            </w:r>
          </w:p>
        </w:tc>
      </w:tr>
      <w:tr w:rsidR="00DA76BC" w:rsidRPr="00DA76BC" w:rsidTr="00DA76BC">
        <w:trPr>
          <w:cantSplit/>
        </w:trPr>
        <w:tc>
          <w:tcPr>
            <w:tcW w:w="1843" w:type="dxa"/>
            <w:vMerge/>
            <w:tcBorders>
              <w:top w:val="nil"/>
              <w:bottom w:val="nil"/>
              <w:right w:val="single" w:sz="4" w:space="0" w:color="A6A6A6" w:themeColor="background1" w:themeShade="A6"/>
            </w:tcBorders>
            <w:shd w:val="clear" w:color="auto" w:fill="D9D9D9" w:themeFill="background1" w:themeFillShade="D9"/>
          </w:tcPr>
          <w:p w:rsidR="00DA76BC" w:rsidRPr="00DA76BC" w:rsidRDefault="00DA76BC" w:rsidP="00DA76BC">
            <w:pPr>
              <w:pStyle w:val="TableText"/>
              <w:rPr>
                <w:b/>
              </w:rPr>
            </w:pPr>
          </w:p>
        </w:tc>
        <w:tc>
          <w:tcPr>
            <w:tcW w:w="992" w:type="dxa"/>
            <w:vMerge/>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DA76BC" w:rsidRPr="00DA76BC" w:rsidRDefault="00DA76BC" w:rsidP="00DA76BC">
            <w:pPr>
              <w:pStyle w:val="TableText"/>
              <w:jc w:val="center"/>
              <w:rPr>
                <w:b/>
              </w:rPr>
            </w:pPr>
          </w:p>
        </w:tc>
        <w:tc>
          <w:tcPr>
            <w:tcW w:w="874" w:type="dxa"/>
            <w:tcBorders>
              <w:top w:val="nil"/>
              <w:left w:val="single" w:sz="4" w:space="0" w:color="A6A6A6" w:themeColor="background1" w:themeShade="A6"/>
              <w:bottom w:val="nil"/>
            </w:tcBorders>
            <w:shd w:val="clear" w:color="auto" w:fill="D9D9D9" w:themeFill="background1" w:themeFillShade="D9"/>
          </w:tcPr>
          <w:p w:rsidR="00DA76BC" w:rsidRPr="00DA76BC" w:rsidRDefault="00DA76BC" w:rsidP="00DA76BC">
            <w:pPr>
              <w:pStyle w:val="TableText"/>
              <w:spacing w:before="0"/>
              <w:jc w:val="center"/>
              <w:rPr>
                <w:b/>
              </w:rPr>
            </w:pPr>
            <w:r w:rsidRPr="00DA76BC">
              <w:rPr>
                <w:b/>
              </w:rPr>
              <w:t>Number</w:t>
            </w:r>
          </w:p>
        </w:tc>
        <w:tc>
          <w:tcPr>
            <w:tcW w:w="874" w:type="dxa"/>
            <w:tcBorders>
              <w:top w:val="nil"/>
              <w:bottom w:val="nil"/>
              <w:right w:val="single" w:sz="4" w:space="0" w:color="A6A6A6" w:themeColor="background1" w:themeShade="A6"/>
            </w:tcBorders>
            <w:shd w:val="clear" w:color="auto" w:fill="D9D9D9" w:themeFill="background1" w:themeFillShade="D9"/>
          </w:tcPr>
          <w:p w:rsidR="00DA76BC" w:rsidRPr="00DA76BC" w:rsidRDefault="00DA76BC" w:rsidP="00DA76BC">
            <w:pPr>
              <w:pStyle w:val="TableText"/>
              <w:spacing w:before="0"/>
              <w:jc w:val="center"/>
              <w:rPr>
                <w:b/>
              </w:rPr>
            </w:pPr>
            <w:r w:rsidRPr="00DA76BC">
              <w:rPr>
                <w:b/>
              </w:rPr>
              <w:t>%</w:t>
            </w:r>
          </w:p>
        </w:tc>
        <w:tc>
          <w:tcPr>
            <w:tcW w:w="874" w:type="dxa"/>
            <w:tcBorders>
              <w:top w:val="nil"/>
              <w:left w:val="single" w:sz="4" w:space="0" w:color="A6A6A6" w:themeColor="background1" w:themeShade="A6"/>
              <w:bottom w:val="nil"/>
            </w:tcBorders>
            <w:shd w:val="clear" w:color="auto" w:fill="D9D9D9" w:themeFill="background1" w:themeFillShade="D9"/>
          </w:tcPr>
          <w:p w:rsidR="00DA76BC" w:rsidRPr="00DA76BC" w:rsidRDefault="00DA76BC" w:rsidP="00DA76BC">
            <w:pPr>
              <w:pStyle w:val="TableText"/>
              <w:spacing w:before="0"/>
              <w:jc w:val="center"/>
              <w:rPr>
                <w:b/>
              </w:rPr>
            </w:pPr>
            <w:r w:rsidRPr="00DA76BC">
              <w:rPr>
                <w:b/>
              </w:rPr>
              <w:t>Number</w:t>
            </w:r>
          </w:p>
        </w:tc>
        <w:tc>
          <w:tcPr>
            <w:tcW w:w="874" w:type="dxa"/>
            <w:tcBorders>
              <w:top w:val="nil"/>
              <w:bottom w:val="nil"/>
              <w:right w:val="single" w:sz="4" w:space="0" w:color="A6A6A6" w:themeColor="background1" w:themeShade="A6"/>
            </w:tcBorders>
            <w:shd w:val="clear" w:color="auto" w:fill="D9D9D9" w:themeFill="background1" w:themeFillShade="D9"/>
          </w:tcPr>
          <w:p w:rsidR="00DA76BC" w:rsidRPr="00DA76BC" w:rsidRDefault="00DA76BC" w:rsidP="00DA76BC">
            <w:pPr>
              <w:pStyle w:val="TableText"/>
              <w:spacing w:before="0"/>
              <w:jc w:val="center"/>
              <w:rPr>
                <w:b/>
              </w:rPr>
            </w:pPr>
            <w:r w:rsidRPr="00DA76BC">
              <w:rPr>
                <w:b/>
              </w:rPr>
              <w:t>%</w:t>
            </w:r>
          </w:p>
        </w:tc>
        <w:tc>
          <w:tcPr>
            <w:tcW w:w="874" w:type="dxa"/>
            <w:tcBorders>
              <w:top w:val="nil"/>
              <w:left w:val="single" w:sz="4" w:space="0" w:color="A6A6A6" w:themeColor="background1" w:themeShade="A6"/>
              <w:bottom w:val="nil"/>
            </w:tcBorders>
            <w:shd w:val="clear" w:color="auto" w:fill="D9D9D9" w:themeFill="background1" w:themeFillShade="D9"/>
          </w:tcPr>
          <w:p w:rsidR="00DA76BC" w:rsidRPr="00DA76BC" w:rsidRDefault="00DA76BC" w:rsidP="00DA76BC">
            <w:pPr>
              <w:pStyle w:val="TableText"/>
              <w:spacing w:before="0"/>
              <w:jc w:val="center"/>
              <w:rPr>
                <w:b/>
              </w:rPr>
            </w:pPr>
            <w:r w:rsidRPr="00DA76BC">
              <w:rPr>
                <w:b/>
              </w:rPr>
              <w:t>Number</w:t>
            </w:r>
          </w:p>
        </w:tc>
        <w:tc>
          <w:tcPr>
            <w:tcW w:w="875" w:type="dxa"/>
            <w:tcBorders>
              <w:top w:val="nil"/>
              <w:bottom w:val="nil"/>
            </w:tcBorders>
            <w:shd w:val="clear" w:color="auto" w:fill="D9D9D9" w:themeFill="background1" w:themeFillShade="D9"/>
          </w:tcPr>
          <w:p w:rsidR="00DA76BC" w:rsidRPr="00DA76BC" w:rsidRDefault="00DA76BC" w:rsidP="00DA76BC">
            <w:pPr>
              <w:pStyle w:val="TableText"/>
              <w:spacing w:before="0"/>
              <w:jc w:val="center"/>
              <w:rPr>
                <w:b/>
              </w:rPr>
            </w:pPr>
            <w:r w:rsidRPr="00DA76BC">
              <w:rPr>
                <w:b/>
              </w:rPr>
              <w:t>%</w:t>
            </w:r>
          </w:p>
        </w:tc>
      </w:tr>
      <w:tr w:rsidR="006A5D28" w:rsidRPr="00C04EA7" w:rsidTr="00DA76BC">
        <w:trPr>
          <w:cantSplit/>
        </w:trPr>
        <w:tc>
          <w:tcPr>
            <w:tcW w:w="1843" w:type="dxa"/>
            <w:tcBorders>
              <w:top w:val="nil"/>
              <w:right w:val="single" w:sz="4" w:space="0" w:color="A6A6A6" w:themeColor="background1" w:themeShade="A6"/>
            </w:tcBorders>
          </w:tcPr>
          <w:p w:rsidR="006A5D28" w:rsidRPr="00C04EA7" w:rsidRDefault="006A5D28" w:rsidP="00DA76BC">
            <w:pPr>
              <w:pStyle w:val="TableText"/>
            </w:pPr>
            <w:r w:rsidRPr="00C04EA7">
              <w:t>Emergency surgery</w:t>
            </w:r>
          </w:p>
        </w:tc>
        <w:tc>
          <w:tcPr>
            <w:tcW w:w="992" w:type="dxa"/>
            <w:tcBorders>
              <w:top w:val="nil"/>
              <w:left w:val="single" w:sz="4" w:space="0" w:color="A6A6A6" w:themeColor="background1" w:themeShade="A6"/>
              <w:right w:val="single" w:sz="4" w:space="0" w:color="A6A6A6" w:themeColor="background1" w:themeShade="A6"/>
            </w:tcBorders>
          </w:tcPr>
          <w:p w:rsidR="006A5D28" w:rsidRPr="0037468F" w:rsidRDefault="006A5D28" w:rsidP="00DA76BC">
            <w:pPr>
              <w:pStyle w:val="TableText"/>
              <w:jc w:val="center"/>
              <w:rPr>
                <w:rFonts w:cs="Arial"/>
                <w:color w:val="000000"/>
              </w:rPr>
            </w:pPr>
            <w:r w:rsidRPr="0037468F">
              <w:rPr>
                <w:rFonts w:cs="Arial"/>
                <w:color w:val="000000"/>
              </w:rPr>
              <w:t>1</w:t>
            </w:r>
            <w:r w:rsidR="00DA76BC">
              <w:rPr>
                <w:rFonts w:cs="Arial"/>
                <w:color w:val="000000"/>
              </w:rPr>
              <w:t>,</w:t>
            </w:r>
            <w:r w:rsidRPr="0037468F">
              <w:rPr>
                <w:rFonts w:cs="Arial"/>
                <w:color w:val="000000"/>
              </w:rPr>
              <w:t>409</w:t>
            </w:r>
          </w:p>
        </w:tc>
        <w:tc>
          <w:tcPr>
            <w:tcW w:w="874" w:type="dxa"/>
            <w:tcBorders>
              <w:top w:val="nil"/>
              <w:left w:val="single" w:sz="4" w:space="0" w:color="A6A6A6" w:themeColor="background1" w:themeShade="A6"/>
            </w:tcBorders>
          </w:tcPr>
          <w:p w:rsidR="006A5D28" w:rsidRPr="00C04EA7" w:rsidRDefault="006A5D28" w:rsidP="00DA76BC">
            <w:pPr>
              <w:pStyle w:val="TableText"/>
              <w:jc w:val="center"/>
            </w:pPr>
            <w:r>
              <w:rPr>
                <w:rFonts w:cs="Arial"/>
                <w:color w:val="000000"/>
              </w:rPr>
              <w:t>143</w:t>
            </w:r>
          </w:p>
        </w:tc>
        <w:tc>
          <w:tcPr>
            <w:tcW w:w="874" w:type="dxa"/>
            <w:tcBorders>
              <w:top w:val="nil"/>
              <w:right w:val="single" w:sz="4" w:space="0" w:color="A6A6A6" w:themeColor="background1" w:themeShade="A6"/>
            </w:tcBorders>
          </w:tcPr>
          <w:p w:rsidR="006A5D28" w:rsidRPr="00C04EA7" w:rsidRDefault="006A5D28" w:rsidP="00DA76BC">
            <w:pPr>
              <w:pStyle w:val="TableText"/>
              <w:tabs>
                <w:tab w:val="decimal" w:pos="449"/>
              </w:tabs>
            </w:pPr>
            <w:r w:rsidRPr="00C04EA7">
              <w:t>10.1</w:t>
            </w:r>
          </w:p>
        </w:tc>
        <w:tc>
          <w:tcPr>
            <w:tcW w:w="874" w:type="dxa"/>
            <w:tcBorders>
              <w:top w:val="nil"/>
              <w:left w:val="single" w:sz="4" w:space="0" w:color="A6A6A6" w:themeColor="background1" w:themeShade="A6"/>
            </w:tcBorders>
          </w:tcPr>
          <w:p w:rsidR="006A5D28" w:rsidRPr="00C04EA7" w:rsidRDefault="006A5D28" w:rsidP="00DA76BC">
            <w:pPr>
              <w:pStyle w:val="TableText"/>
              <w:jc w:val="center"/>
            </w:pPr>
            <w:r>
              <w:rPr>
                <w:rFonts w:cs="Arial"/>
                <w:color w:val="000000"/>
              </w:rPr>
              <w:t>135</w:t>
            </w:r>
          </w:p>
        </w:tc>
        <w:tc>
          <w:tcPr>
            <w:tcW w:w="874" w:type="dxa"/>
            <w:tcBorders>
              <w:top w:val="nil"/>
              <w:right w:val="single" w:sz="4" w:space="0" w:color="A6A6A6" w:themeColor="background1" w:themeShade="A6"/>
            </w:tcBorders>
          </w:tcPr>
          <w:p w:rsidR="006A5D28" w:rsidRPr="00C04EA7" w:rsidRDefault="006A5D28" w:rsidP="00DA76BC">
            <w:pPr>
              <w:pStyle w:val="TableText"/>
              <w:tabs>
                <w:tab w:val="decimal" w:pos="440"/>
              </w:tabs>
            </w:pPr>
            <w:r>
              <w:t>10.2</w:t>
            </w:r>
          </w:p>
        </w:tc>
        <w:tc>
          <w:tcPr>
            <w:tcW w:w="874" w:type="dxa"/>
            <w:tcBorders>
              <w:top w:val="nil"/>
              <w:left w:val="single" w:sz="4" w:space="0" w:color="A6A6A6" w:themeColor="background1" w:themeShade="A6"/>
            </w:tcBorders>
          </w:tcPr>
          <w:p w:rsidR="006A5D28" w:rsidRPr="00C04EA7" w:rsidRDefault="006A5D28" w:rsidP="00DA76BC">
            <w:pPr>
              <w:pStyle w:val="TableText"/>
              <w:tabs>
                <w:tab w:val="decimal" w:pos="416"/>
              </w:tabs>
            </w:pPr>
            <w:r>
              <w:t>8</w:t>
            </w:r>
          </w:p>
        </w:tc>
        <w:tc>
          <w:tcPr>
            <w:tcW w:w="875" w:type="dxa"/>
            <w:tcBorders>
              <w:top w:val="nil"/>
            </w:tcBorders>
          </w:tcPr>
          <w:p w:rsidR="006A5D28" w:rsidRPr="00C04EA7" w:rsidRDefault="006A5D28" w:rsidP="00DA76BC">
            <w:pPr>
              <w:pStyle w:val="TableText"/>
              <w:jc w:val="center"/>
            </w:pPr>
            <w:r>
              <w:t>9.8</w:t>
            </w:r>
          </w:p>
        </w:tc>
      </w:tr>
      <w:tr w:rsidR="006A5D28" w:rsidRPr="00C04EA7" w:rsidTr="00DA76BC">
        <w:trPr>
          <w:cantSplit/>
        </w:trPr>
        <w:tc>
          <w:tcPr>
            <w:tcW w:w="1843" w:type="dxa"/>
            <w:tcBorders>
              <w:right w:val="single" w:sz="4" w:space="0" w:color="A6A6A6" w:themeColor="background1" w:themeShade="A6"/>
            </w:tcBorders>
          </w:tcPr>
          <w:p w:rsidR="006A5D28" w:rsidRPr="00C04EA7" w:rsidRDefault="006A5D28" w:rsidP="00DA76BC">
            <w:pPr>
              <w:pStyle w:val="TableText"/>
            </w:pPr>
            <w:r w:rsidRPr="00C04EA7">
              <w:t>Elective surgery</w:t>
            </w:r>
          </w:p>
        </w:tc>
        <w:tc>
          <w:tcPr>
            <w:tcW w:w="992" w:type="dxa"/>
            <w:tcBorders>
              <w:left w:val="single" w:sz="4" w:space="0" w:color="A6A6A6" w:themeColor="background1" w:themeShade="A6"/>
              <w:right w:val="single" w:sz="4" w:space="0" w:color="A6A6A6" w:themeColor="background1" w:themeShade="A6"/>
            </w:tcBorders>
          </w:tcPr>
          <w:p w:rsidR="006A5D28" w:rsidRPr="0037468F" w:rsidRDefault="006A5D28" w:rsidP="00DA76BC">
            <w:pPr>
              <w:pStyle w:val="TableText"/>
              <w:jc w:val="center"/>
            </w:pPr>
            <w:r w:rsidRPr="0037468F">
              <w:rPr>
                <w:rFonts w:cs="Arial"/>
                <w:color w:val="000000"/>
              </w:rPr>
              <w:t>5</w:t>
            </w:r>
            <w:r w:rsidR="00DA76BC">
              <w:rPr>
                <w:rFonts w:cs="Arial"/>
                <w:color w:val="000000"/>
              </w:rPr>
              <w:t>,</w:t>
            </w:r>
            <w:r w:rsidRPr="0037468F">
              <w:rPr>
                <w:rFonts w:cs="Arial"/>
                <w:color w:val="000000"/>
              </w:rPr>
              <w:t>769</w:t>
            </w:r>
          </w:p>
        </w:tc>
        <w:tc>
          <w:tcPr>
            <w:tcW w:w="874" w:type="dxa"/>
            <w:tcBorders>
              <w:left w:val="single" w:sz="4" w:space="0" w:color="A6A6A6" w:themeColor="background1" w:themeShade="A6"/>
            </w:tcBorders>
          </w:tcPr>
          <w:p w:rsidR="006A5D28" w:rsidRPr="00C04EA7" w:rsidRDefault="006A5D28" w:rsidP="00DA76BC">
            <w:pPr>
              <w:pStyle w:val="TableText"/>
              <w:jc w:val="center"/>
            </w:pPr>
            <w:r>
              <w:rPr>
                <w:rFonts w:cs="Arial"/>
                <w:color w:val="000000"/>
              </w:rPr>
              <w:t>148</w:t>
            </w:r>
          </w:p>
        </w:tc>
        <w:tc>
          <w:tcPr>
            <w:tcW w:w="874" w:type="dxa"/>
            <w:tcBorders>
              <w:right w:val="single" w:sz="4" w:space="0" w:color="A6A6A6" w:themeColor="background1" w:themeShade="A6"/>
            </w:tcBorders>
          </w:tcPr>
          <w:p w:rsidR="006A5D28" w:rsidRPr="00C04EA7" w:rsidRDefault="006A5D28" w:rsidP="00DA76BC">
            <w:pPr>
              <w:pStyle w:val="TableText"/>
              <w:tabs>
                <w:tab w:val="decimal" w:pos="449"/>
              </w:tabs>
            </w:pPr>
            <w:r w:rsidRPr="00C04EA7">
              <w:t>2.6</w:t>
            </w:r>
          </w:p>
        </w:tc>
        <w:tc>
          <w:tcPr>
            <w:tcW w:w="874" w:type="dxa"/>
            <w:tcBorders>
              <w:left w:val="single" w:sz="4" w:space="0" w:color="A6A6A6" w:themeColor="background1" w:themeShade="A6"/>
            </w:tcBorders>
          </w:tcPr>
          <w:p w:rsidR="006A5D28" w:rsidRPr="00C04EA7" w:rsidRDefault="006A5D28" w:rsidP="00DA76BC">
            <w:pPr>
              <w:pStyle w:val="TableText"/>
              <w:jc w:val="center"/>
            </w:pPr>
            <w:r w:rsidRPr="00C04EA7">
              <w:rPr>
                <w:rFonts w:cs="Arial"/>
                <w:color w:val="000000"/>
              </w:rPr>
              <w:t>121</w:t>
            </w:r>
          </w:p>
        </w:tc>
        <w:tc>
          <w:tcPr>
            <w:tcW w:w="874" w:type="dxa"/>
            <w:tcBorders>
              <w:right w:val="single" w:sz="4" w:space="0" w:color="A6A6A6" w:themeColor="background1" w:themeShade="A6"/>
            </w:tcBorders>
          </w:tcPr>
          <w:p w:rsidR="006A5D28" w:rsidRPr="00C04EA7" w:rsidRDefault="006A5D28" w:rsidP="00DA76BC">
            <w:pPr>
              <w:pStyle w:val="TableText"/>
              <w:tabs>
                <w:tab w:val="decimal" w:pos="440"/>
              </w:tabs>
            </w:pPr>
            <w:r w:rsidRPr="00C04EA7">
              <w:t>3.0</w:t>
            </w:r>
          </w:p>
        </w:tc>
        <w:tc>
          <w:tcPr>
            <w:tcW w:w="874" w:type="dxa"/>
            <w:tcBorders>
              <w:left w:val="single" w:sz="4" w:space="0" w:color="A6A6A6" w:themeColor="background1" w:themeShade="A6"/>
            </w:tcBorders>
          </w:tcPr>
          <w:p w:rsidR="006A5D28" w:rsidRPr="00C04EA7" w:rsidRDefault="006A5D28" w:rsidP="00DA76BC">
            <w:pPr>
              <w:pStyle w:val="TableText"/>
              <w:tabs>
                <w:tab w:val="decimal" w:pos="416"/>
              </w:tabs>
            </w:pPr>
            <w:r>
              <w:t>27</w:t>
            </w:r>
          </w:p>
        </w:tc>
        <w:tc>
          <w:tcPr>
            <w:tcW w:w="875" w:type="dxa"/>
          </w:tcPr>
          <w:p w:rsidR="006A5D28" w:rsidRPr="00C04EA7" w:rsidRDefault="006A5D28" w:rsidP="00DA76BC">
            <w:pPr>
              <w:pStyle w:val="TableText"/>
              <w:jc w:val="center"/>
            </w:pPr>
            <w:r w:rsidRPr="00C04EA7">
              <w:t>1.6</w:t>
            </w:r>
          </w:p>
        </w:tc>
      </w:tr>
    </w:tbl>
    <w:p w:rsidR="006A5D28" w:rsidRPr="00AB3A0D" w:rsidRDefault="006A5D28" w:rsidP="00DA76BC"/>
    <w:p w:rsidR="006A5D28" w:rsidRDefault="006A5D28" w:rsidP="00DA76BC">
      <w:r>
        <w:t>We observed a wide variation in the rate of emergency surgery, varying from 12.6 percent to 31.1 percent across individual DHBs (</w:t>
      </w:r>
      <w:r>
        <w:fldChar w:fldCharType="begin"/>
      </w:r>
      <w:r>
        <w:instrText xml:space="preserve"> REF _Ref527473847 \h </w:instrText>
      </w:r>
      <w:r>
        <w:fldChar w:fldCharType="separate"/>
      </w:r>
      <w:r w:rsidR="002B5148">
        <w:t xml:space="preserve">Figure </w:t>
      </w:r>
      <w:r w:rsidR="002B5148">
        <w:rPr>
          <w:noProof/>
        </w:rPr>
        <w:t>5</w:t>
      </w:r>
      <w:r>
        <w:fldChar w:fldCharType="end"/>
      </w:r>
      <w:r>
        <w:t>). Four DHBs were above the 95 percent confidence limits, and five DHBs were below the 95 percent confidence limits.</w:t>
      </w:r>
    </w:p>
    <w:p w:rsidR="00DA76BC" w:rsidRDefault="00DA76BC" w:rsidP="00DA76BC"/>
    <w:p w:rsidR="00E51135" w:rsidRDefault="006A5D28" w:rsidP="00DA76BC">
      <w:r>
        <w:t xml:space="preserve">Among people with colorectal cancer, the </w:t>
      </w:r>
      <w:r w:rsidRPr="00EB4F3E">
        <w:t>emergency colorectal</w:t>
      </w:r>
      <w:r>
        <w:t xml:space="preserve"> cancer surgery rate was highest for Māori (23.8%) and people under 50 years old (27.1%). The emergency surgery rate for women (21.1%) was higher than it was for men (18.2%).</w:t>
      </w:r>
    </w:p>
    <w:p w:rsidR="006A5D28" w:rsidRDefault="006A5D28" w:rsidP="00DA76BC"/>
    <w:p w:rsidR="006A5D28" w:rsidRDefault="006A5D28" w:rsidP="00DA76BC">
      <w:pPr>
        <w:pStyle w:val="Figure"/>
      </w:pPr>
      <w:bookmarkStart w:id="103" w:name="_Ref527473847"/>
      <w:bookmarkStart w:id="104" w:name="_Toc518034"/>
      <w:bookmarkStart w:id="105" w:name="_Toc2254072"/>
      <w:r>
        <w:t xml:space="preserve">Figure </w:t>
      </w:r>
      <w:r>
        <w:rPr>
          <w:noProof/>
        </w:rPr>
        <w:fldChar w:fldCharType="begin"/>
      </w:r>
      <w:r>
        <w:rPr>
          <w:noProof/>
        </w:rPr>
        <w:instrText xml:space="preserve"> SEQ Figure \* ARABIC </w:instrText>
      </w:r>
      <w:r>
        <w:rPr>
          <w:noProof/>
        </w:rPr>
        <w:fldChar w:fldCharType="separate"/>
      </w:r>
      <w:r w:rsidR="002B5148">
        <w:rPr>
          <w:noProof/>
        </w:rPr>
        <w:t>5</w:t>
      </w:r>
      <w:r>
        <w:rPr>
          <w:noProof/>
        </w:rPr>
        <w:fldChar w:fldCharType="end"/>
      </w:r>
      <w:bookmarkEnd w:id="103"/>
      <w:r>
        <w:t xml:space="preserve">: Observed </w:t>
      </w:r>
      <w:r w:rsidRPr="008D5DFC">
        <w:t>emergency surgery rate</w:t>
      </w:r>
      <w:r>
        <w:t xml:space="preserve"> for patients diagnosed with bowel cancer, by district health board of service, 2013–16</w:t>
      </w:r>
      <w:bookmarkEnd w:id="104"/>
      <w:bookmarkEnd w:id="105"/>
    </w:p>
    <w:p w:rsidR="006A5D28" w:rsidRDefault="006A5D28" w:rsidP="00DA76BC">
      <w:pPr>
        <w:rPr>
          <w:rFonts w:eastAsiaTheme="majorEastAsia"/>
        </w:rPr>
      </w:pPr>
      <w:r>
        <w:rPr>
          <w:rFonts w:eastAsiaTheme="majorEastAsia"/>
          <w:noProof/>
          <w:lang w:eastAsia="en-NZ"/>
        </w:rPr>
        <w:drawing>
          <wp:inline distT="0" distB="0" distL="0" distR="0" wp14:anchorId="6CA8D986" wp14:editId="24ADD9A0">
            <wp:extent cx="5112327" cy="2572140"/>
            <wp:effectExtent l="0" t="0" r="0" b="0"/>
            <wp:docPr id="23" name="Picture 23" title="Figure 5: Observed emergency surgery rate for patients diagnosed with bowel cancer, by district health board of service, 20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CQI19_Bowel.png"/>
                    <pic:cNvPicPr/>
                  </pic:nvPicPr>
                  <pic:blipFill rotWithShape="1">
                    <a:blip r:embed="rId25" cstate="print">
                      <a:extLst>
                        <a:ext uri="{28A0092B-C50C-407E-A947-70E740481C1C}">
                          <a14:useLocalDpi xmlns:a14="http://schemas.microsoft.com/office/drawing/2010/main" val="0"/>
                        </a:ext>
                      </a:extLst>
                    </a:blip>
                    <a:srcRect t="12987" r="3030" b="3376"/>
                    <a:stretch/>
                  </pic:blipFill>
                  <pic:spPr bwMode="auto">
                    <a:xfrm>
                      <a:off x="0" y="0"/>
                      <a:ext cx="5112339" cy="2572146"/>
                    </a:xfrm>
                    <a:prstGeom prst="rect">
                      <a:avLst/>
                    </a:prstGeom>
                    <a:ln>
                      <a:noFill/>
                    </a:ln>
                    <a:extLst>
                      <a:ext uri="{53640926-AAD7-44D8-BBD7-CCE9431645EC}">
                        <a14:shadowObscured xmlns:a14="http://schemas.microsoft.com/office/drawing/2010/main"/>
                      </a:ext>
                    </a:extLst>
                  </pic:spPr>
                </pic:pic>
              </a:graphicData>
            </a:graphic>
          </wp:inline>
        </w:drawing>
      </w:r>
    </w:p>
    <w:p w:rsidR="00DA76BC" w:rsidRDefault="00DA76BC" w:rsidP="00DA76BC"/>
    <w:p w:rsidR="006A5D28" w:rsidRDefault="006A5D28" w:rsidP="00DA76BC">
      <w:r>
        <w:lastRenderedPageBreak/>
        <w:t>The proportion of people with colorectal cancer who underwent major colorectal surgical resection performed as an emergency (urgent cases also included) as reported in the 2017 NBOCA report was 16 percent (this was lower than audit years prior to 2017 when the emergency surgery rate was more than 22 percent). The audit also demonstrated a wide variation between units.</w:t>
      </w:r>
    </w:p>
    <w:p w:rsidR="00DA76BC" w:rsidRDefault="00DA76BC" w:rsidP="00DA76BC"/>
    <w:p w:rsidR="006A5D28" w:rsidRDefault="006A5D28" w:rsidP="00DA76BC">
      <w:r>
        <w:t>The 90-day mortality rate in patients undergoing major colorectal cancer resection as an emergency as reported in the 2017 NBOCA report was 10.3 percent, compared to 1.9 percent in elective patients.</w:t>
      </w:r>
    </w:p>
    <w:p w:rsidR="006A5D28" w:rsidRDefault="006A5D28" w:rsidP="00DA76BC"/>
    <w:p w:rsidR="006A5D28" w:rsidRDefault="006A5D28" w:rsidP="00DA76BC">
      <w:pPr>
        <w:pStyle w:val="Heading3"/>
        <w:numPr>
          <w:ilvl w:val="0"/>
          <w:numId w:val="0"/>
        </w:numPr>
      </w:pPr>
      <w:r>
        <w:t>Recommendation</w:t>
      </w:r>
    </w:p>
    <w:p w:rsidR="00E51135" w:rsidRDefault="006A5D28" w:rsidP="00DA76BC">
      <w:r>
        <w:t>The rate of emergency resections performed for colorectal cancer is high in New Zealand, and may contribute to worse cancer outcomes. The rate of emergency colorectal resection is highest in Māori, which contributes to inequality in outcomes.</w:t>
      </w:r>
    </w:p>
    <w:p w:rsidR="00DA76BC" w:rsidRDefault="00DA76BC" w:rsidP="00DA76BC"/>
    <w:p w:rsidR="006A5D28" w:rsidRDefault="006A5D28" w:rsidP="00DA76BC">
      <w:r>
        <w:t>The Ministry of Health together with the NBCWG should consider measures to understand variation in the rates of emergency colorectal cancer surgery between units in New Zealand.</w:t>
      </w:r>
    </w:p>
    <w:p w:rsidR="00DA76BC" w:rsidRDefault="00DA76BC" w:rsidP="00DA76BC"/>
    <w:p w:rsidR="006A5D28" w:rsidRDefault="006A5D28" w:rsidP="00DA76BC">
      <w:r>
        <w:t>To reduce overall mortality in colorectal cancer, we need to improve elective pathways and promote screening, especially for Māori and Pacific people.</w:t>
      </w:r>
    </w:p>
    <w:p w:rsidR="006A5D28" w:rsidRDefault="006A5D28" w:rsidP="00DA76BC"/>
    <w:p w:rsidR="006A5D28" w:rsidRDefault="006A5D28" w:rsidP="00DA76BC">
      <w:pPr>
        <w:pStyle w:val="Heading2"/>
      </w:pPr>
      <w:bookmarkStart w:id="106" w:name="_Toc532290832"/>
      <w:bookmarkStart w:id="107" w:name="_Toc517864"/>
      <w:bookmarkStart w:id="108" w:name="_Toc2253742"/>
      <w:r>
        <w:t>How long do patients stay in hospital after major bowel cancer resection</w:t>
      </w:r>
      <w:bookmarkEnd w:id="106"/>
      <w:r>
        <w:t>?</w:t>
      </w:r>
      <w:bookmarkEnd w:id="107"/>
      <w:bookmarkEnd w:id="108"/>
    </w:p>
    <w:p w:rsidR="00E51135" w:rsidRDefault="006A5D28" w:rsidP="00DA76BC">
      <w:r>
        <w:t>The m</w:t>
      </w:r>
      <w:r w:rsidRPr="00C75601">
        <w:t xml:space="preserve">edian length of stay </w:t>
      </w:r>
      <w:r>
        <w:t xml:space="preserve">in hospital for people with bowel cancer </w:t>
      </w:r>
      <w:r w:rsidRPr="00C75601">
        <w:t xml:space="preserve">following major resection was </w:t>
      </w:r>
      <w:r>
        <w:t xml:space="preserve">seven </w:t>
      </w:r>
      <w:r w:rsidRPr="00C75601">
        <w:t xml:space="preserve">days. </w:t>
      </w:r>
      <w:r>
        <w:t>The m</w:t>
      </w:r>
      <w:r w:rsidRPr="00C75601">
        <w:t>edian length of stay varied according to patient age (</w:t>
      </w:r>
      <w:r>
        <w:t>it was eight</w:t>
      </w:r>
      <w:r w:rsidRPr="00C75601">
        <w:t xml:space="preserve"> day</w:t>
      </w:r>
      <w:r>
        <w:t>s</w:t>
      </w:r>
      <w:r w:rsidRPr="00C75601">
        <w:t xml:space="preserve"> for </w:t>
      </w:r>
      <w:r>
        <w:t xml:space="preserve">patients aged </w:t>
      </w:r>
      <w:r w:rsidRPr="00C75601">
        <w:t>75 years and over) and operative urgency (</w:t>
      </w:r>
      <w:r>
        <w:t>it was nine</w:t>
      </w:r>
      <w:r w:rsidRPr="00C75601">
        <w:t xml:space="preserve"> days </w:t>
      </w:r>
      <w:r>
        <w:t xml:space="preserve">for emergency surgery </w:t>
      </w:r>
      <w:r w:rsidRPr="00C75601">
        <w:t xml:space="preserve">and </w:t>
      </w:r>
      <w:r>
        <w:t xml:space="preserve">seven </w:t>
      </w:r>
      <w:r w:rsidRPr="00C75601">
        <w:t>days</w:t>
      </w:r>
      <w:r>
        <w:t xml:space="preserve"> for elective surgery</w:t>
      </w:r>
      <w:r w:rsidRPr="00C75601">
        <w:t xml:space="preserve">). </w:t>
      </w:r>
      <w:r>
        <w:t>The m</w:t>
      </w:r>
      <w:r w:rsidRPr="00C75601">
        <w:t xml:space="preserve">edian length of stay for men was </w:t>
      </w:r>
      <w:r>
        <w:t>one</w:t>
      </w:r>
      <w:r w:rsidRPr="00C75601">
        <w:t xml:space="preserve"> day longer than </w:t>
      </w:r>
      <w:r>
        <w:t xml:space="preserve">it was </w:t>
      </w:r>
      <w:r w:rsidRPr="00C75601">
        <w:t>for women.</w:t>
      </w:r>
    </w:p>
    <w:p w:rsidR="00DA76BC" w:rsidRDefault="00DA76BC" w:rsidP="00DA76BC"/>
    <w:p w:rsidR="006A5D28" w:rsidRPr="00C75601" w:rsidRDefault="006A5D28" w:rsidP="00DA76BC">
      <w:r>
        <w:t>The median length of stay after surgery was seven days for people with colon cancer and eight days for people with rectal cancer.</w:t>
      </w:r>
    </w:p>
    <w:p w:rsidR="00DA76BC" w:rsidRDefault="00DA76BC" w:rsidP="00DA76BC"/>
    <w:p w:rsidR="006A5D28" w:rsidRDefault="006A5D28" w:rsidP="00DA76BC">
      <w:r>
        <w:t>The m</w:t>
      </w:r>
      <w:r w:rsidRPr="00C75601">
        <w:t>edian length of stay</w:t>
      </w:r>
      <w:r>
        <w:t xml:space="preserve"> after surgery for bowel cancer</w:t>
      </w:r>
      <w:r w:rsidRPr="00C75601">
        <w:t xml:space="preserve"> </w:t>
      </w:r>
      <w:r>
        <w:t>ranged</w:t>
      </w:r>
      <w:r w:rsidRPr="00C75601">
        <w:t xml:space="preserve"> </w:t>
      </w:r>
      <w:r>
        <w:t>from</w:t>
      </w:r>
      <w:r w:rsidRPr="00C75601">
        <w:t xml:space="preserve"> </w:t>
      </w:r>
      <w:r>
        <w:t>six to</w:t>
      </w:r>
      <w:r w:rsidRPr="00C75601">
        <w:t xml:space="preserve"> </w:t>
      </w:r>
      <w:r>
        <w:t xml:space="preserve">eight </w:t>
      </w:r>
      <w:r w:rsidRPr="00C75601">
        <w:t>days between DHBs.</w:t>
      </w:r>
    </w:p>
    <w:p w:rsidR="006A5D28" w:rsidRDefault="006A5D28" w:rsidP="00DA76BC">
      <w:pPr>
        <w:rPr>
          <w:rFonts w:eastAsiaTheme="majorEastAsia"/>
        </w:rPr>
      </w:pPr>
    </w:p>
    <w:p w:rsidR="006A5D28" w:rsidRDefault="006A5D28" w:rsidP="00DA76BC">
      <w:pPr>
        <w:pStyle w:val="Heading2"/>
      </w:pPr>
      <w:bookmarkStart w:id="109" w:name="_Toc532290834"/>
      <w:bookmarkStart w:id="110" w:name="_Toc517865"/>
      <w:bookmarkStart w:id="111" w:name="_Toc2253743"/>
      <w:r>
        <w:lastRenderedPageBreak/>
        <w:t>How many patients have more than 12 lymph nodes examined?</w:t>
      </w:r>
      <w:bookmarkEnd w:id="109"/>
      <w:bookmarkEnd w:id="110"/>
      <w:bookmarkEnd w:id="111"/>
    </w:p>
    <w:p w:rsidR="006A5D28" w:rsidRDefault="006A5D28" w:rsidP="00DA76BC">
      <w:r>
        <w:t>Maximising the lymph node yield (ie</w:t>
      </w:r>
      <w:r w:rsidR="00A8644C">
        <w:t>,</w:t>
      </w:r>
      <w:r>
        <w:t xml:space="preserve"> the number of lymph nodes resected and examined) enables reliable staging which influences the decisions made for the patient</w:t>
      </w:r>
      <w:r w:rsidR="00E51135">
        <w:t>’</w:t>
      </w:r>
      <w:r>
        <w:t xml:space="preserve">s treatment. Current guidelines recommend a minimum of 12 nodes </w:t>
      </w:r>
      <w:r w:rsidR="00A8644C">
        <w:t xml:space="preserve">are </w:t>
      </w:r>
      <w:r>
        <w:t>harvested as the standard of care.</w:t>
      </w:r>
    </w:p>
    <w:p w:rsidR="00DA76BC" w:rsidRDefault="00DA76BC" w:rsidP="00DA76BC"/>
    <w:p w:rsidR="00E51135" w:rsidRDefault="006A5D28" w:rsidP="00DA76BC">
      <w:r>
        <w:t>Pathology laboratories reported on the number of l</w:t>
      </w:r>
      <w:r w:rsidRPr="00C620DA">
        <w:t>ymph nodes examined for 98</w:t>
      </w:r>
      <w:r>
        <w:t> percent</w:t>
      </w:r>
      <w:r w:rsidRPr="00C620DA">
        <w:t xml:space="preserve"> of people undergoing major colon surgery (including both metastatic and non-metastatic</w:t>
      </w:r>
      <w:r>
        <w:t xml:space="preserve"> disease</w:t>
      </w:r>
      <w:r w:rsidRPr="00C620DA">
        <w:t xml:space="preserve">). </w:t>
      </w:r>
      <w:r>
        <w:t>Overall,</w:t>
      </w:r>
      <w:r w:rsidRPr="00C620DA">
        <w:t xml:space="preserve"> 82</w:t>
      </w:r>
      <w:r>
        <w:t> percent</w:t>
      </w:r>
      <w:r w:rsidRPr="00C620DA">
        <w:t xml:space="preserve"> of people had 12 or more lymph nodes examined.</w:t>
      </w:r>
    </w:p>
    <w:p w:rsidR="00DA76BC" w:rsidRDefault="00DA76BC" w:rsidP="00DA76BC"/>
    <w:p w:rsidR="00E51135" w:rsidRDefault="006A5D28" w:rsidP="00DA76BC">
      <w:r w:rsidRPr="00C620DA">
        <w:t xml:space="preserve">As </w:t>
      </w:r>
      <w:r>
        <w:fldChar w:fldCharType="begin"/>
      </w:r>
      <w:r>
        <w:instrText xml:space="preserve"> REF _Ref532313708 \h </w:instrText>
      </w:r>
      <w:r>
        <w:fldChar w:fldCharType="separate"/>
      </w:r>
      <w:r w:rsidR="002B5148">
        <w:t xml:space="preserve">Figure </w:t>
      </w:r>
      <w:r w:rsidR="002B5148">
        <w:rPr>
          <w:noProof/>
        </w:rPr>
        <w:t>6</w:t>
      </w:r>
      <w:r>
        <w:fldChar w:fldCharType="end"/>
      </w:r>
      <w:r w:rsidRPr="00C620DA">
        <w:t xml:space="preserve"> </w:t>
      </w:r>
      <w:r>
        <w:t xml:space="preserve">shows, </w:t>
      </w:r>
      <w:r w:rsidRPr="00C620DA">
        <w:t xml:space="preserve">the proportion of people undergoing major colon surgery </w:t>
      </w:r>
      <w:r>
        <w:t xml:space="preserve">who had </w:t>
      </w:r>
      <w:r w:rsidRPr="00C620DA">
        <w:t>more than 12 lymph nodes examined varied considerably b</w:t>
      </w:r>
      <w:r>
        <w:t>etween</w:t>
      </w:r>
      <w:r w:rsidRPr="00C620DA">
        <w:t xml:space="preserve"> DHB</w:t>
      </w:r>
      <w:r>
        <w:t>s, from 54.9 percent to 95.3 percent</w:t>
      </w:r>
      <w:r w:rsidRPr="00C620DA">
        <w:t>.</w:t>
      </w:r>
    </w:p>
    <w:p w:rsidR="00DA76BC" w:rsidRDefault="00DA76BC" w:rsidP="00DA76BC"/>
    <w:p w:rsidR="00E51135" w:rsidRDefault="006A5D28" w:rsidP="00DA76BC">
      <w:r>
        <w:t>I</w:t>
      </w:r>
      <w:r w:rsidRPr="00C620DA">
        <w:t xml:space="preserve">n contrast to </w:t>
      </w:r>
      <w:r>
        <w:t>other previous</w:t>
      </w:r>
      <w:r w:rsidRPr="00C620DA">
        <w:t xml:space="preserve"> </w:t>
      </w:r>
      <w:r>
        <w:t>studies</w:t>
      </w:r>
      <w:r w:rsidRPr="00C620DA">
        <w:t xml:space="preserve">, </w:t>
      </w:r>
      <w:r>
        <w:t xml:space="preserve">our analysis found </w:t>
      </w:r>
      <w:r w:rsidRPr="00C620DA">
        <w:t xml:space="preserve">little </w:t>
      </w:r>
      <w:r>
        <w:t>difference</w:t>
      </w:r>
      <w:r w:rsidRPr="00C620DA">
        <w:t xml:space="preserve"> between M</w:t>
      </w:r>
      <w:r>
        <w:t>ā</w:t>
      </w:r>
      <w:r w:rsidRPr="00C620DA">
        <w:t>ori</w:t>
      </w:r>
      <w:r>
        <w:t xml:space="preserve"> </w:t>
      </w:r>
      <w:r w:rsidRPr="00C620DA">
        <w:t>and non-M</w:t>
      </w:r>
      <w:r>
        <w:t>ā</w:t>
      </w:r>
      <w:r w:rsidRPr="00C620DA">
        <w:t>ori</w:t>
      </w:r>
      <w:r>
        <w:t xml:space="preserve"> (80.0 percent compared to 81.5 percent)</w:t>
      </w:r>
      <w:r w:rsidRPr="00C620DA">
        <w:t>.</w:t>
      </w:r>
    </w:p>
    <w:p w:rsidR="006A5D28" w:rsidRDefault="006A5D28" w:rsidP="00DA76BC">
      <w:bookmarkStart w:id="112" w:name="_Ref524384569"/>
    </w:p>
    <w:p w:rsidR="006A5D28" w:rsidRPr="005F36B8" w:rsidRDefault="006A5D28" w:rsidP="00DA76BC">
      <w:pPr>
        <w:pStyle w:val="Figure"/>
      </w:pPr>
      <w:bookmarkStart w:id="113" w:name="_Ref532313708"/>
      <w:bookmarkStart w:id="114" w:name="_Toc518035"/>
      <w:bookmarkStart w:id="115" w:name="_Toc2254073"/>
      <w:r>
        <w:t xml:space="preserve">Figure </w:t>
      </w:r>
      <w:r>
        <w:rPr>
          <w:noProof/>
        </w:rPr>
        <w:fldChar w:fldCharType="begin"/>
      </w:r>
      <w:r>
        <w:rPr>
          <w:noProof/>
        </w:rPr>
        <w:instrText xml:space="preserve"> SEQ Figure \* ARABIC </w:instrText>
      </w:r>
      <w:r>
        <w:rPr>
          <w:noProof/>
        </w:rPr>
        <w:fldChar w:fldCharType="separate"/>
      </w:r>
      <w:r w:rsidR="002B5148">
        <w:rPr>
          <w:noProof/>
        </w:rPr>
        <w:t>6</w:t>
      </w:r>
      <w:r>
        <w:rPr>
          <w:noProof/>
        </w:rPr>
        <w:fldChar w:fldCharType="end"/>
      </w:r>
      <w:bookmarkEnd w:id="112"/>
      <w:bookmarkEnd w:id="113"/>
      <w:r>
        <w:t xml:space="preserve">: </w:t>
      </w:r>
      <w:r w:rsidRPr="00F05871">
        <w:t xml:space="preserve">Proportion of people </w:t>
      </w:r>
      <w:r>
        <w:t>having colon</w:t>
      </w:r>
      <w:r w:rsidRPr="00F05871">
        <w:t xml:space="preserve"> cancer</w:t>
      </w:r>
      <w:r>
        <w:t xml:space="preserve"> surgery who had 12 or more lymph nodes examined by </w:t>
      </w:r>
      <w:r w:rsidR="000B1FD9">
        <w:t>district health board</w:t>
      </w:r>
      <w:r>
        <w:t xml:space="preserve"> of service,</w:t>
      </w:r>
      <w:r w:rsidRPr="005F36B8">
        <w:t xml:space="preserve"> </w:t>
      </w:r>
      <w:r>
        <w:t>2013–16</w:t>
      </w:r>
      <w:bookmarkEnd w:id="114"/>
      <w:bookmarkEnd w:id="115"/>
    </w:p>
    <w:p w:rsidR="006A5D28" w:rsidRDefault="00E825DA" w:rsidP="00DA76BC">
      <w:r>
        <w:rPr>
          <w:noProof/>
          <w:lang w:eastAsia="en-NZ"/>
        </w:rPr>
        <w:drawing>
          <wp:inline distT="0" distB="0" distL="0" distR="0" wp14:anchorId="371AA1EA" wp14:editId="5AE4A159">
            <wp:extent cx="5130165" cy="2561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30165" cy="2561590"/>
                    </a:xfrm>
                    <a:prstGeom prst="rect">
                      <a:avLst/>
                    </a:prstGeom>
                  </pic:spPr>
                </pic:pic>
              </a:graphicData>
            </a:graphic>
          </wp:inline>
        </w:drawing>
      </w:r>
    </w:p>
    <w:p w:rsidR="00DA76BC" w:rsidRDefault="00DA76BC" w:rsidP="00DA76BC"/>
    <w:p w:rsidR="006A5D28" w:rsidRDefault="006A5D28" w:rsidP="00DA76BC">
      <w:r>
        <w:t>T</w:t>
      </w:r>
      <w:r w:rsidRPr="00C620DA">
        <w:t xml:space="preserve">he </w:t>
      </w:r>
      <w:r>
        <w:t>2017</w:t>
      </w:r>
      <w:r w:rsidRPr="00C620DA">
        <w:t xml:space="preserve"> NBOCA report </w:t>
      </w:r>
      <w:r>
        <w:t xml:space="preserve">stated that </w:t>
      </w:r>
      <w:r w:rsidRPr="00C620DA">
        <w:t>83</w:t>
      </w:r>
      <w:r>
        <w:t> percent</w:t>
      </w:r>
      <w:r w:rsidRPr="00C620DA">
        <w:t xml:space="preserve"> of patients undergoing colorectal surgery had more than 12 lymph nodes </w:t>
      </w:r>
      <w:r>
        <w:t>examined:</w:t>
      </w:r>
      <w:r w:rsidRPr="00C620DA">
        <w:t xml:space="preserve"> </w:t>
      </w:r>
      <w:r w:rsidRPr="0029510D">
        <w:t>a rate</w:t>
      </w:r>
      <w:r>
        <w:rPr>
          <w:rFonts w:ascii="Arial" w:hAnsi="Arial"/>
        </w:rPr>
        <w:t xml:space="preserve"> </w:t>
      </w:r>
      <w:r w:rsidRPr="00C620DA">
        <w:t>very</w:t>
      </w:r>
      <w:r>
        <w:t xml:space="preserve"> similar</w:t>
      </w:r>
      <w:r w:rsidRPr="00C620DA">
        <w:t xml:space="preserve"> to New Zealand</w:t>
      </w:r>
      <w:r w:rsidR="00E51135">
        <w:t>’</w:t>
      </w:r>
      <w:r>
        <w:t>s</w:t>
      </w:r>
      <w:r w:rsidRPr="00C620DA">
        <w:t xml:space="preserve">. </w:t>
      </w:r>
      <w:r>
        <w:t xml:space="preserve">As in </w:t>
      </w:r>
      <w:r w:rsidRPr="00C620DA">
        <w:t>New Zealand</w:t>
      </w:r>
      <w:r>
        <w:t>,</w:t>
      </w:r>
      <w:r w:rsidRPr="00C620DA">
        <w:t xml:space="preserve"> there was wide geographical variation </w:t>
      </w:r>
      <w:r>
        <w:t xml:space="preserve">between trusts in England </w:t>
      </w:r>
      <w:r w:rsidRPr="00C620DA">
        <w:t xml:space="preserve">(from 37% to 98%) </w:t>
      </w:r>
      <w:r>
        <w:t xml:space="preserve">in the proportions of patients who had </w:t>
      </w:r>
      <w:r w:rsidRPr="00C620DA">
        <w:t>12 or more lymph nodes reported.</w:t>
      </w:r>
    </w:p>
    <w:p w:rsidR="006A5D28" w:rsidRPr="00C620DA" w:rsidRDefault="006A5D28" w:rsidP="00DA76BC"/>
    <w:p w:rsidR="00E51135" w:rsidRDefault="006A5D28" w:rsidP="00DA76BC">
      <w:pPr>
        <w:keepLines/>
      </w:pPr>
      <w:r>
        <w:lastRenderedPageBreak/>
        <w:t>T</w:t>
      </w:r>
      <w:r w:rsidRPr="00447ABE">
        <w:t xml:space="preserve">he </w:t>
      </w:r>
      <w:r w:rsidR="00B77549">
        <w:t>Piper Project</w:t>
      </w:r>
      <w:r w:rsidRPr="00C620DA">
        <w:t xml:space="preserve"> </w:t>
      </w:r>
      <w:r>
        <w:t xml:space="preserve">found that </w:t>
      </w:r>
      <w:r w:rsidRPr="00C620DA">
        <w:t>65</w:t>
      </w:r>
      <w:r>
        <w:t> percent</w:t>
      </w:r>
      <w:r w:rsidRPr="00C620DA">
        <w:t xml:space="preserve"> of patients with non-metastatic colon cancer had 12 or more lymph nodes examined. Māori patients had fewer lymph nodes examined (57%) compared with Pacific patients </w:t>
      </w:r>
      <w:r>
        <w:t>(</w:t>
      </w:r>
      <w:r w:rsidRPr="00C620DA">
        <w:t>85%</w:t>
      </w:r>
      <w:r>
        <w:t>)</w:t>
      </w:r>
      <w:r w:rsidRPr="00C620DA">
        <w:t xml:space="preserve"> and n</w:t>
      </w:r>
      <w:r>
        <w:t>on-Māori/non-</w:t>
      </w:r>
      <w:r w:rsidRPr="00C620DA">
        <w:t>P</w:t>
      </w:r>
      <w:r>
        <w:t>acific patients (</w:t>
      </w:r>
      <w:r w:rsidRPr="00C620DA">
        <w:t>65%</w:t>
      </w:r>
      <w:r>
        <w:t>)</w:t>
      </w:r>
      <w:r w:rsidRPr="00C620DA">
        <w:t xml:space="preserve">. </w:t>
      </w:r>
      <w:r>
        <w:t>Other New Zealand studies have also</w:t>
      </w:r>
      <w:r w:rsidRPr="00C620DA">
        <w:t xml:space="preserve"> reported lower overall lymph node</w:t>
      </w:r>
      <w:r>
        <w:t xml:space="preserve"> yield</w:t>
      </w:r>
      <w:r w:rsidRPr="00C620DA">
        <w:t xml:space="preserve"> </w:t>
      </w:r>
      <w:r>
        <w:t xml:space="preserve">for </w:t>
      </w:r>
      <w:r w:rsidRPr="00C620DA">
        <w:t>M</w:t>
      </w:r>
      <w:r>
        <w:t>ā</w:t>
      </w:r>
      <w:r w:rsidRPr="00C620DA">
        <w:t>ori.</w:t>
      </w:r>
    </w:p>
    <w:p w:rsidR="006A5D28" w:rsidRPr="00C620DA" w:rsidRDefault="006A5D28" w:rsidP="00DA76BC"/>
    <w:p w:rsidR="00E51135" w:rsidRDefault="006A5D28" w:rsidP="00DA76BC">
      <w:pPr>
        <w:pStyle w:val="Heading3"/>
        <w:numPr>
          <w:ilvl w:val="0"/>
          <w:numId w:val="0"/>
        </w:numPr>
      </w:pPr>
      <w:r>
        <w:t>Recommendation</w:t>
      </w:r>
    </w:p>
    <w:p w:rsidR="00E51135" w:rsidRDefault="006A5D28" w:rsidP="00DA76BC">
      <w:r>
        <w:t>It is encouraging to see that t</w:t>
      </w:r>
      <w:r w:rsidRPr="00C620DA">
        <w:t xml:space="preserve">he proportion of patients with 12 or more lymph nodes </w:t>
      </w:r>
      <w:r>
        <w:t xml:space="preserve">examined </w:t>
      </w:r>
      <w:r w:rsidRPr="00C620DA">
        <w:t xml:space="preserve">has increased since </w:t>
      </w:r>
      <w:r>
        <w:t xml:space="preserve">the </w:t>
      </w:r>
      <w:r w:rsidR="00B77549">
        <w:t>Piper Project</w:t>
      </w:r>
      <w:r>
        <w:t>, and that t</w:t>
      </w:r>
      <w:r w:rsidRPr="00C620DA">
        <w:t xml:space="preserve">he variation by ethnicity appears to have reduced since </w:t>
      </w:r>
      <w:r>
        <w:t>previous studies</w:t>
      </w:r>
      <w:r w:rsidRPr="00C620DA">
        <w:t>.</w:t>
      </w:r>
    </w:p>
    <w:p w:rsidR="00DA76BC" w:rsidRDefault="00DA76BC" w:rsidP="00DA76BC"/>
    <w:p w:rsidR="006A5D28" w:rsidRPr="00C620DA" w:rsidRDefault="006A5D28" w:rsidP="00DA76BC">
      <w:r w:rsidRPr="00C620DA">
        <w:t>As lymph</w:t>
      </w:r>
      <w:r>
        <w:t>-</w:t>
      </w:r>
      <w:r w:rsidRPr="00C620DA">
        <w:t>node yield is related to patient outcome</w:t>
      </w:r>
      <w:r>
        <w:t>s</w:t>
      </w:r>
      <w:r w:rsidRPr="00C620DA">
        <w:t xml:space="preserve"> and influences treatment options, this indicator may be valuable as a driver of quality improvement in DHBs with low lymph</w:t>
      </w:r>
      <w:r>
        <w:t>-</w:t>
      </w:r>
      <w:r w:rsidRPr="00C620DA">
        <w:t>node yield</w:t>
      </w:r>
      <w:r>
        <w:t>.</w:t>
      </w:r>
    </w:p>
    <w:p w:rsidR="00DA76BC" w:rsidRDefault="00DA76BC" w:rsidP="00DA76BC"/>
    <w:p w:rsidR="006A5D28" w:rsidRPr="00C620DA" w:rsidRDefault="006A5D28" w:rsidP="00DA76BC">
      <w:r w:rsidRPr="00C620DA">
        <w:t xml:space="preserve">Overseas experience </w:t>
      </w:r>
      <w:r>
        <w:t>has shown that quality i</w:t>
      </w:r>
      <w:r w:rsidRPr="00C620DA">
        <w:t>mprovement programmes can result in higher reported lymph</w:t>
      </w:r>
      <w:r>
        <w:t>-</w:t>
      </w:r>
      <w:r w:rsidRPr="00C620DA">
        <w:t>node yields</w:t>
      </w:r>
      <w:r>
        <w:t>.</w:t>
      </w:r>
    </w:p>
    <w:p w:rsidR="00DA76BC" w:rsidRDefault="00DA76BC" w:rsidP="00DA76BC"/>
    <w:p w:rsidR="00E51135" w:rsidRDefault="006A5D28" w:rsidP="00DA76BC">
      <w:r w:rsidRPr="00C620DA">
        <w:t>The reason</w:t>
      </w:r>
      <w:r>
        <w:t>s</w:t>
      </w:r>
      <w:r w:rsidRPr="00C620DA">
        <w:t xml:space="preserve"> for variation in</w:t>
      </w:r>
      <w:r>
        <w:t xml:space="preserve"> this indicator</w:t>
      </w:r>
      <w:r w:rsidRPr="00C620DA">
        <w:t xml:space="preserve"> are likely to be complex</w:t>
      </w:r>
      <w:r>
        <w:t xml:space="preserve">. Review within DHBs </w:t>
      </w:r>
      <w:r w:rsidRPr="00C620DA">
        <w:t>will require a multi-disciplinary approach</w:t>
      </w:r>
      <w:r>
        <w:t xml:space="preserve">, and may benefit from </w:t>
      </w:r>
      <w:r w:rsidRPr="00C620DA">
        <w:t xml:space="preserve">external input. </w:t>
      </w:r>
      <w:r>
        <w:t xml:space="preserve">We recommend that </w:t>
      </w:r>
      <w:r w:rsidRPr="00C620DA">
        <w:t xml:space="preserve">DHBs </w:t>
      </w:r>
      <w:r>
        <w:t>with results below</w:t>
      </w:r>
      <w:r w:rsidRPr="00C620DA">
        <w:t xml:space="preserve"> the 99.8</w:t>
      </w:r>
      <w:r>
        <w:t> percent lower</w:t>
      </w:r>
      <w:r w:rsidRPr="00C620DA">
        <w:t xml:space="preserve"> limits </w:t>
      </w:r>
      <w:r>
        <w:t>develop a</w:t>
      </w:r>
      <w:r w:rsidRPr="00C620DA">
        <w:t xml:space="preserve"> quality improvement programme </w:t>
      </w:r>
      <w:r>
        <w:t xml:space="preserve">to improve harvesting, examination and reporting of </w:t>
      </w:r>
      <w:r w:rsidRPr="00C620DA">
        <w:t>lymph</w:t>
      </w:r>
      <w:r>
        <w:t xml:space="preserve"> </w:t>
      </w:r>
      <w:r w:rsidRPr="00C620DA">
        <w:t>node yield</w:t>
      </w:r>
      <w:r>
        <w:t>s</w:t>
      </w:r>
      <w:r w:rsidRPr="00C620DA">
        <w:t>.</w:t>
      </w:r>
    </w:p>
    <w:p w:rsidR="00DA76BC" w:rsidRDefault="00DA76BC" w:rsidP="00DA76BC"/>
    <w:p w:rsidR="006A5D28" w:rsidRDefault="006A5D28" w:rsidP="00DA76BC">
      <w:pPr>
        <w:pStyle w:val="Heading1"/>
      </w:pPr>
      <w:bookmarkStart w:id="116" w:name="_Toc532290835"/>
      <w:bookmarkStart w:id="117" w:name="_Toc532544052"/>
      <w:bookmarkStart w:id="118" w:name="_Ref536000965"/>
      <w:bookmarkStart w:id="119" w:name="_Toc517866"/>
      <w:bookmarkStart w:id="120" w:name="_Toc2253744"/>
      <w:r>
        <w:lastRenderedPageBreak/>
        <w:t>Rectal cancer</w:t>
      </w:r>
      <w:bookmarkEnd w:id="116"/>
      <w:bookmarkEnd w:id="117"/>
      <w:bookmarkEnd w:id="118"/>
      <w:bookmarkEnd w:id="119"/>
      <w:bookmarkEnd w:id="120"/>
    </w:p>
    <w:p w:rsidR="006A5D28" w:rsidRDefault="006A5D28" w:rsidP="007860DC">
      <w:pPr>
        <w:pStyle w:val="Heading2"/>
      </w:pPr>
      <w:bookmarkStart w:id="121" w:name="_Toc532290836"/>
      <w:bookmarkStart w:id="122" w:name="_Toc517867"/>
      <w:bookmarkStart w:id="123" w:name="_Toc2253745"/>
      <w:r>
        <w:t>How are patients with rectal cancer treated?</w:t>
      </w:r>
      <w:bookmarkEnd w:id="121"/>
      <w:bookmarkEnd w:id="122"/>
      <w:bookmarkEnd w:id="123"/>
    </w:p>
    <w:p w:rsidR="00E51135" w:rsidRDefault="006A5D28" w:rsidP="007860DC">
      <w:r>
        <w:t>Surgical resection of the rectum is the most common intervention for the treatment of rectal cancer; 6</w:t>
      </w:r>
      <w:r w:rsidR="009024C5">
        <w:t>0</w:t>
      </w:r>
      <w:r>
        <w:t> percent of rectal cancer patients have this publicly funded surgery. The rate of surgical resection varied from 57 percent to 80 percent across DHBs.</w:t>
      </w:r>
    </w:p>
    <w:p w:rsidR="007860DC" w:rsidRDefault="007860DC" w:rsidP="007860DC"/>
    <w:p w:rsidR="006A5D28" w:rsidRDefault="006A5D28" w:rsidP="007860DC">
      <w:r>
        <w:t>Of patients having publicly funded major surgery for rectal cancer, 54 percent received preoperative radiotherapy treatment: either short- or long-course (</w:t>
      </w:r>
      <w:r>
        <w:fldChar w:fldCharType="begin"/>
      </w:r>
      <w:r>
        <w:instrText xml:space="preserve"> REF _Ref527468290 \h </w:instrText>
      </w:r>
      <w:r>
        <w:fldChar w:fldCharType="separate"/>
      </w:r>
      <w:r w:rsidR="002B5148">
        <w:t xml:space="preserve">Table </w:t>
      </w:r>
      <w:r w:rsidR="002B5148">
        <w:rPr>
          <w:noProof/>
        </w:rPr>
        <w:t>5</w:t>
      </w:r>
      <w:r>
        <w:fldChar w:fldCharType="end"/>
      </w:r>
      <w:r>
        <w:t>). 38 percent received long-course radiotherapy (LCRT) and 15 percent received short-course radiotherapy (SCRT).</w:t>
      </w:r>
    </w:p>
    <w:p w:rsidR="007860DC" w:rsidRPr="003A18BC" w:rsidRDefault="007860DC" w:rsidP="007860DC"/>
    <w:p w:rsidR="006A5D28" w:rsidRDefault="006A5D28" w:rsidP="007860DC">
      <w:pPr>
        <w:pStyle w:val="Table"/>
      </w:pPr>
      <w:bookmarkStart w:id="124" w:name="_Ref527468290"/>
      <w:bookmarkStart w:id="125" w:name="_Toc535936727"/>
      <w:bookmarkStart w:id="126" w:name="_Toc2254046"/>
      <w:r>
        <w:t xml:space="preserve">Table </w:t>
      </w:r>
      <w:r>
        <w:rPr>
          <w:noProof/>
        </w:rPr>
        <w:fldChar w:fldCharType="begin"/>
      </w:r>
      <w:r>
        <w:rPr>
          <w:noProof/>
        </w:rPr>
        <w:instrText xml:space="preserve"> SEQ Table \* ARABIC </w:instrText>
      </w:r>
      <w:r>
        <w:rPr>
          <w:noProof/>
        </w:rPr>
        <w:fldChar w:fldCharType="separate"/>
      </w:r>
      <w:r w:rsidR="002B5148">
        <w:rPr>
          <w:noProof/>
        </w:rPr>
        <w:t>5</w:t>
      </w:r>
      <w:r>
        <w:rPr>
          <w:noProof/>
        </w:rPr>
        <w:fldChar w:fldCharType="end"/>
      </w:r>
      <w:bookmarkEnd w:id="124"/>
      <w:r>
        <w:t>: People with rectal cancer having surgery alone and short-course and long-course preoperative radiotherapy, 2013–16</w:t>
      </w:r>
      <w:bookmarkEnd w:id="125"/>
      <w:bookmarkEnd w:id="126"/>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661"/>
        <w:gridCol w:w="1182"/>
        <w:gridCol w:w="851"/>
        <w:gridCol w:w="708"/>
        <w:gridCol w:w="851"/>
        <w:gridCol w:w="708"/>
        <w:gridCol w:w="851"/>
        <w:gridCol w:w="708"/>
        <w:gridCol w:w="851"/>
        <w:gridCol w:w="709"/>
      </w:tblGrid>
      <w:tr w:rsidR="00A06E9D" w:rsidRPr="007860DC" w:rsidTr="00A06E9D">
        <w:trPr>
          <w:cantSplit/>
        </w:trPr>
        <w:tc>
          <w:tcPr>
            <w:tcW w:w="661" w:type="dxa"/>
            <w:vMerge w:val="restart"/>
            <w:tcBorders>
              <w:top w:val="nil"/>
              <w:right w:val="single" w:sz="4" w:space="0" w:color="A6A6A6" w:themeColor="background1" w:themeShade="A6"/>
            </w:tcBorders>
            <w:shd w:val="clear" w:color="auto" w:fill="D9D9D9" w:themeFill="background1" w:themeFillShade="D9"/>
            <w:noWrap/>
            <w:hideMark/>
          </w:tcPr>
          <w:p w:rsidR="00A06E9D" w:rsidRPr="007860DC" w:rsidRDefault="00A06E9D" w:rsidP="007860DC">
            <w:pPr>
              <w:pStyle w:val="TableText"/>
              <w:rPr>
                <w:b/>
                <w:lang w:eastAsia="en-NZ"/>
              </w:rPr>
            </w:pPr>
          </w:p>
        </w:tc>
        <w:tc>
          <w:tcPr>
            <w:tcW w:w="1182" w:type="dxa"/>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rsidR="00A06E9D" w:rsidRPr="007860DC" w:rsidRDefault="00A06E9D" w:rsidP="007860DC">
            <w:pPr>
              <w:pStyle w:val="TableText"/>
              <w:jc w:val="center"/>
              <w:rPr>
                <w:rFonts w:cs="Arial"/>
                <w:b/>
                <w:color w:val="000000"/>
                <w:lang w:eastAsia="en-NZ"/>
              </w:rPr>
            </w:pPr>
            <w:r w:rsidRPr="007860DC">
              <w:rPr>
                <w:rFonts w:cs="Arial"/>
                <w:b/>
                <w:color w:val="000000"/>
                <w:lang w:eastAsia="en-NZ"/>
              </w:rPr>
              <w:t>Major surgery</w:t>
            </w:r>
          </w:p>
        </w:tc>
        <w:tc>
          <w:tcPr>
            <w:tcW w:w="1559"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rsidR="00A06E9D" w:rsidRPr="007860DC" w:rsidRDefault="00A06E9D" w:rsidP="007860DC">
            <w:pPr>
              <w:pStyle w:val="TableText"/>
              <w:jc w:val="center"/>
              <w:rPr>
                <w:rFonts w:cs="Arial"/>
                <w:b/>
                <w:color w:val="000000"/>
                <w:lang w:eastAsia="en-NZ"/>
              </w:rPr>
            </w:pPr>
            <w:r w:rsidRPr="007860DC">
              <w:rPr>
                <w:rFonts w:cs="Arial"/>
                <w:b/>
                <w:color w:val="000000"/>
                <w:lang w:eastAsia="en-NZ"/>
              </w:rPr>
              <w:t>Preoperative radiotherapy</w:t>
            </w:r>
          </w:p>
        </w:tc>
        <w:tc>
          <w:tcPr>
            <w:tcW w:w="1559"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noWrap/>
            <w:hideMark/>
          </w:tcPr>
          <w:p w:rsidR="00A06E9D" w:rsidRPr="007860DC" w:rsidRDefault="00A06E9D" w:rsidP="007860DC">
            <w:pPr>
              <w:pStyle w:val="TableText"/>
              <w:jc w:val="center"/>
              <w:rPr>
                <w:rFonts w:cs="Arial"/>
                <w:b/>
                <w:color w:val="000000"/>
                <w:lang w:eastAsia="en-NZ"/>
              </w:rPr>
            </w:pPr>
            <w:r w:rsidRPr="007860DC">
              <w:rPr>
                <w:rFonts w:cs="Arial"/>
                <w:b/>
                <w:color w:val="000000"/>
                <w:lang w:eastAsia="en-NZ"/>
              </w:rPr>
              <w:t>LCRT</w:t>
            </w:r>
          </w:p>
        </w:tc>
        <w:tc>
          <w:tcPr>
            <w:tcW w:w="1559"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noWrap/>
            <w:hideMark/>
          </w:tcPr>
          <w:p w:rsidR="00A06E9D" w:rsidRPr="007860DC" w:rsidRDefault="00A06E9D" w:rsidP="007860DC">
            <w:pPr>
              <w:pStyle w:val="TableText"/>
              <w:jc w:val="center"/>
              <w:rPr>
                <w:rFonts w:cs="Arial"/>
                <w:b/>
                <w:color w:val="000000"/>
                <w:lang w:eastAsia="en-NZ"/>
              </w:rPr>
            </w:pPr>
            <w:r w:rsidRPr="007860DC">
              <w:rPr>
                <w:rFonts w:cs="Arial"/>
                <w:b/>
                <w:color w:val="000000"/>
                <w:lang w:eastAsia="en-NZ"/>
              </w:rPr>
              <w:t>SCRT</w:t>
            </w:r>
          </w:p>
        </w:tc>
        <w:tc>
          <w:tcPr>
            <w:tcW w:w="1560" w:type="dxa"/>
            <w:gridSpan w:val="2"/>
            <w:tcBorders>
              <w:top w:val="nil"/>
              <w:left w:val="single" w:sz="4" w:space="0" w:color="A6A6A6" w:themeColor="background1" w:themeShade="A6"/>
              <w:bottom w:val="nil"/>
            </w:tcBorders>
            <w:shd w:val="clear" w:color="auto" w:fill="D9D9D9" w:themeFill="background1" w:themeFillShade="D9"/>
            <w:hideMark/>
          </w:tcPr>
          <w:p w:rsidR="00A06E9D" w:rsidRPr="007860DC" w:rsidRDefault="00A06E9D" w:rsidP="007860DC">
            <w:pPr>
              <w:pStyle w:val="TableText"/>
              <w:jc w:val="center"/>
              <w:rPr>
                <w:rFonts w:cs="Arial"/>
                <w:b/>
                <w:color w:val="000000"/>
                <w:lang w:eastAsia="en-NZ"/>
              </w:rPr>
            </w:pPr>
            <w:r w:rsidRPr="007860DC">
              <w:rPr>
                <w:rFonts w:cs="Arial"/>
                <w:b/>
                <w:color w:val="000000"/>
                <w:lang w:eastAsia="en-NZ"/>
              </w:rPr>
              <w:t>No radiotherapy (surgery alone)</w:t>
            </w:r>
          </w:p>
        </w:tc>
      </w:tr>
      <w:tr w:rsidR="00A06E9D" w:rsidRPr="007860DC" w:rsidTr="00A06E9D">
        <w:trPr>
          <w:cantSplit/>
        </w:trPr>
        <w:tc>
          <w:tcPr>
            <w:tcW w:w="661" w:type="dxa"/>
            <w:vMerge/>
            <w:tcBorders>
              <w:bottom w:val="nil"/>
              <w:right w:val="single" w:sz="4" w:space="0" w:color="A6A6A6" w:themeColor="background1" w:themeShade="A6"/>
            </w:tcBorders>
            <w:shd w:val="clear" w:color="auto" w:fill="D9D9D9" w:themeFill="background1" w:themeFillShade="D9"/>
            <w:noWrap/>
            <w:hideMark/>
          </w:tcPr>
          <w:p w:rsidR="00A06E9D" w:rsidRPr="007860DC" w:rsidRDefault="00A06E9D" w:rsidP="007860DC">
            <w:pPr>
              <w:pStyle w:val="TableText"/>
              <w:rPr>
                <w:rFonts w:cs="Arial"/>
                <w:b/>
                <w:color w:val="000000"/>
                <w:lang w:eastAsia="en-NZ"/>
              </w:rPr>
            </w:pPr>
          </w:p>
        </w:tc>
        <w:tc>
          <w:tcPr>
            <w:tcW w:w="1182" w:type="dxa"/>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noWrap/>
            <w:hideMark/>
          </w:tcPr>
          <w:p w:rsidR="00A06E9D" w:rsidRPr="007860DC" w:rsidRDefault="00A06E9D" w:rsidP="007860DC">
            <w:pPr>
              <w:pStyle w:val="TableText"/>
              <w:spacing w:before="0"/>
              <w:jc w:val="center"/>
              <w:rPr>
                <w:rFonts w:cs="Arial"/>
                <w:b/>
                <w:color w:val="000000"/>
                <w:lang w:eastAsia="en-NZ"/>
              </w:rPr>
            </w:pPr>
            <w:r w:rsidRPr="007860DC">
              <w:rPr>
                <w:rFonts w:cs="Arial"/>
                <w:b/>
                <w:color w:val="000000"/>
                <w:lang w:eastAsia="en-NZ"/>
              </w:rPr>
              <w:t>Number</w:t>
            </w:r>
          </w:p>
        </w:tc>
        <w:tc>
          <w:tcPr>
            <w:tcW w:w="851" w:type="dxa"/>
            <w:tcBorders>
              <w:top w:val="nil"/>
              <w:left w:val="single" w:sz="4" w:space="0" w:color="A6A6A6" w:themeColor="background1" w:themeShade="A6"/>
              <w:bottom w:val="nil"/>
            </w:tcBorders>
            <w:shd w:val="clear" w:color="auto" w:fill="D9D9D9" w:themeFill="background1" w:themeFillShade="D9"/>
            <w:noWrap/>
            <w:hideMark/>
          </w:tcPr>
          <w:p w:rsidR="00A06E9D" w:rsidRPr="007860DC" w:rsidRDefault="00A06E9D" w:rsidP="007860DC">
            <w:pPr>
              <w:pStyle w:val="TableText"/>
              <w:spacing w:before="0"/>
              <w:jc w:val="center"/>
              <w:rPr>
                <w:rFonts w:cs="Arial"/>
                <w:b/>
                <w:color w:val="000000"/>
                <w:lang w:eastAsia="en-NZ"/>
              </w:rPr>
            </w:pPr>
            <w:r w:rsidRPr="007860DC">
              <w:rPr>
                <w:rFonts w:cs="Arial"/>
                <w:b/>
                <w:color w:val="000000"/>
                <w:lang w:eastAsia="en-NZ"/>
              </w:rPr>
              <w:t>Number</w:t>
            </w:r>
          </w:p>
        </w:tc>
        <w:tc>
          <w:tcPr>
            <w:tcW w:w="708" w:type="dxa"/>
            <w:tcBorders>
              <w:top w:val="nil"/>
              <w:bottom w:val="nil"/>
              <w:right w:val="single" w:sz="4" w:space="0" w:color="A6A6A6" w:themeColor="background1" w:themeShade="A6"/>
            </w:tcBorders>
            <w:shd w:val="clear" w:color="auto" w:fill="D9D9D9" w:themeFill="background1" w:themeFillShade="D9"/>
            <w:noWrap/>
            <w:hideMark/>
          </w:tcPr>
          <w:p w:rsidR="00A06E9D" w:rsidRPr="007860DC" w:rsidRDefault="00A06E9D" w:rsidP="007860DC">
            <w:pPr>
              <w:pStyle w:val="TableText"/>
              <w:spacing w:before="0"/>
              <w:jc w:val="center"/>
              <w:rPr>
                <w:rFonts w:cs="Arial"/>
                <w:b/>
                <w:color w:val="000000"/>
                <w:lang w:eastAsia="en-NZ"/>
              </w:rPr>
            </w:pPr>
            <w:r w:rsidRPr="007860DC">
              <w:rPr>
                <w:rFonts w:cs="Arial"/>
                <w:b/>
                <w:color w:val="000000"/>
                <w:lang w:eastAsia="en-NZ"/>
              </w:rPr>
              <w:t>%</w:t>
            </w:r>
          </w:p>
        </w:tc>
        <w:tc>
          <w:tcPr>
            <w:tcW w:w="851" w:type="dxa"/>
            <w:tcBorders>
              <w:top w:val="nil"/>
              <w:left w:val="single" w:sz="4" w:space="0" w:color="A6A6A6" w:themeColor="background1" w:themeShade="A6"/>
              <w:bottom w:val="nil"/>
            </w:tcBorders>
            <w:shd w:val="clear" w:color="auto" w:fill="D9D9D9" w:themeFill="background1" w:themeFillShade="D9"/>
            <w:noWrap/>
            <w:hideMark/>
          </w:tcPr>
          <w:p w:rsidR="00A06E9D" w:rsidRPr="007860DC" w:rsidRDefault="00A06E9D" w:rsidP="007860DC">
            <w:pPr>
              <w:pStyle w:val="TableText"/>
              <w:spacing w:before="0"/>
              <w:jc w:val="center"/>
              <w:rPr>
                <w:rFonts w:cs="Arial"/>
                <w:b/>
                <w:color w:val="000000"/>
                <w:lang w:eastAsia="en-NZ"/>
              </w:rPr>
            </w:pPr>
            <w:r w:rsidRPr="007860DC">
              <w:rPr>
                <w:rFonts w:cs="Arial"/>
                <w:b/>
                <w:color w:val="000000"/>
                <w:lang w:eastAsia="en-NZ"/>
              </w:rPr>
              <w:t>Number</w:t>
            </w:r>
          </w:p>
        </w:tc>
        <w:tc>
          <w:tcPr>
            <w:tcW w:w="708" w:type="dxa"/>
            <w:tcBorders>
              <w:top w:val="nil"/>
              <w:bottom w:val="nil"/>
              <w:right w:val="single" w:sz="4" w:space="0" w:color="A6A6A6" w:themeColor="background1" w:themeShade="A6"/>
            </w:tcBorders>
            <w:shd w:val="clear" w:color="auto" w:fill="D9D9D9" w:themeFill="background1" w:themeFillShade="D9"/>
            <w:noWrap/>
            <w:hideMark/>
          </w:tcPr>
          <w:p w:rsidR="00A06E9D" w:rsidRPr="007860DC" w:rsidRDefault="00A06E9D" w:rsidP="007860DC">
            <w:pPr>
              <w:pStyle w:val="TableText"/>
              <w:spacing w:before="0"/>
              <w:jc w:val="center"/>
              <w:rPr>
                <w:rFonts w:cs="Arial"/>
                <w:b/>
                <w:color w:val="000000"/>
                <w:lang w:eastAsia="en-NZ"/>
              </w:rPr>
            </w:pPr>
            <w:r w:rsidRPr="007860DC">
              <w:rPr>
                <w:rFonts w:cs="Arial"/>
                <w:b/>
                <w:color w:val="000000"/>
                <w:lang w:eastAsia="en-NZ"/>
              </w:rPr>
              <w:t>%</w:t>
            </w:r>
          </w:p>
        </w:tc>
        <w:tc>
          <w:tcPr>
            <w:tcW w:w="851" w:type="dxa"/>
            <w:tcBorders>
              <w:top w:val="nil"/>
              <w:left w:val="single" w:sz="4" w:space="0" w:color="A6A6A6" w:themeColor="background1" w:themeShade="A6"/>
              <w:bottom w:val="nil"/>
            </w:tcBorders>
            <w:shd w:val="clear" w:color="auto" w:fill="D9D9D9" w:themeFill="background1" w:themeFillShade="D9"/>
            <w:noWrap/>
            <w:hideMark/>
          </w:tcPr>
          <w:p w:rsidR="00A06E9D" w:rsidRPr="007860DC" w:rsidRDefault="00A06E9D" w:rsidP="007860DC">
            <w:pPr>
              <w:pStyle w:val="TableText"/>
              <w:spacing w:before="0"/>
              <w:jc w:val="center"/>
              <w:rPr>
                <w:rFonts w:cs="Arial"/>
                <w:b/>
                <w:color w:val="000000"/>
                <w:lang w:eastAsia="en-NZ"/>
              </w:rPr>
            </w:pPr>
            <w:r w:rsidRPr="007860DC">
              <w:rPr>
                <w:rFonts w:cs="Arial"/>
                <w:b/>
                <w:color w:val="000000"/>
                <w:lang w:eastAsia="en-NZ"/>
              </w:rPr>
              <w:t>Number</w:t>
            </w:r>
          </w:p>
        </w:tc>
        <w:tc>
          <w:tcPr>
            <w:tcW w:w="708" w:type="dxa"/>
            <w:tcBorders>
              <w:top w:val="nil"/>
              <w:bottom w:val="nil"/>
              <w:right w:val="single" w:sz="4" w:space="0" w:color="A6A6A6" w:themeColor="background1" w:themeShade="A6"/>
            </w:tcBorders>
            <w:shd w:val="clear" w:color="auto" w:fill="D9D9D9" w:themeFill="background1" w:themeFillShade="D9"/>
            <w:noWrap/>
            <w:hideMark/>
          </w:tcPr>
          <w:p w:rsidR="00A06E9D" w:rsidRPr="007860DC" w:rsidRDefault="00A06E9D" w:rsidP="007860DC">
            <w:pPr>
              <w:pStyle w:val="TableText"/>
              <w:spacing w:before="0"/>
              <w:jc w:val="center"/>
              <w:rPr>
                <w:rFonts w:cs="Arial"/>
                <w:b/>
                <w:color w:val="000000"/>
                <w:lang w:eastAsia="en-NZ"/>
              </w:rPr>
            </w:pPr>
            <w:r w:rsidRPr="007860DC">
              <w:rPr>
                <w:rFonts w:cs="Arial"/>
                <w:b/>
                <w:color w:val="000000"/>
                <w:lang w:eastAsia="en-NZ"/>
              </w:rPr>
              <w:t>%</w:t>
            </w:r>
          </w:p>
        </w:tc>
        <w:tc>
          <w:tcPr>
            <w:tcW w:w="851" w:type="dxa"/>
            <w:tcBorders>
              <w:top w:val="nil"/>
              <w:left w:val="single" w:sz="4" w:space="0" w:color="A6A6A6" w:themeColor="background1" w:themeShade="A6"/>
              <w:bottom w:val="nil"/>
            </w:tcBorders>
            <w:shd w:val="clear" w:color="auto" w:fill="D9D9D9" w:themeFill="background1" w:themeFillShade="D9"/>
            <w:noWrap/>
            <w:hideMark/>
          </w:tcPr>
          <w:p w:rsidR="00A06E9D" w:rsidRPr="007860DC" w:rsidRDefault="00A06E9D" w:rsidP="007860DC">
            <w:pPr>
              <w:pStyle w:val="TableText"/>
              <w:spacing w:before="0"/>
              <w:jc w:val="center"/>
              <w:rPr>
                <w:rFonts w:cs="Arial"/>
                <w:b/>
                <w:color w:val="000000"/>
                <w:lang w:eastAsia="en-NZ"/>
              </w:rPr>
            </w:pPr>
            <w:r w:rsidRPr="007860DC">
              <w:rPr>
                <w:rFonts w:cs="Arial"/>
                <w:b/>
                <w:color w:val="000000"/>
                <w:lang w:eastAsia="en-NZ"/>
              </w:rPr>
              <w:t>Number</w:t>
            </w:r>
          </w:p>
        </w:tc>
        <w:tc>
          <w:tcPr>
            <w:tcW w:w="709" w:type="dxa"/>
            <w:tcBorders>
              <w:top w:val="nil"/>
              <w:bottom w:val="nil"/>
            </w:tcBorders>
            <w:shd w:val="clear" w:color="auto" w:fill="D9D9D9" w:themeFill="background1" w:themeFillShade="D9"/>
            <w:noWrap/>
            <w:hideMark/>
          </w:tcPr>
          <w:p w:rsidR="00A06E9D" w:rsidRPr="007860DC" w:rsidRDefault="00A06E9D" w:rsidP="007860DC">
            <w:pPr>
              <w:pStyle w:val="TableText"/>
              <w:spacing w:before="0"/>
              <w:jc w:val="center"/>
              <w:rPr>
                <w:rFonts w:cs="Arial"/>
                <w:b/>
                <w:color w:val="000000"/>
                <w:lang w:eastAsia="en-NZ"/>
              </w:rPr>
            </w:pPr>
            <w:r w:rsidRPr="007860DC">
              <w:rPr>
                <w:rFonts w:cs="Arial"/>
                <w:b/>
                <w:color w:val="000000"/>
                <w:lang w:eastAsia="en-NZ"/>
              </w:rPr>
              <w:t>%</w:t>
            </w:r>
          </w:p>
        </w:tc>
      </w:tr>
      <w:tr w:rsidR="006A5D28" w:rsidRPr="000A70DC" w:rsidTr="00A06E9D">
        <w:trPr>
          <w:cantSplit/>
        </w:trPr>
        <w:tc>
          <w:tcPr>
            <w:tcW w:w="661" w:type="dxa"/>
            <w:tcBorders>
              <w:top w:val="nil"/>
              <w:right w:val="single" w:sz="4" w:space="0" w:color="A6A6A6" w:themeColor="background1" w:themeShade="A6"/>
            </w:tcBorders>
            <w:shd w:val="clear" w:color="auto" w:fill="auto"/>
            <w:noWrap/>
          </w:tcPr>
          <w:p w:rsidR="006A5D28" w:rsidRPr="00930FDA" w:rsidRDefault="006A5D28" w:rsidP="007860DC">
            <w:pPr>
              <w:pStyle w:val="TableText"/>
              <w:rPr>
                <w:rFonts w:cs="Arial"/>
                <w:color w:val="000000"/>
                <w:lang w:eastAsia="en-NZ"/>
              </w:rPr>
            </w:pPr>
            <w:r w:rsidRPr="00930FDA">
              <w:rPr>
                <w:rFonts w:cs="Arial"/>
                <w:color w:val="000000"/>
                <w:lang w:eastAsia="en-NZ"/>
              </w:rPr>
              <w:t>Total</w:t>
            </w:r>
          </w:p>
        </w:tc>
        <w:tc>
          <w:tcPr>
            <w:tcW w:w="1182" w:type="dxa"/>
            <w:tcBorders>
              <w:top w:val="nil"/>
              <w:left w:val="single" w:sz="4" w:space="0" w:color="A6A6A6" w:themeColor="background1" w:themeShade="A6"/>
              <w:right w:val="single" w:sz="4" w:space="0" w:color="A6A6A6" w:themeColor="background1" w:themeShade="A6"/>
            </w:tcBorders>
            <w:shd w:val="clear" w:color="auto" w:fill="auto"/>
            <w:noWrap/>
          </w:tcPr>
          <w:p w:rsidR="006A5D28" w:rsidRPr="005E65D1" w:rsidRDefault="006A5D28" w:rsidP="007860DC">
            <w:pPr>
              <w:pStyle w:val="TableText"/>
              <w:jc w:val="center"/>
              <w:rPr>
                <w:rFonts w:cs="Arial"/>
                <w:color w:val="000000"/>
                <w:lang w:eastAsia="en-NZ"/>
              </w:rPr>
            </w:pPr>
            <w:r w:rsidRPr="005E65D1">
              <w:rPr>
                <w:rFonts w:cs="Arial"/>
                <w:color w:val="000000"/>
                <w:lang w:eastAsia="en-NZ"/>
              </w:rPr>
              <w:t>1</w:t>
            </w:r>
            <w:r w:rsidR="00A06E9D">
              <w:rPr>
                <w:rFonts w:cs="Arial"/>
                <w:color w:val="000000"/>
                <w:lang w:eastAsia="en-NZ"/>
              </w:rPr>
              <w:t>,</w:t>
            </w:r>
            <w:r w:rsidRPr="005E65D1">
              <w:rPr>
                <w:rFonts w:cs="Arial"/>
                <w:color w:val="000000"/>
                <w:lang w:eastAsia="en-NZ"/>
              </w:rPr>
              <w:t>8</w:t>
            </w:r>
            <w:r>
              <w:rPr>
                <w:rFonts w:cs="Arial"/>
                <w:color w:val="000000"/>
                <w:lang w:eastAsia="en-NZ"/>
              </w:rPr>
              <w:t>08</w:t>
            </w:r>
          </w:p>
        </w:tc>
        <w:tc>
          <w:tcPr>
            <w:tcW w:w="851" w:type="dxa"/>
            <w:tcBorders>
              <w:top w:val="nil"/>
              <w:left w:val="single" w:sz="4" w:space="0" w:color="A6A6A6" w:themeColor="background1" w:themeShade="A6"/>
            </w:tcBorders>
            <w:shd w:val="clear" w:color="auto" w:fill="auto"/>
            <w:noWrap/>
          </w:tcPr>
          <w:p w:rsidR="006A5D28" w:rsidRPr="005E65D1" w:rsidRDefault="006A5D28" w:rsidP="00A06E9D">
            <w:pPr>
              <w:pStyle w:val="TableText"/>
              <w:jc w:val="center"/>
              <w:rPr>
                <w:rFonts w:cs="Arial"/>
                <w:color w:val="000000"/>
                <w:lang w:eastAsia="en-NZ"/>
              </w:rPr>
            </w:pPr>
            <w:r w:rsidRPr="005E65D1">
              <w:rPr>
                <w:rFonts w:cs="Arial"/>
                <w:color w:val="000000"/>
                <w:lang w:eastAsia="en-NZ"/>
              </w:rPr>
              <w:t>98</w:t>
            </w:r>
            <w:r>
              <w:rPr>
                <w:rFonts w:cs="Arial"/>
                <w:color w:val="000000"/>
                <w:lang w:eastAsia="en-NZ"/>
              </w:rPr>
              <w:t>4</w:t>
            </w:r>
          </w:p>
        </w:tc>
        <w:tc>
          <w:tcPr>
            <w:tcW w:w="708" w:type="dxa"/>
            <w:tcBorders>
              <w:top w:val="nil"/>
              <w:right w:val="single" w:sz="4" w:space="0" w:color="A6A6A6" w:themeColor="background1" w:themeShade="A6"/>
            </w:tcBorders>
            <w:shd w:val="clear" w:color="auto" w:fill="auto"/>
            <w:noWrap/>
          </w:tcPr>
          <w:p w:rsidR="006A5D28" w:rsidRPr="005E65D1" w:rsidRDefault="006A5D28" w:rsidP="00A06E9D">
            <w:pPr>
              <w:pStyle w:val="TableText"/>
              <w:jc w:val="center"/>
              <w:rPr>
                <w:rFonts w:cs="Arial"/>
                <w:color w:val="000000"/>
                <w:lang w:eastAsia="en-NZ"/>
              </w:rPr>
            </w:pPr>
            <w:r w:rsidRPr="005E65D1">
              <w:rPr>
                <w:rFonts w:cs="Arial"/>
                <w:color w:val="000000"/>
                <w:lang w:eastAsia="en-NZ"/>
              </w:rPr>
              <w:t>54.</w:t>
            </w:r>
            <w:r>
              <w:rPr>
                <w:rFonts w:cs="Arial"/>
                <w:color w:val="000000"/>
                <w:lang w:eastAsia="en-NZ"/>
              </w:rPr>
              <w:t>4</w:t>
            </w:r>
          </w:p>
        </w:tc>
        <w:tc>
          <w:tcPr>
            <w:tcW w:w="851" w:type="dxa"/>
            <w:tcBorders>
              <w:top w:val="nil"/>
              <w:left w:val="single" w:sz="4" w:space="0" w:color="A6A6A6" w:themeColor="background1" w:themeShade="A6"/>
            </w:tcBorders>
            <w:shd w:val="clear" w:color="auto" w:fill="auto"/>
            <w:noWrap/>
          </w:tcPr>
          <w:p w:rsidR="006A5D28" w:rsidRPr="005E65D1" w:rsidRDefault="006A5D28" w:rsidP="00A06E9D">
            <w:pPr>
              <w:pStyle w:val="TableText"/>
              <w:jc w:val="center"/>
              <w:rPr>
                <w:rFonts w:cs="Arial"/>
                <w:color w:val="000000"/>
                <w:lang w:eastAsia="en-NZ"/>
              </w:rPr>
            </w:pPr>
            <w:r w:rsidRPr="005E65D1">
              <w:rPr>
                <w:rFonts w:cs="Arial"/>
                <w:color w:val="000000"/>
                <w:lang w:eastAsia="en-NZ"/>
              </w:rPr>
              <w:t>6</w:t>
            </w:r>
            <w:r>
              <w:rPr>
                <w:rFonts w:cs="Arial"/>
                <w:color w:val="000000"/>
                <w:lang w:eastAsia="en-NZ"/>
              </w:rPr>
              <w:t>92</w:t>
            </w:r>
          </w:p>
        </w:tc>
        <w:tc>
          <w:tcPr>
            <w:tcW w:w="708" w:type="dxa"/>
            <w:tcBorders>
              <w:top w:val="nil"/>
              <w:right w:val="single" w:sz="4" w:space="0" w:color="A6A6A6" w:themeColor="background1" w:themeShade="A6"/>
            </w:tcBorders>
            <w:shd w:val="clear" w:color="auto" w:fill="auto"/>
            <w:noWrap/>
          </w:tcPr>
          <w:p w:rsidR="006A5D28" w:rsidRPr="005E65D1" w:rsidRDefault="006A5D28" w:rsidP="00A06E9D">
            <w:pPr>
              <w:pStyle w:val="TableText"/>
              <w:jc w:val="center"/>
              <w:rPr>
                <w:rFonts w:cs="Arial"/>
                <w:color w:val="000000"/>
                <w:lang w:eastAsia="en-NZ"/>
              </w:rPr>
            </w:pPr>
            <w:r>
              <w:rPr>
                <w:rFonts w:cs="Arial"/>
                <w:color w:val="000000"/>
                <w:lang w:eastAsia="en-NZ"/>
              </w:rPr>
              <w:t>38.3</w:t>
            </w:r>
          </w:p>
        </w:tc>
        <w:tc>
          <w:tcPr>
            <w:tcW w:w="851" w:type="dxa"/>
            <w:tcBorders>
              <w:top w:val="nil"/>
              <w:left w:val="single" w:sz="4" w:space="0" w:color="A6A6A6" w:themeColor="background1" w:themeShade="A6"/>
            </w:tcBorders>
            <w:shd w:val="clear" w:color="auto" w:fill="auto"/>
            <w:noWrap/>
          </w:tcPr>
          <w:p w:rsidR="006A5D28" w:rsidRPr="005E65D1" w:rsidRDefault="006A5D28" w:rsidP="00A06E9D">
            <w:pPr>
              <w:pStyle w:val="TableText"/>
              <w:jc w:val="center"/>
              <w:rPr>
                <w:rFonts w:cs="Arial"/>
                <w:color w:val="000000"/>
                <w:lang w:eastAsia="en-NZ"/>
              </w:rPr>
            </w:pPr>
            <w:r>
              <w:rPr>
                <w:rFonts w:cs="Arial"/>
                <w:color w:val="000000"/>
                <w:lang w:eastAsia="en-NZ"/>
              </w:rPr>
              <w:t>273</w:t>
            </w:r>
          </w:p>
        </w:tc>
        <w:tc>
          <w:tcPr>
            <w:tcW w:w="708" w:type="dxa"/>
            <w:tcBorders>
              <w:top w:val="nil"/>
              <w:right w:val="single" w:sz="4" w:space="0" w:color="A6A6A6" w:themeColor="background1" w:themeShade="A6"/>
            </w:tcBorders>
            <w:shd w:val="clear" w:color="auto" w:fill="auto"/>
            <w:noWrap/>
          </w:tcPr>
          <w:p w:rsidR="006A5D28" w:rsidRPr="005E65D1" w:rsidRDefault="006A5D28" w:rsidP="00A06E9D">
            <w:pPr>
              <w:pStyle w:val="TableText"/>
              <w:jc w:val="center"/>
              <w:rPr>
                <w:rFonts w:cs="Arial"/>
                <w:color w:val="000000"/>
                <w:lang w:eastAsia="en-NZ"/>
              </w:rPr>
            </w:pPr>
            <w:r w:rsidRPr="005E65D1">
              <w:rPr>
                <w:rFonts w:cs="Arial"/>
                <w:color w:val="000000"/>
                <w:lang w:eastAsia="en-NZ"/>
              </w:rPr>
              <w:t>15</w:t>
            </w:r>
            <w:r>
              <w:rPr>
                <w:rFonts w:cs="Arial"/>
                <w:color w:val="000000"/>
                <w:lang w:eastAsia="en-NZ"/>
              </w:rPr>
              <w:t>.1</w:t>
            </w:r>
          </w:p>
        </w:tc>
        <w:tc>
          <w:tcPr>
            <w:tcW w:w="851" w:type="dxa"/>
            <w:tcBorders>
              <w:top w:val="nil"/>
              <w:left w:val="single" w:sz="4" w:space="0" w:color="A6A6A6" w:themeColor="background1" w:themeShade="A6"/>
            </w:tcBorders>
            <w:shd w:val="clear" w:color="auto" w:fill="auto"/>
            <w:noWrap/>
          </w:tcPr>
          <w:p w:rsidR="006A5D28" w:rsidRPr="005E65D1" w:rsidRDefault="006A5D28" w:rsidP="00A06E9D">
            <w:pPr>
              <w:pStyle w:val="TableText"/>
              <w:jc w:val="center"/>
              <w:rPr>
                <w:rFonts w:cs="Arial"/>
                <w:color w:val="000000"/>
                <w:lang w:eastAsia="en-NZ"/>
              </w:rPr>
            </w:pPr>
            <w:r>
              <w:rPr>
                <w:rFonts w:cs="Arial"/>
                <w:color w:val="000000"/>
                <w:lang w:eastAsia="en-NZ"/>
              </w:rPr>
              <w:t>800</w:t>
            </w:r>
          </w:p>
        </w:tc>
        <w:tc>
          <w:tcPr>
            <w:tcW w:w="709" w:type="dxa"/>
            <w:tcBorders>
              <w:top w:val="nil"/>
            </w:tcBorders>
            <w:shd w:val="clear" w:color="auto" w:fill="auto"/>
            <w:noWrap/>
          </w:tcPr>
          <w:p w:rsidR="006A5D28" w:rsidRPr="005E65D1" w:rsidRDefault="006A5D28" w:rsidP="00A06E9D">
            <w:pPr>
              <w:pStyle w:val="TableText"/>
              <w:jc w:val="center"/>
              <w:rPr>
                <w:rFonts w:cs="Arial"/>
                <w:color w:val="000000"/>
                <w:lang w:eastAsia="en-NZ"/>
              </w:rPr>
            </w:pPr>
            <w:r>
              <w:rPr>
                <w:rFonts w:cs="Arial"/>
                <w:color w:val="000000"/>
                <w:lang w:eastAsia="en-NZ"/>
              </w:rPr>
              <w:t>44.2</w:t>
            </w:r>
          </w:p>
        </w:tc>
      </w:tr>
    </w:tbl>
    <w:p w:rsidR="006A5D28" w:rsidRDefault="006A5D28" w:rsidP="00A06E9D"/>
    <w:p w:rsidR="00E51135" w:rsidRDefault="006A5D28" w:rsidP="007860DC">
      <w:r>
        <w:t>For 27.7 percent of people, their preoperative radiotherapy was short-course. Wide variation was seen in the use of short-course radiotherapy</w:t>
      </w:r>
      <w:r w:rsidRPr="004569CD">
        <w:t xml:space="preserve"> </w:t>
      </w:r>
      <w:r>
        <w:t>between providers (from 12 percent to 54 percent).</w:t>
      </w:r>
    </w:p>
    <w:p w:rsidR="007860DC" w:rsidRDefault="007860DC" w:rsidP="007860DC"/>
    <w:p w:rsidR="006A5D28" w:rsidRDefault="006A5D28" w:rsidP="007860DC">
      <w:r>
        <w:t>There was wide variation between DHBs in the proportion of people with rectal cancer who received no publicly funded radiotherapy (</w:t>
      </w:r>
      <w:r>
        <w:fldChar w:fldCharType="begin"/>
      </w:r>
      <w:r>
        <w:instrText xml:space="preserve"> REF _Ref523401118 \h </w:instrText>
      </w:r>
      <w:r>
        <w:fldChar w:fldCharType="separate"/>
      </w:r>
      <w:r w:rsidR="002B5148">
        <w:t xml:space="preserve">Figure </w:t>
      </w:r>
      <w:r w:rsidR="002B5148">
        <w:rPr>
          <w:noProof/>
        </w:rPr>
        <w:t>7</w:t>
      </w:r>
      <w:r>
        <w:fldChar w:fldCharType="end"/>
      </w:r>
      <w:r>
        <w:t>). Five DHBs were above the 95 percent confidence limits for this indicator, and seven DHBs were below the 95 percent confidence limits.</w:t>
      </w:r>
    </w:p>
    <w:p w:rsidR="007860DC" w:rsidRDefault="007860DC" w:rsidP="007860DC"/>
    <w:p w:rsidR="006A5D28" w:rsidRDefault="006A5D28" w:rsidP="007860DC">
      <w:pPr>
        <w:pStyle w:val="Figure"/>
      </w:pPr>
      <w:bookmarkStart w:id="127" w:name="_Ref523401118"/>
      <w:bookmarkStart w:id="128" w:name="_Ref523401114"/>
      <w:bookmarkStart w:id="129" w:name="_Toc518036"/>
      <w:bookmarkStart w:id="130" w:name="_Toc2254074"/>
      <w:r>
        <w:lastRenderedPageBreak/>
        <w:t xml:space="preserve">Figure </w:t>
      </w:r>
      <w:r>
        <w:rPr>
          <w:noProof/>
        </w:rPr>
        <w:fldChar w:fldCharType="begin"/>
      </w:r>
      <w:r>
        <w:rPr>
          <w:noProof/>
        </w:rPr>
        <w:instrText xml:space="preserve"> SEQ Figure \* ARABIC </w:instrText>
      </w:r>
      <w:r>
        <w:rPr>
          <w:noProof/>
        </w:rPr>
        <w:fldChar w:fldCharType="separate"/>
      </w:r>
      <w:r w:rsidR="002B5148">
        <w:rPr>
          <w:noProof/>
        </w:rPr>
        <w:t>7</w:t>
      </w:r>
      <w:r>
        <w:rPr>
          <w:noProof/>
        </w:rPr>
        <w:fldChar w:fldCharType="end"/>
      </w:r>
      <w:bookmarkEnd w:id="127"/>
      <w:r>
        <w:t xml:space="preserve">: </w:t>
      </w:r>
      <w:r w:rsidRPr="00F05871">
        <w:t xml:space="preserve">Proportion of people with rectal cancer </w:t>
      </w:r>
      <w:r>
        <w:t>having</w:t>
      </w:r>
      <w:r w:rsidRPr="00F05871">
        <w:t xml:space="preserve"> </w:t>
      </w:r>
      <w:r>
        <w:t>no radiotherapy (surgery alone), by district health board of service for surgery, 2013–16</w:t>
      </w:r>
      <w:bookmarkEnd w:id="128"/>
      <w:bookmarkEnd w:id="129"/>
      <w:bookmarkEnd w:id="130"/>
    </w:p>
    <w:p w:rsidR="006A5D28" w:rsidRDefault="006A5D28" w:rsidP="00A06E9D">
      <w:r>
        <w:rPr>
          <w:noProof/>
          <w:lang w:eastAsia="en-NZ"/>
        </w:rPr>
        <w:drawing>
          <wp:inline distT="0" distB="0" distL="0" distR="0" wp14:anchorId="391323E9" wp14:editId="2E55642F">
            <wp:extent cx="5120640" cy="2592224"/>
            <wp:effectExtent l="0" t="0" r="3810" b="0"/>
            <wp:docPr id="8" name="Picture 8" title="Figure 7: Proportion of people with rectal cancer having no radiotherapy (surgery alone), by district health board of service for surgery, 20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QI16_NoRT_DHBServ.png"/>
                    <pic:cNvPicPr/>
                  </pic:nvPicPr>
                  <pic:blipFill rotWithShape="1">
                    <a:blip r:embed="rId27" cstate="print">
                      <a:extLst>
                        <a:ext uri="{28A0092B-C50C-407E-A947-70E740481C1C}">
                          <a14:useLocalDpi xmlns:a14="http://schemas.microsoft.com/office/drawing/2010/main" val="0"/>
                        </a:ext>
                      </a:extLst>
                    </a:blip>
                    <a:srcRect t="13247" r="2728" b="2337"/>
                    <a:stretch/>
                  </pic:blipFill>
                  <pic:spPr bwMode="auto">
                    <a:xfrm>
                      <a:off x="0" y="0"/>
                      <a:ext cx="5120652" cy="2592230"/>
                    </a:xfrm>
                    <a:prstGeom prst="rect">
                      <a:avLst/>
                    </a:prstGeom>
                    <a:ln>
                      <a:noFill/>
                    </a:ln>
                    <a:extLst>
                      <a:ext uri="{53640926-AAD7-44D8-BBD7-CCE9431645EC}">
                        <a14:shadowObscured xmlns:a14="http://schemas.microsoft.com/office/drawing/2010/main"/>
                      </a:ext>
                    </a:extLst>
                  </pic:spPr>
                </pic:pic>
              </a:graphicData>
            </a:graphic>
          </wp:inline>
        </w:drawing>
      </w:r>
    </w:p>
    <w:p w:rsidR="006A5D28" w:rsidRDefault="006A5D28" w:rsidP="00A06E9D"/>
    <w:p w:rsidR="00E51135" w:rsidRDefault="006A5D28" w:rsidP="00A06E9D">
      <w:r>
        <w:t>Wide variation in SCRT and LCRT use between cancer centres was the likely cause of variation at a DHB level (</w:t>
      </w:r>
      <w:r>
        <w:fldChar w:fldCharType="begin"/>
      </w:r>
      <w:r>
        <w:instrText xml:space="preserve"> REF _Ref523401198 \h </w:instrText>
      </w:r>
      <w:r>
        <w:fldChar w:fldCharType="separate"/>
      </w:r>
      <w:r w:rsidR="002B5148">
        <w:t xml:space="preserve">Figure </w:t>
      </w:r>
      <w:r w:rsidR="002B5148">
        <w:rPr>
          <w:noProof/>
        </w:rPr>
        <w:t>8</w:t>
      </w:r>
      <w:r>
        <w:fldChar w:fldCharType="end"/>
      </w:r>
      <w:r>
        <w:t xml:space="preserve"> and </w:t>
      </w:r>
      <w:r>
        <w:fldChar w:fldCharType="begin"/>
      </w:r>
      <w:r>
        <w:instrText xml:space="preserve"> REF _Ref523401201 \h </w:instrText>
      </w:r>
      <w:r>
        <w:fldChar w:fldCharType="separate"/>
      </w:r>
      <w:r w:rsidR="002B5148">
        <w:t xml:space="preserve">Figure </w:t>
      </w:r>
      <w:r w:rsidR="002B5148">
        <w:rPr>
          <w:noProof/>
        </w:rPr>
        <w:t>9</w:t>
      </w:r>
      <w:r>
        <w:fldChar w:fldCharType="end"/>
      </w:r>
      <w:r>
        <w:t>). In each case, three DHBs were above the 95 percent confidence limits, and five or more DHBs were below the 95 percent confidence limits.</w:t>
      </w:r>
    </w:p>
    <w:p w:rsidR="00A06E9D" w:rsidRDefault="00A06E9D" w:rsidP="00A06E9D"/>
    <w:p w:rsidR="006A5D28" w:rsidRDefault="006A5D28" w:rsidP="00A06E9D">
      <w:pPr>
        <w:pStyle w:val="Figure"/>
      </w:pPr>
      <w:bookmarkStart w:id="131" w:name="_Ref523401198"/>
      <w:bookmarkStart w:id="132" w:name="_Toc518037"/>
      <w:bookmarkStart w:id="133" w:name="_Toc2254075"/>
      <w:r>
        <w:t xml:space="preserve">Figure </w:t>
      </w:r>
      <w:r>
        <w:rPr>
          <w:noProof/>
        </w:rPr>
        <w:fldChar w:fldCharType="begin"/>
      </w:r>
      <w:r>
        <w:rPr>
          <w:noProof/>
        </w:rPr>
        <w:instrText xml:space="preserve"> SEQ Figure \* ARABIC </w:instrText>
      </w:r>
      <w:r>
        <w:rPr>
          <w:noProof/>
        </w:rPr>
        <w:fldChar w:fldCharType="separate"/>
      </w:r>
      <w:r w:rsidR="002B5148">
        <w:rPr>
          <w:noProof/>
        </w:rPr>
        <w:t>8</w:t>
      </w:r>
      <w:r>
        <w:rPr>
          <w:noProof/>
        </w:rPr>
        <w:fldChar w:fldCharType="end"/>
      </w:r>
      <w:bookmarkEnd w:id="131"/>
      <w:r>
        <w:t xml:space="preserve">: </w:t>
      </w:r>
      <w:r w:rsidRPr="00F05871">
        <w:t xml:space="preserve">Proportion of people with rectal cancer </w:t>
      </w:r>
      <w:r>
        <w:t xml:space="preserve">having </w:t>
      </w:r>
      <w:r w:rsidRPr="0080039E">
        <w:t>pre</w:t>
      </w:r>
      <w:r>
        <w:t>-</w:t>
      </w:r>
      <w:r w:rsidRPr="0080039E">
        <w:t>op</w:t>
      </w:r>
      <w:r>
        <w:t>erative</w:t>
      </w:r>
      <w:r w:rsidRPr="0080039E">
        <w:t xml:space="preserve"> </w:t>
      </w:r>
      <w:r>
        <w:t>short-course radiotherapy, by district health board of service for surgery,</w:t>
      </w:r>
      <w:r w:rsidRPr="005F36B8">
        <w:t xml:space="preserve"> </w:t>
      </w:r>
      <w:r>
        <w:t>2013–16</w:t>
      </w:r>
      <w:bookmarkEnd w:id="132"/>
      <w:bookmarkEnd w:id="133"/>
    </w:p>
    <w:p w:rsidR="006A5D28" w:rsidRDefault="006A5D28" w:rsidP="00A06E9D">
      <w:r>
        <w:rPr>
          <w:noProof/>
          <w:lang w:eastAsia="en-NZ"/>
        </w:rPr>
        <w:drawing>
          <wp:inline distT="0" distB="0" distL="0" distR="0" wp14:anchorId="2C601D26" wp14:editId="7E4AFC83">
            <wp:extent cx="5070763" cy="2555158"/>
            <wp:effectExtent l="0" t="0" r="0" b="0"/>
            <wp:docPr id="25" name="Picture 25" title="Figure 8: Proportion of people with rectal cancer having pre-operative short-course radiotherapy, by district health board of service for surgery, 20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CQI16_SCRT_DHBServ.png"/>
                    <pic:cNvPicPr/>
                  </pic:nvPicPr>
                  <pic:blipFill rotWithShape="1">
                    <a:blip r:embed="rId28" cstate="print">
                      <a:extLst>
                        <a:ext uri="{28A0092B-C50C-407E-A947-70E740481C1C}">
                          <a14:useLocalDpi xmlns:a14="http://schemas.microsoft.com/office/drawing/2010/main" val="0"/>
                        </a:ext>
                      </a:extLst>
                    </a:blip>
                    <a:srcRect t="13247" r="2879" b="2857"/>
                    <a:stretch/>
                  </pic:blipFill>
                  <pic:spPr bwMode="auto">
                    <a:xfrm>
                      <a:off x="0" y="0"/>
                      <a:ext cx="5070774" cy="2555164"/>
                    </a:xfrm>
                    <a:prstGeom prst="rect">
                      <a:avLst/>
                    </a:prstGeom>
                    <a:ln>
                      <a:noFill/>
                    </a:ln>
                    <a:extLst>
                      <a:ext uri="{53640926-AAD7-44D8-BBD7-CCE9431645EC}">
                        <a14:shadowObscured xmlns:a14="http://schemas.microsoft.com/office/drawing/2010/main"/>
                      </a:ext>
                    </a:extLst>
                  </pic:spPr>
                </pic:pic>
              </a:graphicData>
            </a:graphic>
          </wp:inline>
        </w:drawing>
      </w:r>
    </w:p>
    <w:p w:rsidR="006A5D28" w:rsidRDefault="006A5D28" w:rsidP="00A06E9D"/>
    <w:p w:rsidR="006A5D28" w:rsidRDefault="006A5D28" w:rsidP="00A06E9D">
      <w:pPr>
        <w:pStyle w:val="Figure"/>
      </w:pPr>
      <w:bookmarkStart w:id="134" w:name="_Ref523401201"/>
      <w:bookmarkStart w:id="135" w:name="_Toc518038"/>
      <w:bookmarkStart w:id="136" w:name="_Toc2254076"/>
      <w:r>
        <w:lastRenderedPageBreak/>
        <w:t xml:space="preserve">Figure </w:t>
      </w:r>
      <w:r>
        <w:rPr>
          <w:noProof/>
        </w:rPr>
        <w:fldChar w:fldCharType="begin"/>
      </w:r>
      <w:r>
        <w:rPr>
          <w:noProof/>
        </w:rPr>
        <w:instrText xml:space="preserve"> SEQ Figure \* ARABIC </w:instrText>
      </w:r>
      <w:r>
        <w:rPr>
          <w:noProof/>
        </w:rPr>
        <w:fldChar w:fldCharType="separate"/>
      </w:r>
      <w:r w:rsidR="002B5148">
        <w:rPr>
          <w:noProof/>
        </w:rPr>
        <w:t>9</w:t>
      </w:r>
      <w:r>
        <w:rPr>
          <w:noProof/>
        </w:rPr>
        <w:fldChar w:fldCharType="end"/>
      </w:r>
      <w:bookmarkEnd w:id="134"/>
      <w:r>
        <w:t xml:space="preserve">: </w:t>
      </w:r>
      <w:r w:rsidRPr="00F05871">
        <w:t xml:space="preserve">Proportion of people with rectal cancer </w:t>
      </w:r>
      <w:r>
        <w:t xml:space="preserve">having </w:t>
      </w:r>
      <w:r w:rsidRPr="00F05871">
        <w:t>long</w:t>
      </w:r>
      <w:r>
        <w:t>-</w:t>
      </w:r>
      <w:r w:rsidRPr="00F05871">
        <w:t>course pre-operative radiotherapy</w:t>
      </w:r>
      <w:r>
        <w:t xml:space="preserve"> by </w:t>
      </w:r>
      <w:r w:rsidR="000B1FD9">
        <w:t>district health board</w:t>
      </w:r>
      <w:r>
        <w:t xml:space="preserve"> of service for surgery,</w:t>
      </w:r>
      <w:r w:rsidRPr="005F36B8">
        <w:t xml:space="preserve"> </w:t>
      </w:r>
      <w:r>
        <w:t>2013–16</w:t>
      </w:r>
      <w:bookmarkEnd w:id="135"/>
      <w:bookmarkEnd w:id="136"/>
    </w:p>
    <w:p w:rsidR="006A5D28" w:rsidRDefault="006A5D28" w:rsidP="00A06E9D">
      <w:r>
        <w:rPr>
          <w:noProof/>
          <w:lang w:eastAsia="en-NZ"/>
        </w:rPr>
        <w:drawing>
          <wp:inline distT="0" distB="0" distL="0" distR="0" wp14:anchorId="6E693028" wp14:editId="54696D89">
            <wp:extent cx="5104014" cy="2567957"/>
            <wp:effectExtent l="0" t="0" r="1905" b="3810"/>
            <wp:docPr id="26" name="Picture 26" title="Figure 9: Proportion of people with rectal cancer having long-course pre-operative radiotherapy by DHB of service for surgery, 20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CQI16_LCRT_DHBServ.png"/>
                    <pic:cNvPicPr/>
                  </pic:nvPicPr>
                  <pic:blipFill rotWithShape="1">
                    <a:blip r:embed="rId29" cstate="print">
                      <a:extLst>
                        <a:ext uri="{28A0092B-C50C-407E-A947-70E740481C1C}">
                          <a14:useLocalDpi xmlns:a14="http://schemas.microsoft.com/office/drawing/2010/main" val="0"/>
                        </a:ext>
                      </a:extLst>
                    </a:blip>
                    <a:srcRect t="12727" r="3030" b="3637"/>
                    <a:stretch/>
                  </pic:blipFill>
                  <pic:spPr bwMode="auto">
                    <a:xfrm>
                      <a:off x="0" y="0"/>
                      <a:ext cx="5104026" cy="2567963"/>
                    </a:xfrm>
                    <a:prstGeom prst="rect">
                      <a:avLst/>
                    </a:prstGeom>
                    <a:ln>
                      <a:noFill/>
                    </a:ln>
                    <a:extLst>
                      <a:ext uri="{53640926-AAD7-44D8-BBD7-CCE9431645EC}">
                        <a14:shadowObscured xmlns:a14="http://schemas.microsoft.com/office/drawing/2010/main"/>
                      </a:ext>
                    </a:extLst>
                  </pic:spPr>
                </pic:pic>
              </a:graphicData>
            </a:graphic>
          </wp:inline>
        </w:drawing>
      </w:r>
    </w:p>
    <w:p w:rsidR="006A5D28" w:rsidRDefault="006A5D28" w:rsidP="00A06E9D"/>
    <w:p w:rsidR="00E51135" w:rsidRDefault="006A5D28" w:rsidP="00A06E9D">
      <w:r>
        <w:t>Māori had significantly lower rates (35%) of having no radiotherapy (surgery alone) than all other ethnic groups (45–49%). Pacific had lower SCRT rates (6%) than other ethnic groups (11–16%).</w:t>
      </w:r>
    </w:p>
    <w:p w:rsidR="00A06E9D" w:rsidRDefault="00A06E9D" w:rsidP="00A06E9D"/>
    <w:p w:rsidR="006A5D28" w:rsidRDefault="006A5D28" w:rsidP="00A06E9D">
      <w:r>
        <w:t>The use of radiotherapy for rectal cancer patients in New Zealand appears higher than use as reported in the United Kingdom NBOCA report.</w:t>
      </w:r>
    </w:p>
    <w:p w:rsidR="00A06E9D" w:rsidRDefault="00A06E9D" w:rsidP="00A06E9D"/>
    <w:p w:rsidR="006A5D28" w:rsidRDefault="006A5D28" w:rsidP="00A06E9D">
      <w:r>
        <w:t>The 2017 NBOCA report stated that 38 percent of all rectal cancer patients undergoing a major resection received pre-operative treatment, 26 percent of patients received LCRT and 8 percent of patients received SCRT. These results are lower than the results calculated from New Zealand publicly funded service data.</w:t>
      </w:r>
    </w:p>
    <w:p w:rsidR="00A06E9D" w:rsidRDefault="00A06E9D" w:rsidP="00A06E9D"/>
    <w:p w:rsidR="006A5D28" w:rsidRDefault="006A5D28" w:rsidP="00A06E9D">
      <w:r>
        <w:t xml:space="preserve">The </w:t>
      </w:r>
      <w:r w:rsidR="00B77549">
        <w:t>Piper Project</w:t>
      </w:r>
      <w:r>
        <w:t xml:space="preserve"> found that 52 percent of patients with non-metastatic rectal cancer received radiotherapy. Of the pre-operative strategies, 18 percent received SCRT and 82 percent received LCRT. Of patients who received radiotherapy, 10 percent were treated post-operatively rather than pre-operatively.</w:t>
      </w:r>
    </w:p>
    <w:p w:rsidR="00A06E9D" w:rsidRDefault="00A06E9D" w:rsidP="00A06E9D"/>
    <w:p w:rsidR="006A5D28" w:rsidRDefault="006A5D28" w:rsidP="00A06E9D">
      <w:r>
        <w:t>We were unable to ascertain whether individual patients</w:t>
      </w:r>
      <w:r w:rsidR="00E51135">
        <w:t>’</w:t>
      </w:r>
      <w:r>
        <w:t xml:space="preserve"> rectal cancer was metastatic or non-metastatic, so our analyses do not exclude people with metastatic rectal cancer. Therefore our findings may not be directly comparable to the </w:t>
      </w:r>
      <w:r w:rsidR="00B77549">
        <w:t>Piper Project</w:t>
      </w:r>
      <w:r>
        <w:t>, in which people with metastatic rectal cancer were excluded from the radiotherapy rates.</w:t>
      </w:r>
    </w:p>
    <w:p w:rsidR="00A06E9D" w:rsidRPr="0043008A" w:rsidRDefault="00A06E9D" w:rsidP="00A06E9D">
      <w:pPr>
        <w:rPr>
          <w:u w:val="single"/>
        </w:rPr>
      </w:pPr>
    </w:p>
    <w:p w:rsidR="00E51135" w:rsidRDefault="006A5D28" w:rsidP="00A06E9D">
      <w:r>
        <w:t xml:space="preserve">The proportion of people receiving SCRT appears to have increased since the </w:t>
      </w:r>
      <w:r w:rsidR="00B77549">
        <w:t>Piper Project</w:t>
      </w:r>
      <w:r>
        <w:t>, with the caveat that the PIPER measure excluded metastatic rectal cancer.</w:t>
      </w:r>
    </w:p>
    <w:p w:rsidR="00A06E9D" w:rsidRDefault="00A06E9D" w:rsidP="00A06E9D"/>
    <w:p w:rsidR="00E51135" w:rsidRDefault="006A5D28" w:rsidP="00A06E9D">
      <w:pPr>
        <w:pStyle w:val="Heading3"/>
        <w:numPr>
          <w:ilvl w:val="0"/>
          <w:numId w:val="0"/>
        </w:numPr>
      </w:pPr>
      <w:r>
        <w:t>Recommendation</w:t>
      </w:r>
    </w:p>
    <w:p w:rsidR="00E51135" w:rsidRDefault="006A5D28" w:rsidP="00A06E9D">
      <w:pPr>
        <w:keepNext/>
      </w:pPr>
      <w:r w:rsidRPr="00720BA7">
        <w:t xml:space="preserve">Pre- or postoperative radiotherapy reduces the risk of pelvic recurrence of rectal cancer, but results in morbidity, so appropriate patient selection for this treatment is </w:t>
      </w:r>
      <w:r w:rsidRPr="00720BA7">
        <w:lastRenderedPageBreak/>
        <w:t>important. Preoperative radiotherapy results in fewer long-term side effects tha</w:t>
      </w:r>
      <w:r>
        <w:t>n</w:t>
      </w:r>
      <w:r w:rsidRPr="00720BA7">
        <w:t xml:space="preserve"> postoperative radiotherapy.</w:t>
      </w:r>
    </w:p>
    <w:p w:rsidR="00A06E9D" w:rsidRDefault="00A06E9D" w:rsidP="00A06E9D"/>
    <w:p w:rsidR="006A5D28" w:rsidRPr="00D313C6" w:rsidRDefault="006A5D28" w:rsidP="00A06E9D">
      <w:r>
        <w:t>The current New Zealand guidelines for the management of early colorectal cancer</w:t>
      </w:r>
      <w:r w:rsidRPr="00A06E9D">
        <w:rPr>
          <w:rStyle w:val="FootnoteReference"/>
        </w:rPr>
        <w:footnoteReference w:id="8"/>
      </w:r>
      <w:r>
        <w:t xml:space="preserve"> </w:t>
      </w:r>
      <w:r w:rsidRPr="00D313C6">
        <w:t>recommend either preoperative short-course radiotherapy or preoperative long-course chemoradiation</w:t>
      </w:r>
      <w:r>
        <w:t xml:space="preserve"> </w:t>
      </w:r>
      <w:r w:rsidRPr="00D313C6">
        <w:t>for people with rectal cancer who are at risk of local recurrence. Preoperative long-course chemoradiation is recommended for people who have a low rectal cancer or a threatened circumferential resection margin</w:t>
      </w:r>
      <w:r w:rsidR="00A06E9D">
        <w:t>.</w:t>
      </w:r>
      <w:r w:rsidRPr="00A06E9D">
        <w:rPr>
          <w:rStyle w:val="FootnoteReference"/>
        </w:rPr>
        <w:footnoteReference w:id="9"/>
      </w:r>
      <w:r w:rsidR="00A06E9D">
        <w:t xml:space="preserve"> </w:t>
      </w:r>
      <w:r w:rsidRPr="00A06E9D">
        <w:rPr>
          <w:rStyle w:val="FootnoteReference"/>
        </w:rPr>
        <w:footnoteReference w:id="10"/>
      </w:r>
    </w:p>
    <w:p w:rsidR="00A06E9D" w:rsidRDefault="00A06E9D" w:rsidP="00A06E9D"/>
    <w:p w:rsidR="00E51135" w:rsidRDefault="006A5D28" w:rsidP="00A06E9D">
      <w:r w:rsidRPr="00720BA7">
        <w:t>Short-course radiotherapy is more convenient for patients, has fewer short-term side effects and uses fewer health resources, so it is should be considered for patients at increased risk of pelvic recurrence, who are not at risk of positive resection margins.</w:t>
      </w:r>
    </w:p>
    <w:p w:rsidR="00A06E9D" w:rsidRDefault="00A06E9D" w:rsidP="00A06E9D"/>
    <w:p w:rsidR="006A5D28" w:rsidRDefault="006A5D28" w:rsidP="00A06E9D">
      <w:r>
        <w:t>This indicator therefore needs to be interpreted in conjunction with the rate of margin positivity.</w:t>
      </w:r>
    </w:p>
    <w:p w:rsidR="00A06E9D" w:rsidRDefault="00A06E9D" w:rsidP="00A06E9D"/>
    <w:p w:rsidR="006A5D28" w:rsidRDefault="006A5D28" w:rsidP="00A06E9D">
      <w:r>
        <w:t>The reasons why Māori have lower rates of surgery alone are not immediately clear; this potential disparity may require focused audit. It may reflect the wide variation in practice between DHBs, and different ethnic population structures within DHBs.</w:t>
      </w:r>
    </w:p>
    <w:p w:rsidR="00A06E9D" w:rsidRDefault="00A06E9D" w:rsidP="00A06E9D"/>
    <w:p w:rsidR="00A06E9D" w:rsidRDefault="006A5D28" w:rsidP="00A06E9D">
      <w:r>
        <w:t>Further work is needed to identify the reasons for the variability of pre-operative adjuvant therapy. This should involve the Radiation Oncology Working Group and other cancer service advisory groups involved in the multidisciplinary team process.</w:t>
      </w:r>
    </w:p>
    <w:p w:rsidR="00A06E9D" w:rsidRDefault="00A06E9D" w:rsidP="00A06E9D"/>
    <w:p w:rsidR="006A5D28" w:rsidRDefault="006A5D28" w:rsidP="00A06E9D">
      <w:pPr>
        <w:pStyle w:val="Heading2"/>
      </w:pPr>
      <w:bookmarkStart w:id="137" w:name="_Toc532290837"/>
      <w:bookmarkStart w:id="138" w:name="_Toc517868"/>
      <w:bookmarkStart w:id="139" w:name="_Toc2253746"/>
      <w:r>
        <w:t>How often are patients stoma free at 18 months after surgery?</w:t>
      </w:r>
      <w:bookmarkEnd w:id="137"/>
      <w:bookmarkEnd w:id="138"/>
      <w:bookmarkEnd w:id="139"/>
    </w:p>
    <w:p w:rsidR="006A5D28" w:rsidRDefault="006A5D28" w:rsidP="00A06E9D">
      <w:pPr>
        <w:keepNext/>
      </w:pPr>
      <w:r>
        <w:t>Stoma-free survival at 18 months after surgery for people with rectal cancer in New Zealand was 54.7 percent. The lowest 18-month stoma free survival rate was for people aged 75 years and over (42.5%).</w:t>
      </w:r>
    </w:p>
    <w:p w:rsidR="00A06E9D" w:rsidRDefault="00A06E9D" w:rsidP="00A06E9D">
      <w:pPr>
        <w:keepNext/>
      </w:pPr>
    </w:p>
    <w:p w:rsidR="00E51135" w:rsidRDefault="006A5D28" w:rsidP="00A06E9D">
      <w:r>
        <w:t>The 18-month stoma-free survival rate varied widely, from 14.3 percent to 80.2 percent across individual DHBs. Four DHBs were below the 95 percent confidence limits, and three DHBs were above the 95 percent confidence limits.</w:t>
      </w:r>
    </w:p>
    <w:p w:rsidR="00A06E9D" w:rsidRDefault="00A06E9D" w:rsidP="00A06E9D"/>
    <w:p w:rsidR="006A5D28" w:rsidRDefault="006A5D28" w:rsidP="00A06E9D">
      <w:pPr>
        <w:pStyle w:val="Figure"/>
      </w:pPr>
      <w:bookmarkStart w:id="140" w:name="_Toc518039"/>
      <w:bookmarkStart w:id="141" w:name="_Toc2254077"/>
      <w:r>
        <w:lastRenderedPageBreak/>
        <w:t xml:space="preserve">Figure </w:t>
      </w:r>
      <w:r>
        <w:rPr>
          <w:noProof/>
        </w:rPr>
        <w:fldChar w:fldCharType="begin"/>
      </w:r>
      <w:r>
        <w:rPr>
          <w:noProof/>
        </w:rPr>
        <w:instrText xml:space="preserve"> SEQ Figure \* ARABIC </w:instrText>
      </w:r>
      <w:r>
        <w:rPr>
          <w:noProof/>
        </w:rPr>
        <w:fldChar w:fldCharType="separate"/>
      </w:r>
      <w:r w:rsidR="002B5148">
        <w:rPr>
          <w:noProof/>
        </w:rPr>
        <w:t>10</w:t>
      </w:r>
      <w:r>
        <w:rPr>
          <w:noProof/>
        </w:rPr>
        <w:fldChar w:fldCharType="end"/>
      </w:r>
      <w:r>
        <w:t xml:space="preserve">: </w:t>
      </w:r>
      <w:r w:rsidRPr="00E63ED2">
        <w:t>Observed 18-month stoma</w:t>
      </w:r>
      <w:r>
        <w:t>-free</w:t>
      </w:r>
      <w:r w:rsidRPr="00E63ED2">
        <w:t xml:space="preserve"> rate by </w:t>
      </w:r>
      <w:r>
        <w:t>district health board</w:t>
      </w:r>
      <w:r w:rsidRPr="00E63ED2">
        <w:t xml:space="preserve"> of service for patients diagnosed with rectal cancer</w:t>
      </w:r>
      <w:r>
        <w:t>,</w:t>
      </w:r>
      <w:r w:rsidRPr="00E63ED2">
        <w:t xml:space="preserve"> 2013</w:t>
      </w:r>
      <w:r>
        <w:t>–</w:t>
      </w:r>
      <w:r w:rsidRPr="00E63ED2">
        <w:t>15</w:t>
      </w:r>
      <w:bookmarkEnd w:id="140"/>
      <w:bookmarkEnd w:id="141"/>
    </w:p>
    <w:p w:rsidR="006A5D28" w:rsidRDefault="006A5D28" w:rsidP="00A06E9D">
      <w:r>
        <w:rPr>
          <w:noProof/>
          <w:lang w:eastAsia="en-NZ"/>
        </w:rPr>
        <w:drawing>
          <wp:inline distT="0" distB="0" distL="0" distR="0" wp14:anchorId="7446C4E6" wp14:editId="59FC9FEB">
            <wp:extent cx="5104014" cy="2600617"/>
            <wp:effectExtent l="0" t="0" r="1905" b="9525"/>
            <wp:docPr id="27" name="Picture 27" title="Figure 10: Observed 18-month stoma-free rate by district health board of service for patients diagnosed with rectal cancer, 20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CQI21_Rectal.png"/>
                    <pic:cNvPicPr/>
                  </pic:nvPicPr>
                  <pic:blipFill rotWithShape="1">
                    <a:blip r:embed="rId30" cstate="print">
                      <a:extLst>
                        <a:ext uri="{28A0092B-C50C-407E-A947-70E740481C1C}">
                          <a14:useLocalDpi xmlns:a14="http://schemas.microsoft.com/office/drawing/2010/main" val="0"/>
                        </a:ext>
                      </a:extLst>
                    </a:blip>
                    <a:srcRect t="12987" r="4546" b="3636"/>
                    <a:stretch/>
                  </pic:blipFill>
                  <pic:spPr bwMode="auto">
                    <a:xfrm>
                      <a:off x="0" y="0"/>
                      <a:ext cx="5104024" cy="2600622"/>
                    </a:xfrm>
                    <a:prstGeom prst="rect">
                      <a:avLst/>
                    </a:prstGeom>
                    <a:ln>
                      <a:noFill/>
                    </a:ln>
                    <a:extLst>
                      <a:ext uri="{53640926-AAD7-44D8-BBD7-CCE9431645EC}">
                        <a14:shadowObscured xmlns:a14="http://schemas.microsoft.com/office/drawing/2010/main"/>
                      </a:ext>
                    </a:extLst>
                  </pic:spPr>
                </pic:pic>
              </a:graphicData>
            </a:graphic>
          </wp:inline>
        </w:drawing>
      </w:r>
    </w:p>
    <w:p w:rsidR="00A06E9D" w:rsidRDefault="00A06E9D" w:rsidP="00A06E9D"/>
    <w:p w:rsidR="00E51135" w:rsidRDefault="006A5D28" w:rsidP="00A06E9D">
      <w:r>
        <w:t>The NBOCA reports stoma rate, rather than stoma-free survival rate. The stoma procedures used to define the NBOCA stoma rate are different in some respects to the New Zealand stoma-free survival indicator.</w:t>
      </w:r>
    </w:p>
    <w:p w:rsidR="00A06E9D" w:rsidRDefault="00A06E9D" w:rsidP="00A06E9D"/>
    <w:p w:rsidR="006A5D28" w:rsidRDefault="006A5D28" w:rsidP="00A06E9D">
      <w:r>
        <w:t>The 18-month stoma rate in the 2017 NBOCA report was 52 percent.</w:t>
      </w:r>
      <w:r w:rsidRPr="00712223">
        <w:t xml:space="preserve"> </w:t>
      </w:r>
      <w:r>
        <w:t>There was wide variation in the stoma rate between units.</w:t>
      </w:r>
    </w:p>
    <w:p w:rsidR="00A06E9D" w:rsidRDefault="00A06E9D" w:rsidP="00A06E9D"/>
    <w:p w:rsidR="00E51135" w:rsidRDefault="006A5D28" w:rsidP="00A06E9D">
      <w:r>
        <w:t xml:space="preserve">The NBOCA report stated that </w:t>
      </w:r>
      <w:r w:rsidRPr="00D0743A">
        <w:t>83</w:t>
      </w:r>
      <w:r>
        <w:t> percent</w:t>
      </w:r>
      <w:r w:rsidRPr="00D0743A">
        <w:t xml:space="preserve"> of rectal cancer patients had surgery resulting in a stoma. </w:t>
      </w:r>
      <w:r>
        <w:t xml:space="preserve">In </w:t>
      </w:r>
      <w:r w:rsidRPr="00D0743A">
        <w:t>New Zealand</w:t>
      </w:r>
      <w:r>
        <w:t>,</w:t>
      </w:r>
      <w:r w:rsidRPr="00D0743A">
        <w:t xml:space="preserve"> the estimated stoma rate for people having rectal surgery was 88</w:t>
      </w:r>
      <w:r>
        <w:t> percent</w:t>
      </w:r>
      <w:r w:rsidRPr="00D0743A">
        <w:t xml:space="preserve">. Our definition for rectal surgery resulting in a stoma </w:t>
      </w:r>
      <w:r>
        <w:t xml:space="preserve">was broader than that used in the United Kingdom, as we </w:t>
      </w:r>
      <w:r w:rsidRPr="00D0743A">
        <w:t xml:space="preserve">assumed all anterior resections </w:t>
      </w:r>
      <w:r>
        <w:t>we</w:t>
      </w:r>
      <w:r w:rsidRPr="00D0743A">
        <w:t>re covered with a stoma</w:t>
      </w:r>
      <w:r>
        <w:t>, and we excluded people who died within 18 months</w:t>
      </w:r>
      <w:r w:rsidRPr="00D0743A">
        <w:t xml:space="preserve">. This may overestimate the stoma rate </w:t>
      </w:r>
      <w:r>
        <w:t xml:space="preserve">in New Zealand, </w:t>
      </w:r>
      <w:r w:rsidRPr="00D0743A">
        <w:t xml:space="preserve">as </w:t>
      </w:r>
      <w:r>
        <w:t xml:space="preserve">only </w:t>
      </w:r>
      <w:r w:rsidRPr="00D0743A">
        <w:t>77</w:t>
      </w:r>
      <w:r>
        <w:t> percent</w:t>
      </w:r>
      <w:r w:rsidRPr="00D0743A">
        <w:t xml:space="preserve"> of anterior resections in </w:t>
      </w:r>
      <w:r>
        <w:t xml:space="preserve">the </w:t>
      </w:r>
      <w:r w:rsidRPr="00D0743A">
        <w:t>U</w:t>
      </w:r>
      <w:r>
        <w:t xml:space="preserve">nited </w:t>
      </w:r>
      <w:r w:rsidRPr="00D0743A">
        <w:t>K</w:t>
      </w:r>
      <w:r>
        <w:t>ingdom</w:t>
      </w:r>
      <w:r w:rsidRPr="00D0743A">
        <w:t xml:space="preserve"> were covered with a stoma.</w:t>
      </w:r>
    </w:p>
    <w:p w:rsidR="00A06E9D" w:rsidRDefault="00A06E9D" w:rsidP="00A06E9D"/>
    <w:p w:rsidR="00E51135" w:rsidRDefault="006A5D28" w:rsidP="00A06E9D">
      <w:pPr>
        <w:pStyle w:val="Heading3"/>
        <w:numPr>
          <w:ilvl w:val="0"/>
          <w:numId w:val="0"/>
        </w:numPr>
      </w:pPr>
      <w:r>
        <w:t>Recommendation</w:t>
      </w:r>
    </w:p>
    <w:p w:rsidR="00E51135" w:rsidRDefault="006A5D28" w:rsidP="00A06E9D">
      <w:r>
        <w:t>Stoma-free survival is an important indicator of quality in rectal cancer surgery. This indicator assesses the appropriateness of the multidisciplinary decision-making process for rectal cancer patients, the availability of resources and the timeliness of reversal of defunctioning stoma.</w:t>
      </w:r>
    </w:p>
    <w:p w:rsidR="00A06E9D" w:rsidRDefault="00A06E9D" w:rsidP="00A06E9D"/>
    <w:p w:rsidR="00E51135" w:rsidRDefault="006A5D28" w:rsidP="00A06E9D">
      <w:r>
        <w:t xml:space="preserve">The 18-month stoma-free survival indicator is </w:t>
      </w:r>
      <w:r w:rsidRPr="002D705E">
        <w:t xml:space="preserve">a </w:t>
      </w:r>
      <w:r>
        <w:t xml:space="preserve">composite </w:t>
      </w:r>
      <w:r w:rsidRPr="002D705E">
        <w:t>surrogate marker of the success of sphincter</w:t>
      </w:r>
      <w:r>
        <w:t>-</w:t>
      </w:r>
      <w:r w:rsidRPr="002D705E">
        <w:t>preserving surgery in rectal cancer</w:t>
      </w:r>
      <w:r>
        <w:t xml:space="preserve"> surgery.</w:t>
      </w:r>
    </w:p>
    <w:p w:rsidR="00A06E9D" w:rsidRDefault="00A06E9D" w:rsidP="00A06E9D"/>
    <w:p w:rsidR="006A5D28" w:rsidRDefault="006A5D28" w:rsidP="00A06E9D">
      <w:r>
        <w:t>The Ministry of Health with the NBCWG should seek to understand the variation in the 18</w:t>
      </w:r>
      <w:r w:rsidR="00A06E9D">
        <w:noBreakHyphen/>
      </w:r>
      <w:r>
        <w:t>month stoma-free survival rate between DHBs in New Zealand and consider a national quality improvement programme in the treatment of low rectal cancer to reduce treatment variation.</w:t>
      </w:r>
    </w:p>
    <w:p w:rsidR="006A5D28" w:rsidRDefault="006A5D28" w:rsidP="00A06E9D"/>
    <w:p w:rsidR="006A5D28" w:rsidRDefault="006A5D28" w:rsidP="00A06E9D">
      <w:pPr>
        <w:pStyle w:val="Heading1"/>
        <w:numPr>
          <w:ilvl w:val="0"/>
          <w:numId w:val="0"/>
        </w:numPr>
      </w:pPr>
      <w:bookmarkStart w:id="142" w:name="_Toc528220235"/>
      <w:bookmarkStart w:id="143" w:name="_Toc532544053"/>
      <w:bookmarkStart w:id="144" w:name="_Toc517869"/>
      <w:bookmarkStart w:id="145" w:name="_Toc2253747"/>
      <w:r w:rsidRPr="00F56888">
        <w:lastRenderedPageBreak/>
        <w:t>Appendix</w:t>
      </w:r>
      <w:r>
        <w:t xml:space="preserve"> A: Data tables</w:t>
      </w:r>
      <w:bookmarkEnd w:id="142"/>
      <w:bookmarkEnd w:id="143"/>
      <w:bookmarkEnd w:id="144"/>
      <w:bookmarkEnd w:id="145"/>
    </w:p>
    <w:p w:rsidR="006A5D28" w:rsidRDefault="00A06E9D" w:rsidP="00A06E9D">
      <w:pPr>
        <w:pStyle w:val="Heading2"/>
        <w:numPr>
          <w:ilvl w:val="0"/>
          <w:numId w:val="0"/>
        </w:numPr>
      </w:pPr>
      <w:bookmarkStart w:id="146" w:name="_Toc528220236"/>
      <w:bookmarkStart w:id="147" w:name="_Toc517870"/>
      <w:bookmarkStart w:id="148" w:name="_Toc2253748"/>
      <w:r>
        <w:t>1</w:t>
      </w:r>
      <w:r>
        <w:tab/>
      </w:r>
      <w:r w:rsidR="006A5D28">
        <w:t>Diagnosis and surgery</w:t>
      </w:r>
      <w:bookmarkEnd w:id="146"/>
      <w:bookmarkEnd w:id="147"/>
      <w:bookmarkEnd w:id="148"/>
    </w:p>
    <w:p w:rsidR="006A5D28" w:rsidRDefault="006A5D28" w:rsidP="00A06E9D">
      <w:pPr>
        <w:pStyle w:val="Table"/>
      </w:pPr>
      <w:bookmarkStart w:id="149" w:name="_Toc535936728"/>
      <w:bookmarkStart w:id="150" w:name="_Toc2254047"/>
      <w:r>
        <w:t xml:space="preserve">Table </w:t>
      </w:r>
      <w:r>
        <w:rPr>
          <w:noProof/>
        </w:rPr>
        <w:fldChar w:fldCharType="begin"/>
      </w:r>
      <w:r>
        <w:rPr>
          <w:noProof/>
        </w:rPr>
        <w:instrText xml:space="preserve"> SEQ Table \* ARABIC </w:instrText>
      </w:r>
      <w:r>
        <w:rPr>
          <w:noProof/>
        </w:rPr>
        <w:fldChar w:fldCharType="separate"/>
      </w:r>
      <w:r w:rsidR="002B5148">
        <w:rPr>
          <w:noProof/>
        </w:rPr>
        <w:t>6</w:t>
      </w:r>
      <w:r>
        <w:rPr>
          <w:noProof/>
        </w:rPr>
        <w:fldChar w:fldCharType="end"/>
      </w:r>
      <w:r>
        <w:t>: People diagnosed with colon and rectal cancer, number and percentage who had major surgery, by district health board of domicile, age group, sex and ethnic group, 2013–16</w:t>
      </w:r>
      <w:bookmarkEnd w:id="149"/>
      <w:bookmarkEnd w:id="150"/>
    </w:p>
    <w:tbl>
      <w:tblPr>
        <w:tblW w:w="8080" w:type="dxa"/>
        <w:tblInd w:w="57" w:type="dxa"/>
        <w:tblLayout w:type="fixed"/>
        <w:tblCellMar>
          <w:left w:w="57" w:type="dxa"/>
          <w:right w:w="57" w:type="dxa"/>
        </w:tblCellMar>
        <w:tblLook w:val="04A0" w:firstRow="1" w:lastRow="0" w:firstColumn="1" w:lastColumn="0" w:noHBand="0" w:noVBand="1"/>
      </w:tblPr>
      <w:tblGrid>
        <w:gridCol w:w="2127"/>
        <w:gridCol w:w="1134"/>
        <w:gridCol w:w="1063"/>
        <w:gridCol w:w="779"/>
        <w:gridCol w:w="1292"/>
        <w:gridCol w:w="984"/>
        <w:gridCol w:w="701"/>
      </w:tblGrid>
      <w:tr w:rsidR="00E848D2" w:rsidRPr="002225A4" w:rsidTr="00E848D2">
        <w:trPr>
          <w:cantSplit/>
          <w:tblHeader/>
        </w:trPr>
        <w:tc>
          <w:tcPr>
            <w:tcW w:w="2127" w:type="dxa"/>
            <w:vMerge w:val="restart"/>
            <w:tcBorders>
              <w:top w:val="nil"/>
              <w:left w:val="nil"/>
              <w:right w:val="single" w:sz="4" w:space="0" w:color="A6A6A6" w:themeColor="background1" w:themeShade="A6"/>
            </w:tcBorders>
            <w:shd w:val="clear" w:color="auto" w:fill="D9D9D9" w:themeFill="background1" w:themeFillShade="D9"/>
            <w:noWrap/>
          </w:tcPr>
          <w:p w:rsidR="00E848D2" w:rsidRPr="004D0F26" w:rsidRDefault="00E848D2" w:rsidP="00E848D2">
            <w:pPr>
              <w:pStyle w:val="TableText"/>
              <w:rPr>
                <w:lang w:eastAsia="en-NZ"/>
              </w:rPr>
            </w:pPr>
          </w:p>
        </w:tc>
        <w:tc>
          <w:tcPr>
            <w:tcW w:w="2976"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noWrap/>
          </w:tcPr>
          <w:p w:rsidR="00E848D2" w:rsidRPr="00E848D2" w:rsidRDefault="00E848D2" w:rsidP="00E848D2">
            <w:pPr>
              <w:pStyle w:val="TableText"/>
              <w:jc w:val="center"/>
              <w:rPr>
                <w:b/>
                <w:lang w:eastAsia="en-NZ"/>
              </w:rPr>
            </w:pPr>
            <w:r w:rsidRPr="00E848D2">
              <w:rPr>
                <w:b/>
                <w:lang w:eastAsia="en-NZ"/>
              </w:rPr>
              <w:t>Colon cancer</w:t>
            </w:r>
          </w:p>
        </w:tc>
        <w:tc>
          <w:tcPr>
            <w:tcW w:w="2977" w:type="dxa"/>
            <w:gridSpan w:val="3"/>
            <w:tcBorders>
              <w:top w:val="nil"/>
              <w:left w:val="single" w:sz="4" w:space="0" w:color="A6A6A6" w:themeColor="background1" w:themeShade="A6"/>
              <w:bottom w:val="single" w:sz="4" w:space="0" w:color="A6A6A6" w:themeColor="background1" w:themeShade="A6"/>
              <w:right w:val="nil"/>
            </w:tcBorders>
            <w:shd w:val="clear" w:color="auto" w:fill="D9D9D9" w:themeFill="background1" w:themeFillShade="D9"/>
            <w:noWrap/>
          </w:tcPr>
          <w:p w:rsidR="00E848D2" w:rsidRPr="00E848D2" w:rsidRDefault="00E848D2" w:rsidP="00E848D2">
            <w:pPr>
              <w:pStyle w:val="TableText"/>
              <w:jc w:val="center"/>
              <w:rPr>
                <w:b/>
                <w:lang w:eastAsia="en-NZ"/>
              </w:rPr>
            </w:pPr>
            <w:r w:rsidRPr="00E848D2">
              <w:rPr>
                <w:b/>
                <w:lang w:eastAsia="en-NZ"/>
              </w:rPr>
              <w:t>Rectal cancer</w:t>
            </w:r>
          </w:p>
        </w:tc>
      </w:tr>
      <w:tr w:rsidR="00E848D2" w:rsidRPr="002225A4" w:rsidTr="00E848D2">
        <w:trPr>
          <w:cantSplit/>
          <w:tblHeader/>
        </w:trPr>
        <w:tc>
          <w:tcPr>
            <w:tcW w:w="2127" w:type="dxa"/>
            <w:vMerge/>
            <w:tcBorders>
              <w:left w:val="nil"/>
              <w:right w:val="single" w:sz="4" w:space="0" w:color="A6A6A6" w:themeColor="background1" w:themeShade="A6"/>
            </w:tcBorders>
            <w:shd w:val="clear" w:color="auto" w:fill="D9D9D9" w:themeFill="background1" w:themeFillShade="D9"/>
            <w:noWrap/>
          </w:tcPr>
          <w:p w:rsidR="00E848D2" w:rsidRPr="00D325D2" w:rsidRDefault="00E848D2" w:rsidP="00E848D2">
            <w:pPr>
              <w:pStyle w:val="TableText"/>
              <w:rPr>
                <w:szCs w:val="18"/>
                <w:lang w:eastAsia="en-NZ"/>
              </w:rPr>
            </w:pPr>
          </w:p>
        </w:tc>
        <w:tc>
          <w:tcPr>
            <w:tcW w:w="1134" w:type="dxa"/>
            <w:tcBorders>
              <w:top w:val="single" w:sz="4" w:space="0" w:color="A6A6A6" w:themeColor="background1" w:themeShade="A6"/>
              <w:left w:val="single" w:sz="4" w:space="0" w:color="A6A6A6" w:themeColor="background1" w:themeShade="A6"/>
              <w:right w:val="nil"/>
            </w:tcBorders>
            <w:shd w:val="clear" w:color="auto" w:fill="D9D9D9" w:themeFill="background1" w:themeFillShade="D9"/>
            <w:noWrap/>
          </w:tcPr>
          <w:p w:rsidR="00E848D2" w:rsidRPr="00E848D2" w:rsidRDefault="00E848D2" w:rsidP="00E848D2">
            <w:pPr>
              <w:pStyle w:val="TableText"/>
              <w:jc w:val="center"/>
              <w:rPr>
                <w:b/>
                <w:lang w:eastAsia="en-NZ"/>
              </w:rPr>
            </w:pPr>
            <w:r w:rsidRPr="00E848D2">
              <w:rPr>
                <w:b/>
                <w:lang w:eastAsia="en-NZ"/>
              </w:rPr>
              <w:t>Number diagnosed</w:t>
            </w:r>
          </w:p>
        </w:tc>
        <w:tc>
          <w:tcPr>
            <w:tcW w:w="1842" w:type="dxa"/>
            <w:gridSpan w:val="2"/>
            <w:tcBorders>
              <w:top w:val="single" w:sz="4" w:space="0" w:color="A6A6A6" w:themeColor="background1" w:themeShade="A6"/>
              <w:left w:val="nil"/>
              <w:right w:val="single" w:sz="4" w:space="0" w:color="A6A6A6" w:themeColor="background1" w:themeShade="A6"/>
            </w:tcBorders>
            <w:shd w:val="clear" w:color="auto" w:fill="D9D9D9" w:themeFill="background1" w:themeFillShade="D9"/>
            <w:noWrap/>
          </w:tcPr>
          <w:p w:rsidR="00E848D2" w:rsidRPr="00E848D2" w:rsidRDefault="00E848D2" w:rsidP="00E848D2">
            <w:pPr>
              <w:pStyle w:val="TableText"/>
              <w:jc w:val="center"/>
              <w:rPr>
                <w:b/>
                <w:lang w:eastAsia="en-NZ"/>
              </w:rPr>
            </w:pPr>
            <w:r w:rsidRPr="00E848D2">
              <w:rPr>
                <w:b/>
                <w:lang w:eastAsia="en-NZ"/>
              </w:rPr>
              <w:t>People having major</w:t>
            </w:r>
            <w:r>
              <w:rPr>
                <w:b/>
                <w:lang w:eastAsia="en-NZ"/>
              </w:rPr>
              <w:t> </w:t>
            </w:r>
            <w:r w:rsidRPr="00E848D2">
              <w:rPr>
                <w:b/>
                <w:lang w:eastAsia="en-NZ"/>
              </w:rPr>
              <w:t>surgery</w:t>
            </w:r>
          </w:p>
        </w:tc>
        <w:tc>
          <w:tcPr>
            <w:tcW w:w="1292" w:type="dxa"/>
            <w:tcBorders>
              <w:top w:val="single" w:sz="4" w:space="0" w:color="A6A6A6" w:themeColor="background1" w:themeShade="A6"/>
              <w:left w:val="single" w:sz="4" w:space="0" w:color="A6A6A6" w:themeColor="background1" w:themeShade="A6"/>
              <w:right w:val="nil"/>
            </w:tcBorders>
            <w:shd w:val="clear" w:color="auto" w:fill="D9D9D9" w:themeFill="background1" w:themeFillShade="D9"/>
            <w:noWrap/>
          </w:tcPr>
          <w:p w:rsidR="00E848D2" w:rsidRPr="00E848D2" w:rsidRDefault="00E848D2" w:rsidP="00E848D2">
            <w:pPr>
              <w:pStyle w:val="TableText"/>
              <w:jc w:val="center"/>
              <w:rPr>
                <w:b/>
                <w:lang w:eastAsia="en-NZ"/>
              </w:rPr>
            </w:pPr>
            <w:r w:rsidRPr="00E848D2">
              <w:rPr>
                <w:b/>
                <w:lang w:eastAsia="en-NZ"/>
              </w:rPr>
              <w:t>Number diagnosed</w:t>
            </w:r>
          </w:p>
        </w:tc>
        <w:tc>
          <w:tcPr>
            <w:tcW w:w="1685" w:type="dxa"/>
            <w:gridSpan w:val="2"/>
            <w:tcBorders>
              <w:top w:val="single" w:sz="4" w:space="0" w:color="A6A6A6" w:themeColor="background1" w:themeShade="A6"/>
              <w:left w:val="nil"/>
              <w:right w:val="nil"/>
            </w:tcBorders>
            <w:shd w:val="clear" w:color="auto" w:fill="D9D9D9" w:themeFill="background1" w:themeFillShade="D9"/>
            <w:noWrap/>
          </w:tcPr>
          <w:p w:rsidR="00E848D2" w:rsidRPr="00E848D2" w:rsidRDefault="00E848D2" w:rsidP="00E848D2">
            <w:pPr>
              <w:pStyle w:val="TableText"/>
              <w:jc w:val="center"/>
              <w:rPr>
                <w:b/>
                <w:lang w:eastAsia="en-NZ"/>
              </w:rPr>
            </w:pPr>
            <w:r w:rsidRPr="00E848D2">
              <w:rPr>
                <w:b/>
                <w:lang w:eastAsia="en-NZ"/>
              </w:rPr>
              <w:t>People having major</w:t>
            </w:r>
            <w:r>
              <w:rPr>
                <w:b/>
                <w:lang w:eastAsia="en-NZ"/>
              </w:rPr>
              <w:t> </w:t>
            </w:r>
            <w:r w:rsidRPr="00E848D2">
              <w:rPr>
                <w:b/>
                <w:lang w:eastAsia="en-NZ"/>
              </w:rPr>
              <w:t>surgery</w:t>
            </w:r>
          </w:p>
        </w:tc>
      </w:tr>
      <w:tr w:rsidR="00E848D2" w:rsidRPr="002225A4" w:rsidTr="00E848D2">
        <w:trPr>
          <w:cantSplit/>
          <w:tblHeader/>
        </w:trPr>
        <w:tc>
          <w:tcPr>
            <w:tcW w:w="2127" w:type="dxa"/>
            <w:vMerge/>
            <w:tcBorders>
              <w:left w:val="nil"/>
              <w:right w:val="single" w:sz="4" w:space="0" w:color="A6A6A6" w:themeColor="background1" w:themeShade="A6"/>
            </w:tcBorders>
            <w:shd w:val="clear" w:color="auto" w:fill="D9D9D9" w:themeFill="background1" w:themeFillShade="D9"/>
            <w:noWrap/>
          </w:tcPr>
          <w:p w:rsidR="00E848D2" w:rsidRPr="00D325D2" w:rsidRDefault="00E848D2" w:rsidP="00E848D2">
            <w:pPr>
              <w:pStyle w:val="TableText"/>
              <w:rPr>
                <w:szCs w:val="18"/>
                <w:lang w:eastAsia="en-NZ"/>
              </w:rPr>
            </w:pPr>
          </w:p>
        </w:tc>
        <w:tc>
          <w:tcPr>
            <w:tcW w:w="1134" w:type="dxa"/>
            <w:tcBorders>
              <w:left w:val="single" w:sz="4" w:space="0" w:color="A6A6A6" w:themeColor="background1" w:themeShade="A6"/>
              <w:right w:val="nil"/>
            </w:tcBorders>
            <w:shd w:val="clear" w:color="auto" w:fill="D9D9D9" w:themeFill="background1" w:themeFillShade="D9"/>
            <w:noWrap/>
          </w:tcPr>
          <w:p w:rsidR="00E848D2" w:rsidRPr="00E848D2" w:rsidRDefault="00E848D2" w:rsidP="00E848D2">
            <w:pPr>
              <w:pStyle w:val="TableText"/>
              <w:spacing w:before="0"/>
              <w:jc w:val="center"/>
              <w:rPr>
                <w:b/>
                <w:lang w:eastAsia="en-NZ"/>
              </w:rPr>
            </w:pPr>
            <w:r w:rsidRPr="00E848D2">
              <w:rPr>
                <w:b/>
                <w:lang w:eastAsia="en-NZ"/>
              </w:rPr>
              <w:t>N</w:t>
            </w:r>
          </w:p>
        </w:tc>
        <w:tc>
          <w:tcPr>
            <w:tcW w:w="1063" w:type="dxa"/>
            <w:tcBorders>
              <w:left w:val="nil"/>
              <w:right w:val="nil"/>
            </w:tcBorders>
            <w:shd w:val="clear" w:color="auto" w:fill="D9D9D9" w:themeFill="background1" w:themeFillShade="D9"/>
            <w:noWrap/>
          </w:tcPr>
          <w:p w:rsidR="00E848D2" w:rsidRPr="00E848D2" w:rsidRDefault="00E848D2" w:rsidP="00E848D2">
            <w:pPr>
              <w:pStyle w:val="TableText"/>
              <w:spacing w:before="0"/>
              <w:jc w:val="center"/>
              <w:rPr>
                <w:b/>
                <w:lang w:eastAsia="en-NZ"/>
              </w:rPr>
            </w:pPr>
            <w:r w:rsidRPr="00E848D2">
              <w:rPr>
                <w:b/>
                <w:lang w:eastAsia="en-NZ"/>
              </w:rPr>
              <w:t>N</w:t>
            </w:r>
          </w:p>
        </w:tc>
        <w:tc>
          <w:tcPr>
            <w:tcW w:w="779" w:type="dxa"/>
            <w:tcBorders>
              <w:left w:val="nil"/>
              <w:right w:val="single" w:sz="4" w:space="0" w:color="A6A6A6" w:themeColor="background1" w:themeShade="A6"/>
            </w:tcBorders>
            <w:shd w:val="clear" w:color="auto" w:fill="D9D9D9" w:themeFill="background1" w:themeFillShade="D9"/>
            <w:noWrap/>
          </w:tcPr>
          <w:p w:rsidR="00E848D2" w:rsidRPr="00E848D2" w:rsidRDefault="00E848D2" w:rsidP="00E848D2">
            <w:pPr>
              <w:pStyle w:val="TableText"/>
              <w:spacing w:before="0"/>
              <w:jc w:val="center"/>
              <w:rPr>
                <w:b/>
                <w:lang w:eastAsia="en-NZ"/>
              </w:rPr>
            </w:pPr>
            <w:r w:rsidRPr="00E848D2">
              <w:rPr>
                <w:b/>
                <w:lang w:eastAsia="en-NZ"/>
              </w:rPr>
              <w:t>%</w:t>
            </w:r>
          </w:p>
        </w:tc>
        <w:tc>
          <w:tcPr>
            <w:tcW w:w="1292" w:type="dxa"/>
            <w:tcBorders>
              <w:left w:val="single" w:sz="4" w:space="0" w:color="A6A6A6" w:themeColor="background1" w:themeShade="A6"/>
              <w:right w:val="nil"/>
            </w:tcBorders>
            <w:shd w:val="clear" w:color="auto" w:fill="D9D9D9" w:themeFill="background1" w:themeFillShade="D9"/>
            <w:noWrap/>
          </w:tcPr>
          <w:p w:rsidR="00E848D2" w:rsidRPr="00E848D2" w:rsidRDefault="00E848D2" w:rsidP="00E848D2">
            <w:pPr>
              <w:pStyle w:val="TableText"/>
              <w:spacing w:before="0"/>
              <w:jc w:val="center"/>
              <w:rPr>
                <w:b/>
                <w:lang w:eastAsia="en-NZ"/>
              </w:rPr>
            </w:pPr>
            <w:r w:rsidRPr="00E848D2">
              <w:rPr>
                <w:b/>
                <w:lang w:eastAsia="en-NZ"/>
              </w:rPr>
              <w:t>N</w:t>
            </w:r>
          </w:p>
        </w:tc>
        <w:tc>
          <w:tcPr>
            <w:tcW w:w="984" w:type="dxa"/>
            <w:tcBorders>
              <w:left w:val="nil"/>
              <w:right w:val="nil"/>
            </w:tcBorders>
            <w:shd w:val="clear" w:color="auto" w:fill="D9D9D9" w:themeFill="background1" w:themeFillShade="D9"/>
            <w:noWrap/>
          </w:tcPr>
          <w:p w:rsidR="00E848D2" w:rsidRPr="00E848D2" w:rsidRDefault="00E848D2" w:rsidP="00E848D2">
            <w:pPr>
              <w:pStyle w:val="TableText"/>
              <w:spacing w:before="0"/>
              <w:jc w:val="center"/>
              <w:rPr>
                <w:b/>
                <w:lang w:eastAsia="en-NZ"/>
              </w:rPr>
            </w:pPr>
            <w:r w:rsidRPr="00E848D2">
              <w:rPr>
                <w:b/>
                <w:lang w:eastAsia="en-NZ"/>
              </w:rPr>
              <w:t>N</w:t>
            </w:r>
          </w:p>
        </w:tc>
        <w:tc>
          <w:tcPr>
            <w:tcW w:w="701" w:type="dxa"/>
            <w:tcBorders>
              <w:left w:val="nil"/>
              <w:right w:val="nil"/>
            </w:tcBorders>
            <w:shd w:val="clear" w:color="auto" w:fill="D9D9D9" w:themeFill="background1" w:themeFillShade="D9"/>
            <w:noWrap/>
          </w:tcPr>
          <w:p w:rsidR="00E848D2" w:rsidRPr="00E848D2" w:rsidRDefault="00E848D2" w:rsidP="00E848D2">
            <w:pPr>
              <w:pStyle w:val="TableText"/>
              <w:spacing w:before="0"/>
              <w:jc w:val="center"/>
              <w:rPr>
                <w:b/>
                <w:lang w:eastAsia="en-NZ"/>
              </w:rPr>
            </w:pPr>
            <w:r w:rsidRPr="00E848D2">
              <w:rPr>
                <w:b/>
                <w:lang w:eastAsia="en-NZ"/>
              </w:rPr>
              <w:t>%</w:t>
            </w:r>
          </w:p>
        </w:tc>
      </w:tr>
      <w:tr w:rsidR="00E848D2" w:rsidRPr="002225A4" w:rsidTr="00E848D2">
        <w:trPr>
          <w:cantSplit/>
        </w:trPr>
        <w:tc>
          <w:tcPr>
            <w:tcW w:w="2127" w:type="dxa"/>
            <w:tcBorders>
              <w:left w:val="nil"/>
              <w:bottom w:val="single" w:sz="4" w:space="0" w:color="7F7F7F" w:themeColor="text1" w:themeTint="80"/>
              <w:right w:val="single" w:sz="4" w:space="0" w:color="A6A6A6" w:themeColor="background1" w:themeShade="A6"/>
            </w:tcBorders>
            <w:shd w:val="clear" w:color="auto" w:fill="auto"/>
            <w:noWrap/>
            <w:hideMark/>
          </w:tcPr>
          <w:p w:rsidR="00E848D2" w:rsidRPr="00E848D2" w:rsidRDefault="00E848D2" w:rsidP="00E848D2">
            <w:pPr>
              <w:pStyle w:val="TableText"/>
              <w:rPr>
                <w:b/>
                <w:lang w:eastAsia="en-NZ"/>
              </w:rPr>
            </w:pPr>
            <w:r w:rsidRPr="00E848D2">
              <w:rPr>
                <w:b/>
                <w:lang w:eastAsia="en-NZ"/>
              </w:rPr>
              <w:t>Total</w:t>
            </w:r>
          </w:p>
        </w:tc>
        <w:tc>
          <w:tcPr>
            <w:tcW w:w="1134" w:type="dxa"/>
            <w:tcBorders>
              <w:left w:val="single" w:sz="4" w:space="0" w:color="A6A6A6" w:themeColor="background1" w:themeShade="A6"/>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8</w:t>
            </w:r>
            <w:r>
              <w:rPr>
                <w:lang w:eastAsia="en-NZ"/>
              </w:rPr>
              <w:t>,</w:t>
            </w:r>
            <w:r w:rsidRPr="00826E06">
              <w:rPr>
                <w:lang w:eastAsia="en-NZ"/>
              </w:rPr>
              <w:t>430</w:t>
            </w:r>
          </w:p>
        </w:tc>
        <w:tc>
          <w:tcPr>
            <w:tcW w:w="1063" w:type="dxa"/>
            <w:tcBorders>
              <w:left w:val="nil"/>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5</w:t>
            </w:r>
            <w:r>
              <w:rPr>
                <w:lang w:eastAsia="en-NZ"/>
              </w:rPr>
              <w:t>,</w:t>
            </w:r>
            <w:r w:rsidRPr="00826E06">
              <w:rPr>
                <w:lang w:eastAsia="en-NZ"/>
              </w:rPr>
              <w:t>360</w:t>
            </w:r>
          </w:p>
        </w:tc>
        <w:tc>
          <w:tcPr>
            <w:tcW w:w="779" w:type="dxa"/>
            <w:tcBorders>
              <w:left w:val="nil"/>
              <w:bottom w:val="single" w:sz="4" w:space="0" w:color="7F7F7F" w:themeColor="text1" w:themeTint="80"/>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63.6</w:t>
            </w:r>
          </w:p>
        </w:tc>
        <w:tc>
          <w:tcPr>
            <w:tcW w:w="1292" w:type="dxa"/>
            <w:tcBorders>
              <w:left w:val="single" w:sz="4" w:space="0" w:color="A6A6A6" w:themeColor="background1" w:themeShade="A6"/>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2</w:t>
            </w:r>
            <w:r>
              <w:rPr>
                <w:lang w:eastAsia="en-NZ"/>
              </w:rPr>
              <w:t>,</w:t>
            </w:r>
            <w:r w:rsidRPr="00826E06">
              <w:rPr>
                <w:lang w:eastAsia="en-NZ"/>
              </w:rPr>
              <w:t>998</w:t>
            </w:r>
          </w:p>
        </w:tc>
        <w:tc>
          <w:tcPr>
            <w:tcW w:w="984" w:type="dxa"/>
            <w:tcBorders>
              <w:left w:val="nil"/>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1</w:t>
            </w:r>
            <w:r>
              <w:rPr>
                <w:lang w:eastAsia="en-NZ"/>
              </w:rPr>
              <w:t>,</w:t>
            </w:r>
            <w:r w:rsidRPr="00826E06">
              <w:rPr>
                <w:lang w:eastAsia="en-NZ"/>
              </w:rPr>
              <w:t>810</w:t>
            </w:r>
          </w:p>
        </w:tc>
        <w:tc>
          <w:tcPr>
            <w:tcW w:w="701" w:type="dxa"/>
            <w:tcBorders>
              <w:left w:val="nil"/>
              <w:bottom w:val="single" w:sz="4" w:space="0" w:color="7F7F7F" w:themeColor="text1" w:themeTint="80"/>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60.4</w:t>
            </w:r>
          </w:p>
        </w:tc>
      </w:tr>
      <w:tr w:rsidR="00E848D2" w:rsidRPr="002225A4" w:rsidTr="00E848D2">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848D2" w:rsidRPr="00E848D2" w:rsidRDefault="00E848D2" w:rsidP="00E848D2">
            <w:pPr>
              <w:pStyle w:val="TableText"/>
              <w:rPr>
                <w:b/>
                <w:lang w:eastAsia="en-NZ"/>
              </w:rPr>
            </w:pPr>
            <w:r w:rsidRPr="00E848D2">
              <w:rPr>
                <w:b/>
                <w:lang w:eastAsia="en-NZ"/>
              </w:rPr>
              <w:t>Year of diagnosis</w:t>
            </w:r>
          </w:p>
        </w:tc>
        <w:tc>
          <w:tcPr>
            <w:tcW w:w="1134"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92"/>
              </w:tabs>
              <w:rPr>
                <w:lang w:eastAsia="en-NZ"/>
              </w:rPr>
            </w:pPr>
          </w:p>
        </w:tc>
        <w:tc>
          <w:tcPr>
            <w:tcW w:w="1063"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51"/>
              </w:tabs>
              <w:rPr>
                <w:lang w:eastAsia="en-NZ"/>
              </w:rPr>
            </w:pPr>
          </w:p>
        </w:tc>
        <w:tc>
          <w:tcPr>
            <w:tcW w:w="779"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848D2" w:rsidRPr="00826E06" w:rsidRDefault="00E848D2" w:rsidP="00E848D2">
            <w:pPr>
              <w:pStyle w:val="TableText"/>
              <w:jc w:val="center"/>
              <w:rPr>
                <w:lang w:eastAsia="en-NZ"/>
              </w:rPr>
            </w:pPr>
          </w:p>
        </w:tc>
        <w:tc>
          <w:tcPr>
            <w:tcW w:w="1292"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783"/>
              </w:tabs>
              <w:rPr>
                <w:lang w:eastAsia="en-NZ"/>
              </w:rPr>
            </w:pPr>
          </w:p>
        </w:tc>
        <w:tc>
          <w:tcPr>
            <w:tcW w:w="984"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04"/>
              </w:tabs>
              <w:rPr>
                <w:lang w:eastAsia="en-NZ"/>
              </w:rPr>
            </w:pPr>
          </w:p>
        </w:tc>
        <w:tc>
          <w:tcPr>
            <w:tcW w:w="701"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jc w:val="center"/>
              <w:rPr>
                <w:lang w:eastAsia="en-NZ"/>
              </w:rPr>
            </w:pP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848D2" w:rsidRPr="00872866" w:rsidRDefault="00E848D2" w:rsidP="00E848D2">
            <w:pPr>
              <w:pStyle w:val="TableText"/>
              <w:ind w:left="142"/>
              <w:rPr>
                <w:lang w:eastAsia="en-NZ"/>
              </w:rPr>
            </w:pPr>
            <w:r w:rsidRPr="00872866">
              <w:rPr>
                <w:lang w:eastAsia="en-NZ"/>
              </w:rPr>
              <w:t>2013</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92"/>
              </w:tabs>
              <w:rPr>
                <w:lang w:eastAsia="en-NZ"/>
              </w:rPr>
            </w:pPr>
            <w:r w:rsidRPr="00826E06">
              <w:rPr>
                <w:lang w:eastAsia="en-NZ"/>
              </w:rPr>
              <w:t>2</w:t>
            </w:r>
            <w:r>
              <w:rPr>
                <w:lang w:eastAsia="en-NZ"/>
              </w:rPr>
              <w:t>,</w:t>
            </w:r>
            <w:r w:rsidRPr="00826E06">
              <w:rPr>
                <w:lang w:eastAsia="en-NZ"/>
              </w:rPr>
              <w:t>086</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51"/>
              </w:tabs>
              <w:rPr>
                <w:lang w:eastAsia="en-NZ"/>
              </w:rPr>
            </w:pPr>
            <w:r w:rsidRPr="00826E06">
              <w:rPr>
                <w:lang w:eastAsia="en-NZ"/>
              </w:rPr>
              <w:t>1</w:t>
            </w:r>
            <w:r>
              <w:rPr>
                <w:lang w:eastAsia="en-NZ"/>
              </w:rPr>
              <w:t>,</w:t>
            </w:r>
            <w:r w:rsidRPr="00826E06">
              <w:rPr>
                <w:lang w:eastAsia="en-NZ"/>
              </w:rPr>
              <w:t>345</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848D2" w:rsidRPr="00826E06" w:rsidRDefault="00E848D2" w:rsidP="00E848D2">
            <w:pPr>
              <w:pStyle w:val="TableText"/>
              <w:jc w:val="center"/>
              <w:rPr>
                <w:lang w:eastAsia="en-NZ"/>
              </w:rPr>
            </w:pPr>
            <w:r w:rsidRPr="00826E06">
              <w:rPr>
                <w:lang w:eastAsia="en-NZ"/>
              </w:rPr>
              <w:t>64.5</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783"/>
              </w:tabs>
              <w:rPr>
                <w:lang w:eastAsia="en-NZ"/>
              </w:rPr>
            </w:pPr>
            <w:r w:rsidRPr="00826E06">
              <w:rPr>
                <w:lang w:eastAsia="en-NZ"/>
              </w:rPr>
              <w:t>723</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04"/>
              </w:tabs>
              <w:rPr>
                <w:lang w:eastAsia="en-NZ"/>
              </w:rPr>
            </w:pPr>
            <w:r w:rsidRPr="00826E06">
              <w:rPr>
                <w:lang w:eastAsia="en-NZ"/>
              </w:rPr>
              <w:t>441</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jc w:val="center"/>
              <w:rPr>
                <w:lang w:eastAsia="en-NZ"/>
              </w:rPr>
            </w:pPr>
            <w:r w:rsidRPr="00826E06">
              <w:rPr>
                <w:lang w:eastAsia="en-NZ"/>
              </w:rPr>
              <w:t>61</w:t>
            </w:r>
            <w:r>
              <w:rPr>
                <w:lang w:eastAsia="en-NZ"/>
              </w:rPr>
              <w:t>.0</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2014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2</w:t>
            </w:r>
            <w:r>
              <w:rPr>
                <w:lang w:eastAsia="en-NZ"/>
              </w:rPr>
              <w:t>,</w:t>
            </w:r>
            <w:r w:rsidRPr="00826E06">
              <w:rPr>
                <w:lang w:eastAsia="en-NZ"/>
              </w:rPr>
              <w:t>122</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1</w:t>
            </w:r>
            <w:r>
              <w:rPr>
                <w:lang w:eastAsia="en-NZ"/>
              </w:rPr>
              <w:t>,</w:t>
            </w:r>
            <w:r w:rsidRPr="00826E06">
              <w:rPr>
                <w:lang w:eastAsia="en-NZ"/>
              </w:rPr>
              <w:t>346</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63.4</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811</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505</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62.3</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2015</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2</w:t>
            </w:r>
            <w:r>
              <w:rPr>
                <w:lang w:eastAsia="en-NZ"/>
              </w:rPr>
              <w:t>,</w:t>
            </w:r>
            <w:r w:rsidRPr="00826E06">
              <w:rPr>
                <w:lang w:eastAsia="en-NZ"/>
              </w:rPr>
              <w:t>072</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1</w:t>
            </w:r>
            <w:r>
              <w:rPr>
                <w:lang w:eastAsia="en-NZ"/>
              </w:rPr>
              <w:t>,</w:t>
            </w:r>
            <w:r w:rsidRPr="00826E06">
              <w:rPr>
                <w:lang w:eastAsia="en-NZ"/>
              </w:rPr>
              <w:t>307</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63.1</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730</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427</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58.5</w:t>
            </w:r>
          </w:p>
        </w:tc>
      </w:tr>
      <w:tr w:rsidR="00E848D2" w:rsidRPr="002225A4" w:rsidTr="00E848D2">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2016</w:t>
            </w:r>
          </w:p>
        </w:tc>
        <w:tc>
          <w:tcPr>
            <w:tcW w:w="1134"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2</w:t>
            </w:r>
            <w:r>
              <w:rPr>
                <w:lang w:eastAsia="en-NZ"/>
              </w:rPr>
              <w:t>,</w:t>
            </w:r>
            <w:r w:rsidRPr="00826E06">
              <w:rPr>
                <w:lang w:eastAsia="en-NZ"/>
              </w:rPr>
              <w:t>150</w:t>
            </w:r>
          </w:p>
        </w:tc>
        <w:tc>
          <w:tcPr>
            <w:tcW w:w="1063" w:type="dxa"/>
            <w:tcBorders>
              <w:top w:val="single" w:sz="4" w:space="0" w:color="A6A6A6" w:themeColor="background1" w:themeShade="A6"/>
              <w:left w:val="nil"/>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1</w:t>
            </w:r>
            <w:r>
              <w:rPr>
                <w:lang w:eastAsia="en-NZ"/>
              </w:rPr>
              <w:t>,</w:t>
            </w:r>
            <w:r w:rsidRPr="00826E06">
              <w:rPr>
                <w:lang w:eastAsia="en-NZ"/>
              </w:rPr>
              <w:t>362</w:t>
            </w:r>
          </w:p>
        </w:tc>
        <w:tc>
          <w:tcPr>
            <w:tcW w:w="779"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63.3</w:t>
            </w:r>
          </w:p>
        </w:tc>
        <w:tc>
          <w:tcPr>
            <w:tcW w:w="1292"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734</w:t>
            </w:r>
          </w:p>
        </w:tc>
        <w:tc>
          <w:tcPr>
            <w:tcW w:w="984" w:type="dxa"/>
            <w:tcBorders>
              <w:top w:val="single" w:sz="4" w:space="0" w:color="A6A6A6" w:themeColor="background1" w:themeShade="A6"/>
              <w:left w:val="nil"/>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437</w:t>
            </w:r>
          </w:p>
        </w:tc>
        <w:tc>
          <w:tcPr>
            <w:tcW w:w="701" w:type="dxa"/>
            <w:tcBorders>
              <w:top w:val="single" w:sz="4" w:space="0" w:color="A6A6A6" w:themeColor="background1" w:themeShade="A6"/>
              <w:left w:val="nil"/>
              <w:bottom w:val="single" w:sz="4" w:space="0" w:color="7F7F7F" w:themeColor="text1" w:themeTint="80"/>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59.5</w:t>
            </w:r>
          </w:p>
        </w:tc>
      </w:tr>
      <w:tr w:rsidR="00E848D2" w:rsidRPr="002225A4" w:rsidTr="00E848D2">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848D2" w:rsidRPr="00E848D2" w:rsidRDefault="00E848D2" w:rsidP="00E848D2">
            <w:pPr>
              <w:pStyle w:val="TableText"/>
              <w:rPr>
                <w:b/>
                <w:lang w:eastAsia="en-NZ"/>
              </w:rPr>
            </w:pPr>
            <w:r w:rsidRPr="00E848D2">
              <w:rPr>
                <w:b/>
                <w:lang w:eastAsia="en-NZ"/>
              </w:rPr>
              <w:t>DHB of domicile</w:t>
            </w:r>
          </w:p>
        </w:tc>
        <w:tc>
          <w:tcPr>
            <w:tcW w:w="1134"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92"/>
              </w:tabs>
              <w:rPr>
                <w:lang w:eastAsia="en-NZ"/>
              </w:rPr>
            </w:pPr>
          </w:p>
        </w:tc>
        <w:tc>
          <w:tcPr>
            <w:tcW w:w="1063"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51"/>
              </w:tabs>
              <w:rPr>
                <w:lang w:eastAsia="en-NZ"/>
              </w:rPr>
            </w:pPr>
          </w:p>
        </w:tc>
        <w:tc>
          <w:tcPr>
            <w:tcW w:w="779"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848D2" w:rsidRPr="00826E06" w:rsidRDefault="00E848D2" w:rsidP="00E848D2">
            <w:pPr>
              <w:pStyle w:val="TableText"/>
              <w:jc w:val="center"/>
              <w:rPr>
                <w:lang w:eastAsia="en-NZ"/>
              </w:rPr>
            </w:pPr>
          </w:p>
        </w:tc>
        <w:tc>
          <w:tcPr>
            <w:tcW w:w="1292"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783"/>
              </w:tabs>
              <w:rPr>
                <w:lang w:eastAsia="en-NZ"/>
              </w:rPr>
            </w:pPr>
          </w:p>
        </w:tc>
        <w:tc>
          <w:tcPr>
            <w:tcW w:w="984"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04"/>
              </w:tabs>
              <w:rPr>
                <w:lang w:eastAsia="en-NZ"/>
              </w:rPr>
            </w:pPr>
          </w:p>
        </w:tc>
        <w:tc>
          <w:tcPr>
            <w:tcW w:w="701"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jc w:val="center"/>
              <w:rPr>
                <w:lang w:eastAsia="en-NZ"/>
              </w:rPr>
            </w:pP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848D2" w:rsidRPr="00826E06" w:rsidRDefault="00E848D2" w:rsidP="00E848D2">
            <w:pPr>
              <w:pStyle w:val="TableText"/>
              <w:ind w:left="142"/>
              <w:rPr>
                <w:lang w:eastAsia="en-NZ"/>
              </w:rPr>
            </w:pPr>
            <w:r w:rsidRPr="00826E06">
              <w:rPr>
                <w:lang w:eastAsia="en-NZ"/>
              </w:rPr>
              <w:t>Auckland</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92"/>
              </w:tabs>
              <w:rPr>
                <w:lang w:eastAsia="en-NZ"/>
              </w:rPr>
            </w:pPr>
            <w:r w:rsidRPr="00826E06">
              <w:rPr>
                <w:lang w:eastAsia="en-NZ"/>
              </w:rPr>
              <w:t>603</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51"/>
              </w:tabs>
              <w:rPr>
                <w:lang w:eastAsia="en-NZ"/>
              </w:rPr>
            </w:pPr>
            <w:r w:rsidRPr="00826E06">
              <w:rPr>
                <w:lang w:eastAsia="en-NZ"/>
              </w:rPr>
              <w:t>321</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848D2" w:rsidRPr="00826E06" w:rsidRDefault="00E848D2" w:rsidP="00E848D2">
            <w:pPr>
              <w:pStyle w:val="TableText"/>
              <w:jc w:val="center"/>
              <w:rPr>
                <w:lang w:eastAsia="en-NZ"/>
              </w:rPr>
            </w:pPr>
            <w:r w:rsidRPr="00826E06">
              <w:rPr>
                <w:lang w:eastAsia="en-NZ"/>
              </w:rPr>
              <w:t>53.2</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783"/>
              </w:tabs>
              <w:rPr>
                <w:lang w:eastAsia="en-NZ"/>
              </w:rPr>
            </w:pPr>
            <w:r w:rsidRPr="00826E06">
              <w:rPr>
                <w:lang w:eastAsia="en-NZ"/>
              </w:rPr>
              <w:t>225</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04"/>
              </w:tabs>
              <w:rPr>
                <w:lang w:eastAsia="en-NZ"/>
              </w:rPr>
            </w:pPr>
            <w:r w:rsidRPr="00826E06">
              <w:rPr>
                <w:lang w:eastAsia="en-NZ"/>
              </w:rPr>
              <w:t>114</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jc w:val="center"/>
              <w:rPr>
                <w:lang w:eastAsia="en-NZ"/>
              </w:rPr>
            </w:pPr>
            <w:r w:rsidRPr="00826E06">
              <w:rPr>
                <w:lang w:eastAsia="en-NZ"/>
              </w:rPr>
              <w:t>50.7</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Bay of Plenty</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516</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347</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67.2</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152</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108</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71.1</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Canterbury</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1</w:t>
            </w:r>
            <w:r>
              <w:rPr>
                <w:lang w:eastAsia="en-NZ"/>
              </w:rPr>
              <w:t>,</w:t>
            </w:r>
            <w:r w:rsidRPr="00826E06">
              <w:rPr>
                <w:lang w:eastAsia="en-NZ"/>
              </w:rPr>
              <w:t>014</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577</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56.9</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358</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202</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56.4</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Capital and Coast</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409</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239</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58.4</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167</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79</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47.3</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Counties Manukau</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644</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372</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57.8</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262</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150</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57.3</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Hawke</w:t>
            </w:r>
            <w:r>
              <w:rPr>
                <w:lang w:eastAsia="en-NZ"/>
              </w:rPr>
              <w:t>’</w:t>
            </w:r>
            <w:r w:rsidRPr="00826E06">
              <w:rPr>
                <w:lang w:eastAsia="en-NZ"/>
              </w:rPr>
              <w:t>s Bay</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370</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257</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69.5</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121</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85</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70.2</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Hutt Valley</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252</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169</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67.1</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89</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56</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62.9</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Lakes</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186</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120</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64.5</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67</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43</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64.2</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MidCentral</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331</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233</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70.4</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130</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82</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63.1</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Nelson Marlborough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309</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211</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68.3</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111</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69</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62.2</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Northland</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346</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246</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71.1</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134</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89</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66.4</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South Canterbury</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163</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130</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79.8</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65</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44</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67.7</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Southern</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848</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550</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64.9</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270</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175</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64.8</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Tair</w:t>
            </w:r>
            <w:r w:rsidRPr="00401D63">
              <w:rPr>
                <w:lang w:eastAsia="en-NZ"/>
              </w:rPr>
              <w:t>ā</w:t>
            </w:r>
            <w:r w:rsidRPr="00826E06">
              <w:rPr>
                <w:lang w:eastAsia="en-NZ"/>
              </w:rPr>
              <w:t>whiti</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83</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64</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77.1</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23</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15</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65.2</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Taranaki</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282</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225</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79.8</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90</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59</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65.6</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Waikato</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769</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489</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63.6</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252</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142</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56.3</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Wairarapa</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95</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59</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62.1</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54</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40</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74.1</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Waitemata</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982</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580</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59.1</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347</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205</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59.1</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West Coast</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74</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51</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68.9</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31</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23</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74.2</w:t>
            </w:r>
          </w:p>
        </w:tc>
      </w:tr>
      <w:tr w:rsidR="00E848D2" w:rsidRPr="002225A4" w:rsidTr="00E848D2">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E848D2" w:rsidRPr="00826E06" w:rsidRDefault="00E848D2" w:rsidP="00E848D2">
            <w:pPr>
              <w:pStyle w:val="TableText"/>
              <w:ind w:left="142"/>
              <w:rPr>
                <w:lang w:eastAsia="en-NZ"/>
              </w:rPr>
            </w:pPr>
            <w:r w:rsidRPr="00826E06">
              <w:rPr>
                <w:lang w:eastAsia="en-NZ"/>
              </w:rPr>
              <w:t>Whanganui</w:t>
            </w:r>
          </w:p>
        </w:tc>
        <w:tc>
          <w:tcPr>
            <w:tcW w:w="1134"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154</w:t>
            </w:r>
          </w:p>
        </w:tc>
        <w:tc>
          <w:tcPr>
            <w:tcW w:w="1063" w:type="dxa"/>
            <w:tcBorders>
              <w:top w:val="single" w:sz="4" w:space="0" w:color="A6A6A6" w:themeColor="background1" w:themeShade="A6"/>
              <w:left w:val="nil"/>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120</w:t>
            </w:r>
          </w:p>
        </w:tc>
        <w:tc>
          <w:tcPr>
            <w:tcW w:w="779"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77.9</w:t>
            </w:r>
          </w:p>
        </w:tc>
        <w:tc>
          <w:tcPr>
            <w:tcW w:w="1292"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50</w:t>
            </w:r>
          </w:p>
        </w:tc>
        <w:tc>
          <w:tcPr>
            <w:tcW w:w="984" w:type="dxa"/>
            <w:tcBorders>
              <w:top w:val="single" w:sz="4" w:space="0" w:color="A6A6A6" w:themeColor="background1" w:themeShade="A6"/>
              <w:left w:val="nil"/>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30</w:t>
            </w:r>
          </w:p>
        </w:tc>
        <w:tc>
          <w:tcPr>
            <w:tcW w:w="701" w:type="dxa"/>
            <w:tcBorders>
              <w:top w:val="single" w:sz="4" w:space="0" w:color="A6A6A6" w:themeColor="background1" w:themeShade="A6"/>
              <w:left w:val="nil"/>
              <w:bottom w:val="single" w:sz="4" w:space="0" w:color="7F7F7F" w:themeColor="text1" w:themeTint="80"/>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60</w:t>
            </w:r>
            <w:r>
              <w:rPr>
                <w:lang w:eastAsia="en-NZ"/>
              </w:rPr>
              <w:t>.0</w:t>
            </w:r>
          </w:p>
        </w:tc>
      </w:tr>
      <w:tr w:rsidR="00E848D2" w:rsidRPr="002225A4" w:rsidTr="00E848D2">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848D2" w:rsidRPr="00E848D2" w:rsidRDefault="00E848D2" w:rsidP="00E848D2">
            <w:pPr>
              <w:pStyle w:val="TableText"/>
              <w:rPr>
                <w:b/>
                <w:lang w:eastAsia="en-NZ"/>
              </w:rPr>
            </w:pPr>
            <w:r w:rsidRPr="00E848D2">
              <w:rPr>
                <w:b/>
                <w:lang w:eastAsia="en-NZ"/>
              </w:rPr>
              <w:lastRenderedPageBreak/>
              <w:t>Age group (years)</w:t>
            </w:r>
          </w:p>
        </w:tc>
        <w:tc>
          <w:tcPr>
            <w:tcW w:w="1134"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92"/>
              </w:tabs>
              <w:rPr>
                <w:lang w:eastAsia="en-NZ"/>
              </w:rPr>
            </w:pPr>
          </w:p>
        </w:tc>
        <w:tc>
          <w:tcPr>
            <w:tcW w:w="1063"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51"/>
              </w:tabs>
              <w:rPr>
                <w:lang w:eastAsia="en-NZ"/>
              </w:rPr>
            </w:pPr>
          </w:p>
        </w:tc>
        <w:tc>
          <w:tcPr>
            <w:tcW w:w="779"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848D2" w:rsidRPr="00826E06" w:rsidRDefault="00E848D2" w:rsidP="00E848D2">
            <w:pPr>
              <w:pStyle w:val="TableText"/>
              <w:jc w:val="center"/>
              <w:rPr>
                <w:lang w:eastAsia="en-NZ"/>
              </w:rPr>
            </w:pPr>
          </w:p>
        </w:tc>
        <w:tc>
          <w:tcPr>
            <w:tcW w:w="1292"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783"/>
              </w:tabs>
              <w:rPr>
                <w:lang w:eastAsia="en-NZ"/>
              </w:rPr>
            </w:pPr>
          </w:p>
        </w:tc>
        <w:tc>
          <w:tcPr>
            <w:tcW w:w="984"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04"/>
              </w:tabs>
              <w:rPr>
                <w:lang w:eastAsia="en-NZ"/>
              </w:rPr>
            </w:pPr>
          </w:p>
        </w:tc>
        <w:tc>
          <w:tcPr>
            <w:tcW w:w="701"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jc w:val="center"/>
              <w:rPr>
                <w:lang w:eastAsia="en-NZ"/>
              </w:rPr>
            </w:pP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848D2" w:rsidRPr="00872866" w:rsidRDefault="00E848D2" w:rsidP="00E848D2">
            <w:pPr>
              <w:pStyle w:val="TableText"/>
              <w:ind w:left="142"/>
              <w:rPr>
                <w:lang w:eastAsia="en-NZ"/>
              </w:rPr>
            </w:pPr>
            <w:r w:rsidRPr="00872866">
              <w:rPr>
                <w:lang w:eastAsia="en-NZ"/>
              </w:rPr>
              <w:t>18</w:t>
            </w:r>
            <w:r>
              <w:rPr>
                <w:lang w:eastAsia="en-NZ"/>
              </w:rPr>
              <w:t>–</w:t>
            </w:r>
            <w:r w:rsidRPr="00872866">
              <w:rPr>
                <w:lang w:eastAsia="en-NZ"/>
              </w:rPr>
              <w:t>49</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92"/>
              </w:tabs>
              <w:rPr>
                <w:lang w:eastAsia="en-NZ"/>
              </w:rPr>
            </w:pPr>
            <w:r w:rsidRPr="00826E06">
              <w:rPr>
                <w:lang w:eastAsia="en-NZ"/>
              </w:rPr>
              <w:t>463</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51"/>
              </w:tabs>
              <w:rPr>
                <w:lang w:eastAsia="en-NZ"/>
              </w:rPr>
            </w:pPr>
            <w:r w:rsidRPr="00826E06">
              <w:rPr>
                <w:lang w:eastAsia="en-NZ"/>
              </w:rPr>
              <w:t>272</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848D2" w:rsidRPr="00826E06" w:rsidRDefault="00E848D2" w:rsidP="00E848D2">
            <w:pPr>
              <w:pStyle w:val="TableText"/>
              <w:jc w:val="center"/>
              <w:rPr>
                <w:lang w:eastAsia="en-NZ"/>
              </w:rPr>
            </w:pPr>
            <w:r w:rsidRPr="00826E06">
              <w:rPr>
                <w:lang w:eastAsia="en-NZ"/>
              </w:rPr>
              <w:t>58.7</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783"/>
              </w:tabs>
              <w:rPr>
                <w:lang w:eastAsia="en-NZ"/>
              </w:rPr>
            </w:pPr>
            <w:r w:rsidRPr="00826E06">
              <w:rPr>
                <w:lang w:eastAsia="en-NZ"/>
              </w:rPr>
              <w:t>270</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04"/>
              </w:tabs>
              <w:rPr>
                <w:lang w:eastAsia="en-NZ"/>
              </w:rPr>
            </w:pPr>
            <w:r w:rsidRPr="00826E06">
              <w:rPr>
                <w:lang w:eastAsia="en-NZ"/>
              </w:rPr>
              <w:t>152</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jc w:val="center"/>
              <w:rPr>
                <w:lang w:eastAsia="en-NZ"/>
              </w:rPr>
            </w:pPr>
            <w:r w:rsidRPr="00826E06">
              <w:rPr>
                <w:lang w:eastAsia="en-NZ"/>
              </w:rPr>
              <w:t>56.3</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50</w:t>
            </w:r>
            <w:r>
              <w:rPr>
                <w:lang w:eastAsia="en-NZ"/>
              </w:rPr>
              <w:t>–</w:t>
            </w:r>
            <w:r w:rsidRPr="00872866">
              <w:rPr>
                <w:lang w:eastAsia="en-NZ"/>
              </w:rPr>
              <w:t>59</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885</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517</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58.4</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486</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304</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62.6</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60</w:t>
            </w:r>
            <w:r>
              <w:rPr>
                <w:lang w:eastAsia="en-NZ"/>
              </w:rPr>
              <w:t>–</w:t>
            </w:r>
            <w:r w:rsidRPr="00872866">
              <w:rPr>
                <w:lang w:eastAsia="en-NZ"/>
              </w:rPr>
              <w:t>74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3</w:t>
            </w:r>
            <w:r>
              <w:rPr>
                <w:lang w:eastAsia="en-NZ"/>
              </w:rPr>
              <w:t>,</w:t>
            </w:r>
            <w:r w:rsidRPr="00826E06">
              <w:rPr>
                <w:lang w:eastAsia="en-NZ"/>
              </w:rPr>
              <w:t>155</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2</w:t>
            </w:r>
            <w:r>
              <w:rPr>
                <w:lang w:eastAsia="en-NZ"/>
              </w:rPr>
              <w:t>,</w:t>
            </w:r>
            <w:r w:rsidRPr="00826E06">
              <w:rPr>
                <w:lang w:eastAsia="en-NZ"/>
              </w:rPr>
              <w:t>067</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65.5</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1</w:t>
            </w:r>
            <w:r>
              <w:rPr>
                <w:lang w:eastAsia="en-NZ"/>
              </w:rPr>
              <w:t>,</w:t>
            </w:r>
            <w:r w:rsidRPr="00826E06">
              <w:rPr>
                <w:lang w:eastAsia="en-NZ"/>
              </w:rPr>
              <w:t>279</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828</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64.7</w:t>
            </w:r>
          </w:p>
        </w:tc>
      </w:tr>
      <w:tr w:rsidR="00E848D2" w:rsidRPr="002225A4" w:rsidTr="00E848D2">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75+</w:t>
            </w:r>
          </w:p>
        </w:tc>
        <w:tc>
          <w:tcPr>
            <w:tcW w:w="1134"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3</w:t>
            </w:r>
            <w:r>
              <w:rPr>
                <w:lang w:eastAsia="en-NZ"/>
              </w:rPr>
              <w:t>,</w:t>
            </w:r>
            <w:r w:rsidRPr="00826E06">
              <w:rPr>
                <w:lang w:eastAsia="en-NZ"/>
              </w:rPr>
              <w:t>927</w:t>
            </w:r>
          </w:p>
        </w:tc>
        <w:tc>
          <w:tcPr>
            <w:tcW w:w="1063" w:type="dxa"/>
            <w:tcBorders>
              <w:top w:val="single" w:sz="4" w:space="0" w:color="A6A6A6" w:themeColor="background1" w:themeShade="A6"/>
              <w:left w:val="nil"/>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2</w:t>
            </w:r>
            <w:r>
              <w:rPr>
                <w:lang w:eastAsia="en-NZ"/>
              </w:rPr>
              <w:t>,</w:t>
            </w:r>
            <w:r w:rsidRPr="00826E06">
              <w:rPr>
                <w:lang w:eastAsia="en-NZ"/>
              </w:rPr>
              <w:t>504</w:t>
            </w:r>
          </w:p>
        </w:tc>
        <w:tc>
          <w:tcPr>
            <w:tcW w:w="779"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63.8</w:t>
            </w:r>
          </w:p>
        </w:tc>
        <w:tc>
          <w:tcPr>
            <w:tcW w:w="1292"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963</w:t>
            </w:r>
          </w:p>
        </w:tc>
        <w:tc>
          <w:tcPr>
            <w:tcW w:w="984" w:type="dxa"/>
            <w:tcBorders>
              <w:top w:val="single" w:sz="4" w:space="0" w:color="A6A6A6" w:themeColor="background1" w:themeShade="A6"/>
              <w:left w:val="nil"/>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526</w:t>
            </w:r>
          </w:p>
        </w:tc>
        <w:tc>
          <w:tcPr>
            <w:tcW w:w="701" w:type="dxa"/>
            <w:tcBorders>
              <w:top w:val="single" w:sz="4" w:space="0" w:color="A6A6A6" w:themeColor="background1" w:themeShade="A6"/>
              <w:left w:val="nil"/>
              <w:bottom w:val="single" w:sz="4" w:space="0" w:color="7F7F7F" w:themeColor="text1" w:themeTint="80"/>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54.6</w:t>
            </w:r>
          </w:p>
        </w:tc>
      </w:tr>
      <w:tr w:rsidR="00E848D2" w:rsidRPr="002225A4" w:rsidTr="00E848D2">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848D2" w:rsidRPr="00E848D2" w:rsidRDefault="00E848D2" w:rsidP="00E848D2">
            <w:pPr>
              <w:pStyle w:val="TableText"/>
              <w:rPr>
                <w:b/>
                <w:lang w:eastAsia="en-NZ"/>
              </w:rPr>
            </w:pPr>
            <w:r w:rsidRPr="00E848D2">
              <w:rPr>
                <w:b/>
                <w:lang w:eastAsia="en-NZ"/>
              </w:rPr>
              <w:t>Sex</w:t>
            </w:r>
          </w:p>
        </w:tc>
        <w:tc>
          <w:tcPr>
            <w:tcW w:w="1134"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92"/>
              </w:tabs>
              <w:rPr>
                <w:lang w:eastAsia="en-NZ"/>
              </w:rPr>
            </w:pPr>
          </w:p>
        </w:tc>
        <w:tc>
          <w:tcPr>
            <w:tcW w:w="1063"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51"/>
              </w:tabs>
              <w:rPr>
                <w:lang w:eastAsia="en-NZ"/>
              </w:rPr>
            </w:pPr>
          </w:p>
        </w:tc>
        <w:tc>
          <w:tcPr>
            <w:tcW w:w="779"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848D2" w:rsidRPr="00826E06" w:rsidRDefault="00E848D2" w:rsidP="00E848D2">
            <w:pPr>
              <w:pStyle w:val="TableText"/>
              <w:jc w:val="center"/>
              <w:rPr>
                <w:lang w:eastAsia="en-NZ"/>
              </w:rPr>
            </w:pPr>
          </w:p>
        </w:tc>
        <w:tc>
          <w:tcPr>
            <w:tcW w:w="1292"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783"/>
              </w:tabs>
              <w:rPr>
                <w:lang w:eastAsia="en-NZ"/>
              </w:rPr>
            </w:pPr>
          </w:p>
        </w:tc>
        <w:tc>
          <w:tcPr>
            <w:tcW w:w="984"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04"/>
              </w:tabs>
              <w:rPr>
                <w:lang w:eastAsia="en-NZ"/>
              </w:rPr>
            </w:pPr>
          </w:p>
        </w:tc>
        <w:tc>
          <w:tcPr>
            <w:tcW w:w="701"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jc w:val="center"/>
              <w:rPr>
                <w:lang w:eastAsia="en-NZ"/>
              </w:rPr>
            </w:pP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848D2" w:rsidRPr="00872866" w:rsidRDefault="00E848D2" w:rsidP="00E848D2">
            <w:pPr>
              <w:pStyle w:val="TableText"/>
              <w:ind w:left="142"/>
              <w:rPr>
                <w:lang w:eastAsia="en-NZ"/>
              </w:rPr>
            </w:pPr>
            <w:r>
              <w:rPr>
                <w:lang w:eastAsia="en-NZ"/>
              </w:rPr>
              <w:t>Female</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92"/>
              </w:tabs>
              <w:rPr>
                <w:lang w:eastAsia="en-NZ"/>
              </w:rPr>
            </w:pPr>
            <w:r w:rsidRPr="00826E06">
              <w:rPr>
                <w:lang w:eastAsia="en-NZ"/>
              </w:rPr>
              <w:t>4</w:t>
            </w:r>
            <w:r>
              <w:rPr>
                <w:lang w:eastAsia="en-NZ"/>
              </w:rPr>
              <w:t>,</w:t>
            </w:r>
            <w:r w:rsidRPr="00826E06">
              <w:rPr>
                <w:lang w:eastAsia="en-NZ"/>
              </w:rPr>
              <w:t>305</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51"/>
              </w:tabs>
              <w:rPr>
                <w:lang w:eastAsia="en-NZ"/>
              </w:rPr>
            </w:pPr>
            <w:r w:rsidRPr="00826E06">
              <w:rPr>
                <w:lang w:eastAsia="en-NZ"/>
              </w:rPr>
              <w:t>2</w:t>
            </w:r>
            <w:r>
              <w:rPr>
                <w:lang w:eastAsia="en-NZ"/>
              </w:rPr>
              <w:t>,</w:t>
            </w:r>
            <w:r w:rsidRPr="00826E06">
              <w:rPr>
                <w:lang w:eastAsia="en-NZ"/>
              </w:rPr>
              <w:t>789</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848D2" w:rsidRPr="00826E06" w:rsidRDefault="00E848D2" w:rsidP="00E848D2">
            <w:pPr>
              <w:pStyle w:val="TableText"/>
              <w:jc w:val="center"/>
              <w:rPr>
                <w:lang w:eastAsia="en-NZ"/>
              </w:rPr>
            </w:pPr>
            <w:r w:rsidRPr="00826E06">
              <w:rPr>
                <w:lang w:eastAsia="en-NZ"/>
              </w:rPr>
              <w:t>64.8</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783"/>
              </w:tabs>
              <w:rPr>
                <w:lang w:eastAsia="en-NZ"/>
              </w:rPr>
            </w:pPr>
            <w:r w:rsidRPr="00826E06">
              <w:rPr>
                <w:lang w:eastAsia="en-NZ"/>
              </w:rPr>
              <w:t>1</w:t>
            </w:r>
            <w:r>
              <w:rPr>
                <w:lang w:eastAsia="en-NZ"/>
              </w:rPr>
              <w:t>,</w:t>
            </w:r>
            <w:r w:rsidRPr="00826E06">
              <w:rPr>
                <w:lang w:eastAsia="en-NZ"/>
              </w:rPr>
              <w:t>111</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04"/>
              </w:tabs>
              <w:rPr>
                <w:lang w:eastAsia="en-NZ"/>
              </w:rPr>
            </w:pPr>
            <w:r w:rsidRPr="00826E06">
              <w:rPr>
                <w:lang w:eastAsia="en-NZ"/>
              </w:rPr>
              <w:t>658</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jc w:val="center"/>
              <w:rPr>
                <w:lang w:eastAsia="en-NZ"/>
              </w:rPr>
            </w:pPr>
            <w:r w:rsidRPr="00826E06">
              <w:rPr>
                <w:lang w:eastAsia="en-NZ"/>
              </w:rPr>
              <w:t>59.2</w:t>
            </w:r>
          </w:p>
        </w:tc>
      </w:tr>
      <w:tr w:rsidR="00E848D2" w:rsidRPr="002225A4" w:rsidTr="00E848D2">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E848D2" w:rsidRPr="00872866" w:rsidRDefault="00E848D2" w:rsidP="00E848D2">
            <w:pPr>
              <w:pStyle w:val="TableText"/>
              <w:ind w:left="142"/>
              <w:rPr>
                <w:lang w:eastAsia="en-NZ"/>
              </w:rPr>
            </w:pPr>
            <w:r>
              <w:rPr>
                <w:lang w:eastAsia="en-NZ"/>
              </w:rPr>
              <w:t>Male</w:t>
            </w:r>
          </w:p>
        </w:tc>
        <w:tc>
          <w:tcPr>
            <w:tcW w:w="1134"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E848D2" w:rsidRPr="00826E06" w:rsidRDefault="00E848D2" w:rsidP="00E848D2">
            <w:pPr>
              <w:pStyle w:val="TableText"/>
              <w:tabs>
                <w:tab w:val="decimal" w:pos="692"/>
              </w:tabs>
              <w:rPr>
                <w:lang w:eastAsia="en-NZ"/>
              </w:rPr>
            </w:pPr>
            <w:r w:rsidRPr="00826E06">
              <w:rPr>
                <w:lang w:eastAsia="en-NZ"/>
              </w:rPr>
              <w:t>4</w:t>
            </w:r>
            <w:r>
              <w:rPr>
                <w:lang w:eastAsia="en-NZ"/>
              </w:rPr>
              <w:t>,</w:t>
            </w:r>
            <w:r w:rsidRPr="00826E06">
              <w:rPr>
                <w:lang w:eastAsia="en-NZ"/>
              </w:rPr>
              <w:t>125</w:t>
            </w:r>
          </w:p>
        </w:tc>
        <w:tc>
          <w:tcPr>
            <w:tcW w:w="1063" w:type="dxa"/>
            <w:tcBorders>
              <w:top w:val="single" w:sz="4" w:space="0" w:color="A6A6A6" w:themeColor="background1" w:themeShade="A6"/>
              <w:left w:val="nil"/>
              <w:bottom w:val="single" w:sz="4" w:space="0" w:color="7F7F7F" w:themeColor="text1" w:themeTint="80"/>
              <w:right w:val="nil"/>
            </w:tcBorders>
            <w:shd w:val="clear" w:color="auto" w:fill="auto"/>
            <w:noWrap/>
          </w:tcPr>
          <w:p w:rsidR="00E848D2" w:rsidRPr="00826E06" w:rsidRDefault="00E848D2" w:rsidP="00E848D2">
            <w:pPr>
              <w:pStyle w:val="TableText"/>
              <w:tabs>
                <w:tab w:val="decimal" w:pos="651"/>
              </w:tabs>
              <w:rPr>
                <w:lang w:eastAsia="en-NZ"/>
              </w:rPr>
            </w:pPr>
            <w:r w:rsidRPr="00826E06">
              <w:rPr>
                <w:lang w:eastAsia="en-NZ"/>
              </w:rPr>
              <w:t>2</w:t>
            </w:r>
            <w:r>
              <w:rPr>
                <w:lang w:eastAsia="en-NZ"/>
              </w:rPr>
              <w:t>,</w:t>
            </w:r>
            <w:r w:rsidRPr="00826E06">
              <w:rPr>
                <w:lang w:eastAsia="en-NZ"/>
              </w:rPr>
              <w:t>571</w:t>
            </w:r>
          </w:p>
        </w:tc>
        <w:tc>
          <w:tcPr>
            <w:tcW w:w="779"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E848D2" w:rsidRPr="00826E06" w:rsidRDefault="00E848D2" w:rsidP="00E848D2">
            <w:pPr>
              <w:pStyle w:val="TableText"/>
              <w:jc w:val="center"/>
              <w:rPr>
                <w:lang w:eastAsia="en-NZ"/>
              </w:rPr>
            </w:pPr>
            <w:r w:rsidRPr="00826E06">
              <w:rPr>
                <w:lang w:eastAsia="en-NZ"/>
              </w:rPr>
              <w:t>62.3</w:t>
            </w:r>
          </w:p>
        </w:tc>
        <w:tc>
          <w:tcPr>
            <w:tcW w:w="1292"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E848D2" w:rsidRPr="00826E06" w:rsidRDefault="00E848D2" w:rsidP="00E848D2">
            <w:pPr>
              <w:pStyle w:val="TableText"/>
              <w:tabs>
                <w:tab w:val="decimal" w:pos="783"/>
              </w:tabs>
              <w:rPr>
                <w:lang w:eastAsia="en-NZ"/>
              </w:rPr>
            </w:pPr>
            <w:r w:rsidRPr="00826E06">
              <w:rPr>
                <w:lang w:eastAsia="en-NZ"/>
              </w:rPr>
              <w:t>1</w:t>
            </w:r>
            <w:r>
              <w:rPr>
                <w:lang w:eastAsia="en-NZ"/>
              </w:rPr>
              <w:t>,</w:t>
            </w:r>
            <w:r w:rsidRPr="00826E06">
              <w:rPr>
                <w:lang w:eastAsia="en-NZ"/>
              </w:rPr>
              <w:t>887</w:t>
            </w:r>
          </w:p>
        </w:tc>
        <w:tc>
          <w:tcPr>
            <w:tcW w:w="984" w:type="dxa"/>
            <w:tcBorders>
              <w:top w:val="single" w:sz="4" w:space="0" w:color="A6A6A6" w:themeColor="background1" w:themeShade="A6"/>
              <w:left w:val="nil"/>
              <w:bottom w:val="single" w:sz="4" w:space="0" w:color="7F7F7F" w:themeColor="text1" w:themeTint="80"/>
              <w:right w:val="nil"/>
            </w:tcBorders>
            <w:shd w:val="clear" w:color="auto" w:fill="auto"/>
            <w:noWrap/>
          </w:tcPr>
          <w:p w:rsidR="00E848D2" w:rsidRPr="00826E06" w:rsidRDefault="00E848D2" w:rsidP="00E848D2">
            <w:pPr>
              <w:pStyle w:val="TableText"/>
              <w:tabs>
                <w:tab w:val="decimal" w:pos="604"/>
              </w:tabs>
              <w:rPr>
                <w:lang w:eastAsia="en-NZ"/>
              </w:rPr>
            </w:pPr>
            <w:r w:rsidRPr="00826E06">
              <w:rPr>
                <w:lang w:eastAsia="en-NZ"/>
              </w:rPr>
              <w:t>1</w:t>
            </w:r>
            <w:r>
              <w:rPr>
                <w:lang w:eastAsia="en-NZ"/>
              </w:rPr>
              <w:t>,</w:t>
            </w:r>
            <w:r w:rsidRPr="00826E06">
              <w:rPr>
                <w:lang w:eastAsia="en-NZ"/>
              </w:rPr>
              <w:t>152</w:t>
            </w:r>
          </w:p>
        </w:tc>
        <w:tc>
          <w:tcPr>
            <w:tcW w:w="701" w:type="dxa"/>
            <w:tcBorders>
              <w:top w:val="single" w:sz="4" w:space="0" w:color="A6A6A6" w:themeColor="background1" w:themeShade="A6"/>
              <w:left w:val="nil"/>
              <w:bottom w:val="single" w:sz="4" w:space="0" w:color="7F7F7F" w:themeColor="text1" w:themeTint="80"/>
              <w:right w:val="nil"/>
            </w:tcBorders>
            <w:shd w:val="clear" w:color="auto" w:fill="auto"/>
            <w:noWrap/>
          </w:tcPr>
          <w:p w:rsidR="00E848D2" w:rsidRPr="00826E06" w:rsidRDefault="00E848D2" w:rsidP="00E848D2">
            <w:pPr>
              <w:pStyle w:val="TableText"/>
              <w:jc w:val="center"/>
              <w:rPr>
                <w:lang w:eastAsia="en-NZ"/>
              </w:rPr>
            </w:pPr>
            <w:r w:rsidRPr="00826E06">
              <w:rPr>
                <w:lang w:eastAsia="en-NZ"/>
              </w:rPr>
              <w:t>61</w:t>
            </w:r>
            <w:r>
              <w:rPr>
                <w:lang w:eastAsia="en-NZ"/>
              </w:rPr>
              <w:t>.0</w:t>
            </w:r>
          </w:p>
        </w:tc>
      </w:tr>
      <w:tr w:rsidR="00E848D2" w:rsidRPr="002225A4" w:rsidTr="00E848D2">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848D2" w:rsidRPr="00E848D2" w:rsidRDefault="00E848D2" w:rsidP="00E848D2">
            <w:pPr>
              <w:pStyle w:val="TableText"/>
              <w:rPr>
                <w:b/>
                <w:lang w:eastAsia="en-NZ"/>
              </w:rPr>
            </w:pPr>
            <w:r w:rsidRPr="00E848D2">
              <w:rPr>
                <w:b/>
                <w:lang w:eastAsia="en-NZ"/>
              </w:rPr>
              <w:t>Ethnic group</w:t>
            </w:r>
          </w:p>
        </w:tc>
        <w:tc>
          <w:tcPr>
            <w:tcW w:w="1134"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92"/>
              </w:tabs>
              <w:rPr>
                <w:lang w:eastAsia="en-NZ"/>
              </w:rPr>
            </w:pPr>
          </w:p>
        </w:tc>
        <w:tc>
          <w:tcPr>
            <w:tcW w:w="1063"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51"/>
              </w:tabs>
              <w:rPr>
                <w:lang w:eastAsia="en-NZ"/>
              </w:rPr>
            </w:pPr>
          </w:p>
        </w:tc>
        <w:tc>
          <w:tcPr>
            <w:tcW w:w="779"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848D2" w:rsidRPr="00826E06" w:rsidRDefault="00E848D2" w:rsidP="00E848D2">
            <w:pPr>
              <w:pStyle w:val="TableText"/>
              <w:jc w:val="center"/>
              <w:rPr>
                <w:lang w:eastAsia="en-NZ"/>
              </w:rPr>
            </w:pPr>
          </w:p>
        </w:tc>
        <w:tc>
          <w:tcPr>
            <w:tcW w:w="1292"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783"/>
              </w:tabs>
              <w:rPr>
                <w:lang w:eastAsia="en-NZ"/>
              </w:rPr>
            </w:pPr>
          </w:p>
        </w:tc>
        <w:tc>
          <w:tcPr>
            <w:tcW w:w="984"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04"/>
              </w:tabs>
              <w:rPr>
                <w:lang w:eastAsia="en-NZ"/>
              </w:rPr>
            </w:pPr>
          </w:p>
        </w:tc>
        <w:tc>
          <w:tcPr>
            <w:tcW w:w="701"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jc w:val="center"/>
              <w:rPr>
                <w:lang w:eastAsia="en-NZ"/>
              </w:rPr>
            </w:pP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848D2" w:rsidRPr="00872866" w:rsidRDefault="00E848D2" w:rsidP="00E848D2">
            <w:pPr>
              <w:pStyle w:val="TableText"/>
              <w:ind w:left="142"/>
              <w:rPr>
                <w:lang w:eastAsia="en-NZ"/>
              </w:rPr>
            </w:pPr>
            <w:r w:rsidRPr="00872866">
              <w:rPr>
                <w:lang w:eastAsia="en-NZ"/>
              </w:rPr>
              <w:t>M</w:t>
            </w:r>
            <w:r>
              <w:rPr>
                <w:lang w:eastAsia="en-NZ"/>
              </w:rPr>
              <w:t>ā</w:t>
            </w:r>
            <w:r w:rsidRPr="00872866">
              <w:rPr>
                <w:lang w:eastAsia="en-NZ"/>
              </w:rPr>
              <w:t>ori</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92"/>
              </w:tabs>
              <w:rPr>
                <w:lang w:eastAsia="en-NZ"/>
              </w:rPr>
            </w:pPr>
            <w:r w:rsidRPr="00826E06">
              <w:rPr>
                <w:lang w:eastAsia="en-NZ"/>
              </w:rPr>
              <w:t>447</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51"/>
              </w:tabs>
              <w:rPr>
                <w:lang w:eastAsia="en-NZ"/>
              </w:rPr>
            </w:pPr>
            <w:r w:rsidRPr="00826E06">
              <w:rPr>
                <w:lang w:eastAsia="en-NZ"/>
              </w:rPr>
              <w:t>288</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848D2" w:rsidRPr="00826E06" w:rsidRDefault="00E848D2" w:rsidP="00E848D2">
            <w:pPr>
              <w:pStyle w:val="TableText"/>
              <w:jc w:val="center"/>
              <w:rPr>
                <w:lang w:eastAsia="en-NZ"/>
              </w:rPr>
            </w:pPr>
            <w:r w:rsidRPr="00826E06">
              <w:rPr>
                <w:lang w:eastAsia="en-NZ"/>
              </w:rPr>
              <w:t>64.4</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783"/>
              </w:tabs>
              <w:rPr>
                <w:lang w:eastAsia="en-NZ"/>
              </w:rPr>
            </w:pPr>
            <w:r w:rsidRPr="00826E06">
              <w:rPr>
                <w:lang w:eastAsia="en-NZ"/>
              </w:rPr>
              <w:t>202</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04"/>
              </w:tabs>
              <w:rPr>
                <w:lang w:eastAsia="en-NZ"/>
              </w:rPr>
            </w:pPr>
            <w:r w:rsidRPr="00826E06">
              <w:rPr>
                <w:lang w:eastAsia="en-NZ"/>
              </w:rPr>
              <w:t>123</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jc w:val="center"/>
              <w:rPr>
                <w:lang w:eastAsia="en-NZ"/>
              </w:rPr>
            </w:pPr>
            <w:r w:rsidRPr="00826E06">
              <w:rPr>
                <w:lang w:eastAsia="en-NZ"/>
              </w:rPr>
              <w:t>60.9</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Pacific peoples</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160</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92</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57.5</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104</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55</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52.9</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Asian</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292</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181</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62</w:t>
            </w:r>
            <w:r>
              <w:rPr>
                <w:lang w:eastAsia="en-NZ"/>
              </w:rPr>
              <w:t>.0</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150</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89</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59.3</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European/Other</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7</w:t>
            </w:r>
            <w:r>
              <w:rPr>
                <w:lang w:eastAsia="en-NZ"/>
              </w:rPr>
              <w:t>,</w:t>
            </w:r>
            <w:r w:rsidRPr="00826E06">
              <w:rPr>
                <w:lang w:eastAsia="en-NZ"/>
              </w:rPr>
              <w:t>417</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4</w:t>
            </w:r>
            <w:r>
              <w:rPr>
                <w:lang w:eastAsia="en-NZ"/>
              </w:rPr>
              <w:t>,</w:t>
            </w:r>
            <w:r w:rsidRPr="00826E06">
              <w:rPr>
                <w:lang w:eastAsia="en-NZ"/>
              </w:rPr>
              <w:t>725</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63.7</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2</w:t>
            </w:r>
            <w:r>
              <w:rPr>
                <w:lang w:eastAsia="en-NZ"/>
              </w:rPr>
              <w:t>,</w:t>
            </w:r>
            <w:r w:rsidRPr="00826E06">
              <w:rPr>
                <w:lang w:eastAsia="en-NZ"/>
              </w:rPr>
              <w:t>495</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1</w:t>
            </w:r>
            <w:r>
              <w:rPr>
                <w:lang w:eastAsia="en-NZ"/>
              </w:rPr>
              <w:t>,</w:t>
            </w:r>
            <w:r w:rsidRPr="00826E06">
              <w:rPr>
                <w:lang w:eastAsia="en-NZ"/>
              </w:rPr>
              <w:t>512</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60.6</w:t>
            </w:r>
          </w:p>
        </w:tc>
      </w:tr>
      <w:tr w:rsidR="00E848D2" w:rsidRPr="002225A4" w:rsidTr="00E848D2">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Unknown</w:t>
            </w:r>
          </w:p>
        </w:tc>
        <w:tc>
          <w:tcPr>
            <w:tcW w:w="1134"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114</w:t>
            </w:r>
          </w:p>
        </w:tc>
        <w:tc>
          <w:tcPr>
            <w:tcW w:w="1063" w:type="dxa"/>
            <w:tcBorders>
              <w:top w:val="single" w:sz="4" w:space="0" w:color="A6A6A6" w:themeColor="background1" w:themeShade="A6"/>
              <w:left w:val="nil"/>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74</w:t>
            </w:r>
          </w:p>
        </w:tc>
        <w:tc>
          <w:tcPr>
            <w:tcW w:w="779"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64.9</w:t>
            </w:r>
          </w:p>
        </w:tc>
        <w:tc>
          <w:tcPr>
            <w:tcW w:w="1292"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47</w:t>
            </w:r>
          </w:p>
        </w:tc>
        <w:tc>
          <w:tcPr>
            <w:tcW w:w="984" w:type="dxa"/>
            <w:tcBorders>
              <w:top w:val="single" w:sz="4" w:space="0" w:color="A6A6A6" w:themeColor="background1" w:themeShade="A6"/>
              <w:left w:val="nil"/>
              <w:bottom w:val="single" w:sz="4" w:space="0" w:color="7F7F7F" w:themeColor="text1" w:themeTint="80"/>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31</w:t>
            </w:r>
          </w:p>
        </w:tc>
        <w:tc>
          <w:tcPr>
            <w:tcW w:w="701" w:type="dxa"/>
            <w:tcBorders>
              <w:top w:val="single" w:sz="4" w:space="0" w:color="A6A6A6" w:themeColor="background1" w:themeShade="A6"/>
              <w:left w:val="nil"/>
              <w:bottom w:val="single" w:sz="4" w:space="0" w:color="7F7F7F" w:themeColor="text1" w:themeTint="80"/>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66</w:t>
            </w:r>
            <w:r>
              <w:rPr>
                <w:lang w:eastAsia="en-NZ"/>
              </w:rPr>
              <w:t>.0</w:t>
            </w:r>
          </w:p>
        </w:tc>
      </w:tr>
      <w:tr w:rsidR="00E848D2" w:rsidRPr="002225A4" w:rsidTr="00E848D2">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848D2" w:rsidRPr="00E848D2" w:rsidRDefault="00E848D2" w:rsidP="00E848D2">
            <w:pPr>
              <w:pStyle w:val="TableText"/>
              <w:rPr>
                <w:b/>
                <w:lang w:eastAsia="en-NZ"/>
              </w:rPr>
            </w:pPr>
            <w:r w:rsidRPr="00E848D2">
              <w:rPr>
                <w:b/>
                <w:lang w:eastAsia="en-NZ"/>
              </w:rPr>
              <w:t>NZDep2013 quintile</w:t>
            </w:r>
          </w:p>
        </w:tc>
        <w:tc>
          <w:tcPr>
            <w:tcW w:w="1134"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92"/>
              </w:tabs>
              <w:rPr>
                <w:lang w:eastAsia="en-NZ"/>
              </w:rPr>
            </w:pPr>
          </w:p>
        </w:tc>
        <w:tc>
          <w:tcPr>
            <w:tcW w:w="1063"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51"/>
              </w:tabs>
              <w:rPr>
                <w:lang w:eastAsia="en-NZ"/>
              </w:rPr>
            </w:pPr>
          </w:p>
        </w:tc>
        <w:tc>
          <w:tcPr>
            <w:tcW w:w="779"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848D2" w:rsidRPr="00826E06" w:rsidRDefault="00E848D2" w:rsidP="00E848D2">
            <w:pPr>
              <w:pStyle w:val="TableText"/>
              <w:jc w:val="center"/>
              <w:rPr>
                <w:lang w:eastAsia="en-NZ"/>
              </w:rPr>
            </w:pPr>
          </w:p>
        </w:tc>
        <w:tc>
          <w:tcPr>
            <w:tcW w:w="1292"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783"/>
              </w:tabs>
              <w:rPr>
                <w:lang w:eastAsia="en-NZ"/>
              </w:rPr>
            </w:pPr>
          </w:p>
        </w:tc>
        <w:tc>
          <w:tcPr>
            <w:tcW w:w="984"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04"/>
              </w:tabs>
              <w:rPr>
                <w:lang w:eastAsia="en-NZ"/>
              </w:rPr>
            </w:pPr>
          </w:p>
        </w:tc>
        <w:tc>
          <w:tcPr>
            <w:tcW w:w="701" w:type="dxa"/>
            <w:tcBorders>
              <w:top w:val="single" w:sz="4" w:space="0" w:color="7F7F7F" w:themeColor="text1" w:themeTint="80"/>
              <w:left w:val="nil"/>
              <w:bottom w:val="single" w:sz="4" w:space="0" w:color="A6A6A6" w:themeColor="background1" w:themeShade="A6"/>
              <w:right w:val="nil"/>
            </w:tcBorders>
            <w:shd w:val="clear" w:color="auto" w:fill="auto"/>
            <w:noWrap/>
          </w:tcPr>
          <w:p w:rsidR="00E848D2" w:rsidRPr="00826E06" w:rsidRDefault="00E848D2" w:rsidP="00E848D2">
            <w:pPr>
              <w:pStyle w:val="TableText"/>
              <w:jc w:val="center"/>
              <w:rPr>
                <w:lang w:eastAsia="en-NZ"/>
              </w:rPr>
            </w:pP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848D2" w:rsidRPr="00872866" w:rsidRDefault="00E848D2" w:rsidP="00E848D2">
            <w:pPr>
              <w:pStyle w:val="TableText"/>
              <w:ind w:left="142"/>
              <w:rPr>
                <w:lang w:eastAsia="en-NZ"/>
              </w:rPr>
            </w:pPr>
            <w:r w:rsidRPr="00872866">
              <w:rPr>
                <w:lang w:eastAsia="en-NZ"/>
              </w:rPr>
              <w:t>1 (least deprived)</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92"/>
              </w:tabs>
              <w:rPr>
                <w:lang w:eastAsia="en-NZ"/>
              </w:rPr>
            </w:pPr>
            <w:r w:rsidRPr="00826E06">
              <w:rPr>
                <w:lang w:eastAsia="en-NZ"/>
              </w:rPr>
              <w:t>1</w:t>
            </w:r>
            <w:r>
              <w:rPr>
                <w:lang w:eastAsia="en-NZ"/>
              </w:rPr>
              <w:t>,</w:t>
            </w:r>
            <w:r w:rsidRPr="00826E06">
              <w:rPr>
                <w:lang w:eastAsia="en-NZ"/>
              </w:rPr>
              <w:t>475</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51"/>
              </w:tabs>
              <w:rPr>
                <w:lang w:eastAsia="en-NZ"/>
              </w:rPr>
            </w:pPr>
            <w:r w:rsidRPr="00826E06">
              <w:rPr>
                <w:lang w:eastAsia="en-NZ"/>
              </w:rPr>
              <w:t>854</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848D2" w:rsidRPr="00826E06" w:rsidRDefault="00E848D2" w:rsidP="00E848D2">
            <w:pPr>
              <w:pStyle w:val="TableText"/>
              <w:jc w:val="center"/>
              <w:rPr>
                <w:lang w:eastAsia="en-NZ"/>
              </w:rPr>
            </w:pPr>
            <w:r w:rsidRPr="00826E06">
              <w:rPr>
                <w:lang w:eastAsia="en-NZ"/>
              </w:rPr>
              <w:t>57.9</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783"/>
              </w:tabs>
              <w:rPr>
                <w:lang w:eastAsia="en-NZ"/>
              </w:rPr>
            </w:pPr>
            <w:r w:rsidRPr="00826E06">
              <w:rPr>
                <w:lang w:eastAsia="en-NZ"/>
              </w:rPr>
              <w:t>574</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tabs>
                <w:tab w:val="decimal" w:pos="604"/>
              </w:tabs>
              <w:rPr>
                <w:lang w:eastAsia="en-NZ"/>
              </w:rPr>
            </w:pPr>
            <w:r w:rsidRPr="00826E06">
              <w:rPr>
                <w:lang w:eastAsia="en-NZ"/>
              </w:rPr>
              <w:t>297</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tcPr>
          <w:p w:rsidR="00E848D2" w:rsidRPr="00826E06" w:rsidRDefault="00E848D2" w:rsidP="00E848D2">
            <w:pPr>
              <w:pStyle w:val="TableText"/>
              <w:jc w:val="center"/>
              <w:rPr>
                <w:lang w:eastAsia="en-NZ"/>
              </w:rPr>
            </w:pPr>
            <w:r w:rsidRPr="00826E06">
              <w:rPr>
                <w:lang w:eastAsia="en-NZ"/>
              </w:rPr>
              <w:t>51.7</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1</w:t>
            </w:r>
            <w:r>
              <w:rPr>
                <w:lang w:eastAsia="en-NZ"/>
              </w:rPr>
              <w:t>,</w:t>
            </w:r>
            <w:r w:rsidRPr="00826E06">
              <w:rPr>
                <w:lang w:eastAsia="en-NZ"/>
              </w:rPr>
              <w:t>580</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978</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61.9</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537</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315</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58.7</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3</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1</w:t>
            </w:r>
            <w:r>
              <w:rPr>
                <w:lang w:eastAsia="en-NZ"/>
              </w:rPr>
              <w:t>,</w:t>
            </w:r>
            <w:r w:rsidRPr="00826E06">
              <w:rPr>
                <w:lang w:eastAsia="en-NZ"/>
              </w:rPr>
              <w:t>830</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1</w:t>
            </w:r>
            <w:r>
              <w:rPr>
                <w:lang w:eastAsia="en-NZ"/>
              </w:rPr>
              <w:t>,</w:t>
            </w:r>
            <w:r w:rsidRPr="00826E06">
              <w:rPr>
                <w:lang w:eastAsia="en-NZ"/>
              </w:rPr>
              <w:t>169</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63.9</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664</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400</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60.2</w:t>
            </w:r>
          </w:p>
        </w:tc>
      </w:tr>
      <w:tr w:rsidR="00E848D2" w:rsidRPr="002225A4"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2</w:t>
            </w:r>
            <w:r>
              <w:rPr>
                <w:lang w:eastAsia="en-NZ"/>
              </w:rPr>
              <w:t>,</w:t>
            </w:r>
            <w:r w:rsidRPr="00826E06">
              <w:rPr>
                <w:lang w:eastAsia="en-NZ"/>
              </w:rPr>
              <w:t>001</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1</w:t>
            </w:r>
            <w:r>
              <w:rPr>
                <w:lang w:eastAsia="en-NZ"/>
              </w:rPr>
              <w:t>,</w:t>
            </w:r>
            <w:r w:rsidRPr="00826E06">
              <w:rPr>
                <w:lang w:eastAsia="en-NZ"/>
              </w:rPr>
              <w:t>335</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66.7</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642</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411</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64</w:t>
            </w:r>
            <w:r>
              <w:rPr>
                <w:lang w:eastAsia="en-NZ"/>
              </w:rPr>
              <w:t>.0</w:t>
            </w:r>
          </w:p>
        </w:tc>
      </w:tr>
      <w:tr w:rsidR="00E848D2" w:rsidRPr="00872866" w:rsidTr="00E848D2">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72866" w:rsidRDefault="00E848D2" w:rsidP="00E848D2">
            <w:pPr>
              <w:pStyle w:val="TableText"/>
              <w:ind w:left="142"/>
              <w:rPr>
                <w:lang w:eastAsia="en-NZ"/>
              </w:rPr>
            </w:pPr>
            <w:r w:rsidRPr="00872866">
              <w:rPr>
                <w:lang w:eastAsia="en-NZ"/>
              </w:rPr>
              <w:t>5 (most deprived)</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92"/>
              </w:tabs>
              <w:rPr>
                <w:lang w:eastAsia="en-NZ"/>
              </w:rPr>
            </w:pPr>
            <w:r w:rsidRPr="00826E06">
              <w:rPr>
                <w:lang w:eastAsia="en-NZ"/>
              </w:rPr>
              <w:t>1</w:t>
            </w:r>
            <w:r>
              <w:rPr>
                <w:lang w:eastAsia="en-NZ"/>
              </w:rPr>
              <w:t>,</w:t>
            </w:r>
            <w:r w:rsidRPr="00826E06">
              <w:rPr>
                <w:lang w:eastAsia="en-NZ"/>
              </w:rPr>
              <w:t>544</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51"/>
              </w:tabs>
              <w:rPr>
                <w:lang w:eastAsia="en-NZ"/>
              </w:rPr>
            </w:pPr>
            <w:r w:rsidRPr="00826E06">
              <w:rPr>
                <w:lang w:eastAsia="en-NZ"/>
              </w:rPr>
              <w:t>1</w:t>
            </w:r>
            <w:r>
              <w:rPr>
                <w:lang w:eastAsia="en-NZ"/>
              </w:rPr>
              <w:t>,</w:t>
            </w:r>
            <w:r w:rsidRPr="00826E06">
              <w:rPr>
                <w:lang w:eastAsia="en-NZ"/>
              </w:rPr>
              <w:t>024</w:t>
            </w:r>
          </w:p>
        </w:tc>
        <w:tc>
          <w:tcPr>
            <w:tcW w:w="77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848D2" w:rsidRPr="00826E06" w:rsidRDefault="00E848D2" w:rsidP="00E848D2">
            <w:pPr>
              <w:pStyle w:val="TableText"/>
              <w:jc w:val="center"/>
              <w:rPr>
                <w:lang w:eastAsia="en-NZ"/>
              </w:rPr>
            </w:pPr>
            <w:r w:rsidRPr="00826E06">
              <w:rPr>
                <w:lang w:eastAsia="en-NZ"/>
              </w:rPr>
              <w:t>66.3</w:t>
            </w:r>
          </w:p>
        </w:tc>
        <w:tc>
          <w:tcPr>
            <w:tcW w:w="12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783"/>
              </w:tabs>
              <w:rPr>
                <w:lang w:eastAsia="en-NZ"/>
              </w:rPr>
            </w:pPr>
            <w:r w:rsidRPr="00826E06">
              <w:rPr>
                <w:lang w:eastAsia="en-NZ"/>
              </w:rPr>
              <w:t>581</w:t>
            </w:r>
          </w:p>
        </w:tc>
        <w:tc>
          <w:tcPr>
            <w:tcW w:w="98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tabs>
                <w:tab w:val="decimal" w:pos="604"/>
              </w:tabs>
              <w:rPr>
                <w:lang w:eastAsia="en-NZ"/>
              </w:rPr>
            </w:pPr>
            <w:r w:rsidRPr="00826E06">
              <w:rPr>
                <w:lang w:eastAsia="en-NZ"/>
              </w:rPr>
              <w:t>387</w:t>
            </w:r>
          </w:p>
        </w:tc>
        <w:tc>
          <w:tcPr>
            <w:tcW w:w="70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E848D2" w:rsidRPr="00826E06" w:rsidRDefault="00E848D2" w:rsidP="00E848D2">
            <w:pPr>
              <w:pStyle w:val="TableText"/>
              <w:jc w:val="center"/>
              <w:rPr>
                <w:lang w:eastAsia="en-NZ"/>
              </w:rPr>
            </w:pPr>
            <w:r w:rsidRPr="00826E06">
              <w:rPr>
                <w:lang w:eastAsia="en-NZ"/>
              </w:rPr>
              <w:t>66.6</w:t>
            </w:r>
          </w:p>
        </w:tc>
      </w:tr>
    </w:tbl>
    <w:p w:rsidR="00A06E9D" w:rsidRDefault="00A06E9D" w:rsidP="00E848D2">
      <w:pPr>
        <w:rPr>
          <w:lang w:eastAsia="en-NZ"/>
        </w:rPr>
      </w:pPr>
      <w:bookmarkStart w:id="151" w:name="_Toc528220237"/>
      <w:bookmarkStart w:id="152" w:name="_Toc517871"/>
    </w:p>
    <w:p w:rsidR="006A5D28" w:rsidRDefault="00A06E9D" w:rsidP="00A06E9D">
      <w:pPr>
        <w:pStyle w:val="Heading2"/>
        <w:numPr>
          <w:ilvl w:val="0"/>
          <w:numId w:val="0"/>
        </w:numPr>
        <w:rPr>
          <w:lang w:eastAsia="en-NZ"/>
        </w:rPr>
      </w:pPr>
      <w:bookmarkStart w:id="153" w:name="_Toc2253749"/>
      <w:r>
        <w:rPr>
          <w:lang w:eastAsia="en-NZ"/>
        </w:rPr>
        <w:lastRenderedPageBreak/>
        <w:t>2</w:t>
      </w:r>
      <w:r>
        <w:rPr>
          <w:lang w:eastAsia="en-NZ"/>
        </w:rPr>
        <w:tab/>
      </w:r>
      <w:r w:rsidR="006A5D28">
        <w:rPr>
          <w:lang w:eastAsia="en-NZ"/>
        </w:rPr>
        <w:t>Bowel cancer surgery</w:t>
      </w:r>
      <w:bookmarkEnd w:id="151"/>
      <w:bookmarkEnd w:id="152"/>
      <w:bookmarkEnd w:id="153"/>
    </w:p>
    <w:p w:rsidR="006A5D28" w:rsidRDefault="006A5D28" w:rsidP="00A06E9D">
      <w:pPr>
        <w:pStyle w:val="Table"/>
        <w:rPr>
          <w:lang w:eastAsia="en-NZ"/>
        </w:rPr>
      </w:pPr>
      <w:bookmarkStart w:id="154" w:name="_Toc535936729"/>
      <w:bookmarkStart w:id="155" w:name="_Toc2254048"/>
      <w:r>
        <w:t xml:space="preserve">Table </w:t>
      </w:r>
      <w:r>
        <w:rPr>
          <w:noProof/>
        </w:rPr>
        <w:fldChar w:fldCharType="begin"/>
      </w:r>
      <w:r>
        <w:rPr>
          <w:noProof/>
        </w:rPr>
        <w:instrText xml:space="preserve"> SEQ Table \* ARABIC </w:instrText>
      </w:r>
      <w:r>
        <w:rPr>
          <w:noProof/>
        </w:rPr>
        <w:fldChar w:fldCharType="separate"/>
      </w:r>
      <w:r w:rsidR="002B5148">
        <w:rPr>
          <w:noProof/>
        </w:rPr>
        <w:t>7</w:t>
      </w:r>
      <w:r>
        <w:rPr>
          <w:noProof/>
        </w:rPr>
        <w:fldChar w:fldCharType="end"/>
      </w:r>
      <w:r>
        <w:t xml:space="preserve">: </w:t>
      </w:r>
      <w:r w:rsidRPr="0081686C">
        <w:rPr>
          <w:lang w:eastAsia="en-NZ"/>
        </w:rPr>
        <w:t xml:space="preserve">People having major surgery for </w:t>
      </w:r>
      <w:r>
        <w:rPr>
          <w:lang w:eastAsia="en-NZ"/>
        </w:rPr>
        <w:t>bowel</w:t>
      </w:r>
      <w:r w:rsidRPr="0081686C">
        <w:rPr>
          <w:lang w:eastAsia="en-NZ"/>
        </w:rPr>
        <w:t xml:space="preserve"> cancer in public hospitals, 2013</w:t>
      </w:r>
      <w:r>
        <w:rPr>
          <w:lang w:eastAsia="en-NZ"/>
        </w:rPr>
        <w:t>–</w:t>
      </w:r>
      <w:r w:rsidRPr="0081686C">
        <w:rPr>
          <w:lang w:eastAsia="en-NZ"/>
        </w:rPr>
        <w:t>16</w:t>
      </w:r>
      <w:bookmarkEnd w:id="154"/>
      <w:bookmarkEnd w:id="155"/>
    </w:p>
    <w:tbl>
      <w:tblPr>
        <w:tblW w:w="8080" w:type="dxa"/>
        <w:tblInd w:w="57" w:type="dxa"/>
        <w:tblLayout w:type="fixed"/>
        <w:tblCellMar>
          <w:left w:w="57" w:type="dxa"/>
          <w:right w:w="57" w:type="dxa"/>
        </w:tblCellMar>
        <w:tblLook w:val="04A0" w:firstRow="1" w:lastRow="0" w:firstColumn="1" w:lastColumn="0" w:noHBand="0" w:noVBand="1"/>
      </w:tblPr>
      <w:tblGrid>
        <w:gridCol w:w="2127"/>
        <w:gridCol w:w="850"/>
        <w:gridCol w:w="708"/>
        <w:gridCol w:w="709"/>
        <w:gridCol w:w="709"/>
        <w:gridCol w:w="709"/>
        <w:gridCol w:w="709"/>
        <w:gridCol w:w="709"/>
        <w:gridCol w:w="850"/>
      </w:tblGrid>
      <w:tr w:rsidR="00EF4CBD" w:rsidRPr="002225A4" w:rsidTr="00EF4CBD">
        <w:trPr>
          <w:cantSplit/>
          <w:tblHeader/>
        </w:trPr>
        <w:tc>
          <w:tcPr>
            <w:tcW w:w="2127" w:type="dxa"/>
            <w:vMerge w:val="restart"/>
            <w:tcBorders>
              <w:left w:val="nil"/>
              <w:right w:val="single" w:sz="4" w:space="0" w:color="A6A6A6" w:themeColor="background1" w:themeShade="A6"/>
            </w:tcBorders>
            <w:shd w:val="clear" w:color="auto" w:fill="D9D9D9" w:themeFill="background1" w:themeFillShade="D9"/>
            <w:noWrap/>
          </w:tcPr>
          <w:p w:rsidR="00EF4CBD" w:rsidRPr="002357E2" w:rsidRDefault="00EF4CBD" w:rsidP="00EF4CBD">
            <w:pPr>
              <w:pStyle w:val="TableText"/>
              <w:keepNext/>
              <w:rPr>
                <w:b/>
                <w:lang w:eastAsia="en-NZ"/>
              </w:rPr>
            </w:pPr>
          </w:p>
        </w:tc>
        <w:tc>
          <w:tcPr>
            <w:tcW w:w="850" w:type="dxa"/>
            <w:tcBorders>
              <w:left w:val="single" w:sz="4" w:space="0" w:color="A6A6A6" w:themeColor="background1" w:themeShade="A6"/>
              <w:right w:val="nil"/>
            </w:tcBorders>
            <w:shd w:val="clear" w:color="auto" w:fill="D9D9D9" w:themeFill="background1" w:themeFillShade="D9"/>
            <w:noWrap/>
          </w:tcPr>
          <w:p w:rsidR="00EF4CBD" w:rsidRPr="00EF4CBD" w:rsidRDefault="00EF4CBD" w:rsidP="00EF4CBD">
            <w:pPr>
              <w:pStyle w:val="TableText"/>
              <w:keepNext/>
              <w:jc w:val="center"/>
              <w:rPr>
                <w:b/>
                <w:lang w:eastAsia="en-NZ"/>
              </w:rPr>
            </w:pPr>
            <w:r w:rsidRPr="00EF4CBD">
              <w:rPr>
                <w:b/>
                <w:lang w:eastAsia="en-NZ"/>
              </w:rPr>
              <w:t>People having major surgery</w:t>
            </w:r>
          </w:p>
        </w:tc>
        <w:tc>
          <w:tcPr>
            <w:tcW w:w="1417"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rsidR="00EF4CBD" w:rsidRPr="00EF4CBD" w:rsidRDefault="00EF4CBD" w:rsidP="00EF4CBD">
            <w:pPr>
              <w:pStyle w:val="TableText"/>
              <w:keepNext/>
              <w:jc w:val="center"/>
              <w:rPr>
                <w:b/>
                <w:lang w:eastAsia="en-NZ"/>
              </w:rPr>
            </w:pPr>
            <w:r w:rsidRPr="00EF4CBD">
              <w:rPr>
                <w:b/>
                <w:lang w:eastAsia="en-NZ"/>
              </w:rPr>
              <w:t>Emergency surgery</w:t>
            </w:r>
          </w:p>
        </w:tc>
        <w:tc>
          <w:tcPr>
            <w:tcW w:w="1418"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rsidR="00EF4CBD" w:rsidRPr="00EF4CBD" w:rsidRDefault="00EF4CBD" w:rsidP="00EF4CBD">
            <w:pPr>
              <w:pStyle w:val="TableText"/>
              <w:keepNext/>
              <w:jc w:val="center"/>
              <w:rPr>
                <w:b/>
                <w:lang w:eastAsia="en-NZ"/>
              </w:rPr>
            </w:pPr>
            <w:r w:rsidRPr="00EF4CBD">
              <w:rPr>
                <w:b/>
                <w:lang w:eastAsia="en-NZ"/>
              </w:rPr>
              <w:t>Death within 90</w:t>
            </w:r>
            <w:r>
              <w:rPr>
                <w:b/>
                <w:lang w:eastAsia="en-NZ"/>
              </w:rPr>
              <w:t> </w:t>
            </w:r>
            <w:r w:rsidRPr="00EF4CBD">
              <w:rPr>
                <w:b/>
                <w:lang w:eastAsia="en-NZ"/>
              </w:rPr>
              <w:t>days of surgery</w:t>
            </w:r>
          </w:p>
        </w:tc>
        <w:tc>
          <w:tcPr>
            <w:tcW w:w="1418" w:type="dxa"/>
            <w:gridSpan w:val="2"/>
            <w:tcBorders>
              <w:left w:val="nil"/>
              <w:right w:val="single" w:sz="4" w:space="0" w:color="A6A6A6" w:themeColor="background1" w:themeShade="A6"/>
            </w:tcBorders>
            <w:shd w:val="clear" w:color="auto" w:fill="D9D9D9" w:themeFill="background1" w:themeFillShade="D9"/>
          </w:tcPr>
          <w:p w:rsidR="00EF4CBD" w:rsidRPr="00EF4CBD" w:rsidRDefault="00EF4CBD" w:rsidP="00EF4CBD">
            <w:pPr>
              <w:pStyle w:val="TableText"/>
              <w:keepNext/>
              <w:jc w:val="center"/>
              <w:rPr>
                <w:b/>
                <w:lang w:eastAsia="en-NZ"/>
              </w:rPr>
            </w:pPr>
            <w:r w:rsidRPr="00EF4CBD">
              <w:rPr>
                <w:b/>
                <w:lang w:eastAsia="en-NZ"/>
              </w:rPr>
              <w:t>Death within 90 days of elective surgery</w:t>
            </w:r>
          </w:p>
        </w:tc>
        <w:tc>
          <w:tcPr>
            <w:tcW w:w="850" w:type="dxa"/>
            <w:tcBorders>
              <w:left w:val="single" w:sz="4" w:space="0" w:color="A6A6A6" w:themeColor="background1" w:themeShade="A6"/>
              <w:right w:val="nil"/>
            </w:tcBorders>
            <w:shd w:val="clear" w:color="auto" w:fill="D9D9D9" w:themeFill="background1" w:themeFillShade="D9"/>
            <w:noWrap/>
          </w:tcPr>
          <w:p w:rsidR="00EF4CBD" w:rsidRPr="00EF4CBD" w:rsidRDefault="00EF4CBD" w:rsidP="00EF4CBD">
            <w:pPr>
              <w:pStyle w:val="TableText"/>
              <w:keepNext/>
              <w:jc w:val="center"/>
              <w:rPr>
                <w:b/>
                <w:lang w:eastAsia="en-NZ"/>
              </w:rPr>
            </w:pPr>
            <w:r w:rsidRPr="00EF4CBD">
              <w:rPr>
                <w:b/>
                <w:lang w:eastAsia="en-NZ"/>
              </w:rPr>
              <w:t>Median length of stay</w:t>
            </w:r>
          </w:p>
        </w:tc>
      </w:tr>
      <w:tr w:rsidR="00EF4CBD" w:rsidRPr="002225A4" w:rsidTr="00EF4CBD">
        <w:trPr>
          <w:cantSplit/>
          <w:tblHeader/>
        </w:trPr>
        <w:tc>
          <w:tcPr>
            <w:tcW w:w="2127" w:type="dxa"/>
            <w:vMerge/>
            <w:tcBorders>
              <w:left w:val="nil"/>
              <w:right w:val="single" w:sz="4" w:space="0" w:color="A6A6A6" w:themeColor="background1" w:themeShade="A6"/>
            </w:tcBorders>
            <w:shd w:val="clear" w:color="auto" w:fill="D9D9D9" w:themeFill="background1" w:themeFillShade="D9"/>
            <w:noWrap/>
          </w:tcPr>
          <w:p w:rsidR="00EF4CBD" w:rsidRPr="002357E2" w:rsidRDefault="00EF4CBD" w:rsidP="00EF4CBD">
            <w:pPr>
              <w:pStyle w:val="TableText"/>
              <w:keepNext/>
              <w:rPr>
                <w:b/>
                <w:lang w:eastAsia="en-NZ"/>
              </w:rPr>
            </w:pPr>
          </w:p>
        </w:tc>
        <w:tc>
          <w:tcPr>
            <w:tcW w:w="850" w:type="dxa"/>
            <w:tcBorders>
              <w:left w:val="single" w:sz="4" w:space="0" w:color="A6A6A6" w:themeColor="background1" w:themeShade="A6"/>
              <w:right w:val="nil"/>
            </w:tcBorders>
            <w:shd w:val="clear" w:color="auto" w:fill="D9D9D9" w:themeFill="background1" w:themeFillShade="D9"/>
            <w:noWrap/>
            <w:vAlign w:val="bottom"/>
          </w:tcPr>
          <w:p w:rsidR="00EF4CBD" w:rsidRPr="00EF4CBD" w:rsidRDefault="00EF4CBD" w:rsidP="00EF4CBD">
            <w:pPr>
              <w:pStyle w:val="TableText"/>
              <w:keepNext/>
              <w:spacing w:before="0"/>
              <w:jc w:val="center"/>
              <w:rPr>
                <w:b/>
                <w:lang w:eastAsia="en-NZ"/>
              </w:rPr>
            </w:pPr>
            <w:r w:rsidRPr="00EF4CBD">
              <w:rPr>
                <w:b/>
                <w:lang w:eastAsia="en-NZ"/>
              </w:rPr>
              <w:t>N</w:t>
            </w:r>
          </w:p>
        </w:tc>
        <w:tc>
          <w:tcPr>
            <w:tcW w:w="708" w:type="dxa"/>
            <w:tcBorders>
              <w:left w:val="single" w:sz="4" w:space="0" w:color="A6A6A6" w:themeColor="background1" w:themeShade="A6"/>
            </w:tcBorders>
            <w:shd w:val="clear" w:color="auto" w:fill="D9D9D9" w:themeFill="background1" w:themeFillShade="D9"/>
            <w:vAlign w:val="bottom"/>
          </w:tcPr>
          <w:p w:rsidR="00EF4CBD" w:rsidRPr="00EF4CBD" w:rsidRDefault="00EF4CBD" w:rsidP="00EF4CBD">
            <w:pPr>
              <w:pStyle w:val="TableText"/>
              <w:keepNext/>
              <w:spacing w:before="0"/>
              <w:jc w:val="center"/>
              <w:rPr>
                <w:b/>
                <w:lang w:eastAsia="en-NZ"/>
              </w:rPr>
            </w:pPr>
            <w:r w:rsidRPr="00EF4CBD">
              <w:rPr>
                <w:b/>
                <w:lang w:eastAsia="en-NZ"/>
              </w:rPr>
              <w:t>N</w:t>
            </w:r>
          </w:p>
        </w:tc>
        <w:tc>
          <w:tcPr>
            <w:tcW w:w="709" w:type="dxa"/>
            <w:tcBorders>
              <w:right w:val="single" w:sz="4" w:space="0" w:color="A6A6A6" w:themeColor="background1" w:themeShade="A6"/>
            </w:tcBorders>
            <w:shd w:val="clear" w:color="auto" w:fill="D9D9D9" w:themeFill="background1" w:themeFillShade="D9"/>
            <w:noWrap/>
            <w:vAlign w:val="bottom"/>
          </w:tcPr>
          <w:p w:rsidR="00EF4CBD" w:rsidRPr="00EF4CBD" w:rsidRDefault="00EF4CBD" w:rsidP="00EF4CBD">
            <w:pPr>
              <w:pStyle w:val="TableText"/>
              <w:keepNext/>
              <w:spacing w:before="0"/>
              <w:jc w:val="center"/>
              <w:rPr>
                <w:b/>
                <w:lang w:eastAsia="en-NZ"/>
              </w:rPr>
            </w:pPr>
            <w:r w:rsidRPr="00EF4CBD">
              <w:rPr>
                <w:b/>
                <w:lang w:eastAsia="en-NZ"/>
              </w:rPr>
              <w:t>%</w:t>
            </w:r>
          </w:p>
        </w:tc>
        <w:tc>
          <w:tcPr>
            <w:tcW w:w="709" w:type="dxa"/>
            <w:tcBorders>
              <w:left w:val="single" w:sz="4" w:space="0" w:color="A6A6A6" w:themeColor="background1" w:themeShade="A6"/>
            </w:tcBorders>
            <w:shd w:val="clear" w:color="auto" w:fill="D9D9D9" w:themeFill="background1" w:themeFillShade="D9"/>
            <w:vAlign w:val="bottom"/>
          </w:tcPr>
          <w:p w:rsidR="00EF4CBD" w:rsidRPr="00EF4CBD" w:rsidRDefault="00EF4CBD" w:rsidP="00EF4CBD">
            <w:pPr>
              <w:pStyle w:val="TableText"/>
              <w:keepNext/>
              <w:spacing w:before="0"/>
              <w:jc w:val="center"/>
              <w:rPr>
                <w:b/>
                <w:lang w:eastAsia="en-NZ"/>
              </w:rPr>
            </w:pPr>
            <w:r w:rsidRPr="00EF4CBD">
              <w:rPr>
                <w:b/>
                <w:lang w:eastAsia="en-NZ"/>
              </w:rPr>
              <w:t>N</w:t>
            </w:r>
          </w:p>
        </w:tc>
        <w:tc>
          <w:tcPr>
            <w:tcW w:w="709" w:type="dxa"/>
            <w:tcBorders>
              <w:right w:val="single" w:sz="4" w:space="0" w:color="A6A6A6" w:themeColor="background1" w:themeShade="A6"/>
            </w:tcBorders>
            <w:shd w:val="clear" w:color="auto" w:fill="D9D9D9" w:themeFill="background1" w:themeFillShade="D9"/>
            <w:noWrap/>
            <w:vAlign w:val="bottom"/>
          </w:tcPr>
          <w:p w:rsidR="00EF4CBD" w:rsidRPr="00EF4CBD" w:rsidRDefault="00EF4CBD" w:rsidP="00EF4CBD">
            <w:pPr>
              <w:pStyle w:val="TableText"/>
              <w:keepNext/>
              <w:spacing w:before="0"/>
              <w:jc w:val="center"/>
              <w:rPr>
                <w:b/>
                <w:lang w:eastAsia="en-NZ"/>
              </w:rPr>
            </w:pPr>
            <w:r w:rsidRPr="00EF4CBD">
              <w:rPr>
                <w:b/>
                <w:lang w:eastAsia="en-NZ"/>
              </w:rPr>
              <w:t>%</w:t>
            </w:r>
          </w:p>
        </w:tc>
        <w:tc>
          <w:tcPr>
            <w:tcW w:w="709" w:type="dxa"/>
            <w:tcBorders>
              <w:left w:val="nil"/>
            </w:tcBorders>
            <w:shd w:val="clear" w:color="auto" w:fill="D9D9D9" w:themeFill="background1" w:themeFillShade="D9"/>
            <w:vAlign w:val="bottom"/>
          </w:tcPr>
          <w:p w:rsidR="00EF4CBD" w:rsidRPr="00EF4CBD" w:rsidRDefault="00EF4CBD" w:rsidP="00EF4CBD">
            <w:pPr>
              <w:pStyle w:val="TableText"/>
              <w:keepNext/>
              <w:spacing w:before="0"/>
              <w:jc w:val="center"/>
              <w:rPr>
                <w:b/>
                <w:lang w:eastAsia="en-NZ"/>
              </w:rPr>
            </w:pPr>
            <w:r w:rsidRPr="00EF4CBD">
              <w:rPr>
                <w:b/>
                <w:lang w:eastAsia="en-NZ"/>
              </w:rPr>
              <w:t>N</w:t>
            </w:r>
          </w:p>
        </w:tc>
        <w:tc>
          <w:tcPr>
            <w:tcW w:w="709" w:type="dxa"/>
            <w:tcBorders>
              <w:left w:val="nil"/>
              <w:right w:val="single" w:sz="4" w:space="0" w:color="A6A6A6" w:themeColor="background1" w:themeShade="A6"/>
            </w:tcBorders>
            <w:shd w:val="clear" w:color="auto" w:fill="D9D9D9" w:themeFill="background1" w:themeFillShade="D9"/>
            <w:noWrap/>
            <w:vAlign w:val="bottom"/>
          </w:tcPr>
          <w:p w:rsidR="00EF4CBD" w:rsidRPr="00EF4CBD" w:rsidRDefault="00EF4CBD" w:rsidP="00EF4CBD">
            <w:pPr>
              <w:pStyle w:val="TableText"/>
              <w:keepNext/>
              <w:spacing w:before="0"/>
              <w:jc w:val="center"/>
              <w:rPr>
                <w:b/>
                <w:lang w:eastAsia="en-NZ"/>
              </w:rPr>
            </w:pPr>
            <w:r w:rsidRPr="00EF4CBD">
              <w:rPr>
                <w:b/>
                <w:lang w:eastAsia="en-NZ"/>
              </w:rPr>
              <w:t>%</w:t>
            </w:r>
          </w:p>
        </w:tc>
        <w:tc>
          <w:tcPr>
            <w:tcW w:w="850" w:type="dxa"/>
            <w:tcBorders>
              <w:left w:val="single" w:sz="4" w:space="0" w:color="A6A6A6" w:themeColor="background1" w:themeShade="A6"/>
              <w:right w:val="nil"/>
            </w:tcBorders>
            <w:shd w:val="clear" w:color="auto" w:fill="D9D9D9" w:themeFill="background1" w:themeFillShade="D9"/>
            <w:noWrap/>
            <w:vAlign w:val="bottom"/>
          </w:tcPr>
          <w:p w:rsidR="00EF4CBD" w:rsidRPr="00EF4CBD" w:rsidRDefault="00EF4CBD" w:rsidP="00EF4CBD">
            <w:pPr>
              <w:pStyle w:val="TableText"/>
              <w:keepNext/>
              <w:spacing w:before="0"/>
              <w:jc w:val="center"/>
              <w:rPr>
                <w:b/>
                <w:lang w:eastAsia="en-NZ"/>
              </w:rPr>
            </w:pPr>
            <w:r w:rsidRPr="00EF4CBD">
              <w:rPr>
                <w:b/>
                <w:lang w:eastAsia="en-NZ"/>
              </w:rPr>
              <w:t>days</w:t>
            </w:r>
          </w:p>
        </w:tc>
      </w:tr>
      <w:tr w:rsidR="00EF4CBD" w:rsidRPr="002225A4" w:rsidTr="00EF4CBD">
        <w:trPr>
          <w:cantSplit/>
        </w:trPr>
        <w:tc>
          <w:tcPr>
            <w:tcW w:w="2127" w:type="dxa"/>
            <w:tcBorders>
              <w:left w:val="nil"/>
              <w:bottom w:val="single" w:sz="4" w:space="0" w:color="7F7F7F" w:themeColor="text1" w:themeTint="80"/>
              <w:right w:val="single" w:sz="4" w:space="0" w:color="A6A6A6" w:themeColor="background1" w:themeShade="A6"/>
            </w:tcBorders>
            <w:shd w:val="clear" w:color="auto" w:fill="auto"/>
            <w:noWrap/>
            <w:hideMark/>
          </w:tcPr>
          <w:p w:rsidR="00EF4CBD" w:rsidRPr="00E848D2" w:rsidRDefault="00EF4CBD" w:rsidP="00EF4CBD">
            <w:pPr>
              <w:pStyle w:val="TableText"/>
              <w:keepNext/>
              <w:rPr>
                <w:b/>
                <w:lang w:eastAsia="en-NZ"/>
              </w:rPr>
            </w:pPr>
            <w:r w:rsidRPr="00E848D2">
              <w:rPr>
                <w:b/>
                <w:lang w:eastAsia="en-NZ"/>
              </w:rPr>
              <w:t>Total</w:t>
            </w:r>
          </w:p>
        </w:tc>
        <w:tc>
          <w:tcPr>
            <w:tcW w:w="850" w:type="dxa"/>
            <w:tcBorders>
              <w:left w:val="single" w:sz="4" w:space="0" w:color="A6A6A6" w:themeColor="background1" w:themeShade="A6"/>
              <w:bottom w:val="single" w:sz="4" w:space="0" w:color="7F7F7F" w:themeColor="text1" w:themeTint="80"/>
              <w:right w:val="nil"/>
            </w:tcBorders>
            <w:shd w:val="clear" w:color="auto" w:fill="auto"/>
            <w:noWrap/>
            <w:vAlign w:val="center"/>
          </w:tcPr>
          <w:p w:rsidR="00EF4CBD" w:rsidRPr="00826E06" w:rsidRDefault="00EF4CBD" w:rsidP="00EF4CBD">
            <w:pPr>
              <w:pStyle w:val="TableText"/>
              <w:keepNext/>
              <w:tabs>
                <w:tab w:val="decimal" w:pos="552"/>
              </w:tabs>
              <w:rPr>
                <w:lang w:eastAsia="en-NZ"/>
              </w:rPr>
            </w:pPr>
            <w:r w:rsidRPr="00826E06">
              <w:rPr>
                <w:lang w:eastAsia="en-NZ"/>
              </w:rPr>
              <w:t>7</w:t>
            </w:r>
            <w:r>
              <w:rPr>
                <w:lang w:eastAsia="en-NZ"/>
              </w:rPr>
              <w:t>,</w:t>
            </w:r>
            <w:r w:rsidRPr="00826E06">
              <w:rPr>
                <w:lang w:eastAsia="en-NZ"/>
              </w:rPr>
              <w:t>170</w:t>
            </w:r>
          </w:p>
        </w:tc>
        <w:tc>
          <w:tcPr>
            <w:tcW w:w="708" w:type="dxa"/>
            <w:tcBorders>
              <w:left w:val="single" w:sz="4" w:space="0" w:color="A6A6A6" w:themeColor="background1" w:themeShade="A6"/>
              <w:bottom w:val="single" w:sz="4" w:space="0" w:color="7F7F7F" w:themeColor="text1" w:themeTint="80"/>
            </w:tcBorders>
            <w:shd w:val="clear" w:color="auto" w:fill="auto"/>
            <w:vAlign w:val="center"/>
          </w:tcPr>
          <w:p w:rsidR="00EF4CBD" w:rsidRPr="00826E06" w:rsidRDefault="00EF4CBD" w:rsidP="00EF4CBD">
            <w:pPr>
              <w:pStyle w:val="TableText"/>
              <w:keepNext/>
              <w:tabs>
                <w:tab w:val="decimal" w:pos="510"/>
              </w:tabs>
              <w:rPr>
                <w:lang w:eastAsia="en-NZ"/>
              </w:rPr>
            </w:pPr>
            <w:r w:rsidRPr="00826E06">
              <w:rPr>
                <w:lang w:eastAsia="en-NZ"/>
              </w:rPr>
              <w:t>1</w:t>
            </w:r>
            <w:r>
              <w:rPr>
                <w:lang w:eastAsia="en-NZ"/>
              </w:rPr>
              <w:t>,</w:t>
            </w:r>
            <w:r w:rsidRPr="00826E06">
              <w:rPr>
                <w:lang w:eastAsia="en-NZ"/>
              </w:rPr>
              <w:t>403</w:t>
            </w:r>
          </w:p>
        </w:tc>
        <w:tc>
          <w:tcPr>
            <w:tcW w:w="709" w:type="dxa"/>
            <w:tcBorders>
              <w:bottom w:val="single" w:sz="4" w:space="0" w:color="7F7F7F" w:themeColor="text1" w:themeTint="80"/>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19.6</w:t>
            </w:r>
          </w:p>
        </w:tc>
        <w:tc>
          <w:tcPr>
            <w:tcW w:w="709" w:type="dxa"/>
            <w:tcBorders>
              <w:left w:val="single" w:sz="4" w:space="0" w:color="A6A6A6" w:themeColor="background1" w:themeShade="A6"/>
              <w:bottom w:val="single" w:sz="4" w:space="0" w:color="7F7F7F" w:themeColor="text1" w:themeTint="80"/>
            </w:tcBorders>
            <w:shd w:val="clear" w:color="auto" w:fill="auto"/>
            <w:vAlign w:val="center"/>
          </w:tcPr>
          <w:p w:rsidR="00EF4CBD" w:rsidRPr="00826E06" w:rsidRDefault="00EF4CBD" w:rsidP="00EF4CBD">
            <w:pPr>
              <w:pStyle w:val="TableText"/>
              <w:keepNext/>
              <w:tabs>
                <w:tab w:val="decimal" w:pos="419"/>
              </w:tabs>
              <w:rPr>
                <w:lang w:eastAsia="en-NZ"/>
              </w:rPr>
            </w:pPr>
            <w:r w:rsidRPr="00826E06">
              <w:rPr>
                <w:lang w:eastAsia="en-NZ"/>
              </w:rPr>
              <w:t>289</w:t>
            </w:r>
          </w:p>
        </w:tc>
        <w:tc>
          <w:tcPr>
            <w:tcW w:w="709" w:type="dxa"/>
            <w:tcBorders>
              <w:bottom w:val="single" w:sz="4" w:space="0" w:color="7F7F7F" w:themeColor="text1" w:themeTint="80"/>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4</w:t>
            </w:r>
            <w:r w:rsidR="009024C5">
              <w:rPr>
                <w:lang w:eastAsia="en-NZ"/>
              </w:rPr>
              <w:t>.0</w:t>
            </w:r>
          </w:p>
        </w:tc>
        <w:tc>
          <w:tcPr>
            <w:tcW w:w="709" w:type="dxa"/>
            <w:tcBorders>
              <w:left w:val="nil"/>
              <w:bottom w:val="single" w:sz="4" w:space="0" w:color="7F7F7F" w:themeColor="text1" w:themeTint="80"/>
            </w:tcBorders>
            <w:shd w:val="clear" w:color="auto" w:fill="auto"/>
            <w:vAlign w:val="center"/>
          </w:tcPr>
          <w:p w:rsidR="00EF4CBD" w:rsidRPr="00826E06" w:rsidRDefault="00EF4CBD" w:rsidP="00EF4CBD">
            <w:pPr>
              <w:pStyle w:val="TableText"/>
              <w:keepNext/>
              <w:tabs>
                <w:tab w:val="decimal" w:pos="388"/>
              </w:tabs>
              <w:rPr>
                <w:lang w:eastAsia="en-NZ"/>
              </w:rPr>
            </w:pPr>
            <w:r w:rsidRPr="00826E06">
              <w:rPr>
                <w:lang w:eastAsia="en-NZ"/>
              </w:rPr>
              <w:t>147</w:t>
            </w:r>
          </w:p>
        </w:tc>
        <w:tc>
          <w:tcPr>
            <w:tcW w:w="709" w:type="dxa"/>
            <w:tcBorders>
              <w:left w:val="nil"/>
              <w:bottom w:val="single" w:sz="4" w:space="0" w:color="7F7F7F" w:themeColor="text1" w:themeTint="80"/>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2.5</w:t>
            </w:r>
          </w:p>
        </w:tc>
        <w:tc>
          <w:tcPr>
            <w:tcW w:w="850" w:type="dxa"/>
            <w:tcBorders>
              <w:left w:val="single" w:sz="4" w:space="0" w:color="A6A6A6" w:themeColor="background1" w:themeShade="A6"/>
              <w:bottom w:val="single" w:sz="4" w:space="0" w:color="7F7F7F" w:themeColor="text1" w:themeTint="80"/>
              <w:right w:val="nil"/>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7</w:t>
            </w:r>
          </w:p>
        </w:tc>
      </w:tr>
      <w:tr w:rsidR="00EF4CBD" w:rsidRPr="002225A4" w:rsidTr="00EF4CBD">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F4CBD" w:rsidRPr="00E848D2" w:rsidRDefault="00EF4CBD" w:rsidP="00EF4CBD">
            <w:pPr>
              <w:pStyle w:val="TableText"/>
              <w:keepNext/>
              <w:rPr>
                <w:b/>
                <w:lang w:eastAsia="en-NZ"/>
              </w:rPr>
            </w:pPr>
            <w:r w:rsidRPr="00E848D2">
              <w:rPr>
                <w:b/>
                <w:lang w:eastAsia="en-NZ"/>
              </w:rPr>
              <w:t>Year of diagnosis</w:t>
            </w: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F4CBD" w:rsidRPr="00826E06" w:rsidRDefault="00EF4CBD" w:rsidP="00EF4CBD">
            <w:pPr>
              <w:pStyle w:val="TableText"/>
              <w:keepNext/>
              <w:tabs>
                <w:tab w:val="decimal" w:pos="552"/>
              </w:tabs>
              <w:rPr>
                <w:lang w:eastAsia="en-NZ"/>
              </w:rPr>
            </w:pPr>
          </w:p>
        </w:tc>
        <w:tc>
          <w:tcPr>
            <w:tcW w:w="70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EF4CBD" w:rsidRPr="00826E06" w:rsidRDefault="00EF4CBD" w:rsidP="00EF4CBD">
            <w:pPr>
              <w:pStyle w:val="TableText"/>
              <w:keepNext/>
              <w:tabs>
                <w:tab w:val="decimal" w:pos="510"/>
              </w:tabs>
              <w:rPr>
                <w:lang w:eastAsia="en-NZ"/>
              </w:rPr>
            </w:pPr>
          </w:p>
        </w:tc>
        <w:tc>
          <w:tcPr>
            <w:tcW w:w="709"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keepNext/>
              <w:jc w:val="center"/>
              <w:rPr>
                <w:lang w:eastAsia="en-NZ"/>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EF4CBD" w:rsidRPr="00826E06" w:rsidRDefault="00EF4CBD" w:rsidP="00EF4CBD">
            <w:pPr>
              <w:pStyle w:val="TableText"/>
              <w:keepNext/>
              <w:tabs>
                <w:tab w:val="decimal" w:pos="419"/>
              </w:tabs>
              <w:rPr>
                <w:lang w:eastAsia="en-NZ"/>
              </w:rPr>
            </w:pPr>
          </w:p>
        </w:tc>
        <w:tc>
          <w:tcPr>
            <w:tcW w:w="709"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keepNext/>
              <w:jc w:val="center"/>
              <w:rPr>
                <w:lang w:eastAsia="en-NZ"/>
              </w:rPr>
            </w:pPr>
          </w:p>
        </w:tc>
        <w:tc>
          <w:tcPr>
            <w:tcW w:w="709" w:type="dxa"/>
            <w:tcBorders>
              <w:top w:val="single" w:sz="4" w:space="0" w:color="7F7F7F" w:themeColor="text1" w:themeTint="80"/>
              <w:left w:val="nil"/>
              <w:bottom w:val="single" w:sz="4" w:space="0" w:color="A6A6A6" w:themeColor="background1" w:themeShade="A6"/>
            </w:tcBorders>
            <w:shd w:val="clear" w:color="auto" w:fill="auto"/>
          </w:tcPr>
          <w:p w:rsidR="00EF4CBD" w:rsidRPr="00826E06" w:rsidRDefault="00EF4CBD" w:rsidP="00EF4CBD">
            <w:pPr>
              <w:pStyle w:val="TableText"/>
              <w:keepNext/>
              <w:tabs>
                <w:tab w:val="decimal" w:pos="388"/>
              </w:tabs>
              <w:jc w:val="center"/>
              <w:rPr>
                <w:lang w:eastAsia="en-NZ"/>
              </w:rPr>
            </w:pPr>
          </w:p>
        </w:tc>
        <w:tc>
          <w:tcPr>
            <w:tcW w:w="709"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keepNext/>
              <w:jc w:val="center"/>
              <w:rPr>
                <w:lang w:eastAsia="en-NZ"/>
              </w:rPr>
            </w:pP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F4CBD" w:rsidRPr="00826E06" w:rsidRDefault="00EF4CBD" w:rsidP="00EF4CBD">
            <w:pPr>
              <w:pStyle w:val="TableText"/>
              <w:keepNext/>
              <w:jc w:val="center"/>
              <w:rPr>
                <w:lang w:eastAsia="en-NZ"/>
              </w:rPr>
            </w:pP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872866" w:rsidRDefault="00EF4CBD" w:rsidP="00EF4CBD">
            <w:pPr>
              <w:pStyle w:val="TableText"/>
              <w:keepNext/>
              <w:ind w:left="142"/>
              <w:rPr>
                <w:lang w:eastAsia="en-NZ"/>
              </w:rPr>
            </w:pPr>
            <w:r w:rsidRPr="00872866">
              <w:rPr>
                <w:lang w:eastAsia="en-NZ"/>
              </w:rPr>
              <w:t>2013</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keepNext/>
              <w:tabs>
                <w:tab w:val="decimal" w:pos="552"/>
              </w:tabs>
              <w:rPr>
                <w:lang w:eastAsia="en-NZ"/>
              </w:rPr>
            </w:pPr>
            <w:r w:rsidRPr="00826E06">
              <w:rPr>
                <w:lang w:eastAsia="en-NZ"/>
              </w:rPr>
              <w:t>1</w:t>
            </w:r>
            <w:r>
              <w:rPr>
                <w:lang w:eastAsia="en-NZ"/>
              </w:rPr>
              <w:t>,</w:t>
            </w:r>
            <w:r w:rsidRPr="00826E06">
              <w:rPr>
                <w:lang w:eastAsia="en-NZ"/>
              </w:rPr>
              <w:t>786</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keepNext/>
              <w:tabs>
                <w:tab w:val="decimal" w:pos="510"/>
              </w:tabs>
              <w:rPr>
                <w:lang w:eastAsia="en-NZ"/>
              </w:rPr>
            </w:pPr>
            <w:r w:rsidRPr="00826E06">
              <w:rPr>
                <w:lang w:eastAsia="en-NZ"/>
              </w:rPr>
              <w:t>363</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20.3</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keepNext/>
              <w:tabs>
                <w:tab w:val="decimal" w:pos="419"/>
              </w:tabs>
              <w:rPr>
                <w:lang w:eastAsia="en-NZ"/>
              </w:rPr>
            </w:pPr>
            <w:r w:rsidRPr="00826E06">
              <w:rPr>
                <w:lang w:eastAsia="en-NZ"/>
              </w:rPr>
              <w:t>78</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4.4</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keepNext/>
              <w:tabs>
                <w:tab w:val="decimal" w:pos="388"/>
              </w:tabs>
              <w:rPr>
                <w:lang w:eastAsia="en-NZ"/>
              </w:rPr>
            </w:pPr>
            <w:r w:rsidRPr="00826E06">
              <w:rPr>
                <w:lang w:eastAsia="en-NZ"/>
              </w:rPr>
              <w:t>38</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2.7</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8</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72866" w:rsidRDefault="00EF4CBD" w:rsidP="00EF4CBD">
            <w:pPr>
              <w:pStyle w:val="TableText"/>
              <w:keepNext/>
              <w:ind w:left="142"/>
              <w:rPr>
                <w:lang w:eastAsia="en-NZ"/>
              </w:rPr>
            </w:pPr>
            <w:r w:rsidRPr="00872866">
              <w:rPr>
                <w:lang w:eastAsia="en-NZ"/>
              </w:rPr>
              <w:t>2014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keepNext/>
              <w:tabs>
                <w:tab w:val="decimal" w:pos="552"/>
              </w:tabs>
              <w:rPr>
                <w:lang w:eastAsia="en-NZ"/>
              </w:rPr>
            </w:pPr>
            <w:r w:rsidRPr="00826E06">
              <w:rPr>
                <w:lang w:eastAsia="en-NZ"/>
              </w:rPr>
              <w:t>1</w:t>
            </w:r>
            <w:r>
              <w:rPr>
                <w:lang w:eastAsia="en-NZ"/>
              </w:rPr>
              <w:t>,</w:t>
            </w:r>
            <w:r w:rsidRPr="00826E06">
              <w:rPr>
                <w:lang w:eastAsia="en-NZ"/>
              </w:rPr>
              <w:t>851</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keepNext/>
              <w:tabs>
                <w:tab w:val="decimal" w:pos="510"/>
              </w:tabs>
              <w:rPr>
                <w:lang w:eastAsia="en-NZ"/>
              </w:rPr>
            </w:pPr>
            <w:r w:rsidRPr="00826E06">
              <w:rPr>
                <w:lang w:eastAsia="en-NZ"/>
              </w:rPr>
              <w:t>363</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19.6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keepNext/>
              <w:tabs>
                <w:tab w:val="decimal" w:pos="419"/>
              </w:tabs>
              <w:rPr>
                <w:lang w:eastAsia="en-NZ"/>
              </w:rPr>
            </w:pPr>
            <w:r w:rsidRPr="00826E06">
              <w:rPr>
                <w:lang w:eastAsia="en-NZ"/>
              </w:rPr>
              <w:t>86</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4.6</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keepNext/>
              <w:tabs>
                <w:tab w:val="decimal" w:pos="388"/>
              </w:tabs>
              <w:rPr>
                <w:lang w:eastAsia="en-NZ"/>
              </w:rPr>
            </w:pPr>
            <w:r w:rsidRPr="00826E06">
              <w:rPr>
                <w:lang w:eastAsia="en-NZ"/>
              </w:rPr>
              <w:t>44</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3</w:t>
            </w:r>
            <w:r>
              <w:rPr>
                <w:lang w:eastAsia="en-NZ"/>
              </w:rPr>
              <w:t>.0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72866" w:rsidRDefault="00EF4CBD" w:rsidP="00EF4CBD">
            <w:pPr>
              <w:pStyle w:val="TableText"/>
              <w:keepNext/>
              <w:ind w:left="142"/>
              <w:rPr>
                <w:lang w:eastAsia="en-NZ"/>
              </w:rPr>
            </w:pPr>
            <w:r w:rsidRPr="00872866">
              <w:rPr>
                <w:lang w:eastAsia="en-NZ"/>
              </w:rPr>
              <w:t>2015</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keepNext/>
              <w:tabs>
                <w:tab w:val="decimal" w:pos="552"/>
              </w:tabs>
              <w:rPr>
                <w:lang w:eastAsia="en-NZ"/>
              </w:rPr>
            </w:pPr>
            <w:r w:rsidRPr="00826E06">
              <w:rPr>
                <w:lang w:eastAsia="en-NZ"/>
              </w:rPr>
              <w:t>1</w:t>
            </w:r>
            <w:r>
              <w:rPr>
                <w:lang w:eastAsia="en-NZ"/>
              </w:rPr>
              <w:t>,</w:t>
            </w:r>
            <w:r w:rsidRPr="00826E06">
              <w:rPr>
                <w:lang w:eastAsia="en-NZ"/>
              </w:rPr>
              <w:t>734</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keepNext/>
              <w:tabs>
                <w:tab w:val="decimal" w:pos="510"/>
              </w:tabs>
              <w:rPr>
                <w:lang w:eastAsia="en-NZ"/>
              </w:rPr>
            </w:pPr>
            <w:r w:rsidRPr="00826E06">
              <w:rPr>
                <w:lang w:eastAsia="en-NZ"/>
              </w:rPr>
              <w:t>356</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20.5</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keepNext/>
              <w:tabs>
                <w:tab w:val="decimal" w:pos="419"/>
              </w:tabs>
              <w:rPr>
                <w:lang w:eastAsia="en-NZ"/>
              </w:rPr>
            </w:pPr>
            <w:r w:rsidRPr="00826E06">
              <w:rPr>
                <w:lang w:eastAsia="en-NZ"/>
              </w:rPr>
              <w:t>55</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3.2</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keepNext/>
              <w:tabs>
                <w:tab w:val="decimal" w:pos="388"/>
              </w:tabs>
              <w:rPr>
                <w:lang w:eastAsia="en-NZ"/>
              </w:rPr>
            </w:pPr>
            <w:r w:rsidRPr="00826E06">
              <w:rPr>
                <w:lang w:eastAsia="en-NZ"/>
              </w:rPr>
              <w:t>33</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2.4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EF4CBD" w:rsidRPr="00872866" w:rsidRDefault="00EF4CBD" w:rsidP="00EF4CBD">
            <w:pPr>
              <w:pStyle w:val="TableText"/>
              <w:keepNext/>
              <w:ind w:left="142"/>
              <w:rPr>
                <w:lang w:eastAsia="en-NZ"/>
              </w:rPr>
            </w:pPr>
            <w:r w:rsidRPr="00872866">
              <w:rPr>
                <w:lang w:eastAsia="en-NZ"/>
              </w:rPr>
              <w:t>2016</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center"/>
          </w:tcPr>
          <w:p w:rsidR="00EF4CBD" w:rsidRPr="00826E06" w:rsidRDefault="00EF4CBD" w:rsidP="00EF4CBD">
            <w:pPr>
              <w:pStyle w:val="TableText"/>
              <w:keepNext/>
              <w:tabs>
                <w:tab w:val="decimal" w:pos="552"/>
              </w:tabs>
              <w:rPr>
                <w:lang w:eastAsia="en-NZ"/>
              </w:rPr>
            </w:pPr>
            <w:r w:rsidRPr="00826E06">
              <w:rPr>
                <w:lang w:eastAsia="en-NZ"/>
              </w:rPr>
              <w:t>1</w:t>
            </w:r>
            <w:r>
              <w:rPr>
                <w:lang w:eastAsia="en-NZ"/>
              </w:rPr>
              <w:t>,</w:t>
            </w:r>
            <w:r w:rsidRPr="00826E06">
              <w:rPr>
                <w:lang w:eastAsia="en-NZ"/>
              </w:rPr>
              <w:t>799</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center"/>
          </w:tcPr>
          <w:p w:rsidR="00EF4CBD" w:rsidRPr="00826E06" w:rsidRDefault="00EF4CBD" w:rsidP="00EF4CBD">
            <w:pPr>
              <w:pStyle w:val="TableText"/>
              <w:keepNext/>
              <w:tabs>
                <w:tab w:val="decimal" w:pos="510"/>
              </w:tabs>
              <w:rPr>
                <w:lang w:eastAsia="en-NZ"/>
              </w:rPr>
            </w:pPr>
            <w:r w:rsidRPr="00826E06">
              <w:rPr>
                <w:lang w:eastAsia="en-NZ"/>
              </w:rPr>
              <w:t>321</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17.8</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center"/>
          </w:tcPr>
          <w:p w:rsidR="00EF4CBD" w:rsidRPr="00826E06" w:rsidRDefault="00EF4CBD" w:rsidP="00EF4CBD">
            <w:pPr>
              <w:pStyle w:val="TableText"/>
              <w:keepNext/>
              <w:tabs>
                <w:tab w:val="decimal" w:pos="419"/>
              </w:tabs>
              <w:rPr>
                <w:lang w:eastAsia="en-NZ"/>
              </w:rPr>
            </w:pPr>
            <w:r w:rsidRPr="00826E06">
              <w:rPr>
                <w:lang w:eastAsia="en-NZ"/>
              </w:rPr>
              <w:t>70</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3.9</w:t>
            </w:r>
          </w:p>
        </w:tc>
        <w:tc>
          <w:tcPr>
            <w:tcW w:w="709" w:type="dxa"/>
            <w:tcBorders>
              <w:top w:val="single" w:sz="4" w:space="0" w:color="A6A6A6" w:themeColor="background1" w:themeShade="A6"/>
              <w:left w:val="nil"/>
              <w:bottom w:val="single" w:sz="4" w:space="0" w:color="7F7F7F" w:themeColor="text1" w:themeTint="80"/>
            </w:tcBorders>
            <w:shd w:val="clear" w:color="auto" w:fill="auto"/>
            <w:vAlign w:val="center"/>
          </w:tcPr>
          <w:p w:rsidR="00EF4CBD" w:rsidRPr="00826E06" w:rsidRDefault="00EF4CBD" w:rsidP="00EF4CBD">
            <w:pPr>
              <w:pStyle w:val="TableText"/>
              <w:keepNext/>
              <w:tabs>
                <w:tab w:val="decimal" w:pos="388"/>
              </w:tabs>
              <w:rPr>
                <w:lang w:eastAsia="en-NZ"/>
              </w:rPr>
            </w:pPr>
            <w:r w:rsidRPr="00826E06">
              <w:rPr>
                <w:lang w:eastAsia="en-NZ"/>
              </w:rPr>
              <w:t>32</w:t>
            </w:r>
          </w:p>
        </w:tc>
        <w:tc>
          <w:tcPr>
            <w:tcW w:w="709"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2.2</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center"/>
          </w:tcPr>
          <w:p w:rsidR="00EF4CBD" w:rsidRPr="00826E06" w:rsidRDefault="00EF4CBD" w:rsidP="00EF4CBD">
            <w:pPr>
              <w:pStyle w:val="TableText"/>
              <w:keepNext/>
              <w:jc w:val="center"/>
              <w:rPr>
                <w:lang w:eastAsia="en-NZ"/>
              </w:rPr>
            </w:pPr>
            <w:r w:rsidRPr="00826E06">
              <w:rPr>
                <w:lang w:eastAsia="en-NZ"/>
              </w:rPr>
              <w:t>7</w:t>
            </w:r>
          </w:p>
        </w:tc>
      </w:tr>
      <w:tr w:rsidR="00EF4CBD" w:rsidRPr="002225A4" w:rsidTr="00EF4CBD">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F4CBD" w:rsidRPr="00E848D2" w:rsidRDefault="00EF4CBD" w:rsidP="00230CA2">
            <w:pPr>
              <w:pStyle w:val="TableText"/>
              <w:rPr>
                <w:b/>
                <w:lang w:eastAsia="en-NZ"/>
              </w:rPr>
            </w:pPr>
            <w:r w:rsidRPr="00E848D2">
              <w:rPr>
                <w:b/>
                <w:lang w:eastAsia="en-NZ"/>
              </w:rPr>
              <w:t xml:space="preserve">DHB of </w:t>
            </w:r>
            <w:r w:rsidR="007D4D25">
              <w:rPr>
                <w:b/>
                <w:lang w:eastAsia="en-NZ"/>
              </w:rPr>
              <w:t>service</w:t>
            </w: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F4CBD" w:rsidRPr="00826E06" w:rsidRDefault="00EF4CBD" w:rsidP="00EF4CBD">
            <w:pPr>
              <w:pStyle w:val="TableText"/>
              <w:tabs>
                <w:tab w:val="decimal" w:pos="552"/>
              </w:tabs>
              <w:rPr>
                <w:lang w:eastAsia="en-NZ"/>
              </w:rPr>
            </w:pPr>
          </w:p>
        </w:tc>
        <w:tc>
          <w:tcPr>
            <w:tcW w:w="70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EF4CBD" w:rsidRPr="00826E06" w:rsidRDefault="00EF4CBD" w:rsidP="00EF4CBD">
            <w:pPr>
              <w:pStyle w:val="TableText"/>
              <w:tabs>
                <w:tab w:val="decimal" w:pos="510"/>
              </w:tabs>
              <w:rPr>
                <w:lang w:eastAsia="en-NZ"/>
              </w:rPr>
            </w:pPr>
          </w:p>
        </w:tc>
        <w:tc>
          <w:tcPr>
            <w:tcW w:w="709"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jc w:val="center"/>
              <w:rPr>
                <w:lang w:eastAsia="en-NZ"/>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EF4CBD" w:rsidRPr="00826E06" w:rsidRDefault="00EF4CBD" w:rsidP="00EF4CBD">
            <w:pPr>
              <w:pStyle w:val="TableText"/>
              <w:tabs>
                <w:tab w:val="decimal" w:pos="419"/>
              </w:tabs>
              <w:rPr>
                <w:lang w:eastAsia="en-NZ"/>
              </w:rPr>
            </w:pPr>
          </w:p>
        </w:tc>
        <w:tc>
          <w:tcPr>
            <w:tcW w:w="709"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jc w:val="center"/>
              <w:rPr>
                <w:lang w:eastAsia="en-NZ"/>
              </w:rPr>
            </w:pPr>
          </w:p>
        </w:tc>
        <w:tc>
          <w:tcPr>
            <w:tcW w:w="709" w:type="dxa"/>
            <w:tcBorders>
              <w:top w:val="single" w:sz="4" w:space="0" w:color="7F7F7F" w:themeColor="text1" w:themeTint="80"/>
              <w:left w:val="nil"/>
              <w:bottom w:val="single" w:sz="4" w:space="0" w:color="A6A6A6" w:themeColor="background1" w:themeShade="A6"/>
            </w:tcBorders>
            <w:shd w:val="clear" w:color="auto" w:fill="auto"/>
          </w:tcPr>
          <w:p w:rsidR="00EF4CBD" w:rsidRPr="00826E06" w:rsidRDefault="00EF4CBD" w:rsidP="00EF4CBD">
            <w:pPr>
              <w:pStyle w:val="TableText"/>
              <w:tabs>
                <w:tab w:val="decimal" w:pos="388"/>
              </w:tabs>
              <w:jc w:val="center"/>
              <w:rPr>
                <w:lang w:eastAsia="en-NZ"/>
              </w:rPr>
            </w:pPr>
          </w:p>
        </w:tc>
        <w:tc>
          <w:tcPr>
            <w:tcW w:w="709"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jc w:val="center"/>
              <w:rPr>
                <w:lang w:eastAsia="en-NZ"/>
              </w:rPr>
            </w:pP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F4CBD" w:rsidRPr="00826E06" w:rsidRDefault="00EF4CBD" w:rsidP="00EF4CBD">
            <w:pPr>
              <w:pStyle w:val="TableText"/>
              <w:jc w:val="center"/>
              <w:rPr>
                <w:lang w:eastAsia="en-NZ"/>
              </w:rPr>
            </w:pP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4153B3">
            <w:pPr>
              <w:pStyle w:val="TableText"/>
              <w:ind w:left="142"/>
              <w:rPr>
                <w:lang w:eastAsia="en-NZ"/>
              </w:rPr>
            </w:pPr>
            <w:r w:rsidRPr="00826E06">
              <w:rPr>
                <w:lang w:eastAsia="en-NZ"/>
              </w:rPr>
              <w:t>Auckland</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445</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105</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23.6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10</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2.2</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2</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0.6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8</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Bay of Plenty</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454</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57</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12.6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14</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3.1</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8</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w:t>
            </w:r>
            <w:r>
              <w:rPr>
                <w:lang w:eastAsia="en-NZ"/>
              </w:rPr>
              <w:t>.0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8</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Canterbury</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853</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129</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15.1</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29</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3.4</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13</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Capital and Coast</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363</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61</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16.8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16</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4.4</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6</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w:t>
            </w:r>
            <w:r>
              <w:rPr>
                <w:lang w:eastAsia="en-NZ"/>
              </w:rPr>
              <w:t>.0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Counties Manukau</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525</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117</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22.3</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27</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5.1</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16</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3.9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8</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Hawke</w:t>
            </w:r>
            <w:r>
              <w:rPr>
                <w:lang w:eastAsia="en-NZ"/>
              </w:rPr>
              <w:t>’</w:t>
            </w:r>
            <w:r w:rsidRPr="00826E06">
              <w:rPr>
                <w:lang w:eastAsia="en-NZ"/>
              </w:rPr>
              <w:t>s Bay</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336</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56</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16.7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15</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4.5</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8</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Hutt Valley</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230</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36</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15.7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6</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2.6</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2</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w:t>
            </w:r>
            <w:r>
              <w:rPr>
                <w:lang w:eastAsia="en-NZ"/>
              </w:rPr>
              <w:t>.0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Lakes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163</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31</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19</w:t>
            </w:r>
            <w:r>
              <w:rPr>
                <w:lang w:eastAsia="en-NZ"/>
              </w:rPr>
              <w:t>.0</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12</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7.4</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12</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9.1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8</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MidCentral</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327</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44</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13.5</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17</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5.2</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12</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4.2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8</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Nelson Marlborough</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264</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48</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18.2</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11</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4.2</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6</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Northland</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325</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59</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18.2</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8</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2.5</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3</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South Canterbury</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168</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24</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14.3</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4</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2.4</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3</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Southern</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718</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202</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28.1</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28</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3.9</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11</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Tair</w:t>
            </w:r>
            <w:r w:rsidRPr="00401D63">
              <w:rPr>
                <w:lang w:eastAsia="en-NZ"/>
              </w:rPr>
              <w:t>ā</w:t>
            </w:r>
            <w:r w:rsidRPr="00826E06">
              <w:rPr>
                <w:lang w:eastAsia="en-NZ"/>
              </w:rPr>
              <w:t>whiti</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74</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23</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31.1</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4</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5.4</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1</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w:t>
            </w:r>
            <w:r>
              <w:rPr>
                <w:lang w:eastAsia="en-NZ"/>
              </w:rPr>
              <w:t>.0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Taranaki</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279</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60</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21.5</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18</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6.5</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9</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4.1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6</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Waikato</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637</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180</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28.3</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36</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5.7</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14</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3.1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Wairarapa</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44</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6</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13.6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0</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0</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0</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6</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Waitemata</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789</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122</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15.5</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21</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2.7</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12</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1.8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West Coast</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31</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8</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25.8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2</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6.5</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1</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4.3</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8</w:t>
            </w:r>
          </w:p>
        </w:tc>
      </w:tr>
      <w:tr w:rsidR="00EF4CBD" w:rsidRPr="002225A4" w:rsidTr="00EF4CBD">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EF4CBD" w:rsidRPr="00826E06" w:rsidRDefault="00EF4CBD" w:rsidP="004153B3">
            <w:pPr>
              <w:pStyle w:val="TableText"/>
              <w:ind w:left="142"/>
              <w:rPr>
                <w:lang w:eastAsia="en-NZ"/>
              </w:rPr>
            </w:pPr>
            <w:r w:rsidRPr="00826E06">
              <w:rPr>
                <w:lang w:eastAsia="en-NZ"/>
              </w:rPr>
              <w:t>Whanganui</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center"/>
          </w:tcPr>
          <w:p w:rsidR="00EF4CBD" w:rsidRPr="00826E06" w:rsidRDefault="00EF4CBD" w:rsidP="00EF4CBD">
            <w:pPr>
              <w:pStyle w:val="TableText"/>
              <w:tabs>
                <w:tab w:val="decimal" w:pos="552"/>
              </w:tabs>
              <w:rPr>
                <w:lang w:eastAsia="en-NZ"/>
              </w:rPr>
            </w:pPr>
            <w:r w:rsidRPr="00826E06">
              <w:rPr>
                <w:lang w:eastAsia="en-NZ"/>
              </w:rPr>
              <w:t>145</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center"/>
          </w:tcPr>
          <w:p w:rsidR="00EF4CBD" w:rsidRPr="00826E06" w:rsidRDefault="00EF4CBD" w:rsidP="00EF4CBD">
            <w:pPr>
              <w:pStyle w:val="TableText"/>
              <w:tabs>
                <w:tab w:val="decimal" w:pos="510"/>
              </w:tabs>
              <w:rPr>
                <w:lang w:eastAsia="en-NZ"/>
              </w:rPr>
            </w:pPr>
            <w:r w:rsidRPr="00826E06">
              <w:rPr>
                <w:lang w:eastAsia="en-NZ"/>
              </w:rPr>
              <w:t>35</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24.1</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center"/>
          </w:tcPr>
          <w:p w:rsidR="00EF4CBD" w:rsidRPr="00826E06" w:rsidRDefault="00EF4CBD" w:rsidP="00EF4CBD">
            <w:pPr>
              <w:pStyle w:val="TableText"/>
              <w:tabs>
                <w:tab w:val="decimal" w:pos="419"/>
              </w:tabs>
              <w:rPr>
                <w:lang w:eastAsia="en-NZ"/>
              </w:rPr>
            </w:pPr>
            <w:r w:rsidRPr="00826E06">
              <w:rPr>
                <w:lang w:eastAsia="en-NZ"/>
              </w:rPr>
              <w:t>11</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7.6</w:t>
            </w:r>
          </w:p>
        </w:tc>
        <w:tc>
          <w:tcPr>
            <w:tcW w:w="709" w:type="dxa"/>
            <w:tcBorders>
              <w:top w:val="single" w:sz="4" w:space="0" w:color="A6A6A6" w:themeColor="background1" w:themeShade="A6"/>
              <w:left w:val="nil"/>
              <w:bottom w:val="single" w:sz="4" w:space="0" w:color="7F7F7F" w:themeColor="text1" w:themeTint="80"/>
            </w:tcBorders>
            <w:shd w:val="clear" w:color="auto" w:fill="auto"/>
            <w:vAlign w:val="center"/>
          </w:tcPr>
          <w:p w:rsidR="00EF4CBD" w:rsidRPr="00826E06" w:rsidRDefault="00EF4CBD" w:rsidP="00EF4CBD">
            <w:pPr>
              <w:pStyle w:val="TableText"/>
              <w:tabs>
                <w:tab w:val="decimal" w:pos="388"/>
              </w:tabs>
              <w:rPr>
                <w:lang w:eastAsia="en-NZ"/>
              </w:rPr>
            </w:pPr>
            <w:r w:rsidRPr="00826E06">
              <w:rPr>
                <w:lang w:eastAsia="en-NZ"/>
              </w:rPr>
              <w:t>8</w:t>
            </w:r>
          </w:p>
        </w:tc>
        <w:tc>
          <w:tcPr>
            <w:tcW w:w="709"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7.3</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center"/>
          </w:tcPr>
          <w:p w:rsidR="00EF4CBD" w:rsidRPr="00826E06" w:rsidRDefault="00EF4CBD" w:rsidP="00EF4CBD">
            <w:pPr>
              <w:pStyle w:val="TableText"/>
              <w:jc w:val="center"/>
              <w:rPr>
                <w:lang w:eastAsia="en-NZ"/>
              </w:rPr>
            </w:pPr>
            <w:r w:rsidRPr="00826E06">
              <w:rPr>
                <w:lang w:eastAsia="en-NZ"/>
              </w:rPr>
              <w:t>7</w:t>
            </w:r>
          </w:p>
        </w:tc>
      </w:tr>
      <w:tr w:rsidR="00EF4CBD" w:rsidRPr="002225A4" w:rsidTr="00EF4CBD">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F4CBD" w:rsidRPr="00E848D2" w:rsidRDefault="00EF4CBD" w:rsidP="00EF4CBD">
            <w:pPr>
              <w:pStyle w:val="TableText"/>
              <w:keepNext/>
              <w:rPr>
                <w:b/>
                <w:lang w:eastAsia="en-NZ"/>
              </w:rPr>
            </w:pPr>
            <w:r w:rsidRPr="00E848D2">
              <w:rPr>
                <w:b/>
                <w:lang w:eastAsia="en-NZ"/>
              </w:rPr>
              <w:lastRenderedPageBreak/>
              <w:t>Age group (years)</w:t>
            </w: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F4CBD" w:rsidRPr="00826E06" w:rsidRDefault="00EF4CBD" w:rsidP="00EF4CBD">
            <w:pPr>
              <w:pStyle w:val="TableText"/>
              <w:keepNext/>
              <w:tabs>
                <w:tab w:val="decimal" w:pos="552"/>
              </w:tabs>
              <w:rPr>
                <w:lang w:eastAsia="en-NZ"/>
              </w:rPr>
            </w:pPr>
          </w:p>
        </w:tc>
        <w:tc>
          <w:tcPr>
            <w:tcW w:w="70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EF4CBD" w:rsidRPr="00826E06" w:rsidRDefault="00EF4CBD" w:rsidP="00EF4CBD">
            <w:pPr>
              <w:pStyle w:val="TableText"/>
              <w:keepNext/>
              <w:tabs>
                <w:tab w:val="decimal" w:pos="510"/>
              </w:tabs>
              <w:rPr>
                <w:lang w:eastAsia="en-NZ"/>
              </w:rPr>
            </w:pPr>
          </w:p>
        </w:tc>
        <w:tc>
          <w:tcPr>
            <w:tcW w:w="709"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keepNext/>
              <w:jc w:val="center"/>
              <w:rPr>
                <w:lang w:eastAsia="en-NZ"/>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EF4CBD" w:rsidRPr="00826E06" w:rsidRDefault="00EF4CBD" w:rsidP="00EF4CBD">
            <w:pPr>
              <w:pStyle w:val="TableText"/>
              <w:keepNext/>
              <w:tabs>
                <w:tab w:val="decimal" w:pos="419"/>
              </w:tabs>
              <w:rPr>
                <w:lang w:eastAsia="en-NZ"/>
              </w:rPr>
            </w:pPr>
          </w:p>
        </w:tc>
        <w:tc>
          <w:tcPr>
            <w:tcW w:w="709"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keepNext/>
              <w:jc w:val="center"/>
              <w:rPr>
                <w:lang w:eastAsia="en-NZ"/>
              </w:rPr>
            </w:pPr>
          </w:p>
        </w:tc>
        <w:tc>
          <w:tcPr>
            <w:tcW w:w="709" w:type="dxa"/>
            <w:tcBorders>
              <w:top w:val="single" w:sz="4" w:space="0" w:color="7F7F7F" w:themeColor="text1" w:themeTint="80"/>
              <w:left w:val="nil"/>
              <w:bottom w:val="single" w:sz="4" w:space="0" w:color="A6A6A6" w:themeColor="background1" w:themeShade="A6"/>
            </w:tcBorders>
            <w:shd w:val="clear" w:color="auto" w:fill="auto"/>
          </w:tcPr>
          <w:p w:rsidR="00EF4CBD" w:rsidRPr="00826E06" w:rsidRDefault="00EF4CBD" w:rsidP="00EF4CBD">
            <w:pPr>
              <w:pStyle w:val="TableText"/>
              <w:keepNext/>
              <w:tabs>
                <w:tab w:val="decimal" w:pos="388"/>
              </w:tabs>
              <w:jc w:val="center"/>
              <w:rPr>
                <w:lang w:eastAsia="en-NZ"/>
              </w:rPr>
            </w:pPr>
          </w:p>
        </w:tc>
        <w:tc>
          <w:tcPr>
            <w:tcW w:w="709"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keepNext/>
              <w:jc w:val="center"/>
              <w:rPr>
                <w:lang w:eastAsia="en-NZ"/>
              </w:rPr>
            </w:pP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F4CBD" w:rsidRPr="00826E06" w:rsidRDefault="00EF4CBD" w:rsidP="00EF4CBD">
            <w:pPr>
              <w:pStyle w:val="TableText"/>
              <w:keepNext/>
              <w:jc w:val="center"/>
              <w:rPr>
                <w:lang w:eastAsia="en-NZ"/>
              </w:rPr>
            </w:pP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872866" w:rsidRDefault="00EF4CBD" w:rsidP="00EF4CBD">
            <w:pPr>
              <w:pStyle w:val="TableText"/>
              <w:keepNext/>
              <w:ind w:left="142"/>
              <w:rPr>
                <w:lang w:eastAsia="en-NZ"/>
              </w:rPr>
            </w:pPr>
            <w:r w:rsidRPr="00872866">
              <w:rPr>
                <w:lang w:eastAsia="en-NZ"/>
              </w:rPr>
              <w:t>18</w:t>
            </w:r>
            <w:r>
              <w:rPr>
                <w:lang w:eastAsia="en-NZ"/>
              </w:rPr>
              <w:t>–</w:t>
            </w:r>
            <w:r w:rsidRPr="00872866">
              <w:rPr>
                <w:lang w:eastAsia="en-NZ"/>
              </w:rPr>
              <w:t>49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keepNext/>
              <w:tabs>
                <w:tab w:val="decimal" w:pos="552"/>
              </w:tabs>
              <w:rPr>
                <w:lang w:eastAsia="en-NZ"/>
              </w:rPr>
            </w:pPr>
            <w:r w:rsidRPr="00DD4C09">
              <w:rPr>
                <w:lang w:eastAsia="en-NZ"/>
              </w:rPr>
              <w:t>424</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keepNext/>
              <w:tabs>
                <w:tab w:val="decimal" w:pos="510"/>
              </w:tabs>
              <w:rPr>
                <w:lang w:eastAsia="en-NZ"/>
              </w:rPr>
            </w:pPr>
            <w:r w:rsidRPr="00DD4C09">
              <w:rPr>
                <w:lang w:eastAsia="en-NZ"/>
              </w:rPr>
              <w:t>115</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keepNext/>
              <w:jc w:val="center"/>
              <w:rPr>
                <w:lang w:eastAsia="en-NZ"/>
              </w:rPr>
            </w:pPr>
            <w:r w:rsidRPr="00DD4C09">
              <w:rPr>
                <w:lang w:eastAsia="en-NZ"/>
              </w:rPr>
              <w:t>27.1</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keepNext/>
              <w:tabs>
                <w:tab w:val="decimal" w:pos="419"/>
              </w:tabs>
              <w:rPr>
                <w:lang w:eastAsia="en-NZ"/>
              </w:rPr>
            </w:pPr>
            <w:r w:rsidRPr="00DD4C09">
              <w:rPr>
                <w:lang w:eastAsia="en-NZ"/>
              </w:rPr>
              <w:t>5</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keepNext/>
              <w:jc w:val="center"/>
              <w:rPr>
                <w:lang w:eastAsia="en-NZ"/>
              </w:rPr>
            </w:pPr>
            <w:r w:rsidRPr="00DD4C09">
              <w:rPr>
                <w:lang w:eastAsia="en-NZ"/>
              </w:rPr>
              <w:t>1.2</w:t>
            </w:r>
          </w:p>
        </w:tc>
        <w:tc>
          <w:tcPr>
            <w:tcW w:w="709" w:type="dxa"/>
            <w:tcBorders>
              <w:top w:val="single" w:sz="4" w:space="0" w:color="A6A6A6" w:themeColor="background1" w:themeShade="A6"/>
              <w:left w:val="nil"/>
              <w:bottom w:val="single" w:sz="4" w:space="0" w:color="A6A6A6" w:themeColor="background1" w:themeShade="A6"/>
            </w:tcBorders>
            <w:shd w:val="clear" w:color="auto" w:fill="auto"/>
          </w:tcPr>
          <w:p w:rsidR="00EF4CBD" w:rsidRPr="00DD4C09" w:rsidRDefault="00EF4CBD" w:rsidP="00EF4CBD">
            <w:pPr>
              <w:pStyle w:val="TableText"/>
              <w:keepNext/>
              <w:tabs>
                <w:tab w:val="decimal" w:pos="388"/>
              </w:tabs>
              <w:rPr>
                <w:lang w:eastAsia="en-NZ"/>
              </w:rPr>
            </w:pPr>
            <w:r w:rsidRPr="00DD4C09">
              <w:rPr>
                <w:lang w:eastAsia="en-NZ"/>
              </w:rPr>
              <w:t>1</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keepNext/>
              <w:jc w:val="center"/>
              <w:rPr>
                <w:lang w:eastAsia="en-NZ"/>
              </w:rPr>
            </w:pPr>
            <w:r w:rsidRPr="00DD4C09">
              <w:rPr>
                <w:lang w:eastAsia="en-NZ"/>
              </w:rPr>
              <w:t>0.3</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keepNext/>
              <w:jc w:val="center"/>
              <w:rPr>
                <w:lang w:eastAsia="en-NZ"/>
              </w:rPr>
            </w:pPr>
            <w:r w:rsidRPr="00DD4C09">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72866" w:rsidRDefault="00EF4CBD" w:rsidP="00EF4CBD">
            <w:pPr>
              <w:pStyle w:val="TableText"/>
              <w:keepNext/>
              <w:ind w:left="142"/>
              <w:rPr>
                <w:lang w:eastAsia="en-NZ"/>
              </w:rPr>
            </w:pPr>
            <w:r w:rsidRPr="00872866">
              <w:rPr>
                <w:lang w:eastAsia="en-NZ"/>
              </w:rPr>
              <w:t>50</w:t>
            </w:r>
            <w:r>
              <w:rPr>
                <w:lang w:eastAsia="en-NZ"/>
              </w:rPr>
              <w:t>–</w:t>
            </w:r>
            <w:r w:rsidRPr="00872866">
              <w:rPr>
                <w:lang w:eastAsia="en-NZ"/>
              </w:rPr>
              <w:t>59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keepNext/>
              <w:tabs>
                <w:tab w:val="decimal" w:pos="552"/>
              </w:tabs>
              <w:rPr>
                <w:lang w:eastAsia="en-NZ"/>
              </w:rPr>
            </w:pPr>
            <w:r w:rsidRPr="00DD4C09">
              <w:rPr>
                <w:lang w:eastAsia="en-NZ"/>
              </w:rPr>
              <w:t>821</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keepNext/>
              <w:tabs>
                <w:tab w:val="decimal" w:pos="510"/>
              </w:tabs>
              <w:rPr>
                <w:lang w:eastAsia="en-NZ"/>
              </w:rPr>
            </w:pPr>
            <w:r w:rsidRPr="00DD4C09">
              <w:rPr>
                <w:lang w:eastAsia="en-NZ"/>
              </w:rPr>
              <w:t>166</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keepNext/>
              <w:jc w:val="center"/>
              <w:rPr>
                <w:lang w:eastAsia="en-NZ"/>
              </w:rPr>
            </w:pPr>
            <w:r w:rsidRPr="00DD4C09">
              <w:rPr>
                <w:lang w:eastAsia="en-NZ"/>
              </w:rPr>
              <w:t>20.2</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keepNext/>
              <w:tabs>
                <w:tab w:val="decimal" w:pos="419"/>
              </w:tabs>
              <w:rPr>
                <w:lang w:eastAsia="en-NZ"/>
              </w:rPr>
            </w:pPr>
            <w:r w:rsidRPr="00DD4C09">
              <w:rPr>
                <w:lang w:eastAsia="en-NZ"/>
              </w:rPr>
              <w:t>11</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keepNext/>
              <w:jc w:val="center"/>
              <w:rPr>
                <w:lang w:eastAsia="en-NZ"/>
              </w:rPr>
            </w:pPr>
            <w:r w:rsidRPr="00DD4C09">
              <w:rPr>
                <w:lang w:eastAsia="en-NZ"/>
              </w:rPr>
              <w:t>1.3</w:t>
            </w:r>
          </w:p>
        </w:tc>
        <w:tc>
          <w:tcPr>
            <w:tcW w:w="709" w:type="dxa"/>
            <w:tcBorders>
              <w:top w:val="single" w:sz="4" w:space="0" w:color="A6A6A6" w:themeColor="background1" w:themeShade="A6"/>
              <w:left w:val="nil"/>
              <w:bottom w:val="single" w:sz="4" w:space="0" w:color="A6A6A6" w:themeColor="background1" w:themeShade="A6"/>
            </w:tcBorders>
            <w:shd w:val="clear" w:color="auto" w:fill="auto"/>
          </w:tcPr>
          <w:p w:rsidR="00EF4CBD" w:rsidRPr="00DD4C09" w:rsidRDefault="00EF4CBD" w:rsidP="00EF4CBD">
            <w:pPr>
              <w:pStyle w:val="TableText"/>
              <w:keepNext/>
              <w:tabs>
                <w:tab w:val="decimal" w:pos="388"/>
              </w:tabs>
              <w:rPr>
                <w:lang w:eastAsia="en-NZ"/>
              </w:rPr>
            </w:pPr>
            <w:r w:rsidRPr="00DD4C09">
              <w:rPr>
                <w:lang w:eastAsia="en-NZ"/>
              </w:rPr>
              <w:t>3</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keepNext/>
              <w:jc w:val="center"/>
              <w:rPr>
                <w:lang w:eastAsia="en-NZ"/>
              </w:rPr>
            </w:pPr>
            <w:r w:rsidRPr="00DD4C09">
              <w:rPr>
                <w:lang w:eastAsia="en-NZ"/>
              </w:rPr>
              <w:t>0.5</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keepNext/>
              <w:jc w:val="center"/>
              <w:rPr>
                <w:lang w:eastAsia="en-NZ"/>
              </w:rPr>
            </w:pPr>
            <w:r w:rsidRPr="00DD4C09">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72866" w:rsidRDefault="00EF4CBD" w:rsidP="00EF4CBD">
            <w:pPr>
              <w:pStyle w:val="TableText"/>
              <w:keepNext/>
              <w:ind w:left="142"/>
              <w:rPr>
                <w:lang w:eastAsia="en-NZ"/>
              </w:rPr>
            </w:pPr>
            <w:r w:rsidRPr="00872866">
              <w:rPr>
                <w:lang w:eastAsia="en-NZ"/>
              </w:rPr>
              <w:t>60</w:t>
            </w:r>
            <w:r>
              <w:rPr>
                <w:lang w:eastAsia="en-NZ"/>
              </w:rPr>
              <w:t>–</w:t>
            </w:r>
            <w:r w:rsidRPr="00872866">
              <w:rPr>
                <w:lang w:eastAsia="en-NZ"/>
              </w:rPr>
              <w:t>74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keepNext/>
              <w:tabs>
                <w:tab w:val="decimal" w:pos="552"/>
              </w:tabs>
              <w:rPr>
                <w:lang w:eastAsia="en-NZ"/>
              </w:rPr>
            </w:pPr>
            <w:r w:rsidRPr="00DD4C09">
              <w:rPr>
                <w:lang w:eastAsia="en-NZ"/>
              </w:rPr>
              <w:t>2</w:t>
            </w:r>
            <w:r>
              <w:rPr>
                <w:lang w:eastAsia="en-NZ"/>
              </w:rPr>
              <w:t>,</w:t>
            </w:r>
            <w:r w:rsidRPr="00DD4C09">
              <w:rPr>
                <w:lang w:eastAsia="en-NZ"/>
              </w:rPr>
              <w:t>895</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keepNext/>
              <w:tabs>
                <w:tab w:val="decimal" w:pos="510"/>
              </w:tabs>
              <w:rPr>
                <w:lang w:eastAsia="en-NZ"/>
              </w:rPr>
            </w:pPr>
            <w:r w:rsidRPr="00DD4C09">
              <w:rPr>
                <w:lang w:eastAsia="en-NZ"/>
              </w:rPr>
              <w:t>480</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keepNext/>
              <w:jc w:val="center"/>
              <w:rPr>
                <w:lang w:eastAsia="en-NZ"/>
              </w:rPr>
            </w:pPr>
            <w:r w:rsidRPr="00DD4C09">
              <w:rPr>
                <w:lang w:eastAsia="en-NZ"/>
              </w:rPr>
              <w:t>16.6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keepNext/>
              <w:tabs>
                <w:tab w:val="decimal" w:pos="419"/>
              </w:tabs>
              <w:rPr>
                <w:lang w:eastAsia="en-NZ"/>
              </w:rPr>
            </w:pPr>
            <w:r w:rsidRPr="00DD4C09">
              <w:rPr>
                <w:lang w:eastAsia="en-NZ"/>
              </w:rPr>
              <w:t>72</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keepNext/>
              <w:jc w:val="center"/>
              <w:rPr>
                <w:lang w:eastAsia="en-NZ"/>
              </w:rPr>
            </w:pPr>
            <w:r w:rsidRPr="00DD4C09">
              <w:rPr>
                <w:lang w:eastAsia="en-NZ"/>
              </w:rPr>
              <w:t>2.5</w:t>
            </w:r>
          </w:p>
        </w:tc>
        <w:tc>
          <w:tcPr>
            <w:tcW w:w="709" w:type="dxa"/>
            <w:tcBorders>
              <w:top w:val="single" w:sz="4" w:space="0" w:color="A6A6A6" w:themeColor="background1" w:themeShade="A6"/>
              <w:left w:val="nil"/>
              <w:bottom w:val="single" w:sz="4" w:space="0" w:color="A6A6A6" w:themeColor="background1" w:themeShade="A6"/>
            </w:tcBorders>
            <w:shd w:val="clear" w:color="auto" w:fill="auto"/>
          </w:tcPr>
          <w:p w:rsidR="00EF4CBD" w:rsidRPr="00DD4C09" w:rsidRDefault="00EF4CBD" w:rsidP="00EF4CBD">
            <w:pPr>
              <w:pStyle w:val="TableText"/>
              <w:keepNext/>
              <w:tabs>
                <w:tab w:val="decimal" w:pos="388"/>
              </w:tabs>
              <w:rPr>
                <w:lang w:eastAsia="en-NZ"/>
              </w:rPr>
            </w:pPr>
            <w:r w:rsidRPr="00DD4C09">
              <w:rPr>
                <w:lang w:eastAsia="en-NZ"/>
              </w:rPr>
              <w:t>38</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keepNext/>
              <w:jc w:val="center"/>
              <w:rPr>
                <w:lang w:eastAsia="en-NZ"/>
              </w:rPr>
            </w:pPr>
            <w:r w:rsidRPr="00DD4C09">
              <w:rPr>
                <w:lang w:eastAsia="en-NZ"/>
              </w:rPr>
              <w:t>1.6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keepNext/>
              <w:jc w:val="center"/>
              <w:rPr>
                <w:lang w:eastAsia="en-NZ"/>
              </w:rPr>
            </w:pPr>
            <w:r w:rsidRPr="00DD4C09">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EF4CBD" w:rsidRPr="00872866" w:rsidRDefault="00EF4CBD" w:rsidP="004153B3">
            <w:pPr>
              <w:pStyle w:val="TableText"/>
              <w:ind w:left="142"/>
              <w:rPr>
                <w:lang w:eastAsia="en-NZ"/>
              </w:rPr>
            </w:pPr>
            <w:r w:rsidRPr="00872866">
              <w:rPr>
                <w:lang w:eastAsia="en-NZ"/>
              </w:rPr>
              <w:t>75+</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EF4CBD" w:rsidRPr="00DD4C09" w:rsidRDefault="00EF4CBD" w:rsidP="00EF4CBD">
            <w:pPr>
              <w:pStyle w:val="TableText"/>
              <w:tabs>
                <w:tab w:val="decimal" w:pos="552"/>
              </w:tabs>
              <w:rPr>
                <w:lang w:eastAsia="en-NZ"/>
              </w:rPr>
            </w:pPr>
            <w:r w:rsidRPr="00DD4C09">
              <w:rPr>
                <w:lang w:eastAsia="en-NZ"/>
              </w:rPr>
              <w:t>3</w:t>
            </w:r>
            <w:r>
              <w:rPr>
                <w:lang w:eastAsia="en-NZ"/>
              </w:rPr>
              <w:t>,</w:t>
            </w:r>
            <w:r w:rsidRPr="00DD4C09">
              <w:rPr>
                <w:lang w:eastAsia="en-NZ"/>
              </w:rPr>
              <w:t>030</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EF4CBD" w:rsidRPr="00DD4C09" w:rsidRDefault="00EF4CBD" w:rsidP="00EF4CBD">
            <w:pPr>
              <w:pStyle w:val="TableText"/>
              <w:tabs>
                <w:tab w:val="decimal" w:pos="510"/>
              </w:tabs>
              <w:rPr>
                <w:lang w:eastAsia="en-NZ"/>
              </w:rPr>
            </w:pPr>
            <w:r w:rsidRPr="00DD4C09">
              <w:rPr>
                <w:lang w:eastAsia="en-NZ"/>
              </w:rPr>
              <w:t>642</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21.2</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EF4CBD" w:rsidRPr="00DD4C09" w:rsidRDefault="00EF4CBD" w:rsidP="00EF4CBD">
            <w:pPr>
              <w:pStyle w:val="TableText"/>
              <w:tabs>
                <w:tab w:val="decimal" w:pos="419"/>
              </w:tabs>
              <w:rPr>
                <w:lang w:eastAsia="en-NZ"/>
              </w:rPr>
            </w:pPr>
            <w:r w:rsidRPr="00DD4C09">
              <w:rPr>
                <w:lang w:eastAsia="en-NZ"/>
              </w:rPr>
              <w:t>201</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6.6</w:t>
            </w:r>
          </w:p>
        </w:tc>
        <w:tc>
          <w:tcPr>
            <w:tcW w:w="709" w:type="dxa"/>
            <w:tcBorders>
              <w:top w:val="single" w:sz="4" w:space="0" w:color="A6A6A6" w:themeColor="background1" w:themeShade="A6"/>
              <w:left w:val="nil"/>
              <w:bottom w:val="single" w:sz="4" w:space="0" w:color="7F7F7F" w:themeColor="text1" w:themeTint="80"/>
            </w:tcBorders>
            <w:shd w:val="clear" w:color="auto" w:fill="auto"/>
          </w:tcPr>
          <w:p w:rsidR="00EF4CBD" w:rsidRPr="00DD4C09" w:rsidRDefault="00EF4CBD" w:rsidP="00EF4CBD">
            <w:pPr>
              <w:pStyle w:val="TableText"/>
              <w:tabs>
                <w:tab w:val="decimal" w:pos="388"/>
              </w:tabs>
              <w:rPr>
                <w:lang w:eastAsia="en-NZ"/>
              </w:rPr>
            </w:pPr>
            <w:r w:rsidRPr="00DD4C09">
              <w:rPr>
                <w:lang w:eastAsia="en-NZ"/>
              </w:rPr>
              <w:t>105</w:t>
            </w:r>
          </w:p>
        </w:tc>
        <w:tc>
          <w:tcPr>
            <w:tcW w:w="709"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4.4</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EF4CBD" w:rsidRPr="00DD4C09" w:rsidRDefault="00EF4CBD" w:rsidP="00EF4CBD">
            <w:pPr>
              <w:pStyle w:val="TableText"/>
              <w:jc w:val="center"/>
              <w:rPr>
                <w:lang w:eastAsia="en-NZ"/>
              </w:rPr>
            </w:pPr>
            <w:r w:rsidRPr="00DD4C09">
              <w:rPr>
                <w:lang w:eastAsia="en-NZ"/>
              </w:rPr>
              <w:t>8</w:t>
            </w:r>
          </w:p>
        </w:tc>
      </w:tr>
      <w:tr w:rsidR="00EF4CBD" w:rsidRPr="002225A4" w:rsidTr="00EF4CBD">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F4CBD" w:rsidRPr="00E848D2" w:rsidRDefault="00EF4CBD" w:rsidP="004153B3">
            <w:pPr>
              <w:pStyle w:val="TableText"/>
              <w:rPr>
                <w:b/>
                <w:lang w:eastAsia="en-NZ"/>
              </w:rPr>
            </w:pPr>
            <w:r w:rsidRPr="00E848D2">
              <w:rPr>
                <w:b/>
                <w:lang w:eastAsia="en-NZ"/>
              </w:rPr>
              <w:t>Sex</w:t>
            </w: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F4CBD" w:rsidRPr="00826E06" w:rsidRDefault="00EF4CBD" w:rsidP="00EF4CBD">
            <w:pPr>
              <w:pStyle w:val="TableText"/>
              <w:tabs>
                <w:tab w:val="decimal" w:pos="552"/>
              </w:tabs>
              <w:rPr>
                <w:lang w:eastAsia="en-NZ"/>
              </w:rPr>
            </w:pPr>
          </w:p>
        </w:tc>
        <w:tc>
          <w:tcPr>
            <w:tcW w:w="70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EF4CBD" w:rsidRPr="00826E06" w:rsidRDefault="00EF4CBD" w:rsidP="00EF4CBD">
            <w:pPr>
              <w:pStyle w:val="TableText"/>
              <w:tabs>
                <w:tab w:val="decimal" w:pos="510"/>
              </w:tabs>
              <w:rPr>
                <w:lang w:eastAsia="en-NZ"/>
              </w:rPr>
            </w:pPr>
          </w:p>
        </w:tc>
        <w:tc>
          <w:tcPr>
            <w:tcW w:w="709"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jc w:val="center"/>
              <w:rPr>
                <w:lang w:eastAsia="en-NZ"/>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EF4CBD" w:rsidRPr="00826E06" w:rsidRDefault="00EF4CBD" w:rsidP="00EF4CBD">
            <w:pPr>
              <w:pStyle w:val="TableText"/>
              <w:tabs>
                <w:tab w:val="decimal" w:pos="419"/>
              </w:tabs>
              <w:rPr>
                <w:lang w:eastAsia="en-NZ"/>
              </w:rPr>
            </w:pPr>
          </w:p>
        </w:tc>
        <w:tc>
          <w:tcPr>
            <w:tcW w:w="709"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jc w:val="center"/>
              <w:rPr>
                <w:lang w:eastAsia="en-NZ"/>
              </w:rPr>
            </w:pPr>
          </w:p>
        </w:tc>
        <w:tc>
          <w:tcPr>
            <w:tcW w:w="709" w:type="dxa"/>
            <w:tcBorders>
              <w:top w:val="single" w:sz="4" w:space="0" w:color="7F7F7F" w:themeColor="text1" w:themeTint="80"/>
              <w:left w:val="nil"/>
              <w:bottom w:val="single" w:sz="4" w:space="0" w:color="A6A6A6" w:themeColor="background1" w:themeShade="A6"/>
            </w:tcBorders>
            <w:shd w:val="clear" w:color="auto" w:fill="auto"/>
          </w:tcPr>
          <w:p w:rsidR="00EF4CBD" w:rsidRPr="00826E06" w:rsidRDefault="00EF4CBD" w:rsidP="00EF4CBD">
            <w:pPr>
              <w:pStyle w:val="TableText"/>
              <w:tabs>
                <w:tab w:val="decimal" w:pos="388"/>
              </w:tabs>
              <w:jc w:val="center"/>
              <w:rPr>
                <w:lang w:eastAsia="en-NZ"/>
              </w:rPr>
            </w:pPr>
          </w:p>
        </w:tc>
        <w:tc>
          <w:tcPr>
            <w:tcW w:w="709"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jc w:val="center"/>
              <w:rPr>
                <w:lang w:eastAsia="en-NZ"/>
              </w:rPr>
            </w:pP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F4CBD" w:rsidRPr="00826E06" w:rsidRDefault="00EF4CBD" w:rsidP="00EF4CBD">
            <w:pPr>
              <w:pStyle w:val="TableText"/>
              <w:jc w:val="center"/>
              <w:rPr>
                <w:lang w:eastAsia="en-NZ"/>
              </w:rPr>
            </w:pP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872866" w:rsidRDefault="00EF4CBD" w:rsidP="004153B3">
            <w:pPr>
              <w:pStyle w:val="TableText"/>
              <w:ind w:left="142"/>
              <w:rPr>
                <w:lang w:eastAsia="en-NZ"/>
              </w:rPr>
            </w:pPr>
            <w:r>
              <w:rPr>
                <w:lang w:eastAsia="en-NZ"/>
              </w:rPr>
              <w:t>Female</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tabs>
                <w:tab w:val="decimal" w:pos="552"/>
              </w:tabs>
              <w:rPr>
                <w:lang w:eastAsia="en-NZ"/>
              </w:rPr>
            </w:pPr>
            <w:r w:rsidRPr="00DD4C09">
              <w:rPr>
                <w:lang w:eastAsia="en-NZ"/>
              </w:rPr>
              <w:t>3</w:t>
            </w:r>
            <w:r>
              <w:rPr>
                <w:lang w:eastAsia="en-NZ"/>
              </w:rPr>
              <w:t>,</w:t>
            </w:r>
            <w:r w:rsidRPr="00DD4C09">
              <w:rPr>
                <w:lang w:eastAsia="en-NZ"/>
              </w:rPr>
              <w:t>447</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510"/>
              </w:tabs>
              <w:rPr>
                <w:lang w:eastAsia="en-NZ"/>
              </w:rPr>
            </w:pPr>
            <w:r w:rsidRPr="00DD4C09">
              <w:rPr>
                <w:lang w:eastAsia="en-NZ"/>
              </w:rPr>
              <w:t>727</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21.1</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419"/>
              </w:tabs>
              <w:rPr>
                <w:lang w:eastAsia="en-NZ"/>
              </w:rPr>
            </w:pPr>
            <w:r w:rsidRPr="00DD4C09">
              <w:rPr>
                <w:lang w:eastAsia="en-NZ"/>
              </w:rPr>
              <w:t>136</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3.9</w:t>
            </w:r>
          </w:p>
        </w:tc>
        <w:tc>
          <w:tcPr>
            <w:tcW w:w="709" w:type="dxa"/>
            <w:tcBorders>
              <w:top w:val="single" w:sz="4" w:space="0" w:color="A6A6A6" w:themeColor="background1" w:themeShade="A6"/>
              <w:left w:val="nil"/>
              <w:bottom w:val="single" w:sz="4" w:space="0" w:color="A6A6A6" w:themeColor="background1" w:themeShade="A6"/>
            </w:tcBorders>
            <w:shd w:val="clear" w:color="auto" w:fill="auto"/>
          </w:tcPr>
          <w:p w:rsidR="00EF4CBD" w:rsidRPr="00DD4C09" w:rsidRDefault="00EF4CBD" w:rsidP="00EF4CBD">
            <w:pPr>
              <w:pStyle w:val="TableText"/>
              <w:tabs>
                <w:tab w:val="decimal" w:pos="388"/>
              </w:tabs>
              <w:rPr>
                <w:lang w:eastAsia="en-NZ"/>
              </w:rPr>
            </w:pPr>
            <w:r w:rsidRPr="00DD4C09">
              <w:rPr>
                <w:lang w:eastAsia="en-NZ"/>
              </w:rPr>
              <w:t>61</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2.2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jc w:val="center"/>
              <w:rPr>
                <w:lang w:eastAsia="en-NZ"/>
              </w:rPr>
            </w:pPr>
            <w:r w:rsidRPr="00DD4C09">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EF4CBD" w:rsidRPr="00872866" w:rsidRDefault="00EF4CBD" w:rsidP="004153B3">
            <w:pPr>
              <w:pStyle w:val="TableText"/>
              <w:ind w:left="142"/>
              <w:rPr>
                <w:lang w:eastAsia="en-NZ"/>
              </w:rPr>
            </w:pPr>
            <w:r>
              <w:rPr>
                <w:lang w:eastAsia="en-NZ"/>
              </w:rPr>
              <w:t>Male</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EF4CBD" w:rsidRPr="00DD4C09" w:rsidRDefault="00EF4CBD" w:rsidP="00EF4CBD">
            <w:pPr>
              <w:pStyle w:val="TableText"/>
              <w:tabs>
                <w:tab w:val="decimal" w:pos="552"/>
              </w:tabs>
              <w:rPr>
                <w:lang w:eastAsia="en-NZ"/>
              </w:rPr>
            </w:pPr>
            <w:r w:rsidRPr="00DD4C09">
              <w:rPr>
                <w:lang w:eastAsia="en-NZ"/>
              </w:rPr>
              <w:t>3</w:t>
            </w:r>
            <w:r>
              <w:rPr>
                <w:lang w:eastAsia="en-NZ"/>
              </w:rPr>
              <w:t>,</w:t>
            </w:r>
            <w:r w:rsidRPr="00DD4C09">
              <w:rPr>
                <w:lang w:eastAsia="en-NZ"/>
              </w:rPr>
              <w:t>723</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EF4CBD" w:rsidRPr="00DD4C09" w:rsidRDefault="00EF4CBD" w:rsidP="00EF4CBD">
            <w:pPr>
              <w:pStyle w:val="TableText"/>
              <w:tabs>
                <w:tab w:val="decimal" w:pos="510"/>
              </w:tabs>
              <w:rPr>
                <w:lang w:eastAsia="en-NZ"/>
              </w:rPr>
            </w:pPr>
            <w:r w:rsidRPr="00DD4C09">
              <w:rPr>
                <w:lang w:eastAsia="en-NZ"/>
              </w:rPr>
              <w:t>676</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18.2</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EF4CBD" w:rsidRPr="00DD4C09" w:rsidRDefault="00EF4CBD" w:rsidP="00EF4CBD">
            <w:pPr>
              <w:pStyle w:val="TableText"/>
              <w:tabs>
                <w:tab w:val="decimal" w:pos="419"/>
              </w:tabs>
              <w:rPr>
                <w:lang w:eastAsia="en-NZ"/>
              </w:rPr>
            </w:pPr>
            <w:r w:rsidRPr="00DD4C09">
              <w:rPr>
                <w:lang w:eastAsia="en-NZ"/>
              </w:rPr>
              <w:t>153</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4.1</w:t>
            </w:r>
          </w:p>
        </w:tc>
        <w:tc>
          <w:tcPr>
            <w:tcW w:w="709" w:type="dxa"/>
            <w:tcBorders>
              <w:top w:val="single" w:sz="4" w:space="0" w:color="A6A6A6" w:themeColor="background1" w:themeShade="A6"/>
              <w:left w:val="nil"/>
              <w:bottom w:val="single" w:sz="4" w:space="0" w:color="7F7F7F" w:themeColor="text1" w:themeTint="80"/>
            </w:tcBorders>
            <w:shd w:val="clear" w:color="auto" w:fill="auto"/>
          </w:tcPr>
          <w:p w:rsidR="00EF4CBD" w:rsidRPr="00DD4C09" w:rsidRDefault="00EF4CBD" w:rsidP="00EF4CBD">
            <w:pPr>
              <w:pStyle w:val="TableText"/>
              <w:tabs>
                <w:tab w:val="decimal" w:pos="388"/>
              </w:tabs>
              <w:rPr>
                <w:lang w:eastAsia="en-NZ"/>
              </w:rPr>
            </w:pPr>
            <w:r w:rsidRPr="00DD4C09">
              <w:rPr>
                <w:lang w:eastAsia="en-NZ"/>
              </w:rPr>
              <w:t>86</w:t>
            </w:r>
          </w:p>
        </w:tc>
        <w:tc>
          <w:tcPr>
            <w:tcW w:w="709"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2.8</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EF4CBD" w:rsidRPr="00DD4C09" w:rsidRDefault="00EF4CBD" w:rsidP="00EF4CBD">
            <w:pPr>
              <w:pStyle w:val="TableText"/>
              <w:jc w:val="center"/>
              <w:rPr>
                <w:lang w:eastAsia="en-NZ"/>
              </w:rPr>
            </w:pPr>
            <w:r w:rsidRPr="00DD4C09">
              <w:rPr>
                <w:lang w:eastAsia="en-NZ"/>
              </w:rPr>
              <w:t>8</w:t>
            </w:r>
          </w:p>
        </w:tc>
      </w:tr>
      <w:tr w:rsidR="00EF4CBD" w:rsidRPr="002225A4" w:rsidTr="00EF4CBD">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F4CBD" w:rsidRPr="00E848D2" w:rsidRDefault="00EF4CBD" w:rsidP="004153B3">
            <w:pPr>
              <w:pStyle w:val="TableText"/>
              <w:rPr>
                <w:b/>
                <w:lang w:eastAsia="en-NZ"/>
              </w:rPr>
            </w:pPr>
            <w:r w:rsidRPr="00E848D2">
              <w:rPr>
                <w:b/>
                <w:lang w:eastAsia="en-NZ"/>
              </w:rPr>
              <w:t>Ethnic group</w:t>
            </w: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F4CBD" w:rsidRPr="00826E06" w:rsidRDefault="00EF4CBD" w:rsidP="00EF4CBD">
            <w:pPr>
              <w:pStyle w:val="TableText"/>
              <w:tabs>
                <w:tab w:val="decimal" w:pos="552"/>
              </w:tabs>
              <w:rPr>
                <w:lang w:eastAsia="en-NZ"/>
              </w:rPr>
            </w:pPr>
          </w:p>
        </w:tc>
        <w:tc>
          <w:tcPr>
            <w:tcW w:w="70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EF4CBD" w:rsidRPr="00826E06" w:rsidRDefault="00EF4CBD" w:rsidP="00EF4CBD">
            <w:pPr>
              <w:pStyle w:val="TableText"/>
              <w:tabs>
                <w:tab w:val="decimal" w:pos="510"/>
              </w:tabs>
              <w:rPr>
                <w:lang w:eastAsia="en-NZ"/>
              </w:rPr>
            </w:pPr>
          </w:p>
        </w:tc>
        <w:tc>
          <w:tcPr>
            <w:tcW w:w="709"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jc w:val="center"/>
              <w:rPr>
                <w:lang w:eastAsia="en-NZ"/>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EF4CBD" w:rsidRPr="00826E06" w:rsidRDefault="00EF4CBD" w:rsidP="00EF4CBD">
            <w:pPr>
              <w:pStyle w:val="TableText"/>
              <w:tabs>
                <w:tab w:val="decimal" w:pos="419"/>
              </w:tabs>
              <w:rPr>
                <w:lang w:eastAsia="en-NZ"/>
              </w:rPr>
            </w:pPr>
          </w:p>
        </w:tc>
        <w:tc>
          <w:tcPr>
            <w:tcW w:w="709"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jc w:val="center"/>
              <w:rPr>
                <w:lang w:eastAsia="en-NZ"/>
              </w:rPr>
            </w:pPr>
          </w:p>
        </w:tc>
        <w:tc>
          <w:tcPr>
            <w:tcW w:w="709" w:type="dxa"/>
            <w:tcBorders>
              <w:top w:val="single" w:sz="4" w:space="0" w:color="7F7F7F" w:themeColor="text1" w:themeTint="80"/>
              <w:left w:val="nil"/>
              <w:bottom w:val="single" w:sz="4" w:space="0" w:color="A6A6A6" w:themeColor="background1" w:themeShade="A6"/>
            </w:tcBorders>
            <w:shd w:val="clear" w:color="auto" w:fill="auto"/>
          </w:tcPr>
          <w:p w:rsidR="00EF4CBD" w:rsidRPr="00826E06" w:rsidRDefault="00EF4CBD" w:rsidP="00EF4CBD">
            <w:pPr>
              <w:pStyle w:val="TableText"/>
              <w:tabs>
                <w:tab w:val="decimal" w:pos="388"/>
              </w:tabs>
              <w:jc w:val="center"/>
              <w:rPr>
                <w:lang w:eastAsia="en-NZ"/>
              </w:rPr>
            </w:pPr>
          </w:p>
        </w:tc>
        <w:tc>
          <w:tcPr>
            <w:tcW w:w="709"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jc w:val="center"/>
              <w:rPr>
                <w:lang w:eastAsia="en-NZ"/>
              </w:rPr>
            </w:pP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F4CBD" w:rsidRPr="00826E06" w:rsidRDefault="00EF4CBD" w:rsidP="00EF4CBD">
            <w:pPr>
              <w:pStyle w:val="TableText"/>
              <w:jc w:val="center"/>
              <w:rPr>
                <w:lang w:eastAsia="en-NZ"/>
              </w:rPr>
            </w:pP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872866" w:rsidRDefault="00EF4CBD" w:rsidP="004153B3">
            <w:pPr>
              <w:pStyle w:val="TableText"/>
              <w:ind w:left="142"/>
              <w:rPr>
                <w:lang w:eastAsia="en-NZ"/>
              </w:rPr>
            </w:pPr>
            <w:r w:rsidRPr="00872866">
              <w:rPr>
                <w:lang w:eastAsia="en-NZ"/>
              </w:rPr>
              <w:t>M</w:t>
            </w:r>
            <w:r>
              <w:rPr>
                <w:lang w:eastAsia="en-NZ"/>
              </w:rPr>
              <w:t>ā</w:t>
            </w:r>
            <w:r w:rsidRPr="00872866">
              <w:rPr>
                <w:lang w:eastAsia="en-NZ"/>
              </w:rPr>
              <w:t>ori</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tabs>
                <w:tab w:val="decimal" w:pos="552"/>
              </w:tabs>
              <w:rPr>
                <w:lang w:eastAsia="en-NZ"/>
              </w:rPr>
            </w:pPr>
            <w:r w:rsidRPr="00DD4C09">
              <w:rPr>
                <w:lang w:eastAsia="en-NZ"/>
              </w:rPr>
              <w:t>411</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510"/>
              </w:tabs>
              <w:rPr>
                <w:lang w:eastAsia="en-NZ"/>
              </w:rPr>
            </w:pPr>
            <w:r w:rsidRPr="00DD4C09">
              <w:rPr>
                <w:lang w:eastAsia="en-NZ"/>
              </w:rPr>
              <w:t>98</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23.8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419"/>
              </w:tabs>
              <w:rPr>
                <w:lang w:eastAsia="en-NZ"/>
              </w:rPr>
            </w:pPr>
            <w:r w:rsidRPr="00DD4C09">
              <w:rPr>
                <w:lang w:eastAsia="en-NZ"/>
              </w:rPr>
              <w:t>22</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5.4</w:t>
            </w:r>
          </w:p>
        </w:tc>
        <w:tc>
          <w:tcPr>
            <w:tcW w:w="709" w:type="dxa"/>
            <w:tcBorders>
              <w:top w:val="single" w:sz="4" w:space="0" w:color="A6A6A6" w:themeColor="background1" w:themeShade="A6"/>
              <w:left w:val="nil"/>
              <w:bottom w:val="single" w:sz="4" w:space="0" w:color="A6A6A6" w:themeColor="background1" w:themeShade="A6"/>
            </w:tcBorders>
            <w:shd w:val="clear" w:color="auto" w:fill="auto"/>
          </w:tcPr>
          <w:p w:rsidR="00EF4CBD" w:rsidRPr="00DD4C09" w:rsidRDefault="00EF4CBD" w:rsidP="00EF4CBD">
            <w:pPr>
              <w:pStyle w:val="TableText"/>
              <w:tabs>
                <w:tab w:val="decimal" w:pos="388"/>
              </w:tabs>
              <w:rPr>
                <w:lang w:eastAsia="en-NZ"/>
              </w:rPr>
            </w:pPr>
            <w:r w:rsidRPr="00DD4C09">
              <w:rPr>
                <w:lang w:eastAsia="en-NZ"/>
              </w:rPr>
              <w:t>13</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4.2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jc w:val="center"/>
              <w:rPr>
                <w:lang w:eastAsia="en-NZ"/>
              </w:rPr>
            </w:pPr>
            <w:r w:rsidRPr="00DD4C09">
              <w:rPr>
                <w:lang w:eastAsia="en-NZ"/>
              </w:rPr>
              <w:t>8</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72866" w:rsidRDefault="00EF4CBD" w:rsidP="004153B3">
            <w:pPr>
              <w:pStyle w:val="TableText"/>
              <w:ind w:left="142"/>
              <w:rPr>
                <w:lang w:eastAsia="en-NZ"/>
              </w:rPr>
            </w:pPr>
            <w:r w:rsidRPr="00872866">
              <w:rPr>
                <w:lang w:eastAsia="en-NZ"/>
              </w:rPr>
              <w:t>Pacific peoples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tabs>
                <w:tab w:val="decimal" w:pos="552"/>
              </w:tabs>
              <w:rPr>
                <w:lang w:eastAsia="en-NZ"/>
              </w:rPr>
            </w:pPr>
            <w:r w:rsidRPr="00DD4C09">
              <w:rPr>
                <w:lang w:eastAsia="en-NZ"/>
              </w:rPr>
              <w:t>147</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510"/>
              </w:tabs>
              <w:rPr>
                <w:lang w:eastAsia="en-NZ"/>
              </w:rPr>
            </w:pPr>
            <w:r w:rsidRPr="00DD4C09">
              <w:rPr>
                <w:lang w:eastAsia="en-NZ"/>
              </w:rPr>
              <w:t>30</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20.4</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419"/>
              </w:tabs>
              <w:rPr>
                <w:lang w:eastAsia="en-NZ"/>
              </w:rPr>
            </w:pPr>
            <w:r w:rsidRPr="00DD4C09">
              <w:rPr>
                <w:lang w:eastAsia="en-NZ"/>
              </w:rPr>
              <w:t>6</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4.1</w:t>
            </w:r>
          </w:p>
        </w:tc>
        <w:tc>
          <w:tcPr>
            <w:tcW w:w="709" w:type="dxa"/>
            <w:tcBorders>
              <w:top w:val="single" w:sz="4" w:space="0" w:color="A6A6A6" w:themeColor="background1" w:themeShade="A6"/>
              <w:left w:val="nil"/>
              <w:bottom w:val="single" w:sz="4" w:space="0" w:color="A6A6A6" w:themeColor="background1" w:themeShade="A6"/>
            </w:tcBorders>
            <w:shd w:val="clear" w:color="auto" w:fill="auto"/>
          </w:tcPr>
          <w:p w:rsidR="00EF4CBD" w:rsidRPr="00DD4C09" w:rsidRDefault="00EF4CBD" w:rsidP="00EF4CBD">
            <w:pPr>
              <w:pStyle w:val="TableText"/>
              <w:tabs>
                <w:tab w:val="decimal" w:pos="388"/>
              </w:tabs>
              <w:rPr>
                <w:lang w:eastAsia="en-NZ"/>
              </w:rPr>
            </w:pPr>
            <w:r w:rsidRPr="00DD4C09">
              <w:rPr>
                <w:lang w:eastAsia="en-NZ"/>
              </w:rPr>
              <w:t>2</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1.7</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jc w:val="center"/>
              <w:rPr>
                <w:lang w:eastAsia="en-NZ"/>
              </w:rPr>
            </w:pPr>
            <w:r w:rsidRPr="00DD4C09">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72866" w:rsidRDefault="00EF4CBD" w:rsidP="004153B3">
            <w:pPr>
              <w:pStyle w:val="TableText"/>
              <w:ind w:left="142"/>
              <w:rPr>
                <w:lang w:eastAsia="en-NZ"/>
              </w:rPr>
            </w:pPr>
            <w:r w:rsidRPr="00872866">
              <w:rPr>
                <w:lang w:eastAsia="en-NZ"/>
              </w:rPr>
              <w:t>Asian</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tabs>
                <w:tab w:val="decimal" w:pos="552"/>
              </w:tabs>
              <w:rPr>
                <w:lang w:eastAsia="en-NZ"/>
              </w:rPr>
            </w:pPr>
            <w:r w:rsidRPr="00DD4C09">
              <w:rPr>
                <w:lang w:eastAsia="en-NZ"/>
              </w:rPr>
              <w:t>270</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510"/>
              </w:tabs>
              <w:rPr>
                <w:lang w:eastAsia="en-NZ"/>
              </w:rPr>
            </w:pPr>
            <w:r w:rsidRPr="00DD4C09">
              <w:rPr>
                <w:lang w:eastAsia="en-NZ"/>
              </w:rPr>
              <w:t>43</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15.9</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419"/>
              </w:tabs>
              <w:rPr>
                <w:lang w:eastAsia="en-NZ"/>
              </w:rPr>
            </w:pPr>
            <w:r w:rsidRPr="00DD4C09">
              <w:rPr>
                <w:lang w:eastAsia="en-NZ"/>
              </w:rPr>
              <w:t>3</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1.1</w:t>
            </w:r>
          </w:p>
        </w:tc>
        <w:tc>
          <w:tcPr>
            <w:tcW w:w="709" w:type="dxa"/>
            <w:tcBorders>
              <w:top w:val="single" w:sz="4" w:space="0" w:color="A6A6A6" w:themeColor="background1" w:themeShade="A6"/>
              <w:left w:val="nil"/>
              <w:bottom w:val="single" w:sz="4" w:space="0" w:color="A6A6A6" w:themeColor="background1" w:themeShade="A6"/>
            </w:tcBorders>
            <w:shd w:val="clear" w:color="auto" w:fill="auto"/>
          </w:tcPr>
          <w:p w:rsidR="00EF4CBD" w:rsidRPr="00DD4C09" w:rsidRDefault="00EF4CBD" w:rsidP="00EF4CBD">
            <w:pPr>
              <w:pStyle w:val="TableText"/>
              <w:tabs>
                <w:tab w:val="decimal" w:pos="388"/>
              </w:tabs>
              <w:rPr>
                <w:lang w:eastAsia="en-NZ"/>
              </w:rPr>
            </w:pPr>
            <w:r w:rsidRPr="00DD4C09">
              <w:rPr>
                <w:lang w:eastAsia="en-NZ"/>
              </w:rPr>
              <w:t>2</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0.9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jc w:val="center"/>
              <w:rPr>
                <w:lang w:eastAsia="en-NZ"/>
              </w:rPr>
            </w:pPr>
            <w:r w:rsidRPr="00DD4C09">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72866" w:rsidRDefault="00EF4CBD" w:rsidP="004153B3">
            <w:pPr>
              <w:pStyle w:val="TableText"/>
              <w:ind w:left="142"/>
              <w:rPr>
                <w:lang w:eastAsia="en-NZ"/>
              </w:rPr>
            </w:pPr>
            <w:r w:rsidRPr="00872866">
              <w:rPr>
                <w:lang w:eastAsia="en-NZ"/>
              </w:rPr>
              <w:t>European/Other</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tabs>
                <w:tab w:val="decimal" w:pos="552"/>
              </w:tabs>
              <w:rPr>
                <w:lang w:eastAsia="en-NZ"/>
              </w:rPr>
            </w:pPr>
            <w:r w:rsidRPr="00DD4C09">
              <w:rPr>
                <w:lang w:eastAsia="en-NZ"/>
              </w:rPr>
              <w:t>6</w:t>
            </w:r>
            <w:r>
              <w:rPr>
                <w:lang w:eastAsia="en-NZ"/>
              </w:rPr>
              <w:t>,</w:t>
            </w:r>
            <w:r w:rsidRPr="00DD4C09">
              <w:rPr>
                <w:lang w:eastAsia="en-NZ"/>
              </w:rPr>
              <w:t>237</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510"/>
              </w:tabs>
              <w:rPr>
                <w:lang w:eastAsia="en-NZ"/>
              </w:rPr>
            </w:pPr>
            <w:r w:rsidRPr="00DD4C09">
              <w:rPr>
                <w:lang w:eastAsia="en-NZ"/>
              </w:rPr>
              <w:t>1</w:t>
            </w:r>
            <w:r>
              <w:rPr>
                <w:lang w:eastAsia="en-NZ"/>
              </w:rPr>
              <w:t>,</w:t>
            </w:r>
            <w:r w:rsidRPr="00DD4C09">
              <w:rPr>
                <w:lang w:eastAsia="en-NZ"/>
              </w:rPr>
              <w:t>212</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19.4</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419"/>
              </w:tabs>
              <w:rPr>
                <w:lang w:eastAsia="en-NZ"/>
              </w:rPr>
            </w:pPr>
            <w:r w:rsidRPr="00DD4C09">
              <w:rPr>
                <w:lang w:eastAsia="en-NZ"/>
              </w:rPr>
              <w:t>258</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4.1</w:t>
            </w:r>
          </w:p>
        </w:tc>
        <w:tc>
          <w:tcPr>
            <w:tcW w:w="709" w:type="dxa"/>
            <w:tcBorders>
              <w:top w:val="single" w:sz="4" w:space="0" w:color="A6A6A6" w:themeColor="background1" w:themeShade="A6"/>
              <w:left w:val="nil"/>
              <w:bottom w:val="single" w:sz="4" w:space="0" w:color="A6A6A6" w:themeColor="background1" w:themeShade="A6"/>
            </w:tcBorders>
            <w:shd w:val="clear" w:color="auto" w:fill="auto"/>
          </w:tcPr>
          <w:p w:rsidR="00EF4CBD" w:rsidRPr="00DD4C09" w:rsidRDefault="00EF4CBD" w:rsidP="00EF4CBD">
            <w:pPr>
              <w:pStyle w:val="TableText"/>
              <w:tabs>
                <w:tab w:val="decimal" w:pos="388"/>
              </w:tabs>
              <w:rPr>
                <w:lang w:eastAsia="en-NZ"/>
              </w:rPr>
            </w:pPr>
            <w:r w:rsidRPr="00DD4C09">
              <w:rPr>
                <w:lang w:eastAsia="en-NZ"/>
              </w:rPr>
              <w:t>130</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2.6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jc w:val="center"/>
              <w:rPr>
                <w:lang w:eastAsia="en-NZ"/>
              </w:rPr>
            </w:pPr>
            <w:r w:rsidRPr="00DD4C09">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EF4CBD" w:rsidRPr="00872866" w:rsidRDefault="00EF4CBD" w:rsidP="004153B3">
            <w:pPr>
              <w:pStyle w:val="TableText"/>
              <w:ind w:left="142"/>
              <w:rPr>
                <w:lang w:eastAsia="en-NZ"/>
              </w:rPr>
            </w:pPr>
            <w:r w:rsidRPr="00872866">
              <w:rPr>
                <w:lang w:eastAsia="en-NZ"/>
              </w:rPr>
              <w:t>Unknown</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EF4CBD" w:rsidRPr="00DD4C09" w:rsidRDefault="00EF4CBD" w:rsidP="00EF4CBD">
            <w:pPr>
              <w:pStyle w:val="TableText"/>
              <w:tabs>
                <w:tab w:val="decimal" w:pos="552"/>
              </w:tabs>
              <w:rPr>
                <w:lang w:eastAsia="en-NZ"/>
              </w:rPr>
            </w:pPr>
            <w:r w:rsidRPr="00DD4C09">
              <w:rPr>
                <w:lang w:eastAsia="en-NZ"/>
              </w:rPr>
              <w:t>105</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EF4CBD" w:rsidRPr="00DD4C09" w:rsidRDefault="00EF4CBD" w:rsidP="00EF4CBD">
            <w:pPr>
              <w:pStyle w:val="TableText"/>
              <w:tabs>
                <w:tab w:val="decimal" w:pos="510"/>
              </w:tabs>
              <w:rPr>
                <w:lang w:eastAsia="en-NZ"/>
              </w:rPr>
            </w:pPr>
            <w:r w:rsidRPr="00DD4C09">
              <w:rPr>
                <w:lang w:eastAsia="en-NZ"/>
              </w:rPr>
              <w:t>20</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19</w:t>
            </w:r>
            <w:r>
              <w:rPr>
                <w:lang w:eastAsia="en-NZ"/>
              </w:rPr>
              <w:t>.0</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EF4CBD" w:rsidRPr="00DD4C09" w:rsidRDefault="00EF4CBD" w:rsidP="00EF4CBD">
            <w:pPr>
              <w:pStyle w:val="TableText"/>
              <w:tabs>
                <w:tab w:val="decimal" w:pos="419"/>
              </w:tabs>
              <w:rPr>
                <w:lang w:eastAsia="en-NZ"/>
              </w:rPr>
            </w:pPr>
            <w:r w:rsidRPr="00DD4C09">
              <w:rPr>
                <w:lang w:eastAsia="en-NZ"/>
              </w:rPr>
              <w:t>0</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0</w:t>
            </w:r>
          </w:p>
        </w:tc>
        <w:tc>
          <w:tcPr>
            <w:tcW w:w="709" w:type="dxa"/>
            <w:tcBorders>
              <w:top w:val="single" w:sz="4" w:space="0" w:color="A6A6A6" w:themeColor="background1" w:themeShade="A6"/>
              <w:left w:val="nil"/>
              <w:bottom w:val="single" w:sz="4" w:space="0" w:color="7F7F7F" w:themeColor="text1" w:themeTint="80"/>
            </w:tcBorders>
            <w:shd w:val="clear" w:color="auto" w:fill="auto"/>
          </w:tcPr>
          <w:p w:rsidR="00EF4CBD" w:rsidRPr="00DD4C09" w:rsidRDefault="00EF4CBD" w:rsidP="00EF4CBD">
            <w:pPr>
              <w:pStyle w:val="TableText"/>
              <w:tabs>
                <w:tab w:val="decimal" w:pos="388"/>
              </w:tabs>
              <w:rPr>
                <w:lang w:eastAsia="en-NZ"/>
              </w:rPr>
            </w:pPr>
            <w:r w:rsidRPr="00DD4C09">
              <w:rPr>
                <w:lang w:eastAsia="en-NZ"/>
              </w:rPr>
              <w:t>0</w:t>
            </w:r>
          </w:p>
        </w:tc>
        <w:tc>
          <w:tcPr>
            <w:tcW w:w="709"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0</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EF4CBD" w:rsidRPr="00DD4C09" w:rsidRDefault="00EF4CBD" w:rsidP="00EF4CBD">
            <w:pPr>
              <w:pStyle w:val="TableText"/>
              <w:jc w:val="center"/>
              <w:rPr>
                <w:lang w:eastAsia="en-NZ"/>
              </w:rPr>
            </w:pPr>
            <w:r w:rsidRPr="00DD4C09">
              <w:rPr>
                <w:lang w:eastAsia="en-NZ"/>
              </w:rPr>
              <w:t>7</w:t>
            </w:r>
          </w:p>
        </w:tc>
      </w:tr>
      <w:tr w:rsidR="00EF4CBD" w:rsidRPr="002225A4" w:rsidTr="00EF4CBD">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F4CBD" w:rsidRPr="00E848D2" w:rsidRDefault="00EF4CBD" w:rsidP="004153B3">
            <w:pPr>
              <w:pStyle w:val="TableText"/>
              <w:rPr>
                <w:b/>
                <w:lang w:eastAsia="en-NZ"/>
              </w:rPr>
            </w:pPr>
            <w:r w:rsidRPr="00E848D2">
              <w:rPr>
                <w:b/>
                <w:lang w:eastAsia="en-NZ"/>
              </w:rPr>
              <w:t>NZDep2013 quintile</w:t>
            </w: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F4CBD" w:rsidRPr="00826E06" w:rsidRDefault="00EF4CBD" w:rsidP="00EF4CBD">
            <w:pPr>
              <w:pStyle w:val="TableText"/>
              <w:tabs>
                <w:tab w:val="decimal" w:pos="552"/>
              </w:tabs>
              <w:rPr>
                <w:lang w:eastAsia="en-NZ"/>
              </w:rPr>
            </w:pPr>
          </w:p>
        </w:tc>
        <w:tc>
          <w:tcPr>
            <w:tcW w:w="70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EF4CBD" w:rsidRPr="00826E06" w:rsidRDefault="00EF4CBD" w:rsidP="00EF4CBD">
            <w:pPr>
              <w:pStyle w:val="TableText"/>
              <w:tabs>
                <w:tab w:val="decimal" w:pos="510"/>
              </w:tabs>
              <w:rPr>
                <w:lang w:eastAsia="en-NZ"/>
              </w:rPr>
            </w:pPr>
          </w:p>
        </w:tc>
        <w:tc>
          <w:tcPr>
            <w:tcW w:w="709"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jc w:val="center"/>
              <w:rPr>
                <w:lang w:eastAsia="en-NZ"/>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EF4CBD" w:rsidRPr="00826E06" w:rsidRDefault="00EF4CBD" w:rsidP="00EF4CBD">
            <w:pPr>
              <w:pStyle w:val="TableText"/>
              <w:tabs>
                <w:tab w:val="decimal" w:pos="419"/>
              </w:tabs>
              <w:rPr>
                <w:lang w:eastAsia="en-NZ"/>
              </w:rPr>
            </w:pPr>
          </w:p>
        </w:tc>
        <w:tc>
          <w:tcPr>
            <w:tcW w:w="709"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jc w:val="center"/>
              <w:rPr>
                <w:lang w:eastAsia="en-NZ"/>
              </w:rPr>
            </w:pPr>
          </w:p>
        </w:tc>
        <w:tc>
          <w:tcPr>
            <w:tcW w:w="709" w:type="dxa"/>
            <w:tcBorders>
              <w:top w:val="single" w:sz="4" w:space="0" w:color="7F7F7F" w:themeColor="text1" w:themeTint="80"/>
              <w:left w:val="nil"/>
              <w:bottom w:val="single" w:sz="4" w:space="0" w:color="A6A6A6" w:themeColor="background1" w:themeShade="A6"/>
            </w:tcBorders>
            <w:shd w:val="clear" w:color="auto" w:fill="auto"/>
          </w:tcPr>
          <w:p w:rsidR="00EF4CBD" w:rsidRPr="00826E06" w:rsidRDefault="00EF4CBD" w:rsidP="00EF4CBD">
            <w:pPr>
              <w:pStyle w:val="TableText"/>
              <w:tabs>
                <w:tab w:val="decimal" w:pos="388"/>
              </w:tabs>
              <w:jc w:val="center"/>
              <w:rPr>
                <w:lang w:eastAsia="en-NZ"/>
              </w:rPr>
            </w:pPr>
          </w:p>
        </w:tc>
        <w:tc>
          <w:tcPr>
            <w:tcW w:w="709"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EF4CBD" w:rsidRPr="00826E06" w:rsidRDefault="00EF4CBD" w:rsidP="00EF4CBD">
            <w:pPr>
              <w:pStyle w:val="TableText"/>
              <w:jc w:val="center"/>
              <w:rPr>
                <w:lang w:eastAsia="en-NZ"/>
              </w:rPr>
            </w:pP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EF4CBD" w:rsidRPr="00826E06" w:rsidRDefault="00EF4CBD" w:rsidP="00EF4CBD">
            <w:pPr>
              <w:pStyle w:val="TableText"/>
              <w:jc w:val="center"/>
              <w:rPr>
                <w:lang w:eastAsia="en-NZ"/>
              </w:rPr>
            </w:pP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872866" w:rsidRDefault="00EF4CBD" w:rsidP="004153B3">
            <w:pPr>
              <w:pStyle w:val="TableText"/>
              <w:ind w:left="142"/>
              <w:rPr>
                <w:lang w:eastAsia="en-NZ"/>
              </w:rPr>
            </w:pPr>
            <w:r w:rsidRPr="00872866">
              <w:rPr>
                <w:lang w:eastAsia="en-NZ"/>
              </w:rPr>
              <w:t>1 (least deprived)</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tabs>
                <w:tab w:val="decimal" w:pos="552"/>
              </w:tabs>
              <w:rPr>
                <w:lang w:eastAsia="en-NZ"/>
              </w:rPr>
            </w:pPr>
            <w:r w:rsidRPr="00DD4C09">
              <w:rPr>
                <w:lang w:eastAsia="en-NZ"/>
              </w:rPr>
              <w:t>1</w:t>
            </w:r>
            <w:r>
              <w:rPr>
                <w:lang w:eastAsia="en-NZ"/>
              </w:rPr>
              <w:t>,</w:t>
            </w:r>
            <w:r w:rsidRPr="00DD4C09">
              <w:rPr>
                <w:lang w:eastAsia="en-NZ"/>
              </w:rPr>
              <w:t>151</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510"/>
              </w:tabs>
              <w:rPr>
                <w:lang w:eastAsia="en-NZ"/>
              </w:rPr>
            </w:pPr>
            <w:r w:rsidRPr="00DD4C09">
              <w:rPr>
                <w:lang w:eastAsia="en-NZ"/>
              </w:rPr>
              <w:t>229</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19.9</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419"/>
              </w:tabs>
              <w:rPr>
                <w:lang w:eastAsia="en-NZ"/>
              </w:rPr>
            </w:pPr>
            <w:r w:rsidRPr="00DD4C09">
              <w:rPr>
                <w:lang w:eastAsia="en-NZ"/>
              </w:rPr>
              <w:t>45</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3.9</w:t>
            </w:r>
          </w:p>
        </w:tc>
        <w:tc>
          <w:tcPr>
            <w:tcW w:w="709" w:type="dxa"/>
            <w:tcBorders>
              <w:top w:val="single" w:sz="4" w:space="0" w:color="A6A6A6" w:themeColor="background1" w:themeShade="A6"/>
              <w:left w:val="nil"/>
              <w:bottom w:val="single" w:sz="4" w:space="0" w:color="A6A6A6" w:themeColor="background1" w:themeShade="A6"/>
            </w:tcBorders>
            <w:shd w:val="clear" w:color="auto" w:fill="auto"/>
          </w:tcPr>
          <w:p w:rsidR="00EF4CBD" w:rsidRPr="00DD4C09" w:rsidRDefault="00EF4CBD" w:rsidP="00EF4CBD">
            <w:pPr>
              <w:pStyle w:val="TableText"/>
              <w:tabs>
                <w:tab w:val="decimal" w:pos="388"/>
              </w:tabs>
              <w:rPr>
                <w:lang w:eastAsia="en-NZ"/>
              </w:rPr>
            </w:pPr>
            <w:r w:rsidRPr="00DD4C09">
              <w:rPr>
                <w:lang w:eastAsia="en-NZ"/>
              </w:rPr>
              <w:t>25</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2.7</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jc w:val="center"/>
              <w:rPr>
                <w:lang w:eastAsia="en-NZ"/>
              </w:rPr>
            </w:pPr>
            <w:r w:rsidRPr="00DD4C09">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72866" w:rsidRDefault="00EF4CBD" w:rsidP="004153B3">
            <w:pPr>
              <w:pStyle w:val="TableText"/>
              <w:ind w:left="142"/>
              <w:rPr>
                <w:lang w:eastAsia="en-NZ"/>
              </w:rPr>
            </w:pPr>
            <w:r w:rsidRPr="00872866">
              <w:rPr>
                <w:lang w:eastAsia="en-NZ"/>
              </w:rPr>
              <w:t>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tabs>
                <w:tab w:val="decimal" w:pos="552"/>
              </w:tabs>
              <w:rPr>
                <w:lang w:eastAsia="en-NZ"/>
              </w:rPr>
            </w:pPr>
            <w:r w:rsidRPr="00DD4C09">
              <w:rPr>
                <w:lang w:eastAsia="en-NZ"/>
              </w:rPr>
              <w:t>1</w:t>
            </w:r>
            <w:r>
              <w:rPr>
                <w:lang w:eastAsia="en-NZ"/>
              </w:rPr>
              <w:t>,</w:t>
            </w:r>
            <w:r w:rsidRPr="00DD4C09">
              <w:rPr>
                <w:lang w:eastAsia="en-NZ"/>
              </w:rPr>
              <w:t>293</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510"/>
              </w:tabs>
              <w:rPr>
                <w:lang w:eastAsia="en-NZ"/>
              </w:rPr>
            </w:pPr>
            <w:r w:rsidRPr="00DD4C09">
              <w:rPr>
                <w:lang w:eastAsia="en-NZ"/>
              </w:rPr>
              <w:t>258</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20</w:t>
            </w:r>
            <w:r>
              <w:rPr>
                <w:lang w:eastAsia="en-NZ"/>
              </w:rPr>
              <w:t>.0</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419"/>
              </w:tabs>
              <w:rPr>
                <w:lang w:eastAsia="en-NZ"/>
              </w:rPr>
            </w:pPr>
            <w:r w:rsidRPr="00DD4C09">
              <w:rPr>
                <w:lang w:eastAsia="en-NZ"/>
              </w:rPr>
              <w:t>56</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4.3</w:t>
            </w:r>
          </w:p>
        </w:tc>
        <w:tc>
          <w:tcPr>
            <w:tcW w:w="709" w:type="dxa"/>
            <w:tcBorders>
              <w:top w:val="single" w:sz="4" w:space="0" w:color="A6A6A6" w:themeColor="background1" w:themeShade="A6"/>
              <w:left w:val="nil"/>
              <w:bottom w:val="single" w:sz="4" w:space="0" w:color="A6A6A6" w:themeColor="background1" w:themeShade="A6"/>
            </w:tcBorders>
            <w:shd w:val="clear" w:color="auto" w:fill="auto"/>
          </w:tcPr>
          <w:p w:rsidR="00EF4CBD" w:rsidRPr="00DD4C09" w:rsidRDefault="00EF4CBD" w:rsidP="00EF4CBD">
            <w:pPr>
              <w:pStyle w:val="TableText"/>
              <w:tabs>
                <w:tab w:val="decimal" w:pos="388"/>
              </w:tabs>
              <w:rPr>
                <w:lang w:eastAsia="en-NZ"/>
              </w:rPr>
            </w:pPr>
            <w:r w:rsidRPr="00DD4C09">
              <w:rPr>
                <w:lang w:eastAsia="en-NZ"/>
              </w:rPr>
              <w:t>27</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2.6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jc w:val="center"/>
              <w:rPr>
                <w:lang w:eastAsia="en-NZ"/>
              </w:rPr>
            </w:pPr>
            <w:r w:rsidRPr="00DD4C09">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72866" w:rsidRDefault="00EF4CBD" w:rsidP="004153B3">
            <w:pPr>
              <w:pStyle w:val="TableText"/>
              <w:ind w:left="142"/>
              <w:rPr>
                <w:lang w:eastAsia="en-NZ"/>
              </w:rPr>
            </w:pPr>
            <w:r w:rsidRPr="00872866">
              <w:rPr>
                <w:lang w:eastAsia="en-NZ"/>
              </w:rPr>
              <w:t>3</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tabs>
                <w:tab w:val="decimal" w:pos="552"/>
              </w:tabs>
              <w:rPr>
                <w:lang w:eastAsia="en-NZ"/>
              </w:rPr>
            </w:pPr>
            <w:r w:rsidRPr="00DD4C09">
              <w:rPr>
                <w:lang w:eastAsia="en-NZ"/>
              </w:rPr>
              <w:t>1</w:t>
            </w:r>
            <w:r>
              <w:rPr>
                <w:lang w:eastAsia="en-NZ"/>
              </w:rPr>
              <w:t>,</w:t>
            </w:r>
            <w:r w:rsidRPr="00DD4C09">
              <w:rPr>
                <w:lang w:eastAsia="en-NZ"/>
              </w:rPr>
              <w:t>569</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510"/>
              </w:tabs>
              <w:rPr>
                <w:lang w:eastAsia="en-NZ"/>
              </w:rPr>
            </w:pPr>
            <w:r w:rsidRPr="00DD4C09">
              <w:rPr>
                <w:lang w:eastAsia="en-NZ"/>
              </w:rPr>
              <w:t>308</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19.6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419"/>
              </w:tabs>
              <w:rPr>
                <w:lang w:eastAsia="en-NZ"/>
              </w:rPr>
            </w:pPr>
            <w:r w:rsidRPr="00DD4C09">
              <w:rPr>
                <w:lang w:eastAsia="en-NZ"/>
              </w:rPr>
              <w:t>54</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3.4</w:t>
            </w:r>
          </w:p>
        </w:tc>
        <w:tc>
          <w:tcPr>
            <w:tcW w:w="709" w:type="dxa"/>
            <w:tcBorders>
              <w:top w:val="single" w:sz="4" w:space="0" w:color="A6A6A6" w:themeColor="background1" w:themeShade="A6"/>
              <w:left w:val="nil"/>
              <w:bottom w:val="single" w:sz="4" w:space="0" w:color="A6A6A6" w:themeColor="background1" w:themeShade="A6"/>
            </w:tcBorders>
            <w:shd w:val="clear" w:color="auto" w:fill="auto"/>
          </w:tcPr>
          <w:p w:rsidR="00EF4CBD" w:rsidRPr="00DD4C09" w:rsidRDefault="00EF4CBD" w:rsidP="00EF4CBD">
            <w:pPr>
              <w:pStyle w:val="TableText"/>
              <w:tabs>
                <w:tab w:val="decimal" w:pos="388"/>
              </w:tabs>
              <w:rPr>
                <w:lang w:eastAsia="en-NZ"/>
              </w:rPr>
            </w:pPr>
            <w:r w:rsidRPr="00DD4C09">
              <w:rPr>
                <w:lang w:eastAsia="en-NZ"/>
              </w:rPr>
              <w:t>25</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2</w:t>
            </w:r>
            <w:r>
              <w:rPr>
                <w:lang w:eastAsia="en-NZ"/>
              </w:rPr>
              <w:t>.0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jc w:val="center"/>
              <w:rPr>
                <w:lang w:eastAsia="en-NZ"/>
              </w:rPr>
            </w:pPr>
            <w:r w:rsidRPr="00DD4C09">
              <w:rPr>
                <w:lang w:eastAsia="en-NZ"/>
              </w:rPr>
              <w:t>7</w:t>
            </w:r>
          </w:p>
        </w:tc>
      </w:tr>
      <w:tr w:rsidR="00EF4CBD" w:rsidRPr="002225A4"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72866" w:rsidRDefault="00EF4CBD" w:rsidP="004153B3">
            <w:pPr>
              <w:pStyle w:val="TableText"/>
              <w:ind w:left="142"/>
              <w:rPr>
                <w:lang w:eastAsia="en-NZ"/>
              </w:rPr>
            </w:pPr>
            <w:r w:rsidRPr="00872866">
              <w:rPr>
                <w:lang w:eastAsia="en-NZ"/>
              </w:rPr>
              <w:t>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tabs>
                <w:tab w:val="decimal" w:pos="552"/>
              </w:tabs>
              <w:rPr>
                <w:lang w:eastAsia="en-NZ"/>
              </w:rPr>
            </w:pPr>
            <w:r w:rsidRPr="00DD4C09">
              <w:rPr>
                <w:lang w:eastAsia="en-NZ"/>
              </w:rPr>
              <w:t>1</w:t>
            </w:r>
            <w:r>
              <w:rPr>
                <w:lang w:eastAsia="en-NZ"/>
              </w:rPr>
              <w:t>,</w:t>
            </w:r>
            <w:r w:rsidRPr="00DD4C09">
              <w:rPr>
                <w:lang w:eastAsia="en-NZ"/>
              </w:rPr>
              <w:t>746</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510"/>
              </w:tabs>
              <w:rPr>
                <w:lang w:eastAsia="en-NZ"/>
              </w:rPr>
            </w:pPr>
            <w:r w:rsidRPr="00DD4C09">
              <w:rPr>
                <w:lang w:eastAsia="en-NZ"/>
              </w:rPr>
              <w:t>331</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19</w:t>
            </w:r>
            <w:r>
              <w:rPr>
                <w:lang w:eastAsia="en-NZ"/>
              </w:rPr>
              <w:t>.0</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419"/>
              </w:tabs>
              <w:rPr>
                <w:lang w:eastAsia="en-NZ"/>
              </w:rPr>
            </w:pPr>
            <w:r w:rsidRPr="00DD4C09">
              <w:rPr>
                <w:lang w:eastAsia="en-NZ"/>
              </w:rPr>
              <w:t>73</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4.2</w:t>
            </w:r>
          </w:p>
        </w:tc>
        <w:tc>
          <w:tcPr>
            <w:tcW w:w="709" w:type="dxa"/>
            <w:tcBorders>
              <w:top w:val="single" w:sz="4" w:space="0" w:color="A6A6A6" w:themeColor="background1" w:themeShade="A6"/>
              <w:left w:val="nil"/>
              <w:bottom w:val="single" w:sz="4" w:space="0" w:color="A6A6A6" w:themeColor="background1" w:themeShade="A6"/>
            </w:tcBorders>
            <w:shd w:val="clear" w:color="auto" w:fill="auto"/>
          </w:tcPr>
          <w:p w:rsidR="00EF4CBD" w:rsidRPr="00DD4C09" w:rsidRDefault="00EF4CBD" w:rsidP="00EF4CBD">
            <w:pPr>
              <w:pStyle w:val="TableText"/>
              <w:tabs>
                <w:tab w:val="decimal" w:pos="388"/>
              </w:tabs>
              <w:rPr>
                <w:lang w:eastAsia="en-NZ"/>
              </w:rPr>
            </w:pPr>
            <w:r w:rsidRPr="00DD4C09">
              <w:rPr>
                <w:lang w:eastAsia="en-NZ"/>
              </w:rPr>
              <w:t>37</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2.6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jc w:val="center"/>
              <w:rPr>
                <w:lang w:eastAsia="en-NZ"/>
              </w:rPr>
            </w:pPr>
            <w:r w:rsidRPr="00DD4C09">
              <w:rPr>
                <w:lang w:eastAsia="en-NZ"/>
              </w:rPr>
              <w:t>7</w:t>
            </w:r>
          </w:p>
        </w:tc>
      </w:tr>
      <w:tr w:rsidR="00EF4CBD" w:rsidRPr="00872866" w:rsidTr="00EF4CB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EF4CBD" w:rsidRPr="00872866" w:rsidRDefault="00EF4CBD" w:rsidP="004153B3">
            <w:pPr>
              <w:pStyle w:val="TableText"/>
              <w:ind w:left="142"/>
              <w:rPr>
                <w:lang w:eastAsia="en-NZ"/>
              </w:rPr>
            </w:pPr>
            <w:r w:rsidRPr="00872866">
              <w:rPr>
                <w:lang w:eastAsia="en-NZ"/>
              </w:rPr>
              <w:t>5 (most deprived)</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tabs>
                <w:tab w:val="decimal" w:pos="552"/>
              </w:tabs>
              <w:rPr>
                <w:lang w:eastAsia="en-NZ"/>
              </w:rPr>
            </w:pPr>
            <w:r w:rsidRPr="00DD4C09">
              <w:rPr>
                <w:lang w:eastAsia="en-NZ"/>
              </w:rPr>
              <w:t>1</w:t>
            </w:r>
            <w:r>
              <w:rPr>
                <w:lang w:eastAsia="en-NZ"/>
              </w:rPr>
              <w:t>,</w:t>
            </w:r>
            <w:r w:rsidRPr="00DD4C09">
              <w:rPr>
                <w:lang w:eastAsia="en-NZ"/>
              </w:rPr>
              <w:t>411</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510"/>
              </w:tabs>
              <w:rPr>
                <w:lang w:eastAsia="en-NZ"/>
              </w:rPr>
            </w:pPr>
            <w:r w:rsidRPr="00DD4C09">
              <w:rPr>
                <w:lang w:eastAsia="en-NZ"/>
              </w:rPr>
              <w:t>277</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19.6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EF4CBD" w:rsidRPr="00DD4C09" w:rsidRDefault="00EF4CBD" w:rsidP="00EF4CBD">
            <w:pPr>
              <w:pStyle w:val="TableText"/>
              <w:tabs>
                <w:tab w:val="decimal" w:pos="419"/>
              </w:tabs>
              <w:rPr>
                <w:lang w:eastAsia="en-NZ"/>
              </w:rPr>
            </w:pPr>
            <w:r w:rsidRPr="00DD4C09">
              <w:rPr>
                <w:lang w:eastAsia="en-NZ"/>
              </w:rPr>
              <w:t>61</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4.3</w:t>
            </w:r>
          </w:p>
        </w:tc>
        <w:tc>
          <w:tcPr>
            <w:tcW w:w="709" w:type="dxa"/>
            <w:tcBorders>
              <w:top w:val="single" w:sz="4" w:space="0" w:color="A6A6A6" w:themeColor="background1" w:themeShade="A6"/>
              <w:left w:val="nil"/>
              <w:bottom w:val="single" w:sz="4" w:space="0" w:color="A6A6A6" w:themeColor="background1" w:themeShade="A6"/>
            </w:tcBorders>
            <w:shd w:val="clear" w:color="auto" w:fill="auto"/>
          </w:tcPr>
          <w:p w:rsidR="00EF4CBD" w:rsidRPr="00DD4C09" w:rsidRDefault="00EF4CBD" w:rsidP="00EF4CBD">
            <w:pPr>
              <w:pStyle w:val="TableText"/>
              <w:tabs>
                <w:tab w:val="decimal" w:pos="388"/>
              </w:tabs>
              <w:rPr>
                <w:lang w:eastAsia="en-NZ"/>
              </w:rPr>
            </w:pPr>
            <w:r w:rsidRPr="00DD4C09">
              <w:rPr>
                <w:lang w:eastAsia="en-NZ"/>
              </w:rPr>
              <w:t>33</w:t>
            </w:r>
          </w:p>
        </w:tc>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EF4CBD" w:rsidRPr="00DD4C09" w:rsidRDefault="00EF4CBD" w:rsidP="00EF4CBD">
            <w:pPr>
              <w:pStyle w:val="TableText"/>
              <w:jc w:val="center"/>
              <w:rPr>
                <w:lang w:eastAsia="en-NZ"/>
              </w:rPr>
            </w:pPr>
            <w:r w:rsidRPr="00DD4C09">
              <w:rPr>
                <w:lang w:eastAsia="en-NZ"/>
              </w:rPr>
              <w:t>2.9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EF4CBD" w:rsidRPr="00DD4C09" w:rsidRDefault="00EF4CBD" w:rsidP="00EF4CBD">
            <w:pPr>
              <w:pStyle w:val="TableText"/>
              <w:jc w:val="center"/>
              <w:rPr>
                <w:lang w:eastAsia="en-NZ"/>
              </w:rPr>
            </w:pPr>
            <w:r w:rsidRPr="00DD4C09">
              <w:rPr>
                <w:lang w:eastAsia="en-NZ"/>
              </w:rPr>
              <w:t>7</w:t>
            </w:r>
          </w:p>
        </w:tc>
      </w:tr>
    </w:tbl>
    <w:p w:rsidR="004153B3" w:rsidRDefault="004153B3" w:rsidP="004153B3">
      <w:pPr>
        <w:rPr>
          <w:lang w:eastAsia="en-NZ"/>
        </w:rPr>
      </w:pPr>
    </w:p>
    <w:p w:rsidR="006A5D28" w:rsidRDefault="00A06E9D" w:rsidP="00A06E9D">
      <w:pPr>
        <w:pStyle w:val="Heading2"/>
        <w:numPr>
          <w:ilvl w:val="0"/>
          <w:numId w:val="0"/>
        </w:numPr>
      </w:pPr>
      <w:bookmarkStart w:id="156" w:name="_Toc528220238"/>
      <w:bookmarkStart w:id="157" w:name="_Toc517872"/>
      <w:bookmarkStart w:id="158" w:name="_Toc2253750"/>
      <w:r>
        <w:lastRenderedPageBreak/>
        <w:t>3</w:t>
      </w:r>
      <w:r>
        <w:tab/>
      </w:r>
      <w:r w:rsidR="006A5D28">
        <w:t>Colon cancer surgery</w:t>
      </w:r>
      <w:bookmarkEnd w:id="156"/>
      <w:bookmarkEnd w:id="157"/>
      <w:bookmarkEnd w:id="158"/>
    </w:p>
    <w:p w:rsidR="006A5D28" w:rsidRDefault="006A5D28" w:rsidP="00A06E9D">
      <w:pPr>
        <w:pStyle w:val="Table"/>
        <w:rPr>
          <w:lang w:eastAsia="en-NZ"/>
        </w:rPr>
      </w:pPr>
      <w:bookmarkStart w:id="159" w:name="_Toc535936730"/>
      <w:bookmarkStart w:id="160" w:name="_Toc2254049"/>
      <w:r>
        <w:t xml:space="preserve">Table </w:t>
      </w:r>
      <w:r>
        <w:rPr>
          <w:noProof/>
        </w:rPr>
        <w:fldChar w:fldCharType="begin"/>
      </w:r>
      <w:r>
        <w:rPr>
          <w:noProof/>
        </w:rPr>
        <w:instrText xml:space="preserve"> SEQ Table \* ARABIC </w:instrText>
      </w:r>
      <w:r>
        <w:rPr>
          <w:noProof/>
        </w:rPr>
        <w:fldChar w:fldCharType="separate"/>
      </w:r>
      <w:r w:rsidR="002B5148">
        <w:rPr>
          <w:noProof/>
        </w:rPr>
        <w:t>8</w:t>
      </w:r>
      <w:r>
        <w:rPr>
          <w:noProof/>
        </w:rPr>
        <w:fldChar w:fldCharType="end"/>
      </w:r>
      <w:r>
        <w:t xml:space="preserve">: </w:t>
      </w:r>
      <w:r w:rsidRPr="0081686C">
        <w:rPr>
          <w:lang w:eastAsia="en-NZ"/>
        </w:rPr>
        <w:t>People having major surgery for colon cancer in public hospitals, 2013</w:t>
      </w:r>
      <w:r>
        <w:rPr>
          <w:lang w:eastAsia="en-NZ"/>
        </w:rPr>
        <w:t>–</w:t>
      </w:r>
      <w:r w:rsidRPr="0081686C">
        <w:rPr>
          <w:lang w:eastAsia="en-NZ"/>
        </w:rPr>
        <w:t>16</w:t>
      </w:r>
      <w:bookmarkEnd w:id="159"/>
      <w:bookmarkEnd w:id="160"/>
    </w:p>
    <w:tbl>
      <w:tblPr>
        <w:tblW w:w="8930" w:type="dxa"/>
        <w:tblInd w:w="57" w:type="dxa"/>
        <w:tblLayout w:type="fixed"/>
        <w:tblCellMar>
          <w:left w:w="57" w:type="dxa"/>
          <w:right w:w="57" w:type="dxa"/>
        </w:tblCellMar>
        <w:tblLook w:val="04A0" w:firstRow="1" w:lastRow="0" w:firstColumn="1" w:lastColumn="0" w:noHBand="0" w:noVBand="1"/>
      </w:tblPr>
      <w:tblGrid>
        <w:gridCol w:w="2127"/>
        <w:gridCol w:w="850"/>
        <w:gridCol w:w="708"/>
        <w:gridCol w:w="568"/>
        <w:gridCol w:w="709"/>
        <w:gridCol w:w="567"/>
        <w:gridCol w:w="709"/>
        <w:gridCol w:w="566"/>
        <w:gridCol w:w="850"/>
        <w:gridCol w:w="709"/>
        <w:gridCol w:w="567"/>
      </w:tblGrid>
      <w:tr w:rsidR="00721758" w:rsidRPr="00EF4CBD" w:rsidTr="00776634">
        <w:trPr>
          <w:cantSplit/>
          <w:tblHeader/>
        </w:trPr>
        <w:tc>
          <w:tcPr>
            <w:tcW w:w="2127" w:type="dxa"/>
            <w:vMerge w:val="restart"/>
            <w:tcBorders>
              <w:left w:val="nil"/>
              <w:right w:val="single" w:sz="4" w:space="0" w:color="A6A6A6" w:themeColor="background1" w:themeShade="A6"/>
            </w:tcBorders>
            <w:shd w:val="clear" w:color="auto" w:fill="D9D9D9" w:themeFill="background1" w:themeFillShade="D9"/>
            <w:noWrap/>
          </w:tcPr>
          <w:p w:rsidR="00721758" w:rsidRPr="002357E2" w:rsidRDefault="00721758" w:rsidP="00721758">
            <w:pPr>
              <w:pStyle w:val="TableText"/>
              <w:keepNext/>
              <w:rPr>
                <w:b/>
                <w:lang w:eastAsia="en-NZ"/>
              </w:rPr>
            </w:pPr>
          </w:p>
        </w:tc>
        <w:tc>
          <w:tcPr>
            <w:tcW w:w="850" w:type="dxa"/>
            <w:tcBorders>
              <w:left w:val="single" w:sz="4" w:space="0" w:color="A6A6A6" w:themeColor="background1" w:themeShade="A6"/>
              <w:right w:val="nil"/>
            </w:tcBorders>
            <w:shd w:val="clear" w:color="auto" w:fill="D9D9D9" w:themeFill="background1" w:themeFillShade="D9"/>
            <w:noWrap/>
          </w:tcPr>
          <w:p w:rsidR="00721758" w:rsidRPr="00EF4CBD" w:rsidRDefault="00721758" w:rsidP="00721758">
            <w:pPr>
              <w:pStyle w:val="TableText"/>
              <w:keepNext/>
              <w:jc w:val="center"/>
              <w:rPr>
                <w:b/>
                <w:lang w:eastAsia="en-NZ"/>
              </w:rPr>
            </w:pPr>
            <w:r w:rsidRPr="00EF4CBD">
              <w:rPr>
                <w:b/>
                <w:lang w:eastAsia="en-NZ"/>
              </w:rPr>
              <w:t>People having major surgery</w:t>
            </w:r>
          </w:p>
        </w:tc>
        <w:tc>
          <w:tcPr>
            <w:tcW w:w="1276"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rsidR="00721758" w:rsidRPr="00EF4CBD" w:rsidRDefault="00721758" w:rsidP="00721758">
            <w:pPr>
              <w:pStyle w:val="TableText"/>
              <w:keepNext/>
              <w:jc w:val="center"/>
              <w:rPr>
                <w:b/>
                <w:lang w:eastAsia="en-NZ"/>
              </w:rPr>
            </w:pPr>
            <w:r w:rsidRPr="00EF4CBD">
              <w:rPr>
                <w:b/>
                <w:lang w:eastAsia="en-NZ"/>
              </w:rPr>
              <w:t>Emergency surgery</w:t>
            </w:r>
          </w:p>
        </w:tc>
        <w:tc>
          <w:tcPr>
            <w:tcW w:w="1276"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rsidR="00721758" w:rsidRPr="00EF4CBD" w:rsidRDefault="00721758" w:rsidP="00721758">
            <w:pPr>
              <w:pStyle w:val="TableText"/>
              <w:keepNext/>
              <w:jc w:val="center"/>
              <w:rPr>
                <w:b/>
                <w:lang w:eastAsia="en-NZ"/>
              </w:rPr>
            </w:pPr>
            <w:r w:rsidRPr="00EF4CBD">
              <w:rPr>
                <w:b/>
                <w:lang w:eastAsia="en-NZ"/>
              </w:rPr>
              <w:t>Death within 90</w:t>
            </w:r>
            <w:r>
              <w:rPr>
                <w:b/>
                <w:lang w:eastAsia="en-NZ"/>
              </w:rPr>
              <w:t> </w:t>
            </w:r>
            <w:r w:rsidRPr="00EF4CBD">
              <w:rPr>
                <w:b/>
                <w:lang w:eastAsia="en-NZ"/>
              </w:rPr>
              <w:t>days of surgery</w:t>
            </w:r>
          </w:p>
        </w:tc>
        <w:tc>
          <w:tcPr>
            <w:tcW w:w="1275" w:type="dxa"/>
            <w:gridSpan w:val="2"/>
            <w:tcBorders>
              <w:left w:val="nil"/>
              <w:right w:val="single" w:sz="4" w:space="0" w:color="A6A6A6" w:themeColor="background1" w:themeShade="A6"/>
            </w:tcBorders>
            <w:shd w:val="clear" w:color="auto" w:fill="D9D9D9" w:themeFill="background1" w:themeFillShade="D9"/>
          </w:tcPr>
          <w:p w:rsidR="00721758" w:rsidRPr="00EF4CBD" w:rsidRDefault="00721758" w:rsidP="00721758">
            <w:pPr>
              <w:pStyle w:val="TableText"/>
              <w:keepNext/>
              <w:jc w:val="center"/>
              <w:rPr>
                <w:b/>
                <w:lang w:eastAsia="en-NZ"/>
              </w:rPr>
            </w:pPr>
            <w:r w:rsidRPr="00EF4CBD">
              <w:rPr>
                <w:b/>
                <w:lang w:eastAsia="en-NZ"/>
              </w:rPr>
              <w:t>Death within 90 days of elective surgery</w:t>
            </w:r>
          </w:p>
        </w:tc>
        <w:tc>
          <w:tcPr>
            <w:tcW w:w="850" w:type="dxa"/>
            <w:tcBorders>
              <w:left w:val="single" w:sz="4" w:space="0" w:color="A6A6A6" w:themeColor="background1" w:themeShade="A6"/>
              <w:right w:val="nil"/>
            </w:tcBorders>
            <w:shd w:val="clear" w:color="auto" w:fill="D9D9D9" w:themeFill="background1" w:themeFillShade="D9"/>
            <w:noWrap/>
          </w:tcPr>
          <w:p w:rsidR="00721758" w:rsidRPr="00EF4CBD" w:rsidRDefault="00721758" w:rsidP="00721758">
            <w:pPr>
              <w:pStyle w:val="TableText"/>
              <w:keepNext/>
              <w:jc w:val="center"/>
              <w:rPr>
                <w:b/>
                <w:lang w:eastAsia="en-NZ"/>
              </w:rPr>
            </w:pPr>
            <w:r w:rsidRPr="00EF4CBD">
              <w:rPr>
                <w:b/>
                <w:lang w:eastAsia="en-NZ"/>
              </w:rPr>
              <w:t>Median length of stay</w:t>
            </w:r>
          </w:p>
        </w:tc>
        <w:tc>
          <w:tcPr>
            <w:tcW w:w="1276" w:type="dxa"/>
            <w:gridSpan w:val="2"/>
            <w:tcBorders>
              <w:left w:val="single" w:sz="4" w:space="0" w:color="A6A6A6" w:themeColor="background1" w:themeShade="A6"/>
              <w:right w:val="nil"/>
            </w:tcBorders>
            <w:shd w:val="clear" w:color="auto" w:fill="D9D9D9" w:themeFill="background1" w:themeFillShade="D9"/>
          </w:tcPr>
          <w:p w:rsidR="00721758" w:rsidRPr="00EF4CBD" w:rsidRDefault="00721758" w:rsidP="00721758">
            <w:pPr>
              <w:pStyle w:val="TableText"/>
              <w:keepNext/>
              <w:jc w:val="center"/>
              <w:rPr>
                <w:b/>
                <w:lang w:eastAsia="en-NZ"/>
              </w:rPr>
            </w:pPr>
            <w:r>
              <w:rPr>
                <w:b/>
                <w:lang w:eastAsia="en-NZ"/>
              </w:rPr>
              <w:t>12 or more lymph no</w:t>
            </w:r>
            <w:r w:rsidR="00A15D10">
              <w:rPr>
                <w:b/>
                <w:lang w:eastAsia="en-NZ"/>
              </w:rPr>
              <w:t>d</w:t>
            </w:r>
            <w:r>
              <w:rPr>
                <w:b/>
                <w:lang w:eastAsia="en-NZ"/>
              </w:rPr>
              <w:t>es reported</w:t>
            </w:r>
          </w:p>
        </w:tc>
      </w:tr>
      <w:tr w:rsidR="00721758" w:rsidRPr="00EF4CBD" w:rsidTr="00776634">
        <w:trPr>
          <w:cantSplit/>
          <w:tblHeader/>
        </w:trPr>
        <w:tc>
          <w:tcPr>
            <w:tcW w:w="2127" w:type="dxa"/>
            <w:vMerge/>
            <w:tcBorders>
              <w:left w:val="nil"/>
              <w:right w:val="single" w:sz="4" w:space="0" w:color="A6A6A6" w:themeColor="background1" w:themeShade="A6"/>
            </w:tcBorders>
            <w:shd w:val="clear" w:color="auto" w:fill="D9D9D9" w:themeFill="background1" w:themeFillShade="D9"/>
            <w:noWrap/>
          </w:tcPr>
          <w:p w:rsidR="00721758" w:rsidRPr="002357E2" w:rsidRDefault="00721758" w:rsidP="00721758">
            <w:pPr>
              <w:pStyle w:val="TableText"/>
              <w:keepNext/>
              <w:rPr>
                <w:b/>
                <w:lang w:eastAsia="en-NZ"/>
              </w:rPr>
            </w:pPr>
          </w:p>
        </w:tc>
        <w:tc>
          <w:tcPr>
            <w:tcW w:w="850" w:type="dxa"/>
            <w:tcBorders>
              <w:left w:val="single" w:sz="4" w:space="0" w:color="A6A6A6" w:themeColor="background1" w:themeShade="A6"/>
              <w:right w:val="nil"/>
            </w:tcBorders>
            <w:shd w:val="clear" w:color="auto" w:fill="D9D9D9" w:themeFill="background1" w:themeFillShade="D9"/>
            <w:noWrap/>
            <w:vAlign w:val="bottom"/>
          </w:tcPr>
          <w:p w:rsidR="00721758" w:rsidRPr="00EF4CBD" w:rsidRDefault="00721758" w:rsidP="00721758">
            <w:pPr>
              <w:pStyle w:val="TableText"/>
              <w:keepNext/>
              <w:spacing w:before="0"/>
              <w:jc w:val="center"/>
              <w:rPr>
                <w:b/>
                <w:lang w:eastAsia="en-NZ"/>
              </w:rPr>
            </w:pPr>
            <w:r w:rsidRPr="00EF4CBD">
              <w:rPr>
                <w:b/>
                <w:lang w:eastAsia="en-NZ"/>
              </w:rPr>
              <w:t>N</w:t>
            </w:r>
          </w:p>
        </w:tc>
        <w:tc>
          <w:tcPr>
            <w:tcW w:w="708" w:type="dxa"/>
            <w:tcBorders>
              <w:left w:val="single" w:sz="4" w:space="0" w:color="A6A6A6" w:themeColor="background1" w:themeShade="A6"/>
            </w:tcBorders>
            <w:shd w:val="clear" w:color="auto" w:fill="D9D9D9" w:themeFill="background1" w:themeFillShade="D9"/>
            <w:vAlign w:val="bottom"/>
          </w:tcPr>
          <w:p w:rsidR="00721758" w:rsidRPr="00EF4CBD" w:rsidRDefault="00721758" w:rsidP="00721758">
            <w:pPr>
              <w:pStyle w:val="TableText"/>
              <w:keepNext/>
              <w:spacing w:before="0"/>
              <w:jc w:val="center"/>
              <w:rPr>
                <w:b/>
                <w:lang w:eastAsia="en-NZ"/>
              </w:rPr>
            </w:pPr>
            <w:r w:rsidRPr="00EF4CBD">
              <w:rPr>
                <w:b/>
                <w:lang w:eastAsia="en-NZ"/>
              </w:rPr>
              <w:t>N</w:t>
            </w:r>
          </w:p>
        </w:tc>
        <w:tc>
          <w:tcPr>
            <w:tcW w:w="568" w:type="dxa"/>
            <w:tcBorders>
              <w:right w:val="single" w:sz="4" w:space="0" w:color="A6A6A6" w:themeColor="background1" w:themeShade="A6"/>
            </w:tcBorders>
            <w:shd w:val="clear" w:color="auto" w:fill="D9D9D9" w:themeFill="background1" w:themeFillShade="D9"/>
            <w:noWrap/>
            <w:vAlign w:val="bottom"/>
          </w:tcPr>
          <w:p w:rsidR="00721758" w:rsidRPr="00EF4CBD" w:rsidRDefault="00721758" w:rsidP="00721758">
            <w:pPr>
              <w:pStyle w:val="TableText"/>
              <w:keepNext/>
              <w:spacing w:before="0"/>
              <w:jc w:val="center"/>
              <w:rPr>
                <w:b/>
                <w:lang w:eastAsia="en-NZ"/>
              </w:rPr>
            </w:pPr>
            <w:r w:rsidRPr="00EF4CBD">
              <w:rPr>
                <w:b/>
                <w:lang w:eastAsia="en-NZ"/>
              </w:rPr>
              <w:t>%</w:t>
            </w:r>
          </w:p>
        </w:tc>
        <w:tc>
          <w:tcPr>
            <w:tcW w:w="709" w:type="dxa"/>
            <w:tcBorders>
              <w:left w:val="single" w:sz="4" w:space="0" w:color="A6A6A6" w:themeColor="background1" w:themeShade="A6"/>
            </w:tcBorders>
            <w:shd w:val="clear" w:color="auto" w:fill="D9D9D9" w:themeFill="background1" w:themeFillShade="D9"/>
            <w:vAlign w:val="bottom"/>
          </w:tcPr>
          <w:p w:rsidR="00721758" w:rsidRPr="00EF4CBD" w:rsidRDefault="00721758" w:rsidP="00721758">
            <w:pPr>
              <w:pStyle w:val="TableText"/>
              <w:keepNext/>
              <w:spacing w:before="0"/>
              <w:jc w:val="center"/>
              <w:rPr>
                <w:b/>
                <w:lang w:eastAsia="en-NZ"/>
              </w:rPr>
            </w:pPr>
            <w:r w:rsidRPr="00EF4CBD">
              <w:rPr>
                <w:b/>
                <w:lang w:eastAsia="en-NZ"/>
              </w:rPr>
              <w:t>N</w:t>
            </w:r>
          </w:p>
        </w:tc>
        <w:tc>
          <w:tcPr>
            <w:tcW w:w="567" w:type="dxa"/>
            <w:tcBorders>
              <w:right w:val="single" w:sz="4" w:space="0" w:color="A6A6A6" w:themeColor="background1" w:themeShade="A6"/>
            </w:tcBorders>
            <w:shd w:val="clear" w:color="auto" w:fill="D9D9D9" w:themeFill="background1" w:themeFillShade="D9"/>
            <w:noWrap/>
            <w:vAlign w:val="bottom"/>
          </w:tcPr>
          <w:p w:rsidR="00721758" w:rsidRPr="00EF4CBD" w:rsidRDefault="00721758" w:rsidP="00721758">
            <w:pPr>
              <w:pStyle w:val="TableText"/>
              <w:keepNext/>
              <w:spacing w:before="0"/>
              <w:jc w:val="center"/>
              <w:rPr>
                <w:b/>
                <w:lang w:eastAsia="en-NZ"/>
              </w:rPr>
            </w:pPr>
            <w:r w:rsidRPr="00EF4CBD">
              <w:rPr>
                <w:b/>
                <w:lang w:eastAsia="en-NZ"/>
              </w:rPr>
              <w:t>%</w:t>
            </w:r>
          </w:p>
        </w:tc>
        <w:tc>
          <w:tcPr>
            <w:tcW w:w="709" w:type="dxa"/>
            <w:tcBorders>
              <w:left w:val="nil"/>
            </w:tcBorders>
            <w:shd w:val="clear" w:color="auto" w:fill="D9D9D9" w:themeFill="background1" w:themeFillShade="D9"/>
            <w:vAlign w:val="bottom"/>
          </w:tcPr>
          <w:p w:rsidR="00721758" w:rsidRPr="00EF4CBD" w:rsidRDefault="00721758" w:rsidP="00721758">
            <w:pPr>
              <w:pStyle w:val="TableText"/>
              <w:keepNext/>
              <w:spacing w:before="0"/>
              <w:jc w:val="center"/>
              <w:rPr>
                <w:b/>
                <w:lang w:eastAsia="en-NZ"/>
              </w:rPr>
            </w:pPr>
            <w:r w:rsidRPr="00EF4CBD">
              <w:rPr>
                <w:b/>
                <w:lang w:eastAsia="en-NZ"/>
              </w:rPr>
              <w:t>N</w:t>
            </w:r>
          </w:p>
        </w:tc>
        <w:tc>
          <w:tcPr>
            <w:tcW w:w="566" w:type="dxa"/>
            <w:tcBorders>
              <w:left w:val="nil"/>
              <w:right w:val="single" w:sz="4" w:space="0" w:color="A6A6A6" w:themeColor="background1" w:themeShade="A6"/>
            </w:tcBorders>
            <w:shd w:val="clear" w:color="auto" w:fill="D9D9D9" w:themeFill="background1" w:themeFillShade="D9"/>
            <w:noWrap/>
            <w:vAlign w:val="bottom"/>
          </w:tcPr>
          <w:p w:rsidR="00721758" w:rsidRPr="00EF4CBD" w:rsidRDefault="00721758" w:rsidP="00721758">
            <w:pPr>
              <w:pStyle w:val="TableText"/>
              <w:keepNext/>
              <w:spacing w:before="0"/>
              <w:jc w:val="center"/>
              <w:rPr>
                <w:b/>
                <w:lang w:eastAsia="en-NZ"/>
              </w:rPr>
            </w:pPr>
            <w:r w:rsidRPr="00EF4CBD">
              <w:rPr>
                <w:b/>
                <w:lang w:eastAsia="en-NZ"/>
              </w:rPr>
              <w:t>%</w:t>
            </w:r>
          </w:p>
        </w:tc>
        <w:tc>
          <w:tcPr>
            <w:tcW w:w="850" w:type="dxa"/>
            <w:tcBorders>
              <w:left w:val="single" w:sz="4" w:space="0" w:color="A6A6A6" w:themeColor="background1" w:themeShade="A6"/>
              <w:right w:val="nil"/>
            </w:tcBorders>
            <w:shd w:val="clear" w:color="auto" w:fill="D9D9D9" w:themeFill="background1" w:themeFillShade="D9"/>
            <w:noWrap/>
            <w:vAlign w:val="bottom"/>
          </w:tcPr>
          <w:p w:rsidR="00721758" w:rsidRPr="00EF4CBD" w:rsidRDefault="00721758" w:rsidP="00721758">
            <w:pPr>
              <w:pStyle w:val="TableText"/>
              <w:keepNext/>
              <w:spacing w:before="0"/>
              <w:jc w:val="center"/>
              <w:rPr>
                <w:b/>
                <w:lang w:eastAsia="en-NZ"/>
              </w:rPr>
            </w:pPr>
            <w:r w:rsidRPr="00EF4CBD">
              <w:rPr>
                <w:b/>
                <w:lang w:eastAsia="en-NZ"/>
              </w:rPr>
              <w:t>days</w:t>
            </w:r>
          </w:p>
        </w:tc>
        <w:tc>
          <w:tcPr>
            <w:tcW w:w="709" w:type="dxa"/>
            <w:tcBorders>
              <w:left w:val="single" w:sz="4" w:space="0" w:color="A6A6A6" w:themeColor="background1" w:themeShade="A6"/>
            </w:tcBorders>
            <w:shd w:val="clear" w:color="auto" w:fill="D9D9D9" w:themeFill="background1" w:themeFillShade="D9"/>
          </w:tcPr>
          <w:p w:rsidR="00721758" w:rsidRPr="00EF4CBD" w:rsidRDefault="00721758" w:rsidP="00721758">
            <w:pPr>
              <w:pStyle w:val="TableText"/>
              <w:keepNext/>
              <w:spacing w:before="0"/>
              <w:jc w:val="center"/>
              <w:rPr>
                <w:b/>
                <w:lang w:eastAsia="en-NZ"/>
              </w:rPr>
            </w:pPr>
            <w:r>
              <w:rPr>
                <w:b/>
                <w:lang w:eastAsia="en-NZ"/>
              </w:rPr>
              <w:t>N</w:t>
            </w:r>
          </w:p>
        </w:tc>
        <w:tc>
          <w:tcPr>
            <w:tcW w:w="567" w:type="dxa"/>
            <w:tcBorders>
              <w:right w:val="nil"/>
            </w:tcBorders>
            <w:shd w:val="clear" w:color="auto" w:fill="D9D9D9" w:themeFill="background1" w:themeFillShade="D9"/>
          </w:tcPr>
          <w:p w:rsidR="00721758" w:rsidRPr="00EF4CBD" w:rsidRDefault="00721758" w:rsidP="00721758">
            <w:pPr>
              <w:pStyle w:val="TableText"/>
              <w:keepNext/>
              <w:spacing w:before="0"/>
              <w:jc w:val="center"/>
              <w:rPr>
                <w:b/>
                <w:lang w:eastAsia="en-NZ"/>
              </w:rPr>
            </w:pPr>
            <w:r>
              <w:rPr>
                <w:b/>
                <w:lang w:eastAsia="en-NZ"/>
              </w:rPr>
              <w:t>%</w:t>
            </w:r>
          </w:p>
        </w:tc>
      </w:tr>
      <w:tr w:rsidR="00721758" w:rsidRPr="00826E06" w:rsidTr="00776634">
        <w:trPr>
          <w:cantSplit/>
        </w:trPr>
        <w:tc>
          <w:tcPr>
            <w:tcW w:w="2127" w:type="dxa"/>
            <w:tcBorders>
              <w:left w:val="nil"/>
              <w:bottom w:val="single" w:sz="4" w:space="0" w:color="7F7F7F" w:themeColor="text1" w:themeTint="80"/>
              <w:right w:val="single" w:sz="4" w:space="0" w:color="A6A6A6" w:themeColor="background1" w:themeShade="A6"/>
            </w:tcBorders>
            <w:shd w:val="clear" w:color="auto" w:fill="auto"/>
            <w:noWrap/>
            <w:hideMark/>
          </w:tcPr>
          <w:p w:rsidR="00721758" w:rsidRPr="00E848D2" w:rsidRDefault="00721758" w:rsidP="00721758">
            <w:pPr>
              <w:pStyle w:val="TableText"/>
              <w:keepNext/>
              <w:rPr>
                <w:b/>
                <w:lang w:eastAsia="en-NZ"/>
              </w:rPr>
            </w:pPr>
            <w:r w:rsidRPr="00E848D2">
              <w:rPr>
                <w:b/>
                <w:lang w:eastAsia="en-NZ"/>
              </w:rPr>
              <w:t>Total</w:t>
            </w:r>
          </w:p>
        </w:tc>
        <w:tc>
          <w:tcPr>
            <w:tcW w:w="850" w:type="dxa"/>
            <w:tcBorders>
              <w:left w:val="single" w:sz="4" w:space="0" w:color="A6A6A6" w:themeColor="background1" w:themeShade="A6"/>
              <w:bottom w:val="single" w:sz="4" w:space="0" w:color="7F7F7F" w:themeColor="text1" w:themeTint="80"/>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5</w:t>
            </w:r>
            <w:r w:rsidR="00776634">
              <w:t>,</w:t>
            </w:r>
            <w:r w:rsidRPr="00AD2F2F">
              <w:t>360</w:t>
            </w:r>
          </w:p>
        </w:tc>
        <w:tc>
          <w:tcPr>
            <w:tcW w:w="708" w:type="dxa"/>
            <w:tcBorders>
              <w:left w:val="single" w:sz="4" w:space="0" w:color="A6A6A6" w:themeColor="background1" w:themeShade="A6"/>
              <w:bottom w:val="single" w:sz="4" w:space="0" w:color="7F7F7F" w:themeColor="text1" w:themeTint="80"/>
            </w:tcBorders>
            <w:shd w:val="clear" w:color="auto" w:fill="auto"/>
            <w:vAlign w:val="bottom"/>
          </w:tcPr>
          <w:p w:rsidR="00721758" w:rsidRPr="00AD2F2F" w:rsidRDefault="00721758" w:rsidP="00776634">
            <w:pPr>
              <w:pStyle w:val="TableText"/>
              <w:tabs>
                <w:tab w:val="decimal" w:pos="435"/>
              </w:tabs>
              <w:rPr>
                <w:color w:val="000000"/>
              </w:rPr>
            </w:pPr>
            <w:r w:rsidRPr="00AD2F2F">
              <w:t>1</w:t>
            </w:r>
            <w:r w:rsidR="00776634">
              <w:t>,</w:t>
            </w:r>
            <w:r w:rsidRPr="00AD2F2F">
              <w:t>324</w:t>
            </w:r>
          </w:p>
        </w:tc>
        <w:tc>
          <w:tcPr>
            <w:tcW w:w="568" w:type="dxa"/>
            <w:tcBorders>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24.7</w:t>
            </w:r>
          </w:p>
        </w:tc>
        <w:tc>
          <w:tcPr>
            <w:tcW w:w="709" w:type="dxa"/>
            <w:tcBorders>
              <w:left w:val="single" w:sz="4" w:space="0" w:color="A6A6A6" w:themeColor="background1" w:themeShade="A6"/>
              <w:bottom w:val="single" w:sz="4" w:space="0" w:color="7F7F7F" w:themeColor="text1" w:themeTint="80"/>
            </w:tcBorders>
            <w:shd w:val="clear" w:color="auto" w:fill="auto"/>
            <w:vAlign w:val="bottom"/>
          </w:tcPr>
          <w:p w:rsidR="00721758" w:rsidRPr="00AD2F2F" w:rsidRDefault="00721758" w:rsidP="00776634">
            <w:pPr>
              <w:pStyle w:val="TableText"/>
              <w:tabs>
                <w:tab w:val="decimal" w:pos="403"/>
              </w:tabs>
              <w:rPr>
                <w:color w:val="000000"/>
              </w:rPr>
            </w:pPr>
            <w:r w:rsidRPr="00AD2F2F">
              <w:t>255</w:t>
            </w:r>
          </w:p>
        </w:tc>
        <w:tc>
          <w:tcPr>
            <w:tcW w:w="567" w:type="dxa"/>
            <w:tcBorders>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4.8</w:t>
            </w:r>
          </w:p>
        </w:tc>
        <w:tc>
          <w:tcPr>
            <w:tcW w:w="709" w:type="dxa"/>
            <w:tcBorders>
              <w:left w:val="nil"/>
              <w:bottom w:val="single" w:sz="4" w:space="0" w:color="7F7F7F" w:themeColor="text1" w:themeTint="80"/>
            </w:tcBorders>
            <w:shd w:val="clear" w:color="auto" w:fill="auto"/>
            <w:vAlign w:val="bottom"/>
          </w:tcPr>
          <w:p w:rsidR="00721758" w:rsidRPr="00AD2F2F" w:rsidRDefault="00721758" w:rsidP="00776634">
            <w:pPr>
              <w:pStyle w:val="TableText"/>
              <w:tabs>
                <w:tab w:val="decimal" w:pos="368"/>
              </w:tabs>
              <w:rPr>
                <w:color w:val="000000"/>
              </w:rPr>
            </w:pPr>
            <w:r w:rsidRPr="00AD2F2F">
              <w:t>121</w:t>
            </w:r>
          </w:p>
        </w:tc>
        <w:tc>
          <w:tcPr>
            <w:tcW w:w="566" w:type="dxa"/>
            <w:tcBorders>
              <w:left w:val="nil"/>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3.0</w:t>
            </w:r>
          </w:p>
        </w:tc>
        <w:tc>
          <w:tcPr>
            <w:tcW w:w="850" w:type="dxa"/>
            <w:tcBorders>
              <w:left w:val="single" w:sz="4" w:space="0" w:color="A6A6A6" w:themeColor="background1" w:themeShade="A6"/>
              <w:bottom w:val="single" w:sz="4" w:space="0" w:color="7F7F7F" w:themeColor="text1" w:themeTint="80"/>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left w:val="single" w:sz="4" w:space="0" w:color="A6A6A6" w:themeColor="background1" w:themeShade="A6"/>
              <w:bottom w:val="single" w:sz="4" w:space="0" w:color="7F7F7F" w:themeColor="text1" w:themeTint="80"/>
            </w:tcBorders>
            <w:vAlign w:val="bottom"/>
          </w:tcPr>
          <w:p w:rsidR="00721758" w:rsidRPr="00AD2F2F" w:rsidRDefault="00721758" w:rsidP="00776634">
            <w:pPr>
              <w:pStyle w:val="TableText"/>
              <w:tabs>
                <w:tab w:val="decimal" w:pos="511"/>
              </w:tabs>
              <w:rPr>
                <w:color w:val="000000"/>
              </w:rPr>
            </w:pPr>
            <w:r w:rsidRPr="00AD2F2F">
              <w:t>4</w:t>
            </w:r>
            <w:r w:rsidR="00776634">
              <w:t>,</w:t>
            </w:r>
            <w:r w:rsidRPr="00AD2F2F">
              <w:t>178</w:t>
            </w:r>
          </w:p>
        </w:tc>
        <w:tc>
          <w:tcPr>
            <w:tcW w:w="567" w:type="dxa"/>
            <w:tcBorders>
              <w:bottom w:val="single" w:sz="4" w:space="0" w:color="7F7F7F" w:themeColor="text1" w:themeTint="80"/>
              <w:right w:val="nil"/>
            </w:tcBorders>
            <w:vAlign w:val="bottom"/>
          </w:tcPr>
          <w:p w:rsidR="00721758" w:rsidRPr="00AD2F2F" w:rsidRDefault="00721758" w:rsidP="00776634">
            <w:pPr>
              <w:pStyle w:val="TableText"/>
              <w:jc w:val="center"/>
              <w:rPr>
                <w:color w:val="000000"/>
              </w:rPr>
            </w:pPr>
            <w:r w:rsidRPr="00AD2F2F">
              <w:t>81.5</w:t>
            </w:r>
          </w:p>
        </w:tc>
      </w:tr>
      <w:tr w:rsidR="00721758" w:rsidRPr="00826E06" w:rsidTr="00776634">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21758" w:rsidRPr="00E848D2" w:rsidRDefault="00721758" w:rsidP="00721758">
            <w:pPr>
              <w:pStyle w:val="TableText"/>
              <w:keepNext/>
              <w:rPr>
                <w:b/>
                <w:lang w:eastAsia="en-NZ"/>
              </w:rPr>
            </w:pPr>
            <w:r w:rsidRPr="00E848D2">
              <w:rPr>
                <w:b/>
                <w:lang w:eastAsia="en-NZ"/>
              </w:rPr>
              <w:t>Year of diagnosis</w:t>
            </w: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p>
        </w:tc>
        <w:tc>
          <w:tcPr>
            <w:tcW w:w="70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p>
        </w:tc>
        <w:tc>
          <w:tcPr>
            <w:tcW w:w="568"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p>
        </w:tc>
        <w:tc>
          <w:tcPr>
            <w:tcW w:w="567"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p>
        </w:tc>
        <w:tc>
          <w:tcPr>
            <w:tcW w:w="566"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p>
        </w:tc>
        <w:tc>
          <w:tcPr>
            <w:tcW w:w="567" w:type="dxa"/>
            <w:tcBorders>
              <w:top w:val="single" w:sz="4" w:space="0" w:color="7F7F7F" w:themeColor="text1" w:themeTint="80"/>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21758" w:rsidRPr="00872866" w:rsidRDefault="00721758" w:rsidP="00721758">
            <w:pPr>
              <w:pStyle w:val="TableText"/>
              <w:keepNext/>
              <w:ind w:left="142"/>
              <w:rPr>
                <w:lang w:eastAsia="en-NZ"/>
              </w:rPr>
            </w:pPr>
            <w:r w:rsidRPr="00872866">
              <w:rPr>
                <w:lang w:eastAsia="en-NZ"/>
              </w:rPr>
              <w:t>2013</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1</w:t>
            </w:r>
            <w:r w:rsidR="00776634">
              <w:t>,</w:t>
            </w:r>
            <w:r w:rsidRPr="00AD2F2F">
              <w:t>345</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338</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25.1</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70</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5.2</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32</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1</w:t>
            </w:r>
            <w:r w:rsidR="00776634">
              <w:t>,</w:t>
            </w:r>
            <w:r w:rsidRPr="00AD2F2F">
              <w:t>043</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80.7</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72866" w:rsidRDefault="00721758" w:rsidP="00721758">
            <w:pPr>
              <w:pStyle w:val="TableText"/>
              <w:keepNext/>
              <w:ind w:left="142"/>
              <w:rPr>
                <w:lang w:eastAsia="en-NZ"/>
              </w:rPr>
            </w:pPr>
            <w:r w:rsidRPr="00872866">
              <w:rPr>
                <w:lang w:eastAsia="en-NZ"/>
              </w:rPr>
              <w:t>2014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1</w:t>
            </w:r>
            <w:r w:rsidR="00776634">
              <w:t>,</w:t>
            </w:r>
            <w:r w:rsidRPr="00AD2F2F">
              <w:t>346</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341</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25.3</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73</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5.4</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34</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1</w:t>
            </w:r>
            <w:r w:rsidR="00776634">
              <w:t>,</w:t>
            </w:r>
            <w:r w:rsidRPr="00AD2F2F">
              <w:t>044</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81.2</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72866" w:rsidRDefault="00721758" w:rsidP="00721758">
            <w:pPr>
              <w:pStyle w:val="TableText"/>
              <w:keepNext/>
              <w:ind w:left="142"/>
              <w:rPr>
                <w:lang w:eastAsia="en-NZ"/>
              </w:rPr>
            </w:pPr>
            <w:r w:rsidRPr="00872866">
              <w:rPr>
                <w:lang w:eastAsia="en-NZ"/>
              </w:rPr>
              <w:t>2015</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1</w:t>
            </w:r>
            <w:r w:rsidR="00776634">
              <w:t>,</w:t>
            </w:r>
            <w:r w:rsidRPr="00AD2F2F">
              <w:t>307</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339</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25.9</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48</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3.7</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27</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1</w:t>
            </w:r>
            <w:r w:rsidR="00776634">
              <w:t>,</w:t>
            </w:r>
            <w:r w:rsidRPr="00AD2F2F">
              <w:t>017</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81.0</w:t>
            </w:r>
          </w:p>
        </w:tc>
      </w:tr>
      <w:tr w:rsidR="00721758" w:rsidRPr="00826E06" w:rsidTr="00776634">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721758" w:rsidRPr="00872866" w:rsidRDefault="00721758" w:rsidP="00721758">
            <w:pPr>
              <w:pStyle w:val="TableText"/>
              <w:keepNext/>
              <w:ind w:left="142"/>
              <w:rPr>
                <w:lang w:eastAsia="en-NZ"/>
              </w:rPr>
            </w:pPr>
            <w:r w:rsidRPr="00872866">
              <w:rPr>
                <w:lang w:eastAsia="en-NZ"/>
              </w:rPr>
              <w:t>2016</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1</w:t>
            </w:r>
            <w:r w:rsidR="00776634">
              <w:t>,</w:t>
            </w:r>
            <w:r w:rsidRPr="00AD2F2F">
              <w:t>362</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21758" w:rsidRPr="00AD2F2F" w:rsidRDefault="00721758" w:rsidP="00776634">
            <w:pPr>
              <w:pStyle w:val="TableText"/>
              <w:tabs>
                <w:tab w:val="decimal" w:pos="435"/>
              </w:tabs>
              <w:rPr>
                <w:color w:val="000000"/>
              </w:rPr>
            </w:pPr>
            <w:r w:rsidRPr="00AD2F2F">
              <w:t>306</w:t>
            </w:r>
          </w:p>
        </w:tc>
        <w:tc>
          <w:tcPr>
            <w:tcW w:w="568"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22.5</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21758" w:rsidRPr="00AD2F2F" w:rsidRDefault="00721758" w:rsidP="00776634">
            <w:pPr>
              <w:pStyle w:val="TableText"/>
              <w:tabs>
                <w:tab w:val="decimal" w:pos="403"/>
              </w:tabs>
              <w:rPr>
                <w:color w:val="000000"/>
              </w:rPr>
            </w:pPr>
            <w:r w:rsidRPr="00AD2F2F">
              <w:t>64</w:t>
            </w:r>
          </w:p>
        </w:tc>
        <w:tc>
          <w:tcPr>
            <w:tcW w:w="567"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4.7</w:t>
            </w:r>
          </w:p>
        </w:tc>
        <w:tc>
          <w:tcPr>
            <w:tcW w:w="709" w:type="dxa"/>
            <w:tcBorders>
              <w:top w:val="single" w:sz="4" w:space="0" w:color="A6A6A6" w:themeColor="background1" w:themeShade="A6"/>
              <w:left w:val="nil"/>
              <w:bottom w:val="single" w:sz="4" w:space="0" w:color="7F7F7F" w:themeColor="text1" w:themeTint="80"/>
            </w:tcBorders>
            <w:shd w:val="clear" w:color="auto" w:fill="auto"/>
            <w:vAlign w:val="bottom"/>
          </w:tcPr>
          <w:p w:rsidR="00721758" w:rsidRPr="00AD2F2F" w:rsidRDefault="00721758" w:rsidP="00776634">
            <w:pPr>
              <w:pStyle w:val="TableText"/>
              <w:tabs>
                <w:tab w:val="decimal" w:pos="368"/>
              </w:tabs>
              <w:rPr>
                <w:color w:val="000000"/>
              </w:rPr>
            </w:pPr>
            <w:r w:rsidRPr="00AD2F2F">
              <w:t>28</w:t>
            </w:r>
          </w:p>
        </w:tc>
        <w:tc>
          <w:tcPr>
            <w:tcW w:w="566"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2.7</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vAlign w:val="bottom"/>
          </w:tcPr>
          <w:p w:rsidR="00721758" w:rsidRPr="00AD2F2F" w:rsidRDefault="00721758" w:rsidP="00776634">
            <w:pPr>
              <w:pStyle w:val="TableText"/>
              <w:tabs>
                <w:tab w:val="decimal" w:pos="511"/>
              </w:tabs>
              <w:rPr>
                <w:color w:val="000000"/>
              </w:rPr>
            </w:pPr>
            <w:r w:rsidRPr="00AD2F2F">
              <w:t>1</w:t>
            </w:r>
            <w:r w:rsidR="00776634">
              <w:t>,</w:t>
            </w:r>
            <w:r w:rsidRPr="00AD2F2F">
              <w:t>074</w:t>
            </w:r>
          </w:p>
        </w:tc>
        <w:tc>
          <w:tcPr>
            <w:tcW w:w="567" w:type="dxa"/>
            <w:tcBorders>
              <w:top w:val="single" w:sz="4" w:space="0" w:color="A6A6A6" w:themeColor="background1" w:themeShade="A6"/>
              <w:bottom w:val="single" w:sz="4" w:space="0" w:color="7F7F7F" w:themeColor="text1" w:themeTint="80"/>
              <w:right w:val="nil"/>
            </w:tcBorders>
            <w:vAlign w:val="bottom"/>
          </w:tcPr>
          <w:p w:rsidR="00721758" w:rsidRPr="00AD2F2F" w:rsidRDefault="00721758" w:rsidP="00776634">
            <w:pPr>
              <w:pStyle w:val="TableText"/>
              <w:jc w:val="center"/>
              <w:rPr>
                <w:color w:val="000000"/>
              </w:rPr>
            </w:pPr>
            <w:r w:rsidRPr="00AD2F2F">
              <w:t>83.3</w:t>
            </w:r>
          </w:p>
        </w:tc>
      </w:tr>
      <w:tr w:rsidR="00721758" w:rsidRPr="00826E06" w:rsidTr="00776634">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21758" w:rsidRPr="00E848D2" w:rsidRDefault="00721758" w:rsidP="00230CA2">
            <w:pPr>
              <w:pStyle w:val="TableText"/>
              <w:rPr>
                <w:b/>
                <w:lang w:eastAsia="en-NZ"/>
              </w:rPr>
            </w:pPr>
            <w:r w:rsidRPr="00E848D2">
              <w:rPr>
                <w:b/>
                <w:lang w:eastAsia="en-NZ"/>
              </w:rPr>
              <w:t xml:space="preserve">DHB of </w:t>
            </w:r>
            <w:r w:rsidR="007D4D25">
              <w:rPr>
                <w:b/>
                <w:lang w:eastAsia="en-NZ"/>
              </w:rPr>
              <w:t>service</w:t>
            </w: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p>
        </w:tc>
        <w:tc>
          <w:tcPr>
            <w:tcW w:w="70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p>
        </w:tc>
        <w:tc>
          <w:tcPr>
            <w:tcW w:w="568"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p>
        </w:tc>
        <w:tc>
          <w:tcPr>
            <w:tcW w:w="567"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p>
        </w:tc>
        <w:tc>
          <w:tcPr>
            <w:tcW w:w="566"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p>
        </w:tc>
        <w:tc>
          <w:tcPr>
            <w:tcW w:w="567" w:type="dxa"/>
            <w:tcBorders>
              <w:top w:val="single" w:sz="4" w:space="0" w:color="7F7F7F" w:themeColor="text1" w:themeTint="80"/>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21758" w:rsidRPr="00826E06" w:rsidRDefault="00721758" w:rsidP="00721758">
            <w:pPr>
              <w:pStyle w:val="TableText"/>
              <w:ind w:left="142"/>
              <w:rPr>
                <w:lang w:eastAsia="en-NZ"/>
              </w:rPr>
            </w:pPr>
            <w:r w:rsidRPr="00826E06">
              <w:rPr>
                <w:lang w:eastAsia="en-NZ"/>
              </w:rPr>
              <w:t>Auckland</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326</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98</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30.1</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10</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3.1</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2</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0.9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7.5</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285</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93.1</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Bay of Plenty</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346</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55</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15.9</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13</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3.8</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7</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259</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77.5</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Canterbury</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612</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125</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20.4</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25</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4.1</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10</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477</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82.2</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Capital and Coast</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254</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59</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23.2</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16</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6.3</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6</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168</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70.9</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Counties Manukau</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374</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104</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27.8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23</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6.1</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13</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351</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98.0</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Hawke</w:t>
            </w:r>
            <w:r>
              <w:rPr>
                <w:lang w:eastAsia="en-NZ"/>
              </w:rPr>
              <w:t>’</w:t>
            </w:r>
            <w:r w:rsidRPr="00826E06">
              <w:rPr>
                <w:lang w:eastAsia="en-NZ"/>
              </w:rPr>
              <w:t>s Bay</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255</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52</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20.4</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12</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4.7</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6</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222</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93.3</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Hutt Valley</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175</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36</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20.6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6</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3.4</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2</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118</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70.2</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Lakes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120</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31</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25.8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11</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9.2</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11</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12.4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77</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67.5</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MidCentral</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238</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41</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17.2</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13</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5.5</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9</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186</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82.3</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Nelson Marlborough</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205</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44</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21.5</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10</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4.9</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5</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129</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63.9</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Northland</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240</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57</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23.8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8</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3.3</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3</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123</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54.9</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South Canterbury</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127</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24</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18.9</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3</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2.4</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2</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74</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61.2</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Southern</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545</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188</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34.5</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27</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5.0</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11</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470</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88.2</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Tair</w:t>
            </w:r>
            <w:r w:rsidRPr="00401D63">
              <w:rPr>
                <w:lang w:eastAsia="en-NZ"/>
              </w:rPr>
              <w:t>ā</w:t>
            </w:r>
            <w:r w:rsidRPr="00826E06">
              <w:rPr>
                <w:lang w:eastAsia="en-NZ"/>
              </w:rPr>
              <w:t>whiti</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63</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22</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34.9</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4</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6.3</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1</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44</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73.3</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Taranaki</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223</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58</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26.0</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17</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7.6</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8</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200</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92.6</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Waikato</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494</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169</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34.2</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29</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5.9</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9</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320</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67.8</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Wairarapa</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41</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6</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14.6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0</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0.0</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0</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0.0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37</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92.5</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Waitemata</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580</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113</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19.5</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16</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2.8</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8</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1.7</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534</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95.7</w:t>
            </w:r>
          </w:p>
        </w:tc>
      </w:tr>
      <w:tr w:rsidR="00721758" w:rsidRPr="00826E06"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West Coast</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26</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7</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26.9</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2</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7.7</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1</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5.3</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19</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73.1</w:t>
            </w:r>
          </w:p>
        </w:tc>
      </w:tr>
      <w:tr w:rsidR="00721758" w:rsidRPr="00826E06" w:rsidTr="00776634">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721758" w:rsidRPr="00826E06" w:rsidRDefault="00721758" w:rsidP="00721758">
            <w:pPr>
              <w:pStyle w:val="TableText"/>
              <w:ind w:left="142"/>
              <w:rPr>
                <w:lang w:eastAsia="en-NZ"/>
              </w:rPr>
            </w:pPr>
            <w:r w:rsidRPr="00826E06">
              <w:rPr>
                <w:lang w:eastAsia="en-NZ"/>
              </w:rPr>
              <w:t>Whanganui</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116</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21758" w:rsidRPr="00AD2F2F" w:rsidRDefault="00721758" w:rsidP="00776634">
            <w:pPr>
              <w:pStyle w:val="TableText"/>
              <w:tabs>
                <w:tab w:val="decimal" w:pos="435"/>
              </w:tabs>
              <w:rPr>
                <w:color w:val="000000"/>
              </w:rPr>
            </w:pPr>
            <w:r w:rsidRPr="00AD2F2F">
              <w:t>35</w:t>
            </w:r>
          </w:p>
        </w:tc>
        <w:tc>
          <w:tcPr>
            <w:tcW w:w="568"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30.2</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21758" w:rsidRPr="00AD2F2F" w:rsidRDefault="00721758" w:rsidP="00776634">
            <w:pPr>
              <w:pStyle w:val="TableText"/>
              <w:tabs>
                <w:tab w:val="decimal" w:pos="403"/>
              </w:tabs>
              <w:rPr>
                <w:color w:val="000000"/>
              </w:rPr>
            </w:pPr>
            <w:r w:rsidRPr="00AD2F2F">
              <w:t>10</w:t>
            </w:r>
          </w:p>
        </w:tc>
        <w:tc>
          <w:tcPr>
            <w:tcW w:w="567"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8.6</w:t>
            </w:r>
          </w:p>
        </w:tc>
        <w:tc>
          <w:tcPr>
            <w:tcW w:w="709" w:type="dxa"/>
            <w:tcBorders>
              <w:top w:val="single" w:sz="4" w:space="0" w:color="A6A6A6" w:themeColor="background1" w:themeShade="A6"/>
              <w:left w:val="nil"/>
              <w:bottom w:val="single" w:sz="4" w:space="0" w:color="7F7F7F" w:themeColor="text1" w:themeTint="80"/>
            </w:tcBorders>
            <w:shd w:val="clear" w:color="auto" w:fill="auto"/>
            <w:vAlign w:val="bottom"/>
          </w:tcPr>
          <w:p w:rsidR="00721758" w:rsidRPr="00AD2F2F" w:rsidRDefault="00721758" w:rsidP="00776634">
            <w:pPr>
              <w:pStyle w:val="TableText"/>
              <w:tabs>
                <w:tab w:val="decimal" w:pos="368"/>
              </w:tabs>
              <w:rPr>
                <w:color w:val="000000"/>
              </w:rPr>
            </w:pPr>
            <w:r w:rsidRPr="00AD2F2F">
              <w:t>7</w:t>
            </w:r>
          </w:p>
        </w:tc>
        <w:tc>
          <w:tcPr>
            <w:tcW w:w="566"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8.6</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vAlign w:val="bottom"/>
          </w:tcPr>
          <w:p w:rsidR="00721758" w:rsidRPr="00AD2F2F" w:rsidRDefault="00721758" w:rsidP="00776634">
            <w:pPr>
              <w:pStyle w:val="TableText"/>
              <w:tabs>
                <w:tab w:val="decimal" w:pos="511"/>
              </w:tabs>
              <w:rPr>
                <w:color w:val="000000"/>
              </w:rPr>
            </w:pPr>
            <w:r w:rsidRPr="00AD2F2F">
              <w:t>85</w:t>
            </w:r>
          </w:p>
        </w:tc>
        <w:tc>
          <w:tcPr>
            <w:tcW w:w="567" w:type="dxa"/>
            <w:tcBorders>
              <w:top w:val="single" w:sz="4" w:space="0" w:color="A6A6A6" w:themeColor="background1" w:themeShade="A6"/>
              <w:bottom w:val="single" w:sz="4" w:space="0" w:color="7F7F7F" w:themeColor="text1" w:themeTint="80"/>
              <w:right w:val="nil"/>
            </w:tcBorders>
            <w:vAlign w:val="bottom"/>
          </w:tcPr>
          <w:p w:rsidR="00721758" w:rsidRPr="00AD2F2F" w:rsidRDefault="00721758" w:rsidP="00776634">
            <w:pPr>
              <w:pStyle w:val="TableText"/>
              <w:jc w:val="center"/>
              <w:rPr>
                <w:color w:val="000000"/>
              </w:rPr>
            </w:pPr>
            <w:r w:rsidRPr="00AD2F2F">
              <w:t>76.6</w:t>
            </w:r>
          </w:p>
        </w:tc>
      </w:tr>
      <w:tr w:rsidR="00721758" w:rsidRPr="00826E06" w:rsidTr="00776634">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21758" w:rsidRPr="00E848D2" w:rsidRDefault="00721758" w:rsidP="00721758">
            <w:pPr>
              <w:pStyle w:val="TableText"/>
              <w:keepNext/>
              <w:rPr>
                <w:b/>
                <w:lang w:eastAsia="en-NZ"/>
              </w:rPr>
            </w:pPr>
            <w:r w:rsidRPr="00E848D2">
              <w:rPr>
                <w:b/>
                <w:lang w:eastAsia="en-NZ"/>
              </w:rPr>
              <w:lastRenderedPageBreak/>
              <w:t>Age group (years)</w:t>
            </w: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p>
        </w:tc>
        <w:tc>
          <w:tcPr>
            <w:tcW w:w="70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p>
        </w:tc>
        <w:tc>
          <w:tcPr>
            <w:tcW w:w="568"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p>
        </w:tc>
        <w:tc>
          <w:tcPr>
            <w:tcW w:w="567"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p>
        </w:tc>
        <w:tc>
          <w:tcPr>
            <w:tcW w:w="566"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p>
        </w:tc>
        <w:tc>
          <w:tcPr>
            <w:tcW w:w="567" w:type="dxa"/>
            <w:tcBorders>
              <w:top w:val="single" w:sz="4" w:space="0" w:color="7F7F7F" w:themeColor="text1" w:themeTint="80"/>
              <w:bottom w:val="single" w:sz="4" w:space="0" w:color="A6A6A6" w:themeColor="background1" w:themeShade="A6"/>
              <w:right w:val="nil"/>
            </w:tcBorders>
            <w:vAlign w:val="bottom"/>
          </w:tcPr>
          <w:p w:rsidR="00721758" w:rsidRPr="00AD2F2F" w:rsidRDefault="00721758" w:rsidP="00B22602">
            <w:pPr>
              <w:pStyle w:val="TableText"/>
              <w:rPr>
                <w:color w:val="000000"/>
              </w:rPr>
            </w:pPr>
          </w:p>
        </w:tc>
      </w:tr>
      <w:tr w:rsidR="00721758" w:rsidRPr="00DD4C09"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21758" w:rsidRPr="00872866" w:rsidRDefault="00721758" w:rsidP="00721758">
            <w:pPr>
              <w:pStyle w:val="TableText"/>
              <w:keepNext/>
              <w:ind w:left="142"/>
              <w:rPr>
                <w:lang w:eastAsia="en-NZ"/>
              </w:rPr>
            </w:pPr>
            <w:r w:rsidRPr="00872866">
              <w:rPr>
                <w:lang w:eastAsia="en-NZ"/>
              </w:rPr>
              <w:t>18</w:t>
            </w:r>
            <w:r>
              <w:rPr>
                <w:lang w:eastAsia="en-NZ"/>
              </w:rPr>
              <w:t>–</w:t>
            </w:r>
            <w:r w:rsidRPr="00872866">
              <w:rPr>
                <w:lang w:eastAsia="en-NZ"/>
              </w:rPr>
              <w:t>49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272</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100</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36.8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4</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1.5</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0</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0.0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229</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90.9</w:t>
            </w:r>
          </w:p>
        </w:tc>
      </w:tr>
      <w:tr w:rsidR="00721758" w:rsidRPr="00DD4C09"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72866" w:rsidRDefault="00721758" w:rsidP="00721758">
            <w:pPr>
              <w:pStyle w:val="TableText"/>
              <w:keepNext/>
              <w:ind w:left="142"/>
              <w:rPr>
                <w:lang w:eastAsia="en-NZ"/>
              </w:rPr>
            </w:pPr>
            <w:r w:rsidRPr="00872866">
              <w:rPr>
                <w:lang w:eastAsia="en-NZ"/>
              </w:rPr>
              <w:t>50</w:t>
            </w:r>
            <w:r>
              <w:rPr>
                <w:lang w:eastAsia="en-NZ"/>
              </w:rPr>
              <w:t>–</w:t>
            </w:r>
            <w:r w:rsidRPr="00872866">
              <w:rPr>
                <w:lang w:eastAsia="en-NZ"/>
              </w:rPr>
              <w:t>59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517</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155</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30.0</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9</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1.7</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2</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0.6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404</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84.0</w:t>
            </w:r>
          </w:p>
        </w:tc>
      </w:tr>
      <w:tr w:rsidR="00721758" w:rsidRPr="00DD4C09"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72866" w:rsidRDefault="00721758" w:rsidP="00721758">
            <w:pPr>
              <w:pStyle w:val="TableText"/>
              <w:keepNext/>
              <w:ind w:left="142"/>
              <w:rPr>
                <w:lang w:eastAsia="en-NZ"/>
              </w:rPr>
            </w:pPr>
            <w:r w:rsidRPr="00872866">
              <w:rPr>
                <w:lang w:eastAsia="en-NZ"/>
              </w:rPr>
              <w:t>60</w:t>
            </w:r>
            <w:r>
              <w:rPr>
                <w:lang w:eastAsia="en-NZ"/>
              </w:rPr>
              <w:t>–</w:t>
            </w:r>
            <w:r w:rsidRPr="00872866">
              <w:rPr>
                <w:lang w:eastAsia="en-NZ"/>
              </w:rPr>
              <w:t>74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2</w:t>
            </w:r>
            <w:r w:rsidR="00776634">
              <w:t>,</w:t>
            </w:r>
            <w:r w:rsidRPr="00AD2F2F">
              <w:t>067</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460</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22.3</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60</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2.9</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28</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1.7</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1</w:t>
            </w:r>
            <w:r w:rsidR="00776634">
              <w:t>,</w:t>
            </w:r>
            <w:r w:rsidRPr="00AD2F2F">
              <w:t>621</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82.5</w:t>
            </w:r>
          </w:p>
        </w:tc>
      </w:tr>
      <w:tr w:rsidR="00721758" w:rsidRPr="00DD4C09" w:rsidTr="00776634">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721758" w:rsidRPr="00872866" w:rsidRDefault="00721758" w:rsidP="00721758">
            <w:pPr>
              <w:pStyle w:val="TableText"/>
              <w:ind w:left="142"/>
              <w:rPr>
                <w:lang w:eastAsia="en-NZ"/>
              </w:rPr>
            </w:pPr>
            <w:r w:rsidRPr="00872866">
              <w:rPr>
                <w:lang w:eastAsia="en-NZ"/>
              </w:rPr>
              <w:t>75+</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2</w:t>
            </w:r>
            <w:r w:rsidR="00776634">
              <w:t>,</w:t>
            </w:r>
            <w:r w:rsidRPr="00AD2F2F">
              <w:t>504</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21758" w:rsidRPr="00AD2F2F" w:rsidRDefault="00721758" w:rsidP="00776634">
            <w:pPr>
              <w:pStyle w:val="TableText"/>
              <w:tabs>
                <w:tab w:val="decimal" w:pos="435"/>
              </w:tabs>
              <w:rPr>
                <w:color w:val="000000"/>
              </w:rPr>
            </w:pPr>
            <w:r w:rsidRPr="00AD2F2F">
              <w:t>609</w:t>
            </w:r>
          </w:p>
        </w:tc>
        <w:tc>
          <w:tcPr>
            <w:tcW w:w="568"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24.3</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21758" w:rsidRPr="00AD2F2F" w:rsidRDefault="00721758" w:rsidP="00776634">
            <w:pPr>
              <w:pStyle w:val="TableText"/>
              <w:tabs>
                <w:tab w:val="decimal" w:pos="403"/>
              </w:tabs>
              <w:rPr>
                <w:color w:val="000000"/>
              </w:rPr>
            </w:pPr>
            <w:r w:rsidRPr="00AD2F2F">
              <w:t>182</w:t>
            </w:r>
          </w:p>
        </w:tc>
        <w:tc>
          <w:tcPr>
            <w:tcW w:w="567"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7.3</w:t>
            </w:r>
          </w:p>
        </w:tc>
        <w:tc>
          <w:tcPr>
            <w:tcW w:w="709" w:type="dxa"/>
            <w:tcBorders>
              <w:top w:val="single" w:sz="4" w:space="0" w:color="A6A6A6" w:themeColor="background1" w:themeShade="A6"/>
              <w:left w:val="nil"/>
              <w:bottom w:val="single" w:sz="4" w:space="0" w:color="7F7F7F" w:themeColor="text1" w:themeTint="80"/>
            </w:tcBorders>
            <w:shd w:val="clear" w:color="auto" w:fill="auto"/>
            <w:vAlign w:val="bottom"/>
          </w:tcPr>
          <w:p w:rsidR="00721758" w:rsidRPr="00AD2F2F" w:rsidRDefault="00721758" w:rsidP="00776634">
            <w:pPr>
              <w:pStyle w:val="TableText"/>
              <w:tabs>
                <w:tab w:val="decimal" w:pos="368"/>
              </w:tabs>
              <w:rPr>
                <w:color w:val="000000"/>
              </w:rPr>
            </w:pPr>
            <w:r w:rsidRPr="00AD2F2F">
              <w:t>91</w:t>
            </w:r>
          </w:p>
        </w:tc>
        <w:tc>
          <w:tcPr>
            <w:tcW w:w="566"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4.8</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vAlign w:val="bottom"/>
          </w:tcPr>
          <w:p w:rsidR="00721758" w:rsidRPr="00AD2F2F" w:rsidRDefault="00721758" w:rsidP="00776634">
            <w:pPr>
              <w:pStyle w:val="TableText"/>
              <w:tabs>
                <w:tab w:val="decimal" w:pos="511"/>
              </w:tabs>
              <w:rPr>
                <w:color w:val="000000"/>
              </w:rPr>
            </w:pPr>
            <w:r w:rsidRPr="00AD2F2F">
              <w:t>1</w:t>
            </w:r>
            <w:r w:rsidR="00776634">
              <w:t>,</w:t>
            </w:r>
            <w:r w:rsidRPr="00AD2F2F">
              <w:t>924</w:t>
            </w:r>
          </w:p>
        </w:tc>
        <w:tc>
          <w:tcPr>
            <w:tcW w:w="567" w:type="dxa"/>
            <w:tcBorders>
              <w:top w:val="single" w:sz="4" w:space="0" w:color="A6A6A6" w:themeColor="background1" w:themeShade="A6"/>
              <w:bottom w:val="single" w:sz="4" w:space="0" w:color="7F7F7F" w:themeColor="text1" w:themeTint="80"/>
              <w:right w:val="nil"/>
            </w:tcBorders>
            <w:vAlign w:val="bottom"/>
          </w:tcPr>
          <w:p w:rsidR="00721758" w:rsidRPr="00AD2F2F" w:rsidRDefault="00721758" w:rsidP="00776634">
            <w:pPr>
              <w:pStyle w:val="TableText"/>
              <w:jc w:val="center"/>
              <w:rPr>
                <w:color w:val="000000"/>
              </w:rPr>
            </w:pPr>
            <w:r w:rsidRPr="00AD2F2F">
              <w:t>79.3</w:t>
            </w:r>
          </w:p>
        </w:tc>
      </w:tr>
      <w:tr w:rsidR="00721758" w:rsidRPr="00826E06" w:rsidTr="00776634">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21758" w:rsidRPr="00E848D2" w:rsidRDefault="00721758" w:rsidP="00721758">
            <w:pPr>
              <w:pStyle w:val="TableText"/>
              <w:rPr>
                <w:b/>
                <w:lang w:eastAsia="en-NZ"/>
              </w:rPr>
            </w:pPr>
            <w:r w:rsidRPr="00E848D2">
              <w:rPr>
                <w:b/>
                <w:lang w:eastAsia="en-NZ"/>
              </w:rPr>
              <w:t>Sex</w:t>
            </w: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p>
        </w:tc>
        <w:tc>
          <w:tcPr>
            <w:tcW w:w="70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p>
        </w:tc>
        <w:tc>
          <w:tcPr>
            <w:tcW w:w="568"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p>
        </w:tc>
        <w:tc>
          <w:tcPr>
            <w:tcW w:w="567"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p>
        </w:tc>
        <w:tc>
          <w:tcPr>
            <w:tcW w:w="566"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p>
        </w:tc>
        <w:tc>
          <w:tcPr>
            <w:tcW w:w="567" w:type="dxa"/>
            <w:tcBorders>
              <w:top w:val="single" w:sz="4" w:space="0" w:color="7F7F7F" w:themeColor="text1" w:themeTint="80"/>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p>
        </w:tc>
      </w:tr>
      <w:tr w:rsidR="00721758" w:rsidRPr="00DD4C09"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21758" w:rsidRPr="00872866" w:rsidRDefault="00721758" w:rsidP="00721758">
            <w:pPr>
              <w:pStyle w:val="TableText"/>
              <w:ind w:left="142"/>
              <w:rPr>
                <w:lang w:eastAsia="en-NZ"/>
              </w:rPr>
            </w:pPr>
            <w:r>
              <w:rPr>
                <w:lang w:eastAsia="en-NZ"/>
              </w:rPr>
              <w:t>Female</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2</w:t>
            </w:r>
            <w:r w:rsidR="00776634">
              <w:t>,</w:t>
            </w:r>
            <w:r w:rsidRPr="00AD2F2F">
              <w:t>789</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691</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24.8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125</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4.5</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51</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2</w:t>
            </w:r>
            <w:r w:rsidR="00776634">
              <w:t>,</w:t>
            </w:r>
            <w:r w:rsidRPr="00AD2F2F">
              <w:t>221</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83.0</w:t>
            </w:r>
          </w:p>
        </w:tc>
      </w:tr>
      <w:tr w:rsidR="00721758" w:rsidRPr="00DD4C09" w:rsidTr="00776634">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721758" w:rsidRPr="00872866" w:rsidRDefault="00721758" w:rsidP="00721758">
            <w:pPr>
              <w:pStyle w:val="TableText"/>
              <w:ind w:left="142"/>
              <w:rPr>
                <w:lang w:eastAsia="en-NZ"/>
              </w:rPr>
            </w:pPr>
            <w:r>
              <w:rPr>
                <w:lang w:eastAsia="en-NZ"/>
              </w:rPr>
              <w:t>Male</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2</w:t>
            </w:r>
            <w:r w:rsidR="00776634">
              <w:t>,</w:t>
            </w:r>
            <w:r w:rsidRPr="00AD2F2F">
              <w:t>571</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21758" w:rsidRPr="00AD2F2F" w:rsidRDefault="00721758" w:rsidP="00776634">
            <w:pPr>
              <w:pStyle w:val="TableText"/>
              <w:tabs>
                <w:tab w:val="decimal" w:pos="435"/>
              </w:tabs>
              <w:rPr>
                <w:color w:val="000000"/>
              </w:rPr>
            </w:pPr>
            <w:r w:rsidRPr="00AD2F2F">
              <w:t>633</w:t>
            </w:r>
          </w:p>
        </w:tc>
        <w:tc>
          <w:tcPr>
            <w:tcW w:w="568"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24.6</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21758" w:rsidRPr="00AD2F2F" w:rsidRDefault="00721758" w:rsidP="00776634">
            <w:pPr>
              <w:pStyle w:val="TableText"/>
              <w:tabs>
                <w:tab w:val="decimal" w:pos="403"/>
              </w:tabs>
              <w:rPr>
                <w:color w:val="000000"/>
              </w:rPr>
            </w:pPr>
            <w:r w:rsidRPr="00AD2F2F">
              <w:t>130</w:t>
            </w:r>
          </w:p>
        </w:tc>
        <w:tc>
          <w:tcPr>
            <w:tcW w:w="567"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5.1</w:t>
            </w:r>
          </w:p>
        </w:tc>
        <w:tc>
          <w:tcPr>
            <w:tcW w:w="709" w:type="dxa"/>
            <w:tcBorders>
              <w:top w:val="single" w:sz="4" w:space="0" w:color="A6A6A6" w:themeColor="background1" w:themeShade="A6"/>
              <w:left w:val="nil"/>
              <w:bottom w:val="single" w:sz="4" w:space="0" w:color="7F7F7F" w:themeColor="text1" w:themeTint="80"/>
            </w:tcBorders>
            <w:shd w:val="clear" w:color="auto" w:fill="auto"/>
            <w:vAlign w:val="bottom"/>
          </w:tcPr>
          <w:p w:rsidR="00721758" w:rsidRPr="00AD2F2F" w:rsidRDefault="00721758" w:rsidP="00776634">
            <w:pPr>
              <w:pStyle w:val="TableText"/>
              <w:tabs>
                <w:tab w:val="decimal" w:pos="368"/>
              </w:tabs>
              <w:rPr>
                <w:color w:val="000000"/>
              </w:rPr>
            </w:pPr>
            <w:r w:rsidRPr="00AD2F2F">
              <w:t>70</w:t>
            </w:r>
          </w:p>
        </w:tc>
        <w:tc>
          <w:tcPr>
            <w:tcW w:w="566"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3.6</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vAlign w:val="bottom"/>
          </w:tcPr>
          <w:p w:rsidR="00721758" w:rsidRPr="00AD2F2F" w:rsidRDefault="00721758" w:rsidP="00776634">
            <w:pPr>
              <w:pStyle w:val="TableText"/>
              <w:tabs>
                <w:tab w:val="decimal" w:pos="511"/>
              </w:tabs>
              <w:rPr>
                <w:color w:val="000000"/>
              </w:rPr>
            </w:pPr>
            <w:r w:rsidRPr="00AD2F2F">
              <w:t>1</w:t>
            </w:r>
            <w:r w:rsidR="00776634">
              <w:t>,</w:t>
            </w:r>
            <w:r w:rsidRPr="00AD2F2F">
              <w:t>957</w:t>
            </w:r>
          </w:p>
        </w:tc>
        <w:tc>
          <w:tcPr>
            <w:tcW w:w="567" w:type="dxa"/>
            <w:tcBorders>
              <w:top w:val="single" w:sz="4" w:space="0" w:color="A6A6A6" w:themeColor="background1" w:themeShade="A6"/>
              <w:bottom w:val="single" w:sz="4" w:space="0" w:color="7F7F7F" w:themeColor="text1" w:themeTint="80"/>
              <w:right w:val="nil"/>
            </w:tcBorders>
            <w:vAlign w:val="bottom"/>
          </w:tcPr>
          <w:p w:rsidR="00721758" w:rsidRPr="00AD2F2F" w:rsidRDefault="00721758" w:rsidP="00776634">
            <w:pPr>
              <w:pStyle w:val="TableText"/>
              <w:jc w:val="center"/>
              <w:rPr>
                <w:color w:val="000000"/>
              </w:rPr>
            </w:pPr>
            <w:r w:rsidRPr="00AD2F2F">
              <w:t>79.9</w:t>
            </w:r>
          </w:p>
        </w:tc>
      </w:tr>
      <w:tr w:rsidR="00721758" w:rsidRPr="00826E06" w:rsidTr="00776634">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21758" w:rsidRPr="00E848D2" w:rsidRDefault="00721758" w:rsidP="00721758">
            <w:pPr>
              <w:pStyle w:val="TableText"/>
              <w:rPr>
                <w:b/>
                <w:lang w:eastAsia="en-NZ"/>
              </w:rPr>
            </w:pPr>
            <w:r w:rsidRPr="00E848D2">
              <w:rPr>
                <w:b/>
                <w:lang w:eastAsia="en-NZ"/>
              </w:rPr>
              <w:t>Ethnic group</w:t>
            </w: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p>
        </w:tc>
        <w:tc>
          <w:tcPr>
            <w:tcW w:w="70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p>
        </w:tc>
        <w:tc>
          <w:tcPr>
            <w:tcW w:w="568"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p>
        </w:tc>
        <w:tc>
          <w:tcPr>
            <w:tcW w:w="567"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p>
        </w:tc>
        <w:tc>
          <w:tcPr>
            <w:tcW w:w="566"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p>
        </w:tc>
        <w:tc>
          <w:tcPr>
            <w:tcW w:w="567" w:type="dxa"/>
            <w:tcBorders>
              <w:top w:val="single" w:sz="4" w:space="0" w:color="7F7F7F" w:themeColor="text1" w:themeTint="80"/>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p>
        </w:tc>
      </w:tr>
      <w:tr w:rsidR="00721758" w:rsidRPr="00DD4C09"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21758" w:rsidRPr="00872866" w:rsidRDefault="00721758" w:rsidP="00721758">
            <w:pPr>
              <w:pStyle w:val="TableText"/>
              <w:ind w:left="142"/>
              <w:rPr>
                <w:lang w:eastAsia="en-NZ"/>
              </w:rPr>
            </w:pPr>
            <w:r w:rsidRPr="00872866">
              <w:rPr>
                <w:lang w:eastAsia="en-NZ"/>
              </w:rPr>
              <w:t>M</w:t>
            </w:r>
            <w:r>
              <w:rPr>
                <w:lang w:eastAsia="en-NZ"/>
              </w:rPr>
              <w:t>ā</w:t>
            </w:r>
            <w:r w:rsidRPr="00872866">
              <w:rPr>
                <w:lang w:eastAsia="en-NZ"/>
              </w:rPr>
              <w:t>ori</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288</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96</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33.3</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20</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6.9</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11</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5.7</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216</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80.0</w:t>
            </w:r>
          </w:p>
        </w:tc>
      </w:tr>
      <w:tr w:rsidR="00721758" w:rsidRPr="00DD4C09"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72866" w:rsidRDefault="00721758" w:rsidP="00721758">
            <w:pPr>
              <w:pStyle w:val="TableText"/>
              <w:ind w:left="142"/>
              <w:rPr>
                <w:lang w:eastAsia="en-NZ"/>
              </w:rPr>
            </w:pPr>
            <w:r w:rsidRPr="00872866">
              <w:rPr>
                <w:lang w:eastAsia="en-NZ"/>
              </w:rPr>
              <w:t>Pacific peoples</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92</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22</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23.9</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4</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4.3</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1</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78</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89.7</w:t>
            </w:r>
          </w:p>
        </w:tc>
      </w:tr>
      <w:tr w:rsidR="00721758" w:rsidRPr="00DD4C09"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72866" w:rsidRDefault="00721758" w:rsidP="00721758">
            <w:pPr>
              <w:pStyle w:val="TableText"/>
              <w:ind w:left="142"/>
              <w:rPr>
                <w:lang w:eastAsia="en-NZ"/>
              </w:rPr>
            </w:pPr>
            <w:r w:rsidRPr="00872866">
              <w:rPr>
                <w:lang w:eastAsia="en-NZ"/>
              </w:rPr>
              <w:t>Asian</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181</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38</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21.0</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3</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1.7</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2</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1.4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156</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92.3</w:t>
            </w:r>
          </w:p>
        </w:tc>
      </w:tr>
      <w:tr w:rsidR="00721758" w:rsidRPr="00DD4C09"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72866" w:rsidRDefault="00721758" w:rsidP="00721758">
            <w:pPr>
              <w:pStyle w:val="TableText"/>
              <w:ind w:left="142"/>
              <w:rPr>
                <w:lang w:eastAsia="en-NZ"/>
              </w:rPr>
            </w:pPr>
            <w:r w:rsidRPr="00872866">
              <w:rPr>
                <w:lang w:eastAsia="en-NZ"/>
              </w:rPr>
              <w:t>European/Other</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4</w:t>
            </w:r>
            <w:r w:rsidR="00776634">
              <w:t>,</w:t>
            </w:r>
            <w:r w:rsidRPr="00AD2F2F">
              <w:t>725</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1</w:t>
            </w:r>
            <w:r w:rsidR="00776634">
              <w:t>,</w:t>
            </w:r>
            <w:r w:rsidRPr="00AD2F2F">
              <w:t>151</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24.4</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228</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4.8</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107</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3</w:t>
            </w:r>
            <w:r w:rsidR="00776634">
              <w:t>,</w:t>
            </w:r>
            <w:r w:rsidRPr="00AD2F2F">
              <w:t>663</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81.0</w:t>
            </w:r>
          </w:p>
        </w:tc>
      </w:tr>
      <w:tr w:rsidR="00721758" w:rsidRPr="00DD4C09" w:rsidTr="00776634">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721758" w:rsidRPr="00872866" w:rsidRDefault="00721758" w:rsidP="00721758">
            <w:pPr>
              <w:pStyle w:val="TableText"/>
              <w:ind w:left="142"/>
              <w:rPr>
                <w:lang w:eastAsia="en-NZ"/>
              </w:rPr>
            </w:pPr>
            <w:r w:rsidRPr="00872866">
              <w:rPr>
                <w:lang w:eastAsia="en-NZ"/>
              </w:rPr>
              <w:t>Unknown</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74</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21758" w:rsidRPr="00AD2F2F" w:rsidRDefault="00721758" w:rsidP="00776634">
            <w:pPr>
              <w:pStyle w:val="TableText"/>
              <w:tabs>
                <w:tab w:val="decimal" w:pos="435"/>
              </w:tabs>
              <w:rPr>
                <w:color w:val="000000"/>
              </w:rPr>
            </w:pPr>
            <w:r w:rsidRPr="00AD2F2F">
              <w:t>17</w:t>
            </w:r>
          </w:p>
        </w:tc>
        <w:tc>
          <w:tcPr>
            <w:tcW w:w="568"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23.0</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21758" w:rsidRPr="00AD2F2F" w:rsidRDefault="00721758" w:rsidP="00776634">
            <w:pPr>
              <w:pStyle w:val="TableText"/>
              <w:tabs>
                <w:tab w:val="decimal" w:pos="403"/>
              </w:tabs>
              <w:rPr>
                <w:color w:val="000000"/>
              </w:rPr>
            </w:pPr>
            <w:r w:rsidRPr="00AD2F2F">
              <w:t>0</w:t>
            </w:r>
          </w:p>
        </w:tc>
        <w:tc>
          <w:tcPr>
            <w:tcW w:w="567"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0.0</w:t>
            </w:r>
          </w:p>
        </w:tc>
        <w:tc>
          <w:tcPr>
            <w:tcW w:w="709" w:type="dxa"/>
            <w:tcBorders>
              <w:top w:val="single" w:sz="4" w:space="0" w:color="A6A6A6" w:themeColor="background1" w:themeShade="A6"/>
              <w:left w:val="nil"/>
              <w:bottom w:val="single" w:sz="4" w:space="0" w:color="7F7F7F" w:themeColor="text1" w:themeTint="80"/>
            </w:tcBorders>
            <w:shd w:val="clear" w:color="auto" w:fill="auto"/>
            <w:vAlign w:val="bottom"/>
          </w:tcPr>
          <w:p w:rsidR="00721758" w:rsidRPr="00AD2F2F" w:rsidRDefault="00721758" w:rsidP="00776634">
            <w:pPr>
              <w:pStyle w:val="TableText"/>
              <w:tabs>
                <w:tab w:val="decimal" w:pos="368"/>
              </w:tabs>
              <w:rPr>
                <w:color w:val="000000"/>
              </w:rPr>
            </w:pPr>
            <w:r w:rsidRPr="00AD2F2F">
              <w:t>0</w:t>
            </w:r>
          </w:p>
        </w:tc>
        <w:tc>
          <w:tcPr>
            <w:tcW w:w="566"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0.0</w:t>
            </w:r>
          </w:p>
        </w:tc>
        <w:tc>
          <w:tcPr>
            <w:tcW w:w="850"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21758" w:rsidRPr="00AD2F2F" w:rsidRDefault="00721758" w:rsidP="00776634">
            <w:pPr>
              <w:pStyle w:val="TableText"/>
              <w:jc w:val="center"/>
              <w:rPr>
                <w:color w:val="000000"/>
              </w:rPr>
            </w:pPr>
            <w:r w:rsidRPr="00AD2F2F">
              <w:t>6</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vAlign w:val="bottom"/>
          </w:tcPr>
          <w:p w:rsidR="00721758" w:rsidRPr="00AD2F2F" w:rsidRDefault="00721758" w:rsidP="00776634">
            <w:pPr>
              <w:pStyle w:val="TableText"/>
              <w:tabs>
                <w:tab w:val="decimal" w:pos="511"/>
              </w:tabs>
              <w:rPr>
                <w:color w:val="000000"/>
              </w:rPr>
            </w:pPr>
            <w:r w:rsidRPr="00AD2F2F">
              <w:t>65</w:t>
            </w:r>
          </w:p>
        </w:tc>
        <w:tc>
          <w:tcPr>
            <w:tcW w:w="567" w:type="dxa"/>
            <w:tcBorders>
              <w:top w:val="single" w:sz="4" w:space="0" w:color="A6A6A6" w:themeColor="background1" w:themeShade="A6"/>
              <w:bottom w:val="single" w:sz="4" w:space="0" w:color="7F7F7F" w:themeColor="text1" w:themeTint="80"/>
              <w:right w:val="nil"/>
            </w:tcBorders>
            <w:vAlign w:val="bottom"/>
          </w:tcPr>
          <w:p w:rsidR="00721758" w:rsidRPr="00AD2F2F" w:rsidRDefault="00721758" w:rsidP="00776634">
            <w:pPr>
              <w:pStyle w:val="TableText"/>
              <w:jc w:val="center"/>
              <w:rPr>
                <w:color w:val="000000"/>
              </w:rPr>
            </w:pPr>
            <w:r w:rsidRPr="00AD2F2F">
              <w:t>87.8</w:t>
            </w:r>
          </w:p>
        </w:tc>
      </w:tr>
      <w:tr w:rsidR="00721758" w:rsidRPr="00826E06" w:rsidTr="00776634">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21758" w:rsidRPr="00E848D2" w:rsidRDefault="00721758" w:rsidP="00721758">
            <w:pPr>
              <w:pStyle w:val="TableText"/>
              <w:rPr>
                <w:b/>
                <w:lang w:eastAsia="en-NZ"/>
              </w:rPr>
            </w:pPr>
            <w:r w:rsidRPr="00E848D2">
              <w:rPr>
                <w:b/>
                <w:lang w:eastAsia="en-NZ"/>
              </w:rPr>
              <w:t>NZDep2013 quintile</w:t>
            </w: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p>
        </w:tc>
        <w:tc>
          <w:tcPr>
            <w:tcW w:w="70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p>
        </w:tc>
        <w:tc>
          <w:tcPr>
            <w:tcW w:w="568"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p>
        </w:tc>
        <w:tc>
          <w:tcPr>
            <w:tcW w:w="567"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p>
        </w:tc>
        <w:tc>
          <w:tcPr>
            <w:tcW w:w="566"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p>
        </w:tc>
        <w:tc>
          <w:tcPr>
            <w:tcW w:w="850"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p>
        </w:tc>
        <w:tc>
          <w:tcPr>
            <w:tcW w:w="709" w:type="dxa"/>
            <w:tcBorders>
              <w:top w:val="single" w:sz="4" w:space="0" w:color="7F7F7F" w:themeColor="text1" w:themeTint="80"/>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p>
        </w:tc>
        <w:tc>
          <w:tcPr>
            <w:tcW w:w="567" w:type="dxa"/>
            <w:tcBorders>
              <w:top w:val="single" w:sz="4" w:space="0" w:color="7F7F7F" w:themeColor="text1" w:themeTint="80"/>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p>
        </w:tc>
      </w:tr>
      <w:tr w:rsidR="00721758" w:rsidRPr="00DD4C09"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21758" w:rsidRPr="00872866" w:rsidRDefault="00721758" w:rsidP="00721758">
            <w:pPr>
              <w:pStyle w:val="TableText"/>
              <w:ind w:left="142"/>
              <w:rPr>
                <w:lang w:eastAsia="en-NZ"/>
              </w:rPr>
            </w:pPr>
            <w:r w:rsidRPr="00872866">
              <w:rPr>
                <w:lang w:eastAsia="en-NZ"/>
              </w:rPr>
              <w:t>1 (least deprived)</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854</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219</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25.6</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43</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5.0</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23</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705</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85.8</w:t>
            </w:r>
          </w:p>
        </w:tc>
      </w:tr>
      <w:tr w:rsidR="00721758" w:rsidRPr="00DD4C09"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72866" w:rsidRDefault="00721758" w:rsidP="00721758">
            <w:pPr>
              <w:pStyle w:val="TableText"/>
              <w:ind w:left="142"/>
              <w:rPr>
                <w:lang w:eastAsia="en-NZ"/>
              </w:rPr>
            </w:pPr>
            <w:r w:rsidRPr="00872866">
              <w:rPr>
                <w:lang w:eastAsia="en-NZ"/>
              </w:rPr>
              <w:t>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978</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248</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25.4</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53</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5.4</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24</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3.3</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792</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84.7</w:t>
            </w:r>
          </w:p>
        </w:tc>
      </w:tr>
      <w:tr w:rsidR="00721758" w:rsidRPr="00DD4C09"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72866" w:rsidRDefault="00721758" w:rsidP="00721758">
            <w:pPr>
              <w:pStyle w:val="TableText"/>
              <w:ind w:left="142"/>
              <w:rPr>
                <w:lang w:eastAsia="en-NZ"/>
              </w:rPr>
            </w:pPr>
            <w:r w:rsidRPr="00872866">
              <w:rPr>
                <w:lang w:eastAsia="en-NZ"/>
              </w:rPr>
              <w:t>3</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1</w:t>
            </w:r>
            <w:r w:rsidR="00776634">
              <w:t>,</w:t>
            </w:r>
            <w:r w:rsidRPr="00AD2F2F">
              <w:t>169</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290</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24.8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44</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3.8</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18</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903</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81.1</w:t>
            </w:r>
          </w:p>
        </w:tc>
      </w:tr>
      <w:tr w:rsidR="00721758" w:rsidRPr="00DD4C09"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72866" w:rsidRDefault="00721758" w:rsidP="00721758">
            <w:pPr>
              <w:pStyle w:val="TableText"/>
              <w:ind w:left="142"/>
              <w:rPr>
                <w:lang w:eastAsia="en-NZ"/>
              </w:rPr>
            </w:pPr>
            <w:r w:rsidRPr="00872866">
              <w:rPr>
                <w:lang w:eastAsia="en-NZ"/>
              </w:rPr>
              <w:t>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1</w:t>
            </w:r>
            <w:r w:rsidR="00776634">
              <w:t>,</w:t>
            </w:r>
            <w:r w:rsidRPr="00AD2F2F">
              <w:t>335</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310</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23.2</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65</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4.9</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30</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1</w:t>
            </w:r>
            <w:r w:rsidR="00776634">
              <w:t>,</w:t>
            </w:r>
            <w:r w:rsidRPr="00AD2F2F">
              <w:t>004</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78.3</w:t>
            </w:r>
          </w:p>
        </w:tc>
      </w:tr>
      <w:tr w:rsidR="00721758" w:rsidRPr="00DD4C09" w:rsidTr="0077663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21758" w:rsidRPr="00872866" w:rsidRDefault="00721758" w:rsidP="00721758">
            <w:pPr>
              <w:pStyle w:val="TableText"/>
              <w:ind w:left="142"/>
              <w:rPr>
                <w:lang w:eastAsia="en-NZ"/>
              </w:rPr>
            </w:pPr>
            <w:r w:rsidRPr="00872866">
              <w:rPr>
                <w:lang w:eastAsia="en-NZ"/>
              </w:rPr>
              <w:t>5 (most deprived)</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tabs>
                <w:tab w:val="decimal" w:pos="578"/>
              </w:tabs>
              <w:rPr>
                <w:color w:val="000000"/>
              </w:rPr>
            </w:pPr>
            <w:r w:rsidRPr="00AD2F2F">
              <w:t>1</w:t>
            </w:r>
            <w:r w:rsidR="00776634">
              <w:t>,</w:t>
            </w:r>
            <w:r w:rsidRPr="00AD2F2F">
              <w:t>024</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35"/>
              </w:tabs>
              <w:rPr>
                <w:color w:val="000000"/>
              </w:rPr>
            </w:pPr>
            <w:r w:rsidRPr="00AD2F2F">
              <w:t>257</w:t>
            </w:r>
          </w:p>
        </w:tc>
        <w:tc>
          <w:tcPr>
            <w:tcW w:w="5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25.1</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403"/>
              </w:tabs>
              <w:rPr>
                <w:color w:val="000000"/>
              </w:rPr>
            </w:pPr>
            <w:r w:rsidRPr="00AD2F2F">
              <w:t>50</w:t>
            </w:r>
          </w:p>
        </w:tc>
        <w:tc>
          <w:tcPr>
            <w:tcW w:w="56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4.9</w:t>
            </w:r>
          </w:p>
        </w:tc>
        <w:tc>
          <w:tcPr>
            <w:tcW w:w="709"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21758" w:rsidRPr="00AD2F2F" w:rsidRDefault="00721758" w:rsidP="00776634">
            <w:pPr>
              <w:pStyle w:val="TableText"/>
              <w:tabs>
                <w:tab w:val="decimal" w:pos="368"/>
              </w:tabs>
              <w:rPr>
                <w:color w:val="000000"/>
              </w:rPr>
            </w:pPr>
            <w:r w:rsidRPr="00AD2F2F">
              <w:t>26</w:t>
            </w:r>
          </w:p>
        </w:tc>
        <w:tc>
          <w:tcPr>
            <w:tcW w:w="5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21758" w:rsidRPr="00AD2F2F" w:rsidRDefault="00721758" w:rsidP="00776634">
            <w:pPr>
              <w:pStyle w:val="TableText"/>
              <w:jc w:val="center"/>
              <w:rPr>
                <w:color w:val="000000"/>
              </w:rPr>
            </w:pPr>
            <w:r w:rsidRPr="00AD2F2F">
              <w:t>3.4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21758" w:rsidRPr="00AD2F2F" w:rsidRDefault="00721758" w:rsidP="00776634">
            <w:pPr>
              <w:pStyle w:val="TableText"/>
              <w:jc w:val="center"/>
              <w:rPr>
                <w:color w:val="000000"/>
              </w:rPr>
            </w:pPr>
            <w:r w:rsidRPr="00AD2F2F">
              <w:t>7</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bottom"/>
          </w:tcPr>
          <w:p w:rsidR="00721758" w:rsidRPr="00AD2F2F" w:rsidRDefault="00721758" w:rsidP="00776634">
            <w:pPr>
              <w:pStyle w:val="TableText"/>
              <w:tabs>
                <w:tab w:val="decimal" w:pos="511"/>
              </w:tabs>
              <w:rPr>
                <w:color w:val="000000"/>
              </w:rPr>
            </w:pPr>
            <w:r w:rsidRPr="00AD2F2F">
              <w:t>774</w:t>
            </w:r>
          </w:p>
        </w:tc>
        <w:tc>
          <w:tcPr>
            <w:tcW w:w="567" w:type="dxa"/>
            <w:tcBorders>
              <w:top w:val="single" w:sz="4" w:space="0" w:color="A6A6A6" w:themeColor="background1" w:themeShade="A6"/>
              <w:bottom w:val="single" w:sz="4" w:space="0" w:color="A6A6A6" w:themeColor="background1" w:themeShade="A6"/>
              <w:right w:val="nil"/>
            </w:tcBorders>
            <w:vAlign w:val="bottom"/>
          </w:tcPr>
          <w:p w:rsidR="00721758" w:rsidRPr="00AD2F2F" w:rsidRDefault="00721758" w:rsidP="00776634">
            <w:pPr>
              <w:pStyle w:val="TableText"/>
              <w:jc w:val="center"/>
              <w:rPr>
                <w:color w:val="000000"/>
              </w:rPr>
            </w:pPr>
            <w:r w:rsidRPr="00AD2F2F">
              <w:t>79.7</w:t>
            </w:r>
          </w:p>
        </w:tc>
      </w:tr>
    </w:tbl>
    <w:p w:rsidR="002357E2" w:rsidRDefault="002357E2" w:rsidP="00340704">
      <w:pPr>
        <w:rPr>
          <w:lang w:eastAsia="en-NZ"/>
        </w:rPr>
      </w:pPr>
    </w:p>
    <w:p w:rsidR="006A5D28" w:rsidRDefault="00A06E9D" w:rsidP="00A06E9D">
      <w:pPr>
        <w:pStyle w:val="Heading2"/>
        <w:numPr>
          <w:ilvl w:val="0"/>
          <w:numId w:val="0"/>
        </w:numPr>
      </w:pPr>
      <w:bookmarkStart w:id="161" w:name="_Toc517741"/>
      <w:bookmarkStart w:id="162" w:name="_Toc517873"/>
      <w:bookmarkStart w:id="163" w:name="_Toc528220239"/>
      <w:bookmarkStart w:id="164" w:name="_Toc517874"/>
      <w:bookmarkStart w:id="165" w:name="_Toc2253751"/>
      <w:bookmarkEnd w:id="161"/>
      <w:bookmarkEnd w:id="162"/>
      <w:r>
        <w:lastRenderedPageBreak/>
        <w:t>4</w:t>
      </w:r>
      <w:r>
        <w:tab/>
      </w:r>
      <w:r w:rsidR="006A5D28">
        <w:t>Rectal cancer surgery</w:t>
      </w:r>
      <w:bookmarkEnd w:id="163"/>
      <w:bookmarkEnd w:id="164"/>
      <w:bookmarkEnd w:id="165"/>
    </w:p>
    <w:p w:rsidR="006A5D28" w:rsidRDefault="006A5D28" w:rsidP="00A06E9D">
      <w:pPr>
        <w:pStyle w:val="Table"/>
        <w:rPr>
          <w:lang w:eastAsia="en-NZ"/>
        </w:rPr>
      </w:pPr>
      <w:bookmarkStart w:id="166" w:name="_Toc535936731"/>
      <w:bookmarkStart w:id="167" w:name="_Toc2254050"/>
      <w:r>
        <w:t xml:space="preserve">Table </w:t>
      </w:r>
      <w:r>
        <w:rPr>
          <w:noProof/>
        </w:rPr>
        <w:fldChar w:fldCharType="begin"/>
      </w:r>
      <w:r>
        <w:rPr>
          <w:noProof/>
        </w:rPr>
        <w:instrText xml:space="preserve"> SEQ Table \* ARABIC </w:instrText>
      </w:r>
      <w:r>
        <w:rPr>
          <w:noProof/>
        </w:rPr>
        <w:fldChar w:fldCharType="separate"/>
      </w:r>
      <w:r w:rsidR="002B5148">
        <w:rPr>
          <w:noProof/>
        </w:rPr>
        <w:t>9</w:t>
      </w:r>
      <w:r>
        <w:rPr>
          <w:noProof/>
        </w:rPr>
        <w:fldChar w:fldCharType="end"/>
      </w:r>
      <w:r>
        <w:t xml:space="preserve">: </w:t>
      </w:r>
      <w:r w:rsidRPr="004D0F26">
        <w:rPr>
          <w:lang w:eastAsia="en-NZ"/>
        </w:rPr>
        <w:t>People having major surgery for rectal cancer in public hospitals, 2013</w:t>
      </w:r>
      <w:r>
        <w:rPr>
          <w:lang w:eastAsia="en-NZ"/>
        </w:rPr>
        <w:t>–</w:t>
      </w:r>
      <w:r w:rsidRPr="004D0F26">
        <w:rPr>
          <w:lang w:eastAsia="en-NZ"/>
        </w:rPr>
        <w:t>16</w:t>
      </w:r>
      <w:bookmarkEnd w:id="166"/>
      <w:bookmarkEnd w:id="167"/>
    </w:p>
    <w:tbl>
      <w:tblPr>
        <w:tblW w:w="8081" w:type="dxa"/>
        <w:tblInd w:w="57" w:type="dxa"/>
        <w:tblLayout w:type="fixed"/>
        <w:tblCellMar>
          <w:left w:w="57" w:type="dxa"/>
          <w:right w:w="57" w:type="dxa"/>
        </w:tblCellMar>
        <w:tblLook w:val="04A0" w:firstRow="1" w:lastRow="0" w:firstColumn="1" w:lastColumn="0" w:noHBand="0" w:noVBand="1"/>
      </w:tblPr>
      <w:tblGrid>
        <w:gridCol w:w="2127"/>
        <w:gridCol w:w="1559"/>
        <w:gridCol w:w="744"/>
        <w:gridCol w:w="744"/>
        <w:gridCol w:w="744"/>
        <w:gridCol w:w="745"/>
        <w:gridCol w:w="1418"/>
      </w:tblGrid>
      <w:tr w:rsidR="00340704" w:rsidRPr="00EF4CBD" w:rsidTr="00340704">
        <w:trPr>
          <w:cantSplit/>
          <w:tblHeader/>
        </w:trPr>
        <w:tc>
          <w:tcPr>
            <w:tcW w:w="2127" w:type="dxa"/>
            <w:vMerge w:val="restart"/>
            <w:tcBorders>
              <w:left w:val="nil"/>
              <w:right w:val="single" w:sz="4" w:space="0" w:color="A6A6A6" w:themeColor="background1" w:themeShade="A6"/>
            </w:tcBorders>
            <w:shd w:val="clear" w:color="auto" w:fill="D9D9D9" w:themeFill="background1" w:themeFillShade="D9"/>
            <w:noWrap/>
          </w:tcPr>
          <w:p w:rsidR="00340704" w:rsidRPr="002357E2" w:rsidRDefault="00340704" w:rsidP="00A67A36">
            <w:pPr>
              <w:pStyle w:val="TableText"/>
              <w:keepNext/>
              <w:rPr>
                <w:b/>
                <w:lang w:eastAsia="en-NZ"/>
              </w:rPr>
            </w:pPr>
          </w:p>
        </w:tc>
        <w:tc>
          <w:tcPr>
            <w:tcW w:w="1559" w:type="dxa"/>
            <w:tcBorders>
              <w:left w:val="single" w:sz="4" w:space="0" w:color="A6A6A6" w:themeColor="background1" w:themeShade="A6"/>
              <w:right w:val="nil"/>
            </w:tcBorders>
            <w:shd w:val="clear" w:color="auto" w:fill="D9D9D9" w:themeFill="background1" w:themeFillShade="D9"/>
            <w:noWrap/>
          </w:tcPr>
          <w:p w:rsidR="00340704" w:rsidRPr="00EF4CBD" w:rsidRDefault="00340704" w:rsidP="00A67A36">
            <w:pPr>
              <w:pStyle w:val="TableText"/>
              <w:keepNext/>
              <w:jc w:val="center"/>
              <w:rPr>
                <w:b/>
                <w:lang w:eastAsia="en-NZ"/>
              </w:rPr>
            </w:pPr>
            <w:r w:rsidRPr="00EF4CBD">
              <w:rPr>
                <w:b/>
                <w:lang w:eastAsia="en-NZ"/>
              </w:rPr>
              <w:t>People having major surgery</w:t>
            </w:r>
          </w:p>
        </w:tc>
        <w:tc>
          <w:tcPr>
            <w:tcW w:w="1488"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rsidR="00340704" w:rsidRPr="00EF4CBD" w:rsidRDefault="00340704" w:rsidP="00A67A36">
            <w:pPr>
              <w:pStyle w:val="TableText"/>
              <w:keepNext/>
              <w:jc w:val="center"/>
              <w:rPr>
                <w:b/>
                <w:lang w:eastAsia="en-NZ"/>
              </w:rPr>
            </w:pPr>
            <w:r w:rsidRPr="00EF4CBD">
              <w:rPr>
                <w:b/>
                <w:lang w:eastAsia="en-NZ"/>
              </w:rPr>
              <w:t>Emergency surgery</w:t>
            </w:r>
          </w:p>
        </w:tc>
        <w:tc>
          <w:tcPr>
            <w:tcW w:w="1489"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rsidR="00340704" w:rsidRPr="00EF4CBD" w:rsidRDefault="00340704" w:rsidP="00A67A36">
            <w:pPr>
              <w:pStyle w:val="TableText"/>
              <w:keepNext/>
              <w:jc w:val="center"/>
              <w:rPr>
                <w:b/>
                <w:lang w:eastAsia="en-NZ"/>
              </w:rPr>
            </w:pPr>
            <w:r w:rsidRPr="00EF4CBD">
              <w:rPr>
                <w:b/>
                <w:lang w:eastAsia="en-NZ"/>
              </w:rPr>
              <w:t>Death within 90</w:t>
            </w:r>
            <w:r>
              <w:rPr>
                <w:b/>
                <w:lang w:eastAsia="en-NZ"/>
              </w:rPr>
              <w:t> </w:t>
            </w:r>
            <w:r w:rsidRPr="00EF4CBD">
              <w:rPr>
                <w:b/>
                <w:lang w:eastAsia="en-NZ"/>
              </w:rPr>
              <w:t>days of surgery</w:t>
            </w:r>
          </w:p>
        </w:tc>
        <w:tc>
          <w:tcPr>
            <w:tcW w:w="1418" w:type="dxa"/>
            <w:tcBorders>
              <w:left w:val="single" w:sz="4" w:space="0" w:color="A6A6A6" w:themeColor="background1" w:themeShade="A6"/>
              <w:right w:val="nil"/>
            </w:tcBorders>
            <w:shd w:val="clear" w:color="auto" w:fill="D9D9D9" w:themeFill="background1" w:themeFillShade="D9"/>
            <w:noWrap/>
          </w:tcPr>
          <w:p w:rsidR="00340704" w:rsidRPr="00EF4CBD" w:rsidRDefault="00340704" w:rsidP="00A67A36">
            <w:pPr>
              <w:pStyle w:val="TableText"/>
              <w:keepNext/>
              <w:jc w:val="center"/>
              <w:rPr>
                <w:b/>
                <w:lang w:eastAsia="en-NZ"/>
              </w:rPr>
            </w:pPr>
            <w:r w:rsidRPr="00EF4CBD">
              <w:rPr>
                <w:b/>
                <w:lang w:eastAsia="en-NZ"/>
              </w:rPr>
              <w:t>Median length of stay</w:t>
            </w:r>
          </w:p>
        </w:tc>
      </w:tr>
      <w:tr w:rsidR="00340704" w:rsidRPr="00EF4CBD" w:rsidTr="00340704">
        <w:trPr>
          <w:cantSplit/>
          <w:tblHeader/>
        </w:trPr>
        <w:tc>
          <w:tcPr>
            <w:tcW w:w="2127" w:type="dxa"/>
            <w:vMerge/>
            <w:tcBorders>
              <w:left w:val="nil"/>
              <w:right w:val="single" w:sz="4" w:space="0" w:color="A6A6A6" w:themeColor="background1" w:themeShade="A6"/>
            </w:tcBorders>
            <w:shd w:val="clear" w:color="auto" w:fill="D9D9D9" w:themeFill="background1" w:themeFillShade="D9"/>
            <w:noWrap/>
          </w:tcPr>
          <w:p w:rsidR="00340704" w:rsidRPr="002357E2" w:rsidRDefault="00340704" w:rsidP="00A67A36">
            <w:pPr>
              <w:pStyle w:val="TableText"/>
              <w:keepNext/>
              <w:rPr>
                <w:b/>
                <w:lang w:eastAsia="en-NZ"/>
              </w:rPr>
            </w:pPr>
          </w:p>
        </w:tc>
        <w:tc>
          <w:tcPr>
            <w:tcW w:w="1559" w:type="dxa"/>
            <w:tcBorders>
              <w:left w:val="single" w:sz="4" w:space="0" w:color="A6A6A6" w:themeColor="background1" w:themeShade="A6"/>
              <w:right w:val="nil"/>
            </w:tcBorders>
            <w:shd w:val="clear" w:color="auto" w:fill="D9D9D9" w:themeFill="background1" w:themeFillShade="D9"/>
            <w:noWrap/>
            <w:vAlign w:val="bottom"/>
          </w:tcPr>
          <w:p w:rsidR="00340704" w:rsidRPr="00EF4CBD" w:rsidRDefault="00340704" w:rsidP="00A67A36">
            <w:pPr>
              <w:pStyle w:val="TableText"/>
              <w:keepNext/>
              <w:spacing w:before="0"/>
              <w:jc w:val="center"/>
              <w:rPr>
                <w:b/>
                <w:lang w:eastAsia="en-NZ"/>
              </w:rPr>
            </w:pPr>
            <w:r w:rsidRPr="00EF4CBD">
              <w:rPr>
                <w:b/>
                <w:lang w:eastAsia="en-NZ"/>
              </w:rPr>
              <w:t>N</w:t>
            </w:r>
          </w:p>
        </w:tc>
        <w:tc>
          <w:tcPr>
            <w:tcW w:w="744" w:type="dxa"/>
            <w:tcBorders>
              <w:left w:val="single" w:sz="4" w:space="0" w:color="A6A6A6" w:themeColor="background1" w:themeShade="A6"/>
            </w:tcBorders>
            <w:shd w:val="clear" w:color="auto" w:fill="D9D9D9" w:themeFill="background1" w:themeFillShade="D9"/>
            <w:vAlign w:val="bottom"/>
          </w:tcPr>
          <w:p w:rsidR="00340704" w:rsidRPr="00EF4CBD" w:rsidRDefault="00340704" w:rsidP="00A67A36">
            <w:pPr>
              <w:pStyle w:val="TableText"/>
              <w:keepNext/>
              <w:spacing w:before="0"/>
              <w:jc w:val="center"/>
              <w:rPr>
                <w:b/>
                <w:lang w:eastAsia="en-NZ"/>
              </w:rPr>
            </w:pPr>
            <w:r w:rsidRPr="00EF4CBD">
              <w:rPr>
                <w:b/>
                <w:lang w:eastAsia="en-NZ"/>
              </w:rPr>
              <w:t>N</w:t>
            </w:r>
          </w:p>
        </w:tc>
        <w:tc>
          <w:tcPr>
            <w:tcW w:w="744" w:type="dxa"/>
            <w:tcBorders>
              <w:right w:val="single" w:sz="4" w:space="0" w:color="A6A6A6" w:themeColor="background1" w:themeShade="A6"/>
            </w:tcBorders>
            <w:shd w:val="clear" w:color="auto" w:fill="D9D9D9" w:themeFill="background1" w:themeFillShade="D9"/>
            <w:noWrap/>
            <w:vAlign w:val="bottom"/>
          </w:tcPr>
          <w:p w:rsidR="00340704" w:rsidRPr="00EF4CBD" w:rsidRDefault="00340704" w:rsidP="00A67A36">
            <w:pPr>
              <w:pStyle w:val="TableText"/>
              <w:keepNext/>
              <w:spacing w:before="0"/>
              <w:jc w:val="center"/>
              <w:rPr>
                <w:b/>
                <w:lang w:eastAsia="en-NZ"/>
              </w:rPr>
            </w:pPr>
            <w:r w:rsidRPr="00EF4CBD">
              <w:rPr>
                <w:b/>
                <w:lang w:eastAsia="en-NZ"/>
              </w:rPr>
              <w:t>%</w:t>
            </w:r>
          </w:p>
        </w:tc>
        <w:tc>
          <w:tcPr>
            <w:tcW w:w="744" w:type="dxa"/>
            <w:tcBorders>
              <w:left w:val="single" w:sz="4" w:space="0" w:color="A6A6A6" w:themeColor="background1" w:themeShade="A6"/>
            </w:tcBorders>
            <w:shd w:val="clear" w:color="auto" w:fill="D9D9D9" w:themeFill="background1" w:themeFillShade="D9"/>
            <w:vAlign w:val="bottom"/>
          </w:tcPr>
          <w:p w:rsidR="00340704" w:rsidRPr="00EF4CBD" w:rsidRDefault="00340704" w:rsidP="00A67A36">
            <w:pPr>
              <w:pStyle w:val="TableText"/>
              <w:keepNext/>
              <w:spacing w:before="0"/>
              <w:jc w:val="center"/>
              <w:rPr>
                <w:b/>
                <w:lang w:eastAsia="en-NZ"/>
              </w:rPr>
            </w:pPr>
            <w:r w:rsidRPr="00EF4CBD">
              <w:rPr>
                <w:b/>
                <w:lang w:eastAsia="en-NZ"/>
              </w:rPr>
              <w:t>N</w:t>
            </w:r>
          </w:p>
        </w:tc>
        <w:tc>
          <w:tcPr>
            <w:tcW w:w="745" w:type="dxa"/>
            <w:tcBorders>
              <w:right w:val="single" w:sz="4" w:space="0" w:color="A6A6A6" w:themeColor="background1" w:themeShade="A6"/>
            </w:tcBorders>
            <w:shd w:val="clear" w:color="auto" w:fill="D9D9D9" w:themeFill="background1" w:themeFillShade="D9"/>
            <w:noWrap/>
            <w:vAlign w:val="bottom"/>
          </w:tcPr>
          <w:p w:rsidR="00340704" w:rsidRPr="00EF4CBD" w:rsidRDefault="00340704" w:rsidP="00A67A36">
            <w:pPr>
              <w:pStyle w:val="TableText"/>
              <w:keepNext/>
              <w:spacing w:before="0"/>
              <w:jc w:val="center"/>
              <w:rPr>
                <w:b/>
                <w:lang w:eastAsia="en-NZ"/>
              </w:rPr>
            </w:pPr>
            <w:r w:rsidRPr="00EF4CBD">
              <w:rPr>
                <w:b/>
                <w:lang w:eastAsia="en-NZ"/>
              </w:rPr>
              <w:t>%</w:t>
            </w:r>
          </w:p>
        </w:tc>
        <w:tc>
          <w:tcPr>
            <w:tcW w:w="1418" w:type="dxa"/>
            <w:tcBorders>
              <w:left w:val="single" w:sz="4" w:space="0" w:color="A6A6A6" w:themeColor="background1" w:themeShade="A6"/>
              <w:right w:val="nil"/>
            </w:tcBorders>
            <w:shd w:val="clear" w:color="auto" w:fill="D9D9D9" w:themeFill="background1" w:themeFillShade="D9"/>
            <w:noWrap/>
            <w:vAlign w:val="bottom"/>
          </w:tcPr>
          <w:p w:rsidR="00340704" w:rsidRPr="00EF4CBD" w:rsidRDefault="00340704" w:rsidP="00A67A36">
            <w:pPr>
              <w:pStyle w:val="TableText"/>
              <w:keepNext/>
              <w:spacing w:before="0"/>
              <w:jc w:val="center"/>
              <w:rPr>
                <w:b/>
                <w:lang w:eastAsia="en-NZ"/>
              </w:rPr>
            </w:pPr>
            <w:r w:rsidRPr="00EF4CBD">
              <w:rPr>
                <w:b/>
                <w:lang w:eastAsia="en-NZ"/>
              </w:rPr>
              <w:t>days</w:t>
            </w:r>
          </w:p>
        </w:tc>
      </w:tr>
      <w:tr w:rsidR="00340704" w:rsidRPr="00826E06" w:rsidTr="00340704">
        <w:trPr>
          <w:cantSplit/>
        </w:trPr>
        <w:tc>
          <w:tcPr>
            <w:tcW w:w="2127" w:type="dxa"/>
            <w:tcBorders>
              <w:left w:val="nil"/>
              <w:bottom w:val="single" w:sz="4" w:space="0" w:color="7F7F7F" w:themeColor="text1" w:themeTint="80"/>
              <w:right w:val="single" w:sz="4" w:space="0" w:color="A6A6A6" w:themeColor="background1" w:themeShade="A6"/>
            </w:tcBorders>
            <w:shd w:val="clear" w:color="auto" w:fill="auto"/>
            <w:noWrap/>
            <w:hideMark/>
          </w:tcPr>
          <w:p w:rsidR="00340704" w:rsidRPr="00E848D2" w:rsidRDefault="00340704" w:rsidP="00A67A36">
            <w:pPr>
              <w:pStyle w:val="TableText"/>
              <w:keepNext/>
              <w:rPr>
                <w:b/>
                <w:lang w:eastAsia="en-NZ"/>
              </w:rPr>
            </w:pPr>
            <w:r w:rsidRPr="00E848D2">
              <w:rPr>
                <w:b/>
                <w:lang w:eastAsia="en-NZ"/>
              </w:rPr>
              <w:t>Total</w:t>
            </w:r>
          </w:p>
        </w:tc>
        <w:tc>
          <w:tcPr>
            <w:tcW w:w="1559" w:type="dxa"/>
            <w:tcBorders>
              <w:left w:val="single" w:sz="4" w:space="0" w:color="A6A6A6" w:themeColor="background1" w:themeShade="A6"/>
              <w:bottom w:val="single" w:sz="4" w:space="0" w:color="7F7F7F" w:themeColor="text1" w:themeTint="80"/>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1</w:t>
            </w:r>
            <w:r>
              <w:rPr>
                <w:lang w:eastAsia="en-NZ"/>
              </w:rPr>
              <w:t>,</w:t>
            </w:r>
            <w:r w:rsidRPr="00F654C0">
              <w:rPr>
                <w:lang w:eastAsia="en-NZ"/>
              </w:rPr>
              <w:t>810</w:t>
            </w:r>
          </w:p>
        </w:tc>
        <w:tc>
          <w:tcPr>
            <w:tcW w:w="744" w:type="dxa"/>
            <w:tcBorders>
              <w:left w:val="single" w:sz="4" w:space="0" w:color="A6A6A6" w:themeColor="background1" w:themeShade="A6"/>
              <w:bottom w:val="single" w:sz="4" w:space="0" w:color="7F7F7F" w:themeColor="text1" w:themeTint="80"/>
            </w:tcBorders>
            <w:shd w:val="clear" w:color="auto" w:fill="auto"/>
          </w:tcPr>
          <w:p w:rsidR="00340704" w:rsidRPr="00F654C0" w:rsidRDefault="00340704" w:rsidP="00340704">
            <w:pPr>
              <w:pStyle w:val="TableText"/>
              <w:tabs>
                <w:tab w:val="decimal" w:pos="393"/>
              </w:tabs>
              <w:rPr>
                <w:lang w:eastAsia="en-NZ"/>
              </w:rPr>
            </w:pPr>
            <w:r w:rsidRPr="00F654C0">
              <w:rPr>
                <w:lang w:eastAsia="en-NZ"/>
              </w:rPr>
              <w:t>79</w:t>
            </w:r>
          </w:p>
        </w:tc>
        <w:tc>
          <w:tcPr>
            <w:tcW w:w="744" w:type="dxa"/>
            <w:tcBorders>
              <w:bottom w:val="single" w:sz="4" w:space="0" w:color="7F7F7F" w:themeColor="text1" w:themeTint="80"/>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4.4</w:t>
            </w:r>
          </w:p>
        </w:tc>
        <w:tc>
          <w:tcPr>
            <w:tcW w:w="744" w:type="dxa"/>
            <w:tcBorders>
              <w:left w:val="single" w:sz="4" w:space="0" w:color="A6A6A6" w:themeColor="background1" w:themeShade="A6"/>
              <w:bottom w:val="single" w:sz="4" w:space="0" w:color="7F7F7F" w:themeColor="text1" w:themeTint="80"/>
            </w:tcBorders>
            <w:shd w:val="clear" w:color="auto" w:fill="auto"/>
          </w:tcPr>
          <w:p w:rsidR="00340704" w:rsidRPr="00F654C0" w:rsidRDefault="00340704" w:rsidP="00340704">
            <w:pPr>
              <w:pStyle w:val="TableText"/>
              <w:tabs>
                <w:tab w:val="decimal" w:pos="411"/>
              </w:tabs>
              <w:rPr>
                <w:lang w:eastAsia="en-NZ"/>
              </w:rPr>
            </w:pPr>
            <w:r w:rsidRPr="00F654C0">
              <w:rPr>
                <w:lang w:eastAsia="en-NZ"/>
              </w:rPr>
              <w:t>34</w:t>
            </w:r>
          </w:p>
        </w:tc>
        <w:tc>
          <w:tcPr>
            <w:tcW w:w="745" w:type="dxa"/>
            <w:tcBorders>
              <w:bottom w:val="single" w:sz="4" w:space="0" w:color="7F7F7F" w:themeColor="text1" w:themeTint="80"/>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1.9</w:t>
            </w:r>
          </w:p>
        </w:tc>
        <w:tc>
          <w:tcPr>
            <w:tcW w:w="1418" w:type="dxa"/>
            <w:tcBorders>
              <w:left w:val="single" w:sz="4" w:space="0" w:color="A6A6A6" w:themeColor="background1" w:themeShade="A6"/>
              <w:bottom w:val="single" w:sz="4" w:space="0" w:color="7F7F7F" w:themeColor="text1" w:themeTint="80"/>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826E06" w:rsidTr="00340704">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340704" w:rsidRPr="00E848D2" w:rsidRDefault="00340704" w:rsidP="00A67A36">
            <w:pPr>
              <w:pStyle w:val="TableText"/>
              <w:keepNext/>
              <w:rPr>
                <w:b/>
                <w:lang w:eastAsia="en-NZ"/>
              </w:rPr>
            </w:pPr>
            <w:r w:rsidRPr="00E848D2">
              <w:rPr>
                <w:b/>
                <w:lang w:eastAsia="en-NZ"/>
              </w:rPr>
              <w:t>Year of diagnosis</w:t>
            </w:r>
          </w:p>
        </w:tc>
        <w:tc>
          <w:tcPr>
            <w:tcW w:w="1559"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p>
        </w:tc>
        <w:tc>
          <w:tcPr>
            <w:tcW w:w="74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p>
        </w:tc>
        <w:tc>
          <w:tcPr>
            <w:tcW w:w="74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p>
        </w:tc>
        <w:tc>
          <w:tcPr>
            <w:tcW w:w="74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p>
        </w:tc>
        <w:tc>
          <w:tcPr>
            <w:tcW w:w="745"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p>
        </w:tc>
        <w:tc>
          <w:tcPr>
            <w:tcW w:w="1418"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340704" w:rsidRPr="00872866" w:rsidRDefault="00340704" w:rsidP="00A67A36">
            <w:pPr>
              <w:pStyle w:val="TableText"/>
              <w:keepNext/>
              <w:ind w:left="142"/>
              <w:rPr>
                <w:lang w:eastAsia="en-NZ"/>
              </w:rPr>
            </w:pPr>
            <w:r w:rsidRPr="00872866">
              <w:rPr>
                <w:lang w:eastAsia="en-NZ"/>
              </w:rPr>
              <w:t>2013</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441</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25</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5.7</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8</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1.8</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72866" w:rsidRDefault="00340704" w:rsidP="00A67A36">
            <w:pPr>
              <w:pStyle w:val="TableText"/>
              <w:keepNext/>
              <w:ind w:left="142"/>
              <w:rPr>
                <w:lang w:eastAsia="en-NZ"/>
              </w:rPr>
            </w:pPr>
            <w:r w:rsidRPr="00872866">
              <w:rPr>
                <w:lang w:eastAsia="en-NZ"/>
              </w:rPr>
              <w:t>2014</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505</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22</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4.4</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13</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2.6</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72866" w:rsidRDefault="00340704" w:rsidP="00A67A36">
            <w:pPr>
              <w:pStyle w:val="TableText"/>
              <w:keepNext/>
              <w:ind w:left="142"/>
              <w:rPr>
                <w:lang w:eastAsia="en-NZ"/>
              </w:rPr>
            </w:pPr>
            <w:r w:rsidRPr="00872866">
              <w:rPr>
                <w:lang w:eastAsia="en-NZ"/>
              </w:rPr>
              <w:t>2015</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427</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17</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4</w:t>
            </w:r>
            <w:r>
              <w:rPr>
                <w:lang w:eastAsia="en-NZ"/>
              </w:rPr>
              <w:t>.0</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7</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1.6</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826E06" w:rsidTr="00340704">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340704" w:rsidRPr="00872866" w:rsidRDefault="00340704" w:rsidP="00A67A36">
            <w:pPr>
              <w:pStyle w:val="TableText"/>
              <w:keepNext/>
              <w:ind w:left="142"/>
              <w:rPr>
                <w:lang w:eastAsia="en-NZ"/>
              </w:rPr>
            </w:pPr>
            <w:r w:rsidRPr="00872866">
              <w:rPr>
                <w:lang w:eastAsia="en-NZ"/>
              </w:rPr>
              <w:t>2016</w:t>
            </w:r>
          </w:p>
        </w:tc>
        <w:tc>
          <w:tcPr>
            <w:tcW w:w="1559"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437</w:t>
            </w:r>
          </w:p>
        </w:tc>
        <w:tc>
          <w:tcPr>
            <w:tcW w:w="74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340704" w:rsidRPr="00F654C0" w:rsidRDefault="00340704" w:rsidP="00340704">
            <w:pPr>
              <w:pStyle w:val="TableText"/>
              <w:tabs>
                <w:tab w:val="decimal" w:pos="393"/>
              </w:tabs>
              <w:rPr>
                <w:lang w:eastAsia="en-NZ"/>
              </w:rPr>
            </w:pPr>
            <w:r w:rsidRPr="00F654C0">
              <w:rPr>
                <w:lang w:eastAsia="en-NZ"/>
              </w:rPr>
              <w:t>15</w:t>
            </w:r>
          </w:p>
        </w:tc>
        <w:tc>
          <w:tcPr>
            <w:tcW w:w="744"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3.4</w:t>
            </w:r>
          </w:p>
        </w:tc>
        <w:tc>
          <w:tcPr>
            <w:tcW w:w="74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340704" w:rsidRPr="00F654C0" w:rsidRDefault="00340704" w:rsidP="00340704">
            <w:pPr>
              <w:pStyle w:val="TableText"/>
              <w:tabs>
                <w:tab w:val="decimal" w:pos="411"/>
              </w:tabs>
              <w:rPr>
                <w:lang w:eastAsia="en-NZ"/>
              </w:rPr>
            </w:pPr>
            <w:r w:rsidRPr="00F654C0">
              <w:rPr>
                <w:lang w:eastAsia="en-NZ"/>
              </w:rPr>
              <w:t>6</w:t>
            </w:r>
          </w:p>
        </w:tc>
        <w:tc>
          <w:tcPr>
            <w:tcW w:w="745"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1.4</w:t>
            </w:r>
          </w:p>
        </w:tc>
        <w:tc>
          <w:tcPr>
            <w:tcW w:w="1418"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826E06" w:rsidTr="00340704">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340704" w:rsidRPr="00E848D2" w:rsidRDefault="00340704" w:rsidP="00230CA2">
            <w:pPr>
              <w:pStyle w:val="TableText"/>
              <w:rPr>
                <w:b/>
                <w:lang w:eastAsia="en-NZ"/>
              </w:rPr>
            </w:pPr>
            <w:r w:rsidRPr="00E848D2">
              <w:rPr>
                <w:b/>
                <w:lang w:eastAsia="en-NZ"/>
              </w:rPr>
              <w:t xml:space="preserve">DHB of </w:t>
            </w:r>
            <w:r w:rsidR="007D4D25">
              <w:rPr>
                <w:b/>
                <w:lang w:eastAsia="en-NZ"/>
              </w:rPr>
              <w:t>service</w:t>
            </w:r>
          </w:p>
        </w:tc>
        <w:tc>
          <w:tcPr>
            <w:tcW w:w="1559"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p>
        </w:tc>
        <w:tc>
          <w:tcPr>
            <w:tcW w:w="74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p>
        </w:tc>
        <w:tc>
          <w:tcPr>
            <w:tcW w:w="74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p>
        </w:tc>
        <w:tc>
          <w:tcPr>
            <w:tcW w:w="74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p>
        </w:tc>
        <w:tc>
          <w:tcPr>
            <w:tcW w:w="745"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p>
        </w:tc>
        <w:tc>
          <w:tcPr>
            <w:tcW w:w="1418"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340704" w:rsidRPr="00826E06" w:rsidRDefault="00340704" w:rsidP="00A67A36">
            <w:pPr>
              <w:pStyle w:val="TableText"/>
              <w:ind w:left="142"/>
              <w:rPr>
                <w:lang w:eastAsia="en-NZ"/>
              </w:rPr>
            </w:pPr>
            <w:r w:rsidRPr="00826E06">
              <w:rPr>
                <w:lang w:eastAsia="en-NZ"/>
              </w:rPr>
              <w:t>Auckland</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119</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7</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5.9</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0</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Bay of Plenty</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108</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2</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1.9</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1</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Canterbury</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241</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4</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1.7</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4</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Capital and Coast</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109</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2</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1.8</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0</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Counties Manukau</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151</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13</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8.6</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4</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2.6</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Hawke</w:t>
            </w:r>
            <w:r>
              <w:rPr>
                <w:lang w:eastAsia="en-NZ"/>
              </w:rPr>
              <w:t>’</w:t>
            </w:r>
            <w:r w:rsidRPr="00826E06">
              <w:rPr>
                <w:lang w:eastAsia="en-NZ"/>
              </w:rPr>
              <w:t>s Bay</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81</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4</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4.9</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3</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3.7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Hutt Valley</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55</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0</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0</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Lakes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43</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0</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1</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2.3</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7</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MidCentral</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89</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3</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3.4</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4</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4.5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Nelson Marlborough</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59</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4</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6.8</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1</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Northland</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85</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2</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2.4</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0</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South Canterbury</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41</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0</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1</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2.4</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Southern</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173</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14</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8.1</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1</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0.6</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Tair</w:t>
            </w:r>
            <w:r w:rsidRPr="00401D63">
              <w:rPr>
                <w:lang w:eastAsia="en-NZ"/>
              </w:rPr>
              <w:t>ā</w:t>
            </w:r>
            <w:r w:rsidRPr="00826E06">
              <w:rPr>
                <w:lang w:eastAsia="en-NZ"/>
              </w:rPr>
              <w:t>whiti</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11</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1</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9.1</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0</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Taranaki</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56</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2</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3.6</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1</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1.8</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7.5</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Waikato</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143</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11</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7.7</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7</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4.9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7</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Wairarapa</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56888" w:rsidRDefault="00340704" w:rsidP="00340704">
            <w:pPr>
              <w:pStyle w:val="TableText"/>
              <w:tabs>
                <w:tab w:val="decimal" w:pos="935"/>
              </w:tabs>
              <w:rPr>
                <w:highlight w:val="yellow"/>
                <w:lang w:eastAsia="en-NZ"/>
              </w:rPr>
            </w:pPr>
            <w:r>
              <w:rPr>
                <w:sz w:val="14"/>
                <w:szCs w:val="14"/>
              </w:rPr>
              <w:t>–</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56888" w:rsidRDefault="00340704" w:rsidP="00340704">
            <w:pPr>
              <w:pStyle w:val="TableText"/>
              <w:tabs>
                <w:tab w:val="decimal" w:pos="393"/>
              </w:tabs>
              <w:rPr>
                <w:highlight w:val="yellow"/>
                <w:lang w:eastAsia="en-NZ"/>
              </w:rPr>
            </w:pPr>
            <w:r w:rsidRPr="00340704">
              <w:rPr>
                <w:color w:val="FF0000"/>
                <w:lang w:eastAsia="en-NZ"/>
              </w:rPr>
              <w:t>–</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56888" w:rsidRDefault="00340704" w:rsidP="00340704">
            <w:pPr>
              <w:pStyle w:val="TableText"/>
              <w:jc w:val="center"/>
              <w:rPr>
                <w:highlight w:val="yellow"/>
                <w:lang w:eastAsia="en-NZ"/>
              </w:rPr>
            </w:pPr>
            <w:r>
              <w:rPr>
                <w:sz w:val="14"/>
                <w:szCs w:val="14"/>
              </w:rPr>
              <w:t>–</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56888" w:rsidRDefault="00340704" w:rsidP="00340704">
            <w:pPr>
              <w:pStyle w:val="TableText"/>
              <w:tabs>
                <w:tab w:val="decimal" w:pos="411"/>
              </w:tabs>
              <w:rPr>
                <w:highlight w:val="yellow"/>
                <w:lang w:eastAsia="en-NZ"/>
              </w:rPr>
            </w:pPr>
            <w:r>
              <w:rPr>
                <w:sz w:val="14"/>
                <w:szCs w:val="14"/>
              </w:rPr>
              <w:t>–</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56888" w:rsidRDefault="00340704" w:rsidP="00340704">
            <w:pPr>
              <w:pStyle w:val="TableText"/>
              <w:jc w:val="center"/>
              <w:rPr>
                <w:highlight w:val="yellow"/>
                <w:lang w:eastAsia="en-NZ"/>
              </w:rPr>
            </w:pPr>
            <w:r>
              <w:rPr>
                <w:sz w:val="14"/>
                <w:szCs w:val="14"/>
              </w:rPr>
              <w:t>–</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56888" w:rsidRDefault="00340704" w:rsidP="00340704">
            <w:pPr>
              <w:pStyle w:val="TableText"/>
              <w:tabs>
                <w:tab w:val="decimal" w:pos="689"/>
              </w:tabs>
              <w:rPr>
                <w:highlight w:val="yellow"/>
                <w:lang w:eastAsia="en-NZ"/>
              </w:rPr>
            </w:pPr>
            <w:r>
              <w:rPr>
                <w:sz w:val="14"/>
                <w:szCs w:val="14"/>
              </w:rPr>
              <w:t>–</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Waitemata</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209</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9</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4.3</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5</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2.4</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826E06"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West Coast</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56888" w:rsidRDefault="007D4D25" w:rsidP="00340704">
            <w:pPr>
              <w:pStyle w:val="TableText"/>
              <w:tabs>
                <w:tab w:val="decimal" w:pos="935"/>
              </w:tabs>
              <w:rPr>
                <w:highlight w:val="yellow"/>
                <w:lang w:eastAsia="en-NZ"/>
              </w:rPr>
            </w:pPr>
            <w:r>
              <w:rPr>
                <w:sz w:val="14"/>
                <w:szCs w:val="14"/>
              </w:rPr>
              <w:t>–</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56888" w:rsidRDefault="007D4D25" w:rsidP="00340704">
            <w:pPr>
              <w:pStyle w:val="TableText"/>
              <w:tabs>
                <w:tab w:val="decimal" w:pos="393"/>
              </w:tabs>
              <w:rPr>
                <w:highlight w:val="yellow"/>
                <w:lang w:eastAsia="en-NZ"/>
              </w:rPr>
            </w:pPr>
            <w:r>
              <w:rPr>
                <w:sz w:val="14"/>
                <w:szCs w:val="14"/>
              </w:rPr>
              <w:t>–</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56888" w:rsidRDefault="007D4D25" w:rsidP="00340704">
            <w:pPr>
              <w:pStyle w:val="TableText"/>
              <w:jc w:val="center"/>
              <w:rPr>
                <w:highlight w:val="yellow"/>
                <w:lang w:eastAsia="en-NZ"/>
              </w:rPr>
            </w:pPr>
            <w:r>
              <w:rPr>
                <w:sz w:val="14"/>
                <w:szCs w:val="14"/>
              </w:rPr>
              <w:t>–</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56888" w:rsidRDefault="007D4D25" w:rsidP="00340704">
            <w:pPr>
              <w:pStyle w:val="TableText"/>
              <w:tabs>
                <w:tab w:val="decimal" w:pos="411"/>
              </w:tabs>
              <w:rPr>
                <w:highlight w:val="yellow"/>
                <w:lang w:eastAsia="en-NZ"/>
              </w:rPr>
            </w:pPr>
            <w:r>
              <w:rPr>
                <w:sz w:val="14"/>
                <w:szCs w:val="14"/>
              </w:rPr>
              <w:t>–</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56888" w:rsidRDefault="007D4D25" w:rsidP="00340704">
            <w:pPr>
              <w:pStyle w:val="TableText"/>
              <w:jc w:val="center"/>
              <w:rPr>
                <w:highlight w:val="yellow"/>
                <w:lang w:eastAsia="en-NZ"/>
              </w:rPr>
            </w:pPr>
            <w:r>
              <w:rPr>
                <w:sz w:val="14"/>
                <w:szCs w:val="14"/>
              </w:rPr>
              <w:t>–</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56888" w:rsidRDefault="007D4D25" w:rsidP="00340704">
            <w:pPr>
              <w:pStyle w:val="TableText"/>
              <w:tabs>
                <w:tab w:val="decimal" w:pos="689"/>
              </w:tabs>
              <w:rPr>
                <w:highlight w:val="yellow"/>
                <w:lang w:eastAsia="en-NZ"/>
              </w:rPr>
            </w:pPr>
            <w:r>
              <w:rPr>
                <w:sz w:val="14"/>
                <w:szCs w:val="14"/>
              </w:rPr>
              <w:t>–</w:t>
            </w:r>
          </w:p>
        </w:tc>
      </w:tr>
      <w:tr w:rsidR="00340704" w:rsidRPr="00826E06" w:rsidTr="00340704">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340704" w:rsidRPr="00826E06" w:rsidRDefault="00340704" w:rsidP="00A67A36">
            <w:pPr>
              <w:pStyle w:val="TableText"/>
              <w:ind w:left="142"/>
              <w:rPr>
                <w:lang w:eastAsia="en-NZ"/>
              </w:rPr>
            </w:pPr>
            <w:r w:rsidRPr="00826E06">
              <w:rPr>
                <w:lang w:eastAsia="en-NZ"/>
              </w:rPr>
              <w:t>Whanganui</w:t>
            </w:r>
          </w:p>
        </w:tc>
        <w:tc>
          <w:tcPr>
            <w:tcW w:w="1559"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29</w:t>
            </w:r>
          </w:p>
        </w:tc>
        <w:tc>
          <w:tcPr>
            <w:tcW w:w="74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340704" w:rsidRPr="00F654C0" w:rsidRDefault="00340704" w:rsidP="00340704">
            <w:pPr>
              <w:pStyle w:val="TableText"/>
              <w:tabs>
                <w:tab w:val="decimal" w:pos="393"/>
              </w:tabs>
              <w:rPr>
                <w:lang w:eastAsia="en-NZ"/>
              </w:rPr>
            </w:pPr>
            <w:r w:rsidRPr="00F654C0">
              <w:rPr>
                <w:lang w:eastAsia="en-NZ"/>
              </w:rPr>
              <w:t>0</w:t>
            </w:r>
          </w:p>
        </w:tc>
        <w:tc>
          <w:tcPr>
            <w:tcW w:w="744"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w:t>
            </w:r>
          </w:p>
        </w:tc>
        <w:tc>
          <w:tcPr>
            <w:tcW w:w="74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340704" w:rsidRPr="00F654C0" w:rsidRDefault="00340704" w:rsidP="00340704">
            <w:pPr>
              <w:pStyle w:val="TableText"/>
              <w:tabs>
                <w:tab w:val="decimal" w:pos="411"/>
              </w:tabs>
              <w:rPr>
                <w:lang w:eastAsia="en-NZ"/>
              </w:rPr>
            </w:pPr>
            <w:r w:rsidRPr="00F654C0">
              <w:rPr>
                <w:lang w:eastAsia="en-NZ"/>
              </w:rPr>
              <w:t>1</w:t>
            </w:r>
          </w:p>
        </w:tc>
        <w:tc>
          <w:tcPr>
            <w:tcW w:w="745"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3.4</w:t>
            </w:r>
          </w:p>
        </w:tc>
        <w:tc>
          <w:tcPr>
            <w:tcW w:w="1418"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826E06" w:rsidTr="00340704">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340704" w:rsidRPr="00E848D2" w:rsidRDefault="00340704" w:rsidP="00053778">
            <w:pPr>
              <w:pStyle w:val="TableText"/>
              <w:rPr>
                <w:b/>
                <w:lang w:eastAsia="en-NZ"/>
              </w:rPr>
            </w:pPr>
            <w:r w:rsidRPr="00E848D2">
              <w:rPr>
                <w:b/>
                <w:lang w:eastAsia="en-NZ"/>
              </w:rPr>
              <w:t>Age group (years)</w:t>
            </w:r>
          </w:p>
        </w:tc>
        <w:tc>
          <w:tcPr>
            <w:tcW w:w="1559"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053778">
            <w:pPr>
              <w:pStyle w:val="TableText"/>
              <w:tabs>
                <w:tab w:val="decimal" w:pos="935"/>
              </w:tabs>
              <w:rPr>
                <w:lang w:eastAsia="en-NZ"/>
              </w:rPr>
            </w:pPr>
          </w:p>
        </w:tc>
        <w:tc>
          <w:tcPr>
            <w:tcW w:w="74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053778">
            <w:pPr>
              <w:pStyle w:val="TableText"/>
              <w:tabs>
                <w:tab w:val="decimal" w:pos="393"/>
              </w:tabs>
              <w:rPr>
                <w:lang w:eastAsia="en-NZ"/>
              </w:rPr>
            </w:pPr>
          </w:p>
        </w:tc>
        <w:tc>
          <w:tcPr>
            <w:tcW w:w="74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053778">
            <w:pPr>
              <w:pStyle w:val="TableText"/>
              <w:jc w:val="center"/>
              <w:rPr>
                <w:lang w:eastAsia="en-NZ"/>
              </w:rPr>
            </w:pPr>
          </w:p>
        </w:tc>
        <w:tc>
          <w:tcPr>
            <w:tcW w:w="74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053778">
            <w:pPr>
              <w:pStyle w:val="TableText"/>
              <w:tabs>
                <w:tab w:val="decimal" w:pos="411"/>
              </w:tabs>
              <w:rPr>
                <w:lang w:eastAsia="en-NZ"/>
              </w:rPr>
            </w:pPr>
          </w:p>
        </w:tc>
        <w:tc>
          <w:tcPr>
            <w:tcW w:w="745"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053778">
            <w:pPr>
              <w:pStyle w:val="TableText"/>
              <w:jc w:val="center"/>
              <w:rPr>
                <w:lang w:eastAsia="en-NZ"/>
              </w:rPr>
            </w:pPr>
          </w:p>
        </w:tc>
        <w:tc>
          <w:tcPr>
            <w:tcW w:w="1418"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053778">
            <w:pPr>
              <w:pStyle w:val="TableText"/>
              <w:tabs>
                <w:tab w:val="decimal" w:pos="689"/>
              </w:tabs>
              <w:rPr>
                <w:lang w:eastAsia="en-NZ"/>
              </w:rPr>
            </w:pPr>
          </w:p>
        </w:tc>
      </w:tr>
      <w:tr w:rsidR="00340704" w:rsidRPr="00DD4C09"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340704" w:rsidRPr="00872866" w:rsidRDefault="00340704" w:rsidP="00053778">
            <w:pPr>
              <w:pStyle w:val="TableText"/>
              <w:ind w:left="142"/>
              <w:rPr>
                <w:lang w:eastAsia="en-NZ"/>
              </w:rPr>
            </w:pPr>
            <w:r w:rsidRPr="00872866">
              <w:rPr>
                <w:lang w:eastAsia="en-NZ"/>
              </w:rPr>
              <w:t>18</w:t>
            </w:r>
            <w:r>
              <w:rPr>
                <w:lang w:eastAsia="en-NZ"/>
              </w:rPr>
              <w:t>–</w:t>
            </w:r>
            <w:r w:rsidRPr="00872866">
              <w:rPr>
                <w:lang w:eastAsia="en-NZ"/>
              </w:rPr>
              <w:t>49</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053778">
            <w:pPr>
              <w:pStyle w:val="TableText"/>
              <w:tabs>
                <w:tab w:val="decimal" w:pos="935"/>
              </w:tabs>
              <w:rPr>
                <w:lang w:eastAsia="en-NZ"/>
              </w:rPr>
            </w:pPr>
            <w:r w:rsidRPr="00F654C0">
              <w:rPr>
                <w:lang w:eastAsia="en-NZ"/>
              </w:rPr>
              <w:t>152</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053778">
            <w:pPr>
              <w:pStyle w:val="TableText"/>
              <w:tabs>
                <w:tab w:val="decimal" w:pos="393"/>
              </w:tabs>
              <w:rPr>
                <w:lang w:eastAsia="en-NZ"/>
              </w:rPr>
            </w:pPr>
            <w:r w:rsidRPr="00F654C0">
              <w:rPr>
                <w:lang w:eastAsia="en-NZ"/>
              </w:rPr>
              <w:t>15</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053778">
            <w:pPr>
              <w:pStyle w:val="TableText"/>
              <w:jc w:val="center"/>
              <w:rPr>
                <w:lang w:eastAsia="en-NZ"/>
              </w:rPr>
            </w:pPr>
            <w:r w:rsidRPr="00F654C0">
              <w:rPr>
                <w:lang w:eastAsia="en-NZ"/>
              </w:rPr>
              <w:t>9.9</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053778">
            <w:pPr>
              <w:pStyle w:val="TableText"/>
              <w:tabs>
                <w:tab w:val="decimal" w:pos="411"/>
              </w:tabs>
              <w:rPr>
                <w:lang w:eastAsia="en-NZ"/>
              </w:rPr>
            </w:pPr>
            <w:r w:rsidRPr="00F654C0">
              <w:rPr>
                <w:lang w:eastAsia="en-NZ"/>
              </w:rPr>
              <w:t>1</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053778">
            <w:pPr>
              <w:pStyle w:val="TableText"/>
              <w:jc w:val="center"/>
              <w:rPr>
                <w:lang w:eastAsia="en-NZ"/>
              </w:rPr>
            </w:pPr>
            <w:r w:rsidRPr="00F654C0">
              <w:rPr>
                <w:lang w:eastAsia="en-NZ"/>
              </w:rPr>
              <w:t>0.7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053778">
            <w:pPr>
              <w:pStyle w:val="TableText"/>
              <w:tabs>
                <w:tab w:val="decimal" w:pos="689"/>
              </w:tabs>
              <w:rPr>
                <w:lang w:eastAsia="en-NZ"/>
              </w:rPr>
            </w:pPr>
            <w:r w:rsidRPr="00F654C0">
              <w:rPr>
                <w:lang w:eastAsia="en-NZ"/>
              </w:rPr>
              <w:t>8</w:t>
            </w:r>
          </w:p>
        </w:tc>
      </w:tr>
      <w:tr w:rsidR="00340704" w:rsidRPr="00DD4C09"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72866" w:rsidRDefault="00340704" w:rsidP="00053778">
            <w:pPr>
              <w:pStyle w:val="TableText"/>
              <w:ind w:left="142"/>
              <w:rPr>
                <w:lang w:eastAsia="en-NZ"/>
              </w:rPr>
            </w:pPr>
            <w:r w:rsidRPr="00872866">
              <w:rPr>
                <w:lang w:eastAsia="en-NZ"/>
              </w:rPr>
              <w:t>50</w:t>
            </w:r>
            <w:r>
              <w:rPr>
                <w:lang w:eastAsia="en-NZ"/>
              </w:rPr>
              <w:t>–</w:t>
            </w:r>
            <w:r w:rsidRPr="00872866">
              <w:rPr>
                <w:lang w:eastAsia="en-NZ"/>
              </w:rPr>
              <w:t>59</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053778">
            <w:pPr>
              <w:pStyle w:val="TableText"/>
              <w:tabs>
                <w:tab w:val="decimal" w:pos="935"/>
              </w:tabs>
              <w:rPr>
                <w:lang w:eastAsia="en-NZ"/>
              </w:rPr>
            </w:pPr>
            <w:r w:rsidRPr="00F654C0">
              <w:rPr>
                <w:lang w:eastAsia="en-NZ"/>
              </w:rPr>
              <w:t>304</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053778">
            <w:pPr>
              <w:pStyle w:val="TableText"/>
              <w:tabs>
                <w:tab w:val="decimal" w:pos="393"/>
              </w:tabs>
              <w:rPr>
                <w:lang w:eastAsia="en-NZ"/>
              </w:rPr>
            </w:pPr>
            <w:r w:rsidRPr="00F654C0">
              <w:rPr>
                <w:lang w:eastAsia="en-NZ"/>
              </w:rPr>
              <w:t>11</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053778">
            <w:pPr>
              <w:pStyle w:val="TableText"/>
              <w:jc w:val="center"/>
              <w:rPr>
                <w:lang w:eastAsia="en-NZ"/>
              </w:rPr>
            </w:pPr>
            <w:r w:rsidRPr="00F654C0">
              <w:rPr>
                <w:lang w:eastAsia="en-NZ"/>
              </w:rPr>
              <w:t>3.6</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053778">
            <w:pPr>
              <w:pStyle w:val="TableText"/>
              <w:tabs>
                <w:tab w:val="decimal" w:pos="411"/>
              </w:tabs>
              <w:rPr>
                <w:lang w:eastAsia="en-NZ"/>
              </w:rPr>
            </w:pPr>
            <w:r w:rsidRPr="00F654C0">
              <w:rPr>
                <w:lang w:eastAsia="en-NZ"/>
              </w:rPr>
              <w:t>2</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053778">
            <w:pPr>
              <w:pStyle w:val="TableText"/>
              <w:jc w:val="center"/>
              <w:rPr>
                <w:lang w:eastAsia="en-NZ"/>
              </w:rPr>
            </w:pPr>
            <w:r w:rsidRPr="00F654C0">
              <w:rPr>
                <w:lang w:eastAsia="en-NZ"/>
              </w:rPr>
              <w:t>0.7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053778">
            <w:pPr>
              <w:pStyle w:val="TableText"/>
              <w:tabs>
                <w:tab w:val="decimal" w:pos="689"/>
              </w:tabs>
              <w:rPr>
                <w:lang w:eastAsia="en-NZ"/>
              </w:rPr>
            </w:pPr>
            <w:r w:rsidRPr="00F654C0">
              <w:rPr>
                <w:lang w:eastAsia="en-NZ"/>
              </w:rPr>
              <w:t>8</w:t>
            </w:r>
          </w:p>
        </w:tc>
      </w:tr>
      <w:tr w:rsidR="00340704" w:rsidRPr="00DD4C09"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72866" w:rsidRDefault="00340704" w:rsidP="00053778">
            <w:pPr>
              <w:pStyle w:val="TableText"/>
              <w:ind w:left="142"/>
              <w:rPr>
                <w:lang w:eastAsia="en-NZ"/>
              </w:rPr>
            </w:pPr>
            <w:r w:rsidRPr="00872866">
              <w:rPr>
                <w:lang w:eastAsia="en-NZ"/>
              </w:rPr>
              <w:t>60</w:t>
            </w:r>
            <w:r>
              <w:rPr>
                <w:lang w:eastAsia="en-NZ"/>
              </w:rPr>
              <w:t>–</w:t>
            </w:r>
            <w:r w:rsidRPr="00872866">
              <w:rPr>
                <w:lang w:eastAsia="en-NZ"/>
              </w:rPr>
              <w:t>74</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053778">
            <w:pPr>
              <w:pStyle w:val="TableText"/>
              <w:tabs>
                <w:tab w:val="decimal" w:pos="935"/>
              </w:tabs>
              <w:rPr>
                <w:lang w:eastAsia="en-NZ"/>
              </w:rPr>
            </w:pPr>
            <w:r w:rsidRPr="00F654C0">
              <w:rPr>
                <w:lang w:eastAsia="en-NZ"/>
              </w:rPr>
              <w:t>828</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053778">
            <w:pPr>
              <w:pStyle w:val="TableText"/>
              <w:tabs>
                <w:tab w:val="decimal" w:pos="393"/>
              </w:tabs>
              <w:rPr>
                <w:lang w:eastAsia="en-NZ"/>
              </w:rPr>
            </w:pPr>
            <w:r w:rsidRPr="00F654C0">
              <w:rPr>
                <w:lang w:eastAsia="en-NZ"/>
              </w:rPr>
              <w:t>20</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053778">
            <w:pPr>
              <w:pStyle w:val="TableText"/>
              <w:jc w:val="center"/>
              <w:rPr>
                <w:lang w:eastAsia="en-NZ"/>
              </w:rPr>
            </w:pPr>
            <w:r w:rsidRPr="00F654C0">
              <w:rPr>
                <w:lang w:eastAsia="en-NZ"/>
              </w:rPr>
              <w:t>2.4</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053778">
            <w:pPr>
              <w:pStyle w:val="TableText"/>
              <w:tabs>
                <w:tab w:val="decimal" w:pos="411"/>
              </w:tabs>
              <w:rPr>
                <w:lang w:eastAsia="en-NZ"/>
              </w:rPr>
            </w:pPr>
            <w:r w:rsidRPr="00F654C0">
              <w:rPr>
                <w:lang w:eastAsia="en-NZ"/>
              </w:rPr>
              <w:t>12</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053778">
            <w:pPr>
              <w:pStyle w:val="TableText"/>
              <w:jc w:val="center"/>
              <w:rPr>
                <w:lang w:eastAsia="en-NZ"/>
              </w:rPr>
            </w:pPr>
            <w:r w:rsidRPr="00F654C0">
              <w:rPr>
                <w:lang w:eastAsia="en-NZ"/>
              </w:rPr>
              <w:t>1.4</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053778">
            <w:pPr>
              <w:pStyle w:val="TableText"/>
              <w:tabs>
                <w:tab w:val="decimal" w:pos="689"/>
              </w:tabs>
              <w:rPr>
                <w:lang w:eastAsia="en-NZ"/>
              </w:rPr>
            </w:pPr>
            <w:r w:rsidRPr="00F654C0">
              <w:rPr>
                <w:lang w:eastAsia="en-NZ"/>
              </w:rPr>
              <w:t>8</w:t>
            </w:r>
          </w:p>
        </w:tc>
      </w:tr>
      <w:tr w:rsidR="00340704" w:rsidRPr="00DD4C09" w:rsidTr="00340704">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340704" w:rsidRPr="00872866" w:rsidRDefault="00340704" w:rsidP="00A67A36">
            <w:pPr>
              <w:pStyle w:val="TableText"/>
              <w:ind w:left="142"/>
              <w:rPr>
                <w:lang w:eastAsia="en-NZ"/>
              </w:rPr>
            </w:pPr>
            <w:r w:rsidRPr="00872866">
              <w:rPr>
                <w:lang w:eastAsia="en-NZ"/>
              </w:rPr>
              <w:t>75+</w:t>
            </w:r>
          </w:p>
        </w:tc>
        <w:tc>
          <w:tcPr>
            <w:tcW w:w="1559"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526</w:t>
            </w:r>
          </w:p>
        </w:tc>
        <w:tc>
          <w:tcPr>
            <w:tcW w:w="74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340704" w:rsidRPr="00F654C0" w:rsidRDefault="00340704" w:rsidP="00340704">
            <w:pPr>
              <w:pStyle w:val="TableText"/>
              <w:tabs>
                <w:tab w:val="decimal" w:pos="393"/>
              </w:tabs>
              <w:rPr>
                <w:lang w:eastAsia="en-NZ"/>
              </w:rPr>
            </w:pPr>
            <w:r w:rsidRPr="00F654C0">
              <w:rPr>
                <w:lang w:eastAsia="en-NZ"/>
              </w:rPr>
              <w:t>33</w:t>
            </w:r>
          </w:p>
        </w:tc>
        <w:tc>
          <w:tcPr>
            <w:tcW w:w="744"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6.3</w:t>
            </w:r>
          </w:p>
        </w:tc>
        <w:tc>
          <w:tcPr>
            <w:tcW w:w="74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340704" w:rsidRPr="00F654C0" w:rsidRDefault="00340704" w:rsidP="00340704">
            <w:pPr>
              <w:pStyle w:val="TableText"/>
              <w:tabs>
                <w:tab w:val="decimal" w:pos="411"/>
              </w:tabs>
              <w:rPr>
                <w:lang w:eastAsia="en-NZ"/>
              </w:rPr>
            </w:pPr>
            <w:r w:rsidRPr="00F654C0">
              <w:rPr>
                <w:lang w:eastAsia="en-NZ"/>
              </w:rPr>
              <w:t>19</w:t>
            </w:r>
          </w:p>
        </w:tc>
        <w:tc>
          <w:tcPr>
            <w:tcW w:w="745"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3.6</w:t>
            </w:r>
          </w:p>
        </w:tc>
        <w:tc>
          <w:tcPr>
            <w:tcW w:w="1418"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10</w:t>
            </w:r>
          </w:p>
        </w:tc>
      </w:tr>
      <w:tr w:rsidR="00340704" w:rsidRPr="00826E06" w:rsidTr="00340704">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340704" w:rsidRPr="00E848D2" w:rsidRDefault="00340704" w:rsidP="00A67A36">
            <w:pPr>
              <w:pStyle w:val="TableText"/>
              <w:rPr>
                <w:b/>
                <w:lang w:eastAsia="en-NZ"/>
              </w:rPr>
            </w:pPr>
            <w:r w:rsidRPr="00E848D2">
              <w:rPr>
                <w:b/>
                <w:lang w:eastAsia="en-NZ"/>
              </w:rPr>
              <w:lastRenderedPageBreak/>
              <w:t>Sex</w:t>
            </w:r>
          </w:p>
        </w:tc>
        <w:tc>
          <w:tcPr>
            <w:tcW w:w="1559"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p>
        </w:tc>
        <w:tc>
          <w:tcPr>
            <w:tcW w:w="74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p>
        </w:tc>
        <w:tc>
          <w:tcPr>
            <w:tcW w:w="74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p>
        </w:tc>
        <w:tc>
          <w:tcPr>
            <w:tcW w:w="74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p>
        </w:tc>
        <w:tc>
          <w:tcPr>
            <w:tcW w:w="745"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p>
        </w:tc>
        <w:tc>
          <w:tcPr>
            <w:tcW w:w="1418"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p>
        </w:tc>
      </w:tr>
      <w:tr w:rsidR="00340704" w:rsidRPr="00DD4C09"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340704" w:rsidRPr="00872866" w:rsidRDefault="00340704" w:rsidP="00A67A36">
            <w:pPr>
              <w:pStyle w:val="TableText"/>
              <w:ind w:left="142"/>
              <w:rPr>
                <w:lang w:eastAsia="en-NZ"/>
              </w:rPr>
            </w:pPr>
            <w:r>
              <w:rPr>
                <w:lang w:eastAsia="en-NZ"/>
              </w:rPr>
              <w:t>Female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658</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36</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5.5</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11</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DD4C09" w:rsidTr="00340704">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340704" w:rsidRPr="00872866" w:rsidRDefault="00340704" w:rsidP="00A67A36">
            <w:pPr>
              <w:pStyle w:val="TableText"/>
              <w:ind w:left="142"/>
              <w:rPr>
                <w:lang w:eastAsia="en-NZ"/>
              </w:rPr>
            </w:pPr>
            <w:r>
              <w:rPr>
                <w:lang w:eastAsia="en-NZ"/>
              </w:rPr>
              <w:t>Male</w:t>
            </w:r>
          </w:p>
        </w:tc>
        <w:tc>
          <w:tcPr>
            <w:tcW w:w="1559"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1</w:t>
            </w:r>
            <w:r>
              <w:rPr>
                <w:lang w:eastAsia="en-NZ"/>
              </w:rPr>
              <w:t>,</w:t>
            </w:r>
            <w:r w:rsidRPr="00F654C0">
              <w:rPr>
                <w:lang w:eastAsia="en-NZ"/>
              </w:rPr>
              <w:t>152</w:t>
            </w:r>
          </w:p>
        </w:tc>
        <w:tc>
          <w:tcPr>
            <w:tcW w:w="74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340704" w:rsidRPr="00F654C0" w:rsidRDefault="00340704" w:rsidP="00340704">
            <w:pPr>
              <w:pStyle w:val="TableText"/>
              <w:tabs>
                <w:tab w:val="decimal" w:pos="393"/>
              </w:tabs>
              <w:rPr>
                <w:lang w:eastAsia="en-NZ"/>
              </w:rPr>
            </w:pPr>
            <w:r w:rsidRPr="00F654C0">
              <w:rPr>
                <w:lang w:eastAsia="en-NZ"/>
              </w:rPr>
              <w:t>43</w:t>
            </w:r>
          </w:p>
        </w:tc>
        <w:tc>
          <w:tcPr>
            <w:tcW w:w="744"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3.7</w:t>
            </w:r>
          </w:p>
        </w:tc>
        <w:tc>
          <w:tcPr>
            <w:tcW w:w="74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340704" w:rsidRPr="00F654C0" w:rsidRDefault="00340704" w:rsidP="00340704">
            <w:pPr>
              <w:pStyle w:val="TableText"/>
              <w:tabs>
                <w:tab w:val="decimal" w:pos="411"/>
              </w:tabs>
              <w:rPr>
                <w:lang w:eastAsia="en-NZ"/>
              </w:rPr>
            </w:pPr>
            <w:r w:rsidRPr="00F654C0">
              <w:rPr>
                <w:lang w:eastAsia="en-NZ"/>
              </w:rPr>
              <w:t>23</w:t>
            </w:r>
          </w:p>
        </w:tc>
        <w:tc>
          <w:tcPr>
            <w:tcW w:w="745"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2</w:t>
            </w:r>
            <w:r>
              <w:rPr>
                <w:lang w:eastAsia="en-NZ"/>
              </w:rPr>
              <w:t>.0</w:t>
            </w:r>
          </w:p>
        </w:tc>
        <w:tc>
          <w:tcPr>
            <w:tcW w:w="1418"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826E06" w:rsidTr="00340704">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340704" w:rsidRPr="00E848D2" w:rsidRDefault="00340704" w:rsidP="00A67A36">
            <w:pPr>
              <w:pStyle w:val="TableText"/>
              <w:rPr>
                <w:b/>
                <w:lang w:eastAsia="en-NZ"/>
              </w:rPr>
            </w:pPr>
            <w:r w:rsidRPr="00E848D2">
              <w:rPr>
                <w:b/>
                <w:lang w:eastAsia="en-NZ"/>
              </w:rPr>
              <w:t>Ethnic group</w:t>
            </w:r>
          </w:p>
        </w:tc>
        <w:tc>
          <w:tcPr>
            <w:tcW w:w="1559"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p>
        </w:tc>
        <w:tc>
          <w:tcPr>
            <w:tcW w:w="74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p>
        </w:tc>
        <w:tc>
          <w:tcPr>
            <w:tcW w:w="74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p>
        </w:tc>
        <w:tc>
          <w:tcPr>
            <w:tcW w:w="74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p>
        </w:tc>
        <w:tc>
          <w:tcPr>
            <w:tcW w:w="745"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p>
        </w:tc>
        <w:tc>
          <w:tcPr>
            <w:tcW w:w="1418"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p>
        </w:tc>
      </w:tr>
      <w:tr w:rsidR="00340704" w:rsidRPr="00DD4C09"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340704" w:rsidRPr="00872866" w:rsidRDefault="00340704" w:rsidP="00A67A36">
            <w:pPr>
              <w:pStyle w:val="TableText"/>
              <w:ind w:left="142"/>
              <w:rPr>
                <w:lang w:eastAsia="en-NZ"/>
              </w:rPr>
            </w:pPr>
            <w:r w:rsidRPr="00872866">
              <w:rPr>
                <w:lang w:eastAsia="en-NZ"/>
              </w:rPr>
              <w:t>M</w:t>
            </w:r>
            <w:r>
              <w:rPr>
                <w:lang w:eastAsia="en-NZ"/>
              </w:rPr>
              <w:t>ā</w:t>
            </w:r>
            <w:r w:rsidRPr="00872866">
              <w:rPr>
                <w:lang w:eastAsia="en-NZ"/>
              </w:rPr>
              <w:t>ori</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123</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2</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1.6</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2</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1.6</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DD4C09"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72866" w:rsidRDefault="00340704" w:rsidP="00A67A36">
            <w:pPr>
              <w:pStyle w:val="TableText"/>
              <w:ind w:left="142"/>
              <w:rPr>
                <w:lang w:eastAsia="en-NZ"/>
              </w:rPr>
            </w:pPr>
            <w:r w:rsidRPr="00872866">
              <w:rPr>
                <w:lang w:eastAsia="en-NZ"/>
              </w:rPr>
              <w:t>Pacific peoples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55</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8</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14.5</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2</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3.6</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DD4C09"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72866" w:rsidRDefault="00340704" w:rsidP="00A67A36">
            <w:pPr>
              <w:pStyle w:val="TableText"/>
              <w:ind w:left="142"/>
              <w:rPr>
                <w:lang w:eastAsia="en-NZ"/>
              </w:rPr>
            </w:pPr>
            <w:r w:rsidRPr="00872866">
              <w:rPr>
                <w:lang w:eastAsia="en-NZ"/>
              </w:rPr>
              <w:t>Asian</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89</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5</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5.6</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0</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DD4C09"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72866" w:rsidRDefault="00340704" w:rsidP="00A67A36">
            <w:pPr>
              <w:pStyle w:val="TableText"/>
              <w:ind w:left="142"/>
              <w:rPr>
                <w:lang w:eastAsia="en-NZ"/>
              </w:rPr>
            </w:pPr>
            <w:r w:rsidRPr="00872866">
              <w:rPr>
                <w:lang w:eastAsia="en-NZ"/>
              </w:rPr>
              <w:t>European/Other</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1</w:t>
            </w:r>
            <w:r>
              <w:rPr>
                <w:lang w:eastAsia="en-NZ"/>
              </w:rPr>
              <w:t>,</w:t>
            </w:r>
            <w:r w:rsidRPr="00F654C0">
              <w:rPr>
                <w:lang w:eastAsia="en-NZ"/>
              </w:rPr>
              <w:t>512</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61</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4</w:t>
            </w:r>
            <w:r>
              <w:rPr>
                <w:lang w:eastAsia="en-NZ"/>
              </w:rPr>
              <w:t>.0</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30</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2</w:t>
            </w:r>
            <w:r>
              <w:rPr>
                <w:lang w:eastAsia="en-NZ"/>
              </w:rPr>
              <w:t>.0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DD4C09" w:rsidTr="00340704">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340704" w:rsidRPr="00872866" w:rsidRDefault="00340704" w:rsidP="00A67A36">
            <w:pPr>
              <w:pStyle w:val="TableText"/>
              <w:ind w:left="142"/>
              <w:rPr>
                <w:lang w:eastAsia="en-NZ"/>
              </w:rPr>
            </w:pPr>
            <w:r w:rsidRPr="00872866">
              <w:rPr>
                <w:lang w:eastAsia="en-NZ"/>
              </w:rPr>
              <w:t>Unknown</w:t>
            </w:r>
          </w:p>
        </w:tc>
        <w:tc>
          <w:tcPr>
            <w:tcW w:w="1559"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31</w:t>
            </w:r>
          </w:p>
        </w:tc>
        <w:tc>
          <w:tcPr>
            <w:tcW w:w="74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340704" w:rsidRPr="00F654C0" w:rsidRDefault="00340704" w:rsidP="00340704">
            <w:pPr>
              <w:pStyle w:val="TableText"/>
              <w:tabs>
                <w:tab w:val="decimal" w:pos="393"/>
              </w:tabs>
              <w:rPr>
                <w:lang w:eastAsia="en-NZ"/>
              </w:rPr>
            </w:pPr>
            <w:r w:rsidRPr="00F654C0">
              <w:rPr>
                <w:lang w:eastAsia="en-NZ"/>
              </w:rPr>
              <w:t>3</w:t>
            </w:r>
          </w:p>
        </w:tc>
        <w:tc>
          <w:tcPr>
            <w:tcW w:w="744"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9.7</w:t>
            </w:r>
          </w:p>
        </w:tc>
        <w:tc>
          <w:tcPr>
            <w:tcW w:w="74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340704" w:rsidRPr="00F654C0" w:rsidRDefault="00340704" w:rsidP="00340704">
            <w:pPr>
              <w:pStyle w:val="TableText"/>
              <w:tabs>
                <w:tab w:val="decimal" w:pos="411"/>
              </w:tabs>
              <w:rPr>
                <w:lang w:eastAsia="en-NZ"/>
              </w:rPr>
            </w:pPr>
            <w:r w:rsidRPr="00F654C0">
              <w:rPr>
                <w:lang w:eastAsia="en-NZ"/>
              </w:rPr>
              <w:t>0</w:t>
            </w:r>
          </w:p>
        </w:tc>
        <w:tc>
          <w:tcPr>
            <w:tcW w:w="745"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w:t>
            </w:r>
          </w:p>
        </w:tc>
        <w:tc>
          <w:tcPr>
            <w:tcW w:w="1418"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826E06" w:rsidTr="00340704">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340704" w:rsidRPr="00E848D2" w:rsidRDefault="00340704" w:rsidP="00A67A36">
            <w:pPr>
              <w:pStyle w:val="TableText"/>
              <w:rPr>
                <w:b/>
                <w:lang w:eastAsia="en-NZ"/>
              </w:rPr>
            </w:pPr>
            <w:r w:rsidRPr="00E848D2">
              <w:rPr>
                <w:b/>
                <w:lang w:eastAsia="en-NZ"/>
              </w:rPr>
              <w:t>NZDep2013 quintile</w:t>
            </w:r>
          </w:p>
        </w:tc>
        <w:tc>
          <w:tcPr>
            <w:tcW w:w="1559"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p>
        </w:tc>
        <w:tc>
          <w:tcPr>
            <w:tcW w:w="74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p>
        </w:tc>
        <w:tc>
          <w:tcPr>
            <w:tcW w:w="74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p>
        </w:tc>
        <w:tc>
          <w:tcPr>
            <w:tcW w:w="74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p>
        </w:tc>
        <w:tc>
          <w:tcPr>
            <w:tcW w:w="745"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p>
        </w:tc>
        <w:tc>
          <w:tcPr>
            <w:tcW w:w="1418"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p>
        </w:tc>
      </w:tr>
      <w:tr w:rsidR="00340704" w:rsidRPr="00DD4C09"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340704" w:rsidRPr="00872866" w:rsidRDefault="00340704" w:rsidP="00A67A36">
            <w:pPr>
              <w:pStyle w:val="TableText"/>
              <w:ind w:left="142"/>
              <w:rPr>
                <w:lang w:eastAsia="en-NZ"/>
              </w:rPr>
            </w:pPr>
            <w:r w:rsidRPr="00872866">
              <w:rPr>
                <w:lang w:eastAsia="en-NZ"/>
              </w:rPr>
              <w:t>1 (least deprived)</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297</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10</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3.4</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2</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0.7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DD4C09"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72866" w:rsidRDefault="00340704" w:rsidP="00A67A36">
            <w:pPr>
              <w:pStyle w:val="TableText"/>
              <w:ind w:left="142"/>
              <w:rPr>
                <w:lang w:eastAsia="en-NZ"/>
              </w:rPr>
            </w:pPr>
            <w:r w:rsidRPr="00872866">
              <w:rPr>
                <w:lang w:eastAsia="en-NZ"/>
              </w:rPr>
              <w:t>2</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315</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10</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3.2</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3</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w:t>
            </w:r>
            <w:r>
              <w:rPr>
                <w:lang w:eastAsia="en-NZ"/>
              </w:rPr>
              <w:t>.0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DD4C09"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72866" w:rsidRDefault="00340704" w:rsidP="00A67A36">
            <w:pPr>
              <w:pStyle w:val="TableText"/>
              <w:ind w:left="142"/>
              <w:rPr>
                <w:lang w:eastAsia="en-NZ"/>
              </w:rPr>
            </w:pPr>
            <w:r w:rsidRPr="00872866">
              <w:rPr>
                <w:lang w:eastAsia="en-NZ"/>
              </w:rPr>
              <w:t>3</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400</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18</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4.5</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10</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2.5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r w:rsidR="00340704" w:rsidRPr="00DD4C09"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72866" w:rsidRDefault="00340704" w:rsidP="00A67A36">
            <w:pPr>
              <w:pStyle w:val="TableText"/>
              <w:ind w:left="142"/>
              <w:rPr>
                <w:lang w:eastAsia="en-NZ"/>
              </w:rPr>
            </w:pPr>
            <w:r w:rsidRPr="00872866">
              <w:rPr>
                <w:lang w:eastAsia="en-NZ"/>
              </w:rPr>
              <w:t>4</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411</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21</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5.1</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8</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1.9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9</w:t>
            </w:r>
          </w:p>
        </w:tc>
      </w:tr>
      <w:tr w:rsidR="00340704" w:rsidRPr="00DD4C09" w:rsidTr="00340704">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340704" w:rsidRPr="00872866" w:rsidRDefault="00340704" w:rsidP="00A67A36">
            <w:pPr>
              <w:pStyle w:val="TableText"/>
              <w:ind w:left="142"/>
              <w:rPr>
                <w:lang w:eastAsia="en-NZ"/>
              </w:rPr>
            </w:pPr>
            <w:r w:rsidRPr="00872866">
              <w:rPr>
                <w:lang w:eastAsia="en-NZ"/>
              </w:rPr>
              <w:t>5 (most deprived)</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935"/>
              </w:tabs>
              <w:rPr>
                <w:lang w:eastAsia="en-NZ"/>
              </w:rPr>
            </w:pPr>
            <w:r w:rsidRPr="00F654C0">
              <w:rPr>
                <w:lang w:eastAsia="en-NZ"/>
              </w:rPr>
              <w:t>387</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393"/>
              </w:tabs>
              <w:rPr>
                <w:lang w:eastAsia="en-NZ"/>
              </w:rPr>
            </w:pPr>
            <w:r w:rsidRPr="00F654C0">
              <w:rPr>
                <w:lang w:eastAsia="en-NZ"/>
              </w:rPr>
              <w:t>20</w:t>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5.2</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340704" w:rsidRPr="00F654C0" w:rsidRDefault="00340704" w:rsidP="00340704">
            <w:pPr>
              <w:pStyle w:val="TableText"/>
              <w:tabs>
                <w:tab w:val="decimal" w:pos="411"/>
              </w:tabs>
              <w:rPr>
                <w:lang w:eastAsia="en-NZ"/>
              </w:rPr>
            </w:pPr>
            <w:r w:rsidRPr="00F654C0">
              <w:rPr>
                <w:lang w:eastAsia="en-NZ"/>
              </w:rPr>
              <w:t>11</w:t>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340704" w:rsidRPr="00F654C0" w:rsidRDefault="00340704" w:rsidP="00340704">
            <w:pPr>
              <w:pStyle w:val="TableText"/>
              <w:jc w:val="center"/>
              <w:rPr>
                <w:lang w:eastAsia="en-NZ"/>
              </w:rPr>
            </w:pPr>
            <w:r w:rsidRPr="00F654C0">
              <w:rPr>
                <w:lang w:eastAsia="en-NZ"/>
              </w:rPr>
              <w:t>2.8</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340704" w:rsidRPr="00F654C0" w:rsidRDefault="00340704" w:rsidP="00340704">
            <w:pPr>
              <w:pStyle w:val="TableText"/>
              <w:tabs>
                <w:tab w:val="decimal" w:pos="689"/>
              </w:tabs>
              <w:rPr>
                <w:lang w:eastAsia="en-NZ"/>
              </w:rPr>
            </w:pPr>
            <w:r w:rsidRPr="00F654C0">
              <w:rPr>
                <w:lang w:eastAsia="en-NZ"/>
              </w:rPr>
              <w:t>8</w:t>
            </w:r>
          </w:p>
        </w:tc>
      </w:tr>
    </w:tbl>
    <w:p w:rsidR="00E51135" w:rsidRDefault="00A06E9D" w:rsidP="00A06E9D">
      <w:pPr>
        <w:pStyle w:val="Note"/>
      </w:pPr>
      <w:r>
        <w:rPr>
          <w:rFonts w:ascii="Arial" w:hAnsi="Arial" w:cs="Arial"/>
        </w:rPr>
        <w:t>–</w:t>
      </w:r>
      <w:r w:rsidR="006A5D28" w:rsidRPr="00397252">
        <w:t xml:space="preserve"> Too few cases to report (&lt;10)</w:t>
      </w:r>
      <w:r w:rsidR="00203F09">
        <w:t>.</w:t>
      </w:r>
    </w:p>
    <w:p w:rsidR="006A5D28" w:rsidRDefault="006A5D28" w:rsidP="00A06E9D"/>
    <w:p w:rsidR="006A5D28" w:rsidRPr="00527106" w:rsidRDefault="00A06E9D" w:rsidP="00A06E9D">
      <w:pPr>
        <w:pStyle w:val="Heading2"/>
        <w:numPr>
          <w:ilvl w:val="0"/>
          <w:numId w:val="0"/>
        </w:numPr>
        <w:rPr>
          <w:lang w:eastAsia="en-NZ"/>
        </w:rPr>
      </w:pPr>
      <w:bookmarkStart w:id="168" w:name="_Toc528220240"/>
      <w:bookmarkStart w:id="169" w:name="_Toc517875"/>
      <w:bookmarkStart w:id="170" w:name="_Toc2253752"/>
      <w:r>
        <w:rPr>
          <w:lang w:eastAsia="en-NZ"/>
        </w:rPr>
        <w:lastRenderedPageBreak/>
        <w:t>5</w:t>
      </w:r>
      <w:r>
        <w:rPr>
          <w:lang w:eastAsia="en-NZ"/>
        </w:rPr>
        <w:tab/>
      </w:r>
      <w:r w:rsidR="006A5D28" w:rsidRPr="00527106">
        <w:rPr>
          <w:lang w:eastAsia="en-NZ"/>
        </w:rPr>
        <w:t>Radiotherapy</w:t>
      </w:r>
      <w:bookmarkEnd w:id="168"/>
      <w:bookmarkEnd w:id="169"/>
      <w:bookmarkEnd w:id="170"/>
    </w:p>
    <w:p w:rsidR="006A5D28" w:rsidRDefault="006A5D28" w:rsidP="00A06E9D">
      <w:pPr>
        <w:pStyle w:val="Table"/>
        <w:rPr>
          <w:lang w:eastAsia="en-NZ"/>
        </w:rPr>
      </w:pPr>
      <w:bookmarkStart w:id="171" w:name="_Toc535936732"/>
      <w:bookmarkStart w:id="172" w:name="_Toc2254051"/>
      <w:r>
        <w:t xml:space="preserve">Table </w:t>
      </w:r>
      <w:r>
        <w:rPr>
          <w:noProof/>
        </w:rPr>
        <w:fldChar w:fldCharType="begin"/>
      </w:r>
      <w:r>
        <w:rPr>
          <w:noProof/>
        </w:rPr>
        <w:instrText xml:space="preserve"> SEQ Table \* ARABIC </w:instrText>
      </w:r>
      <w:r>
        <w:rPr>
          <w:noProof/>
        </w:rPr>
        <w:fldChar w:fldCharType="separate"/>
      </w:r>
      <w:r w:rsidR="002B5148">
        <w:rPr>
          <w:noProof/>
        </w:rPr>
        <w:t>10</w:t>
      </w:r>
      <w:r>
        <w:rPr>
          <w:noProof/>
        </w:rPr>
        <w:fldChar w:fldCharType="end"/>
      </w:r>
      <w:r>
        <w:t>: Radiotherapy for p</w:t>
      </w:r>
      <w:r w:rsidRPr="00C820D0">
        <w:rPr>
          <w:lang w:eastAsia="en-NZ"/>
        </w:rPr>
        <w:t>eople having major surgery for rectal cancer, 2013</w:t>
      </w:r>
      <w:r>
        <w:rPr>
          <w:lang w:eastAsia="en-NZ"/>
        </w:rPr>
        <w:t>–</w:t>
      </w:r>
      <w:r w:rsidRPr="00C820D0">
        <w:rPr>
          <w:lang w:eastAsia="en-NZ"/>
        </w:rPr>
        <w:t>16</w:t>
      </w:r>
      <w:bookmarkEnd w:id="171"/>
      <w:bookmarkEnd w:id="172"/>
    </w:p>
    <w:tbl>
      <w:tblPr>
        <w:tblW w:w="8080" w:type="dxa"/>
        <w:tblInd w:w="57" w:type="dxa"/>
        <w:tblLayout w:type="fixed"/>
        <w:tblCellMar>
          <w:left w:w="57" w:type="dxa"/>
          <w:right w:w="57" w:type="dxa"/>
        </w:tblCellMar>
        <w:tblLook w:val="04A0" w:firstRow="1" w:lastRow="0" w:firstColumn="1" w:lastColumn="0" w:noHBand="0" w:noVBand="1"/>
      </w:tblPr>
      <w:tblGrid>
        <w:gridCol w:w="2127"/>
        <w:gridCol w:w="1275"/>
        <w:gridCol w:w="590"/>
        <w:gridCol w:w="591"/>
        <w:gridCol w:w="591"/>
        <w:gridCol w:w="590"/>
        <w:gridCol w:w="591"/>
        <w:gridCol w:w="591"/>
        <w:gridCol w:w="567"/>
        <w:gridCol w:w="567"/>
      </w:tblGrid>
      <w:tr w:rsidR="00777773" w:rsidRPr="00EF4CBD" w:rsidTr="00777773">
        <w:trPr>
          <w:cantSplit/>
          <w:tblHeader/>
        </w:trPr>
        <w:tc>
          <w:tcPr>
            <w:tcW w:w="2127" w:type="dxa"/>
            <w:vMerge w:val="restart"/>
            <w:tcBorders>
              <w:left w:val="nil"/>
              <w:right w:val="single" w:sz="4" w:space="0" w:color="A6A6A6" w:themeColor="background1" w:themeShade="A6"/>
            </w:tcBorders>
            <w:shd w:val="clear" w:color="auto" w:fill="D9D9D9" w:themeFill="background1" w:themeFillShade="D9"/>
            <w:noWrap/>
          </w:tcPr>
          <w:p w:rsidR="00777773" w:rsidRPr="002357E2" w:rsidRDefault="00777773" w:rsidP="00A67A36">
            <w:pPr>
              <w:pStyle w:val="TableText"/>
              <w:keepNext/>
              <w:rPr>
                <w:b/>
                <w:lang w:eastAsia="en-NZ"/>
              </w:rPr>
            </w:pPr>
          </w:p>
        </w:tc>
        <w:tc>
          <w:tcPr>
            <w:tcW w:w="1275" w:type="dxa"/>
            <w:tcBorders>
              <w:left w:val="single" w:sz="4" w:space="0" w:color="A6A6A6" w:themeColor="background1" w:themeShade="A6"/>
              <w:right w:val="nil"/>
            </w:tcBorders>
            <w:shd w:val="clear" w:color="auto" w:fill="D9D9D9" w:themeFill="background1" w:themeFillShade="D9"/>
            <w:noWrap/>
          </w:tcPr>
          <w:p w:rsidR="00777773" w:rsidRPr="00EF4CBD" w:rsidRDefault="00777773" w:rsidP="00A67A36">
            <w:pPr>
              <w:pStyle w:val="TableText"/>
              <w:keepNext/>
              <w:jc w:val="center"/>
              <w:rPr>
                <w:b/>
                <w:lang w:eastAsia="en-NZ"/>
              </w:rPr>
            </w:pPr>
            <w:r>
              <w:rPr>
                <w:b/>
                <w:lang w:eastAsia="en-NZ"/>
              </w:rPr>
              <w:t>People having major surgery for rectal cancer</w:t>
            </w:r>
          </w:p>
        </w:tc>
        <w:tc>
          <w:tcPr>
            <w:tcW w:w="1181"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rsidR="00777773" w:rsidRPr="00EF4CBD" w:rsidRDefault="00777773" w:rsidP="00A67A36">
            <w:pPr>
              <w:pStyle w:val="TableText"/>
              <w:keepNext/>
              <w:jc w:val="center"/>
              <w:rPr>
                <w:b/>
                <w:lang w:eastAsia="en-NZ"/>
              </w:rPr>
            </w:pPr>
            <w:r>
              <w:rPr>
                <w:b/>
                <w:lang w:eastAsia="en-NZ"/>
              </w:rPr>
              <w:t>Pre-operative radio-therapy</w:t>
            </w:r>
          </w:p>
        </w:tc>
        <w:tc>
          <w:tcPr>
            <w:tcW w:w="1181"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rsidR="00777773" w:rsidRPr="00EF4CBD" w:rsidRDefault="00777773" w:rsidP="00A67A36">
            <w:pPr>
              <w:pStyle w:val="TableText"/>
              <w:keepNext/>
              <w:jc w:val="center"/>
              <w:rPr>
                <w:b/>
                <w:lang w:eastAsia="en-NZ"/>
              </w:rPr>
            </w:pPr>
            <w:r>
              <w:rPr>
                <w:b/>
                <w:lang w:eastAsia="en-NZ"/>
              </w:rPr>
              <w:t>Long-course RT</w:t>
            </w:r>
          </w:p>
        </w:tc>
        <w:tc>
          <w:tcPr>
            <w:tcW w:w="1182" w:type="dxa"/>
            <w:gridSpan w:val="2"/>
            <w:tcBorders>
              <w:left w:val="nil"/>
              <w:right w:val="single" w:sz="4" w:space="0" w:color="A6A6A6" w:themeColor="background1" w:themeShade="A6"/>
            </w:tcBorders>
            <w:shd w:val="clear" w:color="auto" w:fill="D9D9D9" w:themeFill="background1" w:themeFillShade="D9"/>
          </w:tcPr>
          <w:p w:rsidR="00777773" w:rsidRPr="00EF4CBD" w:rsidRDefault="00777773" w:rsidP="00777773">
            <w:pPr>
              <w:pStyle w:val="TableText"/>
              <w:keepNext/>
              <w:jc w:val="center"/>
              <w:rPr>
                <w:b/>
                <w:lang w:eastAsia="en-NZ"/>
              </w:rPr>
            </w:pPr>
            <w:r>
              <w:rPr>
                <w:b/>
                <w:lang w:eastAsia="en-NZ"/>
              </w:rPr>
              <w:t>Short-course RT</w:t>
            </w:r>
          </w:p>
        </w:tc>
        <w:tc>
          <w:tcPr>
            <w:tcW w:w="1134" w:type="dxa"/>
            <w:gridSpan w:val="2"/>
            <w:tcBorders>
              <w:left w:val="single" w:sz="4" w:space="0" w:color="A6A6A6" w:themeColor="background1" w:themeShade="A6"/>
            </w:tcBorders>
            <w:shd w:val="clear" w:color="auto" w:fill="D9D9D9" w:themeFill="background1" w:themeFillShade="D9"/>
            <w:noWrap/>
          </w:tcPr>
          <w:p w:rsidR="00777773" w:rsidRDefault="00777773" w:rsidP="00A67A36">
            <w:pPr>
              <w:pStyle w:val="TableText"/>
              <w:keepNext/>
              <w:jc w:val="center"/>
              <w:rPr>
                <w:b/>
                <w:lang w:eastAsia="en-NZ"/>
              </w:rPr>
            </w:pPr>
            <w:r>
              <w:rPr>
                <w:b/>
                <w:lang w:eastAsia="en-NZ"/>
              </w:rPr>
              <w:t>No radio-therapy (surgery alone)</w:t>
            </w:r>
          </w:p>
        </w:tc>
      </w:tr>
      <w:tr w:rsidR="00777773" w:rsidRPr="00EF4CBD" w:rsidTr="00777773">
        <w:trPr>
          <w:cantSplit/>
          <w:tblHeader/>
        </w:trPr>
        <w:tc>
          <w:tcPr>
            <w:tcW w:w="2127" w:type="dxa"/>
            <w:vMerge/>
            <w:tcBorders>
              <w:left w:val="nil"/>
              <w:right w:val="single" w:sz="4" w:space="0" w:color="A6A6A6" w:themeColor="background1" w:themeShade="A6"/>
            </w:tcBorders>
            <w:shd w:val="clear" w:color="auto" w:fill="D9D9D9" w:themeFill="background1" w:themeFillShade="D9"/>
            <w:noWrap/>
          </w:tcPr>
          <w:p w:rsidR="00777773" w:rsidRPr="002357E2" w:rsidRDefault="00777773" w:rsidP="00A67A36">
            <w:pPr>
              <w:pStyle w:val="TableText"/>
              <w:keepNext/>
              <w:rPr>
                <w:b/>
                <w:lang w:eastAsia="en-NZ"/>
              </w:rPr>
            </w:pPr>
          </w:p>
        </w:tc>
        <w:tc>
          <w:tcPr>
            <w:tcW w:w="1275" w:type="dxa"/>
            <w:tcBorders>
              <w:left w:val="single" w:sz="4" w:space="0" w:color="A6A6A6" w:themeColor="background1" w:themeShade="A6"/>
              <w:right w:val="nil"/>
            </w:tcBorders>
            <w:shd w:val="clear" w:color="auto" w:fill="D9D9D9" w:themeFill="background1" w:themeFillShade="D9"/>
            <w:noWrap/>
            <w:vAlign w:val="bottom"/>
          </w:tcPr>
          <w:p w:rsidR="00777773" w:rsidRPr="00EF4CBD" w:rsidRDefault="00777773" w:rsidP="00A67A36">
            <w:pPr>
              <w:pStyle w:val="TableText"/>
              <w:keepNext/>
              <w:spacing w:before="0"/>
              <w:jc w:val="center"/>
              <w:rPr>
                <w:b/>
                <w:lang w:eastAsia="en-NZ"/>
              </w:rPr>
            </w:pPr>
            <w:r>
              <w:rPr>
                <w:b/>
                <w:lang w:eastAsia="en-NZ"/>
              </w:rPr>
              <w:t>N</w:t>
            </w:r>
          </w:p>
        </w:tc>
        <w:tc>
          <w:tcPr>
            <w:tcW w:w="590" w:type="dxa"/>
            <w:tcBorders>
              <w:left w:val="single" w:sz="4" w:space="0" w:color="A6A6A6" w:themeColor="background1" w:themeShade="A6"/>
            </w:tcBorders>
            <w:shd w:val="clear" w:color="auto" w:fill="D9D9D9" w:themeFill="background1" w:themeFillShade="D9"/>
            <w:vAlign w:val="bottom"/>
          </w:tcPr>
          <w:p w:rsidR="00777773" w:rsidRPr="00EF4CBD" w:rsidRDefault="00777773" w:rsidP="00A67A36">
            <w:pPr>
              <w:pStyle w:val="TableText"/>
              <w:keepNext/>
              <w:spacing w:before="0"/>
              <w:jc w:val="center"/>
              <w:rPr>
                <w:b/>
                <w:lang w:eastAsia="en-NZ"/>
              </w:rPr>
            </w:pPr>
            <w:r>
              <w:rPr>
                <w:b/>
                <w:lang w:eastAsia="en-NZ"/>
              </w:rPr>
              <w:t>N</w:t>
            </w:r>
          </w:p>
        </w:tc>
        <w:tc>
          <w:tcPr>
            <w:tcW w:w="591" w:type="dxa"/>
            <w:tcBorders>
              <w:right w:val="single" w:sz="4" w:space="0" w:color="A6A6A6" w:themeColor="background1" w:themeShade="A6"/>
            </w:tcBorders>
            <w:shd w:val="clear" w:color="auto" w:fill="D9D9D9" w:themeFill="background1" w:themeFillShade="D9"/>
            <w:noWrap/>
            <w:vAlign w:val="bottom"/>
          </w:tcPr>
          <w:p w:rsidR="00777773" w:rsidRPr="00EF4CBD" w:rsidRDefault="00777773" w:rsidP="00A67A36">
            <w:pPr>
              <w:pStyle w:val="TableText"/>
              <w:keepNext/>
              <w:spacing w:before="0"/>
              <w:jc w:val="center"/>
              <w:rPr>
                <w:b/>
                <w:lang w:eastAsia="en-NZ"/>
              </w:rPr>
            </w:pPr>
            <w:r>
              <w:rPr>
                <w:b/>
                <w:lang w:eastAsia="en-NZ"/>
              </w:rPr>
              <w:t>%</w:t>
            </w:r>
          </w:p>
        </w:tc>
        <w:tc>
          <w:tcPr>
            <w:tcW w:w="591" w:type="dxa"/>
            <w:tcBorders>
              <w:left w:val="single" w:sz="4" w:space="0" w:color="A6A6A6" w:themeColor="background1" w:themeShade="A6"/>
            </w:tcBorders>
            <w:shd w:val="clear" w:color="auto" w:fill="D9D9D9" w:themeFill="background1" w:themeFillShade="D9"/>
            <w:vAlign w:val="bottom"/>
          </w:tcPr>
          <w:p w:rsidR="00777773" w:rsidRPr="00EF4CBD" w:rsidRDefault="00777773" w:rsidP="00A67A36">
            <w:pPr>
              <w:pStyle w:val="TableText"/>
              <w:keepNext/>
              <w:spacing w:before="0"/>
              <w:jc w:val="center"/>
              <w:rPr>
                <w:b/>
                <w:lang w:eastAsia="en-NZ"/>
              </w:rPr>
            </w:pPr>
            <w:r>
              <w:rPr>
                <w:b/>
                <w:lang w:eastAsia="en-NZ"/>
              </w:rPr>
              <w:t>N</w:t>
            </w:r>
          </w:p>
        </w:tc>
        <w:tc>
          <w:tcPr>
            <w:tcW w:w="590" w:type="dxa"/>
            <w:tcBorders>
              <w:right w:val="single" w:sz="4" w:space="0" w:color="A6A6A6" w:themeColor="background1" w:themeShade="A6"/>
            </w:tcBorders>
            <w:shd w:val="clear" w:color="auto" w:fill="D9D9D9" w:themeFill="background1" w:themeFillShade="D9"/>
            <w:noWrap/>
            <w:vAlign w:val="bottom"/>
          </w:tcPr>
          <w:p w:rsidR="00777773" w:rsidRPr="00EF4CBD" w:rsidRDefault="00777773" w:rsidP="00A67A36">
            <w:pPr>
              <w:pStyle w:val="TableText"/>
              <w:keepNext/>
              <w:spacing w:before="0"/>
              <w:jc w:val="center"/>
              <w:rPr>
                <w:b/>
                <w:lang w:eastAsia="en-NZ"/>
              </w:rPr>
            </w:pPr>
            <w:r>
              <w:rPr>
                <w:b/>
                <w:lang w:eastAsia="en-NZ"/>
              </w:rPr>
              <w:t>%</w:t>
            </w:r>
          </w:p>
        </w:tc>
        <w:tc>
          <w:tcPr>
            <w:tcW w:w="591" w:type="dxa"/>
            <w:tcBorders>
              <w:left w:val="nil"/>
            </w:tcBorders>
            <w:shd w:val="clear" w:color="auto" w:fill="D9D9D9" w:themeFill="background1" w:themeFillShade="D9"/>
            <w:vAlign w:val="bottom"/>
          </w:tcPr>
          <w:p w:rsidR="00777773" w:rsidRPr="00EF4CBD" w:rsidRDefault="00777773" w:rsidP="00A67A36">
            <w:pPr>
              <w:pStyle w:val="TableText"/>
              <w:keepNext/>
              <w:spacing w:before="0"/>
              <w:jc w:val="center"/>
              <w:rPr>
                <w:b/>
                <w:lang w:eastAsia="en-NZ"/>
              </w:rPr>
            </w:pPr>
            <w:r>
              <w:rPr>
                <w:b/>
                <w:lang w:eastAsia="en-NZ"/>
              </w:rPr>
              <w:t>N</w:t>
            </w:r>
          </w:p>
        </w:tc>
        <w:tc>
          <w:tcPr>
            <w:tcW w:w="591" w:type="dxa"/>
            <w:tcBorders>
              <w:left w:val="nil"/>
              <w:right w:val="single" w:sz="4" w:space="0" w:color="A6A6A6" w:themeColor="background1" w:themeShade="A6"/>
            </w:tcBorders>
            <w:shd w:val="clear" w:color="auto" w:fill="D9D9D9" w:themeFill="background1" w:themeFillShade="D9"/>
            <w:noWrap/>
            <w:vAlign w:val="bottom"/>
          </w:tcPr>
          <w:p w:rsidR="00777773" w:rsidRPr="00EF4CBD" w:rsidRDefault="00777773" w:rsidP="00A67A36">
            <w:pPr>
              <w:pStyle w:val="TableText"/>
              <w:keepNext/>
              <w:spacing w:before="0"/>
              <w:jc w:val="center"/>
              <w:rPr>
                <w:b/>
                <w:lang w:eastAsia="en-NZ"/>
              </w:rPr>
            </w:pPr>
            <w:r>
              <w:rPr>
                <w:b/>
                <w:lang w:eastAsia="en-NZ"/>
              </w:rPr>
              <w:t>%</w:t>
            </w:r>
          </w:p>
        </w:tc>
        <w:tc>
          <w:tcPr>
            <w:tcW w:w="567" w:type="dxa"/>
            <w:tcBorders>
              <w:left w:val="single" w:sz="4" w:space="0" w:color="A6A6A6" w:themeColor="background1" w:themeShade="A6"/>
            </w:tcBorders>
            <w:shd w:val="clear" w:color="auto" w:fill="D9D9D9" w:themeFill="background1" w:themeFillShade="D9"/>
            <w:noWrap/>
            <w:vAlign w:val="bottom"/>
          </w:tcPr>
          <w:p w:rsidR="00777773" w:rsidRPr="00EF4CBD" w:rsidRDefault="00777773" w:rsidP="00A67A36">
            <w:pPr>
              <w:pStyle w:val="TableText"/>
              <w:keepNext/>
              <w:spacing w:before="0"/>
              <w:jc w:val="center"/>
              <w:rPr>
                <w:b/>
                <w:lang w:eastAsia="en-NZ"/>
              </w:rPr>
            </w:pPr>
            <w:r>
              <w:rPr>
                <w:b/>
                <w:lang w:eastAsia="en-NZ"/>
              </w:rPr>
              <w:t>N</w:t>
            </w:r>
          </w:p>
        </w:tc>
        <w:tc>
          <w:tcPr>
            <w:tcW w:w="567" w:type="dxa"/>
            <w:tcBorders>
              <w:left w:val="nil"/>
              <w:right w:val="nil"/>
            </w:tcBorders>
            <w:shd w:val="clear" w:color="auto" w:fill="D9D9D9" w:themeFill="background1" w:themeFillShade="D9"/>
          </w:tcPr>
          <w:p w:rsidR="00777773" w:rsidRPr="00EF4CBD" w:rsidRDefault="00777773" w:rsidP="00A67A36">
            <w:pPr>
              <w:pStyle w:val="TableText"/>
              <w:keepNext/>
              <w:spacing w:before="0"/>
              <w:jc w:val="center"/>
              <w:rPr>
                <w:b/>
                <w:lang w:eastAsia="en-NZ"/>
              </w:rPr>
            </w:pPr>
            <w:r>
              <w:rPr>
                <w:b/>
                <w:lang w:eastAsia="en-NZ"/>
              </w:rPr>
              <w:t>%</w:t>
            </w:r>
          </w:p>
        </w:tc>
      </w:tr>
      <w:tr w:rsidR="00777773" w:rsidRPr="00826E06" w:rsidTr="00777773">
        <w:trPr>
          <w:cantSplit/>
        </w:trPr>
        <w:tc>
          <w:tcPr>
            <w:tcW w:w="2127" w:type="dxa"/>
            <w:tcBorders>
              <w:left w:val="nil"/>
              <w:bottom w:val="single" w:sz="4" w:space="0" w:color="7F7F7F" w:themeColor="text1" w:themeTint="80"/>
              <w:right w:val="single" w:sz="4" w:space="0" w:color="A6A6A6" w:themeColor="background1" w:themeShade="A6"/>
            </w:tcBorders>
            <w:shd w:val="clear" w:color="auto" w:fill="auto"/>
            <w:noWrap/>
            <w:hideMark/>
          </w:tcPr>
          <w:p w:rsidR="00777773" w:rsidRPr="00E848D2" w:rsidRDefault="00777773" w:rsidP="00A67A36">
            <w:pPr>
              <w:pStyle w:val="TableText"/>
              <w:keepNext/>
              <w:rPr>
                <w:b/>
                <w:lang w:eastAsia="en-NZ"/>
              </w:rPr>
            </w:pPr>
            <w:r w:rsidRPr="00E848D2">
              <w:rPr>
                <w:b/>
                <w:lang w:eastAsia="en-NZ"/>
              </w:rPr>
              <w:t>Total</w:t>
            </w:r>
          </w:p>
        </w:tc>
        <w:tc>
          <w:tcPr>
            <w:tcW w:w="1275" w:type="dxa"/>
            <w:tcBorders>
              <w:left w:val="single" w:sz="4" w:space="0" w:color="A6A6A6" w:themeColor="background1" w:themeShade="A6"/>
              <w:bottom w:val="single" w:sz="4" w:space="0" w:color="7F7F7F" w:themeColor="text1" w:themeTint="80"/>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1</w:t>
            </w:r>
            <w:r>
              <w:rPr>
                <w:lang w:eastAsia="en-NZ"/>
              </w:rPr>
              <w:t>,</w:t>
            </w:r>
            <w:r w:rsidRPr="00DE7208">
              <w:rPr>
                <w:lang w:eastAsia="en-NZ"/>
              </w:rPr>
              <w:t>808</w:t>
            </w:r>
          </w:p>
        </w:tc>
        <w:tc>
          <w:tcPr>
            <w:tcW w:w="590" w:type="dxa"/>
            <w:tcBorders>
              <w:left w:val="single" w:sz="4" w:space="0" w:color="A6A6A6" w:themeColor="background1" w:themeShade="A6"/>
              <w:bottom w:val="single" w:sz="4" w:space="0" w:color="7F7F7F" w:themeColor="text1" w:themeTint="80"/>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984</w:t>
            </w:r>
          </w:p>
        </w:tc>
        <w:tc>
          <w:tcPr>
            <w:tcW w:w="591" w:type="dxa"/>
            <w:tcBorders>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54.4</w:t>
            </w:r>
          </w:p>
        </w:tc>
        <w:tc>
          <w:tcPr>
            <w:tcW w:w="591" w:type="dxa"/>
            <w:tcBorders>
              <w:left w:val="single" w:sz="4" w:space="0" w:color="A6A6A6" w:themeColor="background1" w:themeShade="A6"/>
              <w:bottom w:val="single" w:sz="4" w:space="0" w:color="7F7F7F" w:themeColor="text1" w:themeTint="80"/>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692</w:t>
            </w:r>
          </w:p>
        </w:tc>
        <w:tc>
          <w:tcPr>
            <w:tcW w:w="590" w:type="dxa"/>
            <w:tcBorders>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38.3</w:t>
            </w:r>
          </w:p>
        </w:tc>
        <w:tc>
          <w:tcPr>
            <w:tcW w:w="591" w:type="dxa"/>
            <w:tcBorders>
              <w:left w:val="nil"/>
              <w:bottom w:val="single" w:sz="4" w:space="0" w:color="7F7F7F" w:themeColor="text1" w:themeTint="80"/>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273</w:t>
            </w:r>
          </w:p>
        </w:tc>
        <w:tc>
          <w:tcPr>
            <w:tcW w:w="591" w:type="dxa"/>
            <w:tcBorders>
              <w:left w:val="nil"/>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15.1</w:t>
            </w:r>
          </w:p>
        </w:tc>
        <w:tc>
          <w:tcPr>
            <w:tcW w:w="567" w:type="dxa"/>
            <w:tcBorders>
              <w:left w:val="single" w:sz="4" w:space="0" w:color="A6A6A6" w:themeColor="background1" w:themeShade="A6"/>
              <w:bottom w:val="single" w:sz="4" w:space="0" w:color="7F7F7F" w:themeColor="text1" w:themeTint="80"/>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800</w:t>
            </w:r>
          </w:p>
        </w:tc>
        <w:tc>
          <w:tcPr>
            <w:tcW w:w="567" w:type="dxa"/>
            <w:tcBorders>
              <w:bottom w:val="single" w:sz="4" w:space="0" w:color="7F7F7F" w:themeColor="text1" w:themeTint="80"/>
            </w:tcBorders>
            <w:vAlign w:val="bottom"/>
          </w:tcPr>
          <w:p w:rsidR="00777773" w:rsidRPr="00DE7208" w:rsidRDefault="00777773" w:rsidP="00777773">
            <w:pPr>
              <w:pStyle w:val="TableText"/>
              <w:jc w:val="center"/>
              <w:rPr>
                <w:lang w:eastAsia="en-NZ"/>
              </w:rPr>
            </w:pPr>
            <w:r w:rsidRPr="00DE7208">
              <w:rPr>
                <w:lang w:eastAsia="en-NZ"/>
              </w:rPr>
              <w:t>44.2</w:t>
            </w:r>
          </w:p>
        </w:tc>
      </w:tr>
      <w:tr w:rsidR="00777773" w:rsidRPr="00826E06" w:rsidTr="00777773">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77773" w:rsidRPr="00E848D2" w:rsidRDefault="00777773" w:rsidP="00A67A36">
            <w:pPr>
              <w:pStyle w:val="TableText"/>
              <w:keepNext/>
              <w:rPr>
                <w:b/>
                <w:lang w:eastAsia="en-NZ"/>
              </w:rPr>
            </w:pPr>
            <w:r w:rsidRPr="00E848D2">
              <w:rPr>
                <w:b/>
                <w:lang w:eastAsia="en-NZ"/>
              </w:rPr>
              <w:t>Year of diagnosis</w:t>
            </w:r>
          </w:p>
        </w:tc>
        <w:tc>
          <w:tcPr>
            <w:tcW w:w="1275"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p>
        </w:tc>
        <w:tc>
          <w:tcPr>
            <w:tcW w:w="590"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p>
        </w:tc>
        <w:tc>
          <w:tcPr>
            <w:tcW w:w="591"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91"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p>
        </w:tc>
        <w:tc>
          <w:tcPr>
            <w:tcW w:w="590"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91" w:type="dxa"/>
            <w:tcBorders>
              <w:top w:val="single" w:sz="4" w:space="0" w:color="7F7F7F" w:themeColor="text1" w:themeTint="80"/>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p>
        </w:tc>
        <w:tc>
          <w:tcPr>
            <w:tcW w:w="591"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67"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p>
        </w:tc>
        <w:tc>
          <w:tcPr>
            <w:tcW w:w="567" w:type="dxa"/>
            <w:tcBorders>
              <w:top w:val="single" w:sz="4" w:space="0" w:color="7F7F7F" w:themeColor="text1" w:themeTint="80"/>
              <w:bottom w:val="single" w:sz="4" w:space="0" w:color="A6A6A6" w:themeColor="background1" w:themeShade="A6"/>
            </w:tcBorders>
            <w:vAlign w:val="bottom"/>
          </w:tcPr>
          <w:p w:rsidR="00777773" w:rsidRPr="00DE7208" w:rsidRDefault="00777773" w:rsidP="00777773">
            <w:pPr>
              <w:pStyle w:val="TableText"/>
              <w:jc w:val="center"/>
              <w:rPr>
                <w:lang w:eastAsia="en-NZ"/>
              </w:rPr>
            </w:pP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77773" w:rsidRPr="00872866" w:rsidRDefault="00777773" w:rsidP="00A67A36">
            <w:pPr>
              <w:pStyle w:val="TableText"/>
              <w:keepNext/>
              <w:ind w:left="142"/>
              <w:rPr>
                <w:lang w:eastAsia="en-NZ"/>
              </w:rPr>
            </w:pPr>
            <w:r w:rsidRPr="00872866">
              <w:rPr>
                <w:lang w:eastAsia="en-NZ"/>
              </w:rPr>
              <w:t>2013</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434</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226</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52.1</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171</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39.4</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51</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11.8</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199</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45.9</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72866" w:rsidRDefault="00777773" w:rsidP="00A67A36">
            <w:pPr>
              <w:pStyle w:val="TableText"/>
              <w:keepNext/>
              <w:ind w:left="142"/>
              <w:rPr>
                <w:lang w:eastAsia="en-NZ"/>
              </w:rPr>
            </w:pPr>
            <w:r w:rsidRPr="00872866">
              <w:rPr>
                <w:lang w:eastAsia="en-NZ"/>
              </w:rPr>
              <w:t>2014</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507</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309</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60.9</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206</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40.6</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98</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19.3</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193</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38.1</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72866" w:rsidRDefault="00777773" w:rsidP="00A67A36">
            <w:pPr>
              <w:pStyle w:val="TableText"/>
              <w:keepNext/>
              <w:ind w:left="142"/>
              <w:rPr>
                <w:lang w:eastAsia="en-NZ"/>
              </w:rPr>
            </w:pPr>
            <w:r w:rsidRPr="00872866">
              <w:rPr>
                <w:lang w:eastAsia="en-NZ"/>
              </w:rPr>
              <w:t>2015</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428</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220</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51.4</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149</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34.8</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66</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15.4</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202</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47.2</w:t>
            </w:r>
          </w:p>
        </w:tc>
      </w:tr>
      <w:tr w:rsidR="00777773" w:rsidRPr="00826E06" w:rsidTr="00777773">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777773" w:rsidRPr="00872866" w:rsidRDefault="00777773" w:rsidP="00A67A36">
            <w:pPr>
              <w:pStyle w:val="TableText"/>
              <w:keepNext/>
              <w:ind w:left="142"/>
              <w:rPr>
                <w:lang w:eastAsia="en-NZ"/>
              </w:rPr>
            </w:pPr>
            <w:r w:rsidRPr="00872866">
              <w:rPr>
                <w:lang w:eastAsia="en-NZ"/>
              </w:rPr>
              <w:t>2016</w:t>
            </w:r>
          </w:p>
        </w:tc>
        <w:tc>
          <w:tcPr>
            <w:tcW w:w="1275"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439</w:t>
            </w:r>
          </w:p>
        </w:tc>
        <w:tc>
          <w:tcPr>
            <w:tcW w:w="590"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229</w:t>
            </w:r>
          </w:p>
        </w:tc>
        <w:tc>
          <w:tcPr>
            <w:tcW w:w="591"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52.2</w:t>
            </w:r>
          </w:p>
        </w:tc>
        <w:tc>
          <w:tcPr>
            <w:tcW w:w="591"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166</w:t>
            </w:r>
          </w:p>
        </w:tc>
        <w:tc>
          <w:tcPr>
            <w:tcW w:w="590"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37.8</w:t>
            </w:r>
          </w:p>
        </w:tc>
        <w:tc>
          <w:tcPr>
            <w:tcW w:w="591" w:type="dxa"/>
            <w:tcBorders>
              <w:top w:val="single" w:sz="4" w:space="0" w:color="A6A6A6" w:themeColor="background1" w:themeShade="A6"/>
              <w:left w:val="nil"/>
              <w:bottom w:val="single" w:sz="4" w:space="0" w:color="7F7F7F" w:themeColor="text1" w:themeTint="80"/>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58</w:t>
            </w:r>
          </w:p>
        </w:tc>
        <w:tc>
          <w:tcPr>
            <w:tcW w:w="591"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13.2</w:t>
            </w:r>
          </w:p>
        </w:tc>
        <w:tc>
          <w:tcPr>
            <w:tcW w:w="567"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206</w:t>
            </w:r>
          </w:p>
        </w:tc>
        <w:tc>
          <w:tcPr>
            <w:tcW w:w="567" w:type="dxa"/>
            <w:tcBorders>
              <w:top w:val="single" w:sz="4" w:space="0" w:color="A6A6A6" w:themeColor="background1" w:themeShade="A6"/>
              <w:bottom w:val="single" w:sz="4" w:space="0" w:color="7F7F7F" w:themeColor="text1" w:themeTint="80"/>
            </w:tcBorders>
            <w:vAlign w:val="bottom"/>
          </w:tcPr>
          <w:p w:rsidR="00777773" w:rsidRPr="00DE7208" w:rsidRDefault="00777773" w:rsidP="00777773">
            <w:pPr>
              <w:pStyle w:val="TableText"/>
              <w:jc w:val="center"/>
              <w:rPr>
                <w:lang w:eastAsia="en-NZ"/>
              </w:rPr>
            </w:pPr>
            <w:r w:rsidRPr="00DE7208">
              <w:rPr>
                <w:lang w:eastAsia="en-NZ"/>
              </w:rPr>
              <w:t>46.9</w:t>
            </w:r>
          </w:p>
        </w:tc>
      </w:tr>
      <w:tr w:rsidR="00777773" w:rsidRPr="00826E06" w:rsidTr="00777773">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77773" w:rsidRPr="00E848D2" w:rsidRDefault="00777773" w:rsidP="00230CA2">
            <w:pPr>
              <w:pStyle w:val="TableText"/>
              <w:keepNext/>
              <w:rPr>
                <w:b/>
                <w:lang w:eastAsia="en-NZ"/>
              </w:rPr>
            </w:pPr>
            <w:r w:rsidRPr="00E848D2">
              <w:rPr>
                <w:b/>
                <w:lang w:eastAsia="en-NZ"/>
              </w:rPr>
              <w:t xml:space="preserve">DHB of </w:t>
            </w:r>
            <w:r w:rsidR="007D4D25">
              <w:rPr>
                <w:b/>
                <w:lang w:eastAsia="en-NZ"/>
              </w:rPr>
              <w:t>service</w:t>
            </w:r>
          </w:p>
        </w:tc>
        <w:tc>
          <w:tcPr>
            <w:tcW w:w="1275"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keepNext/>
              <w:tabs>
                <w:tab w:val="decimal" w:pos="793"/>
              </w:tabs>
              <w:rPr>
                <w:lang w:eastAsia="en-NZ"/>
              </w:rPr>
            </w:pPr>
          </w:p>
        </w:tc>
        <w:tc>
          <w:tcPr>
            <w:tcW w:w="590"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keepNext/>
              <w:tabs>
                <w:tab w:val="decimal" w:pos="425"/>
              </w:tabs>
              <w:rPr>
                <w:lang w:eastAsia="en-NZ"/>
              </w:rPr>
            </w:pPr>
          </w:p>
        </w:tc>
        <w:tc>
          <w:tcPr>
            <w:tcW w:w="591"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keepNext/>
              <w:jc w:val="center"/>
              <w:rPr>
                <w:lang w:eastAsia="en-NZ"/>
              </w:rPr>
            </w:pPr>
          </w:p>
        </w:tc>
        <w:tc>
          <w:tcPr>
            <w:tcW w:w="591"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keepNext/>
              <w:tabs>
                <w:tab w:val="decimal" w:pos="425"/>
              </w:tabs>
              <w:rPr>
                <w:lang w:eastAsia="en-NZ"/>
              </w:rPr>
            </w:pPr>
          </w:p>
        </w:tc>
        <w:tc>
          <w:tcPr>
            <w:tcW w:w="590"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keepNext/>
              <w:jc w:val="center"/>
              <w:rPr>
                <w:lang w:eastAsia="en-NZ"/>
              </w:rPr>
            </w:pPr>
          </w:p>
        </w:tc>
        <w:tc>
          <w:tcPr>
            <w:tcW w:w="591" w:type="dxa"/>
            <w:tcBorders>
              <w:top w:val="single" w:sz="4" w:space="0" w:color="7F7F7F" w:themeColor="text1" w:themeTint="80"/>
              <w:left w:val="nil"/>
              <w:bottom w:val="single" w:sz="4" w:space="0" w:color="A6A6A6" w:themeColor="background1" w:themeShade="A6"/>
            </w:tcBorders>
            <w:shd w:val="clear" w:color="auto" w:fill="auto"/>
            <w:vAlign w:val="bottom"/>
          </w:tcPr>
          <w:p w:rsidR="00777773" w:rsidRPr="00DE7208" w:rsidRDefault="00777773" w:rsidP="00203F09">
            <w:pPr>
              <w:pStyle w:val="TableText"/>
              <w:keepNext/>
              <w:tabs>
                <w:tab w:val="decimal" w:pos="416"/>
              </w:tabs>
              <w:rPr>
                <w:lang w:eastAsia="en-NZ"/>
              </w:rPr>
            </w:pPr>
          </w:p>
        </w:tc>
        <w:tc>
          <w:tcPr>
            <w:tcW w:w="591"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keepNext/>
              <w:jc w:val="center"/>
              <w:rPr>
                <w:lang w:eastAsia="en-NZ"/>
              </w:rPr>
            </w:pPr>
          </w:p>
        </w:tc>
        <w:tc>
          <w:tcPr>
            <w:tcW w:w="567"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keepNext/>
              <w:tabs>
                <w:tab w:val="decimal" w:pos="425"/>
              </w:tabs>
              <w:rPr>
                <w:lang w:eastAsia="en-NZ"/>
              </w:rPr>
            </w:pPr>
          </w:p>
        </w:tc>
        <w:tc>
          <w:tcPr>
            <w:tcW w:w="567" w:type="dxa"/>
            <w:tcBorders>
              <w:top w:val="single" w:sz="4" w:space="0" w:color="7F7F7F" w:themeColor="text1" w:themeTint="80"/>
              <w:bottom w:val="single" w:sz="4" w:space="0" w:color="A6A6A6" w:themeColor="background1" w:themeShade="A6"/>
            </w:tcBorders>
            <w:vAlign w:val="bottom"/>
          </w:tcPr>
          <w:p w:rsidR="00777773" w:rsidRPr="00DE7208" w:rsidRDefault="00777773" w:rsidP="00777773">
            <w:pPr>
              <w:pStyle w:val="TableText"/>
              <w:keepNext/>
              <w:jc w:val="center"/>
              <w:rPr>
                <w:lang w:eastAsia="en-NZ"/>
              </w:rPr>
            </w:pP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77773" w:rsidRPr="00826E06" w:rsidRDefault="00777773" w:rsidP="00777773">
            <w:pPr>
              <w:pStyle w:val="TableText"/>
              <w:keepNext/>
              <w:ind w:left="142"/>
              <w:rPr>
                <w:lang w:eastAsia="en-NZ"/>
              </w:rPr>
            </w:pPr>
            <w:r w:rsidRPr="00826E06">
              <w:rPr>
                <w:lang w:eastAsia="en-NZ"/>
              </w:rPr>
              <w:t>Auckland</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keepNext/>
              <w:tabs>
                <w:tab w:val="decimal" w:pos="793"/>
              </w:tabs>
              <w:rPr>
                <w:lang w:eastAsia="en-NZ"/>
              </w:rPr>
            </w:pPr>
            <w:r w:rsidRPr="00DE7208">
              <w:rPr>
                <w:lang w:eastAsia="en-NZ"/>
              </w:rPr>
              <w:t>119</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keepNext/>
              <w:tabs>
                <w:tab w:val="decimal" w:pos="425"/>
              </w:tabs>
              <w:rPr>
                <w:lang w:eastAsia="en-NZ"/>
              </w:rPr>
            </w:pPr>
            <w:r w:rsidRPr="00DE7208">
              <w:rPr>
                <w:lang w:eastAsia="en-NZ"/>
              </w:rPr>
              <w:t>50</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keepNext/>
              <w:jc w:val="center"/>
              <w:rPr>
                <w:lang w:eastAsia="en-NZ"/>
              </w:rPr>
            </w:pPr>
            <w:r w:rsidRPr="00DE7208">
              <w:rPr>
                <w:lang w:eastAsia="en-NZ"/>
              </w:rPr>
              <w:t>42</w:t>
            </w:r>
            <w:r>
              <w:rPr>
                <w:lang w:eastAsia="en-NZ"/>
              </w:rPr>
              <w:t>.0</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keepNext/>
              <w:tabs>
                <w:tab w:val="decimal" w:pos="425"/>
              </w:tabs>
              <w:rPr>
                <w:lang w:eastAsia="en-NZ"/>
              </w:rPr>
            </w:pPr>
            <w:r w:rsidRPr="00DE7208">
              <w:rPr>
                <w:lang w:eastAsia="en-NZ"/>
              </w:rPr>
              <w:t>41</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keepNext/>
              <w:jc w:val="center"/>
              <w:rPr>
                <w:lang w:eastAsia="en-NZ"/>
              </w:rPr>
            </w:pPr>
            <w:r w:rsidRPr="00DE7208">
              <w:rPr>
                <w:lang w:eastAsia="en-NZ"/>
              </w:rPr>
              <w:t>34.5</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keepNext/>
              <w:tabs>
                <w:tab w:val="decimal" w:pos="416"/>
              </w:tabs>
              <w:rPr>
                <w:lang w:eastAsia="en-NZ"/>
              </w:rPr>
            </w:pPr>
            <w:r w:rsidRPr="00DE7208">
              <w:rPr>
                <w:lang w:eastAsia="en-NZ"/>
              </w:rPr>
              <w:t>7</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keepNext/>
              <w:jc w:val="center"/>
              <w:rPr>
                <w:lang w:eastAsia="en-NZ"/>
              </w:rPr>
            </w:pPr>
            <w:r w:rsidRPr="00DE7208">
              <w:rPr>
                <w:lang w:eastAsia="en-NZ"/>
              </w:rPr>
              <w:t>5.9</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keepNext/>
              <w:tabs>
                <w:tab w:val="decimal" w:pos="425"/>
              </w:tabs>
              <w:rPr>
                <w:lang w:eastAsia="en-NZ"/>
              </w:rPr>
            </w:pPr>
            <w:r w:rsidRPr="00DE7208">
              <w:rPr>
                <w:lang w:eastAsia="en-NZ"/>
              </w:rPr>
              <w:t>69</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keepNext/>
              <w:jc w:val="center"/>
              <w:rPr>
                <w:lang w:eastAsia="en-NZ"/>
              </w:rPr>
            </w:pPr>
            <w:r w:rsidRPr="00DE7208">
              <w:rPr>
                <w:lang w:eastAsia="en-NZ"/>
              </w:rPr>
              <w:t>58</w:t>
            </w:r>
            <w:r>
              <w:rPr>
                <w:lang w:eastAsia="en-NZ"/>
              </w:rPr>
              <w:t>.0</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777773">
            <w:pPr>
              <w:pStyle w:val="TableText"/>
              <w:keepNext/>
              <w:ind w:left="142"/>
              <w:rPr>
                <w:lang w:eastAsia="en-NZ"/>
              </w:rPr>
            </w:pPr>
            <w:r w:rsidRPr="00826E06">
              <w:rPr>
                <w:lang w:eastAsia="en-NZ"/>
              </w:rPr>
              <w:t>Bay of Plenty</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keepNext/>
              <w:tabs>
                <w:tab w:val="decimal" w:pos="793"/>
              </w:tabs>
              <w:rPr>
                <w:lang w:eastAsia="en-NZ"/>
              </w:rPr>
            </w:pPr>
            <w:r w:rsidRPr="00DE7208">
              <w:rPr>
                <w:lang w:eastAsia="en-NZ"/>
              </w:rPr>
              <w:t>108</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keepNext/>
              <w:tabs>
                <w:tab w:val="decimal" w:pos="425"/>
              </w:tabs>
              <w:rPr>
                <w:lang w:eastAsia="en-NZ"/>
              </w:rPr>
            </w:pPr>
            <w:r w:rsidRPr="00DE7208">
              <w:rPr>
                <w:lang w:eastAsia="en-NZ"/>
              </w:rPr>
              <w:t>73</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keepNext/>
              <w:jc w:val="center"/>
              <w:rPr>
                <w:lang w:eastAsia="en-NZ"/>
              </w:rPr>
            </w:pPr>
            <w:r w:rsidRPr="00DE7208">
              <w:rPr>
                <w:lang w:eastAsia="en-NZ"/>
              </w:rPr>
              <w:t>67.6</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keepNext/>
              <w:tabs>
                <w:tab w:val="decimal" w:pos="425"/>
              </w:tabs>
              <w:rPr>
                <w:lang w:eastAsia="en-NZ"/>
              </w:rPr>
            </w:pPr>
            <w:r w:rsidRPr="00DE7208">
              <w:rPr>
                <w:lang w:eastAsia="en-NZ"/>
              </w:rPr>
              <w:t>40</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keepNext/>
              <w:jc w:val="center"/>
              <w:rPr>
                <w:lang w:eastAsia="en-NZ"/>
              </w:rPr>
            </w:pPr>
            <w:r w:rsidRPr="00DE7208">
              <w:rPr>
                <w:lang w:eastAsia="en-NZ"/>
              </w:rPr>
              <w:t>37</w:t>
            </w:r>
            <w:r>
              <w:rPr>
                <w:lang w:eastAsia="en-NZ"/>
              </w:rPr>
              <w:t>.0</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keepNext/>
              <w:tabs>
                <w:tab w:val="decimal" w:pos="416"/>
              </w:tabs>
              <w:rPr>
                <w:lang w:eastAsia="en-NZ"/>
              </w:rPr>
            </w:pPr>
            <w:r w:rsidRPr="00DE7208">
              <w:rPr>
                <w:lang w:eastAsia="en-NZ"/>
              </w:rPr>
              <w:t>33</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keepNext/>
              <w:jc w:val="center"/>
              <w:rPr>
                <w:lang w:eastAsia="en-NZ"/>
              </w:rPr>
            </w:pPr>
            <w:r w:rsidRPr="00DE7208">
              <w:rPr>
                <w:lang w:eastAsia="en-NZ"/>
              </w:rPr>
              <w:t>30.6</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keepNext/>
              <w:tabs>
                <w:tab w:val="decimal" w:pos="425"/>
              </w:tabs>
              <w:rPr>
                <w:lang w:eastAsia="en-NZ"/>
              </w:rPr>
            </w:pPr>
            <w:r w:rsidRPr="00DE7208">
              <w:rPr>
                <w:lang w:eastAsia="en-NZ"/>
              </w:rPr>
              <w:t>35</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keepNext/>
              <w:jc w:val="center"/>
              <w:rPr>
                <w:lang w:eastAsia="en-NZ"/>
              </w:rPr>
            </w:pPr>
            <w:r w:rsidRPr="00DE7208">
              <w:rPr>
                <w:lang w:eastAsia="en-NZ"/>
              </w:rPr>
              <w:t>32.4</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777773">
            <w:pPr>
              <w:pStyle w:val="TableText"/>
              <w:keepNext/>
              <w:ind w:left="142"/>
              <w:rPr>
                <w:lang w:eastAsia="en-NZ"/>
              </w:rPr>
            </w:pPr>
            <w:r w:rsidRPr="00826E06">
              <w:rPr>
                <w:lang w:eastAsia="en-NZ"/>
              </w:rPr>
              <w:t>Canterbury</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keepNext/>
              <w:tabs>
                <w:tab w:val="decimal" w:pos="793"/>
              </w:tabs>
              <w:rPr>
                <w:lang w:eastAsia="en-NZ"/>
              </w:rPr>
            </w:pPr>
            <w:r w:rsidRPr="00DE7208">
              <w:rPr>
                <w:lang w:eastAsia="en-NZ"/>
              </w:rPr>
              <w:t>241</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keepNext/>
              <w:tabs>
                <w:tab w:val="decimal" w:pos="425"/>
              </w:tabs>
              <w:rPr>
                <w:lang w:eastAsia="en-NZ"/>
              </w:rPr>
            </w:pPr>
            <w:r w:rsidRPr="00DE7208">
              <w:rPr>
                <w:lang w:eastAsia="en-NZ"/>
              </w:rPr>
              <w:t>167</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keepNext/>
              <w:jc w:val="center"/>
              <w:rPr>
                <w:lang w:eastAsia="en-NZ"/>
              </w:rPr>
            </w:pPr>
            <w:r w:rsidRPr="00DE7208">
              <w:rPr>
                <w:lang w:eastAsia="en-NZ"/>
              </w:rPr>
              <w:t>69.3</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keepNext/>
              <w:tabs>
                <w:tab w:val="decimal" w:pos="425"/>
              </w:tabs>
              <w:rPr>
                <w:lang w:eastAsia="en-NZ"/>
              </w:rPr>
            </w:pPr>
            <w:r w:rsidRPr="00DE7208">
              <w:rPr>
                <w:lang w:eastAsia="en-NZ"/>
              </w:rPr>
              <w:t>134</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keepNext/>
              <w:jc w:val="center"/>
              <w:rPr>
                <w:lang w:eastAsia="en-NZ"/>
              </w:rPr>
            </w:pPr>
            <w:r w:rsidRPr="00DE7208">
              <w:rPr>
                <w:lang w:eastAsia="en-NZ"/>
              </w:rPr>
              <w:t>55.6</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keepNext/>
              <w:tabs>
                <w:tab w:val="decimal" w:pos="416"/>
              </w:tabs>
              <w:rPr>
                <w:lang w:eastAsia="en-NZ"/>
              </w:rPr>
            </w:pPr>
            <w:r w:rsidRPr="00DE7208">
              <w:rPr>
                <w:lang w:eastAsia="en-NZ"/>
              </w:rPr>
              <w:t>29</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keepNext/>
              <w:jc w:val="center"/>
              <w:rPr>
                <w:lang w:eastAsia="en-NZ"/>
              </w:rPr>
            </w:pPr>
            <w:r w:rsidRPr="00DE7208">
              <w:rPr>
                <w:lang w:eastAsia="en-NZ"/>
              </w:rPr>
              <w:t>12</w:t>
            </w:r>
            <w:r>
              <w:rPr>
                <w:lang w:eastAsia="en-NZ"/>
              </w:rPr>
              <w:t>.0</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keepNext/>
              <w:tabs>
                <w:tab w:val="decimal" w:pos="425"/>
              </w:tabs>
              <w:rPr>
                <w:lang w:eastAsia="en-NZ"/>
              </w:rPr>
            </w:pPr>
            <w:r w:rsidRPr="00DE7208">
              <w:rPr>
                <w:lang w:eastAsia="en-NZ"/>
              </w:rPr>
              <w:t>74</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keepNext/>
              <w:jc w:val="center"/>
              <w:rPr>
                <w:lang w:eastAsia="en-NZ"/>
              </w:rPr>
            </w:pPr>
            <w:r w:rsidRPr="00DE7208">
              <w:rPr>
                <w:lang w:eastAsia="en-NZ"/>
              </w:rPr>
              <w:t>30.7</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Capital and Coast</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108</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48</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44.4</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26</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24.1</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21</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19.4</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60</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55.6</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Counties Manukau</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151</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78</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51.7</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64</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42.4</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12</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7.9</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70</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46.4</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Hawke</w:t>
            </w:r>
            <w:r>
              <w:rPr>
                <w:lang w:eastAsia="en-NZ"/>
              </w:rPr>
              <w:t>’</w:t>
            </w:r>
            <w:r w:rsidRPr="00826E06">
              <w:rPr>
                <w:lang w:eastAsia="en-NZ"/>
              </w:rPr>
              <w:t>s Bay</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79</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44</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55.7</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36</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45.6</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8</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10.1</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33</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41.8</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Hutt Valley</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56</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25</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44.6</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12</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21.4</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12</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21.4</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31</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55.4</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Lakes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43</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30</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69.8</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22</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51.2</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7</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16.3</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10</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23.3</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MidCentral</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89</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60</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67.4</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44</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49.4</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15</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16.9</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28</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31.5</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Nelson Marlborough</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59</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30</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50.8</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24</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40.7</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6</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10.2</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29</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49.2</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Northland</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85</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46</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54.1</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40</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47.1</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6</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7.1</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37</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43.5</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South Canterbury</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41</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23</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56.1</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15</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36.6</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7</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17.1</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18</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43.9</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Southern</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173</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72</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41.6</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31</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17.9</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41</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23.7</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98</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56.6</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Tair</w:t>
            </w:r>
            <w:r w:rsidRPr="00401D63">
              <w:rPr>
                <w:lang w:eastAsia="en-NZ"/>
              </w:rPr>
              <w:t>ā</w:t>
            </w:r>
            <w:r w:rsidRPr="00826E06">
              <w:rPr>
                <w:lang w:eastAsia="en-NZ"/>
              </w:rPr>
              <w:t>whiti</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10</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3</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30</w:t>
            </w:r>
            <w:r>
              <w:rPr>
                <w:lang w:eastAsia="en-NZ"/>
              </w:rPr>
              <w:t>.0</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10</w:t>
            </w:r>
            <w:r>
              <w:rPr>
                <w:lang w:eastAsia="en-NZ"/>
              </w:rPr>
              <w:t>.0</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2</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20</w:t>
            </w:r>
            <w:r>
              <w:rPr>
                <w:lang w:eastAsia="en-NZ"/>
              </w:rPr>
              <w:t>.0</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7</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70</w:t>
            </w:r>
            <w:r>
              <w:rPr>
                <w:lang w:eastAsia="en-NZ"/>
              </w:rPr>
              <w:t>.0</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Taranaki</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56</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39</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69.6</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32</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57.1</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6</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10.7</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16</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28.6</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Waikato</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143</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93</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65</w:t>
            </w:r>
            <w:r>
              <w:rPr>
                <w:lang w:eastAsia="en-NZ"/>
              </w:rPr>
              <w:t>.0</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41</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28.7</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51</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35.7</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45</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31.5</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Wairarapa</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F56888" w:rsidRDefault="00777773" w:rsidP="00777773">
            <w:pPr>
              <w:pStyle w:val="TableText"/>
              <w:jc w:val="center"/>
              <w:rPr>
                <w:highlight w:val="yellow"/>
                <w:lang w:eastAsia="en-NZ"/>
              </w:rPr>
            </w:pPr>
            <w:r>
              <w:t>–</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F56888" w:rsidRDefault="00777773" w:rsidP="00203F09">
            <w:pPr>
              <w:pStyle w:val="TableText"/>
              <w:tabs>
                <w:tab w:val="decimal" w:pos="425"/>
              </w:tabs>
              <w:rPr>
                <w:highlight w:val="yellow"/>
                <w:lang w:eastAsia="en-NZ"/>
              </w:rPr>
            </w:pPr>
            <w:r>
              <w:t>–</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F56888" w:rsidRDefault="00777773" w:rsidP="00777773">
            <w:pPr>
              <w:pStyle w:val="TableText"/>
              <w:jc w:val="center"/>
              <w:rPr>
                <w:highlight w:val="yellow"/>
                <w:lang w:eastAsia="en-NZ"/>
              </w:rPr>
            </w:pPr>
            <w:r>
              <w:t>–</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F56888" w:rsidRDefault="00777773" w:rsidP="00203F09">
            <w:pPr>
              <w:pStyle w:val="TableText"/>
              <w:tabs>
                <w:tab w:val="decimal" w:pos="425"/>
              </w:tabs>
              <w:rPr>
                <w:highlight w:val="yellow"/>
                <w:lang w:eastAsia="en-NZ"/>
              </w:rPr>
            </w:pPr>
            <w:r>
              <w:t>–</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F56888" w:rsidRDefault="00777773" w:rsidP="00777773">
            <w:pPr>
              <w:pStyle w:val="TableText"/>
              <w:jc w:val="center"/>
              <w:rPr>
                <w:highlight w:val="yellow"/>
                <w:lang w:eastAsia="en-NZ"/>
              </w:rPr>
            </w:pPr>
            <w:r>
              <w:t>–</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F56888" w:rsidRDefault="00777773" w:rsidP="00203F09">
            <w:pPr>
              <w:pStyle w:val="TableText"/>
              <w:tabs>
                <w:tab w:val="decimal" w:pos="416"/>
              </w:tabs>
              <w:rPr>
                <w:highlight w:val="yellow"/>
                <w:lang w:eastAsia="en-NZ"/>
              </w:rPr>
            </w:pPr>
            <w:r>
              <w:t>–</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F56888" w:rsidRDefault="00777773" w:rsidP="00777773">
            <w:pPr>
              <w:pStyle w:val="TableText"/>
              <w:jc w:val="center"/>
              <w:rPr>
                <w:highlight w:val="yellow"/>
                <w:lang w:eastAsia="en-NZ"/>
              </w:rPr>
            </w:pPr>
            <w: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F56888" w:rsidRDefault="00777773" w:rsidP="00203F09">
            <w:pPr>
              <w:pStyle w:val="TableText"/>
              <w:tabs>
                <w:tab w:val="decimal" w:pos="425"/>
              </w:tabs>
              <w:rPr>
                <w:highlight w:val="yellow"/>
                <w:lang w:eastAsia="en-NZ"/>
              </w:rPr>
            </w:pPr>
            <w:r>
              <w:t>–</w:t>
            </w:r>
          </w:p>
        </w:tc>
        <w:tc>
          <w:tcPr>
            <w:tcW w:w="567" w:type="dxa"/>
            <w:tcBorders>
              <w:top w:val="single" w:sz="4" w:space="0" w:color="A6A6A6" w:themeColor="background1" w:themeShade="A6"/>
              <w:bottom w:val="single" w:sz="4" w:space="0" w:color="A6A6A6" w:themeColor="background1" w:themeShade="A6"/>
            </w:tcBorders>
            <w:vAlign w:val="bottom"/>
          </w:tcPr>
          <w:p w:rsidR="00777773" w:rsidRPr="00F56888" w:rsidRDefault="00777773" w:rsidP="00777773">
            <w:pPr>
              <w:pStyle w:val="TableText"/>
              <w:jc w:val="center"/>
              <w:rPr>
                <w:highlight w:val="yellow"/>
                <w:lang w:eastAsia="en-NZ"/>
              </w:rPr>
            </w:pPr>
            <w:r>
              <w:t>–</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Waitemata</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210</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80</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38.1</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70</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33.3</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6</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2.9</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127</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60.5</w:t>
            </w:r>
          </w:p>
        </w:tc>
      </w:tr>
      <w:tr w:rsidR="00777773" w:rsidRPr="00826E06"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West Coast</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F56888" w:rsidRDefault="00777773" w:rsidP="00A67A36">
            <w:pPr>
              <w:pStyle w:val="TableText"/>
              <w:jc w:val="center"/>
              <w:rPr>
                <w:highlight w:val="yellow"/>
                <w:lang w:eastAsia="en-NZ"/>
              </w:rPr>
            </w:pPr>
            <w:r>
              <w:t>–</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F56888" w:rsidRDefault="00777773" w:rsidP="00203F09">
            <w:pPr>
              <w:pStyle w:val="TableText"/>
              <w:tabs>
                <w:tab w:val="decimal" w:pos="425"/>
              </w:tabs>
              <w:rPr>
                <w:highlight w:val="yellow"/>
                <w:lang w:eastAsia="en-NZ"/>
              </w:rPr>
            </w:pPr>
            <w:r>
              <w:t>–</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F56888" w:rsidRDefault="00777773" w:rsidP="00A67A36">
            <w:pPr>
              <w:pStyle w:val="TableText"/>
              <w:jc w:val="center"/>
              <w:rPr>
                <w:highlight w:val="yellow"/>
                <w:lang w:eastAsia="en-NZ"/>
              </w:rPr>
            </w:pPr>
            <w:r>
              <w:t>–</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F56888" w:rsidRDefault="00777773" w:rsidP="00203F09">
            <w:pPr>
              <w:pStyle w:val="TableText"/>
              <w:tabs>
                <w:tab w:val="decimal" w:pos="425"/>
              </w:tabs>
              <w:rPr>
                <w:highlight w:val="yellow"/>
                <w:lang w:eastAsia="en-NZ"/>
              </w:rPr>
            </w:pPr>
            <w:r>
              <w:t>–</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F56888" w:rsidRDefault="00777773" w:rsidP="00A67A36">
            <w:pPr>
              <w:pStyle w:val="TableText"/>
              <w:jc w:val="center"/>
              <w:rPr>
                <w:highlight w:val="yellow"/>
                <w:lang w:eastAsia="en-NZ"/>
              </w:rPr>
            </w:pPr>
            <w:r>
              <w:t>–</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F56888" w:rsidRDefault="00777773" w:rsidP="00203F09">
            <w:pPr>
              <w:pStyle w:val="TableText"/>
              <w:tabs>
                <w:tab w:val="decimal" w:pos="416"/>
              </w:tabs>
              <w:rPr>
                <w:highlight w:val="yellow"/>
                <w:lang w:eastAsia="en-NZ"/>
              </w:rPr>
            </w:pPr>
            <w:r>
              <w:t>–</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F56888" w:rsidRDefault="00777773" w:rsidP="00A67A36">
            <w:pPr>
              <w:pStyle w:val="TableText"/>
              <w:jc w:val="center"/>
              <w:rPr>
                <w:highlight w:val="yellow"/>
                <w:lang w:eastAsia="en-NZ"/>
              </w:rPr>
            </w:pPr>
            <w:r>
              <w:t>–</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F56888" w:rsidRDefault="00777773" w:rsidP="00203F09">
            <w:pPr>
              <w:pStyle w:val="TableText"/>
              <w:tabs>
                <w:tab w:val="decimal" w:pos="425"/>
              </w:tabs>
              <w:rPr>
                <w:highlight w:val="yellow"/>
                <w:lang w:eastAsia="en-NZ"/>
              </w:rPr>
            </w:pPr>
            <w:r>
              <w:t>–</w:t>
            </w:r>
          </w:p>
        </w:tc>
        <w:tc>
          <w:tcPr>
            <w:tcW w:w="567" w:type="dxa"/>
            <w:tcBorders>
              <w:top w:val="single" w:sz="4" w:space="0" w:color="A6A6A6" w:themeColor="background1" w:themeShade="A6"/>
              <w:bottom w:val="single" w:sz="4" w:space="0" w:color="A6A6A6" w:themeColor="background1" w:themeShade="A6"/>
            </w:tcBorders>
            <w:vAlign w:val="bottom"/>
          </w:tcPr>
          <w:p w:rsidR="00777773" w:rsidRPr="00F56888" w:rsidRDefault="00777773" w:rsidP="00A67A36">
            <w:pPr>
              <w:pStyle w:val="TableText"/>
              <w:jc w:val="center"/>
              <w:rPr>
                <w:highlight w:val="yellow"/>
                <w:lang w:eastAsia="en-NZ"/>
              </w:rPr>
            </w:pPr>
            <w:r>
              <w:t>–</w:t>
            </w:r>
          </w:p>
        </w:tc>
      </w:tr>
      <w:tr w:rsidR="00777773" w:rsidRPr="00826E06" w:rsidTr="00777773">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777773" w:rsidRPr="00826E06" w:rsidRDefault="00777773" w:rsidP="00A67A36">
            <w:pPr>
              <w:pStyle w:val="TableText"/>
              <w:ind w:left="142"/>
              <w:rPr>
                <w:lang w:eastAsia="en-NZ"/>
              </w:rPr>
            </w:pPr>
            <w:r w:rsidRPr="00826E06">
              <w:rPr>
                <w:lang w:eastAsia="en-NZ"/>
              </w:rPr>
              <w:t>Whanganui</w:t>
            </w:r>
          </w:p>
        </w:tc>
        <w:tc>
          <w:tcPr>
            <w:tcW w:w="1275"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29</w:t>
            </w:r>
          </w:p>
        </w:tc>
        <w:tc>
          <w:tcPr>
            <w:tcW w:w="590"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22</w:t>
            </w:r>
          </w:p>
        </w:tc>
        <w:tc>
          <w:tcPr>
            <w:tcW w:w="591"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75.9</w:t>
            </w:r>
          </w:p>
        </w:tc>
        <w:tc>
          <w:tcPr>
            <w:tcW w:w="591"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18</w:t>
            </w:r>
          </w:p>
        </w:tc>
        <w:tc>
          <w:tcPr>
            <w:tcW w:w="590"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62.1</w:t>
            </w:r>
          </w:p>
        </w:tc>
        <w:tc>
          <w:tcPr>
            <w:tcW w:w="591" w:type="dxa"/>
            <w:tcBorders>
              <w:top w:val="single" w:sz="4" w:space="0" w:color="A6A6A6" w:themeColor="background1" w:themeShade="A6"/>
              <w:left w:val="nil"/>
              <w:bottom w:val="single" w:sz="4" w:space="0" w:color="7F7F7F" w:themeColor="text1" w:themeTint="80"/>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4</w:t>
            </w:r>
          </w:p>
        </w:tc>
        <w:tc>
          <w:tcPr>
            <w:tcW w:w="591"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13.8</w:t>
            </w:r>
          </w:p>
        </w:tc>
        <w:tc>
          <w:tcPr>
            <w:tcW w:w="567"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6</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20.7</w:t>
            </w:r>
          </w:p>
        </w:tc>
      </w:tr>
      <w:tr w:rsidR="00777773" w:rsidRPr="00826E06" w:rsidTr="00777773">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77773" w:rsidRPr="00E848D2" w:rsidRDefault="00777773" w:rsidP="00A67A36">
            <w:pPr>
              <w:pStyle w:val="TableText"/>
              <w:keepNext/>
              <w:rPr>
                <w:b/>
                <w:lang w:eastAsia="en-NZ"/>
              </w:rPr>
            </w:pPr>
            <w:r w:rsidRPr="00E848D2">
              <w:rPr>
                <w:b/>
                <w:lang w:eastAsia="en-NZ"/>
              </w:rPr>
              <w:lastRenderedPageBreak/>
              <w:t>Age group (years)</w:t>
            </w:r>
          </w:p>
        </w:tc>
        <w:tc>
          <w:tcPr>
            <w:tcW w:w="1275"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p>
        </w:tc>
        <w:tc>
          <w:tcPr>
            <w:tcW w:w="590"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p>
        </w:tc>
        <w:tc>
          <w:tcPr>
            <w:tcW w:w="591"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91"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p>
        </w:tc>
        <w:tc>
          <w:tcPr>
            <w:tcW w:w="590"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91" w:type="dxa"/>
            <w:tcBorders>
              <w:top w:val="single" w:sz="4" w:space="0" w:color="7F7F7F" w:themeColor="text1" w:themeTint="80"/>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p>
        </w:tc>
        <w:tc>
          <w:tcPr>
            <w:tcW w:w="591"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67"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p>
        </w:tc>
      </w:tr>
      <w:tr w:rsidR="00777773" w:rsidRPr="00DD4C09"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77773" w:rsidRPr="00872866" w:rsidRDefault="00777773" w:rsidP="00A67A36">
            <w:pPr>
              <w:pStyle w:val="TableText"/>
              <w:keepNext/>
              <w:ind w:left="142"/>
              <w:rPr>
                <w:lang w:eastAsia="en-NZ"/>
              </w:rPr>
            </w:pPr>
            <w:r w:rsidRPr="00872866">
              <w:rPr>
                <w:lang w:eastAsia="en-NZ"/>
              </w:rPr>
              <w:t>18</w:t>
            </w:r>
            <w:r>
              <w:rPr>
                <w:lang w:eastAsia="en-NZ"/>
              </w:rPr>
              <w:t>–</w:t>
            </w:r>
            <w:r w:rsidRPr="00872866">
              <w:rPr>
                <w:lang w:eastAsia="en-NZ"/>
              </w:rPr>
              <w:t>49</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152</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90</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59.2</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80</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52.6</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7</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4.6</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59</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38.8</w:t>
            </w:r>
          </w:p>
        </w:tc>
      </w:tr>
      <w:tr w:rsidR="00777773" w:rsidRPr="00DD4C09"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72866" w:rsidRDefault="00777773" w:rsidP="00A67A36">
            <w:pPr>
              <w:pStyle w:val="TableText"/>
              <w:keepNext/>
              <w:ind w:left="142"/>
              <w:rPr>
                <w:lang w:eastAsia="en-NZ"/>
              </w:rPr>
            </w:pPr>
            <w:r w:rsidRPr="00872866">
              <w:rPr>
                <w:lang w:eastAsia="en-NZ"/>
              </w:rPr>
              <w:t>50</w:t>
            </w:r>
            <w:r>
              <w:rPr>
                <w:lang w:eastAsia="en-NZ"/>
              </w:rPr>
              <w:t>–</w:t>
            </w:r>
            <w:r w:rsidRPr="00872866">
              <w:rPr>
                <w:lang w:eastAsia="en-NZ"/>
              </w:rPr>
              <w:t>59</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302</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187</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61.9</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158</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52.3</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27</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8.9</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111</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36.8</w:t>
            </w:r>
          </w:p>
        </w:tc>
      </w:tr>
      <w:tr w:rsidR="00777773" w:rsidRPr="00DD4C09"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72866" w:rsidRDefault="00777773" w:rsidP="00A67A36">
            <w:pPr>
              <w:pStyle w:val="TableText"/>
              <w:keepNext/>
              <w:ind w:left="142"/>
              <w:rPr>
                <w:lang w:eastAsia="en-NZ"/>
              </w:rPr>
            </w:pPr>
            <w:r w:rsidRPr="00872866">
              <w:rPr>
                <w:lang w:eastAsia="en-NZ"/>
              </w:rPr>
              <w:t>60</w:t>
            </w:r>
            <w:r>
              <w:rPr>
                <w:lang w:eastAsia="en-NZ"/>
              </w:rPr>
              <w:t>–</w:t>
            </w:r>
            <w:r w:rsidRPr="00872866">
              <w:rPr>
                <w:lang w:eastAsia="en-NZ"/>
              </w:rPr>
              <w:t>74</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827</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459</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55.5</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329</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39.8</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119</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14.4</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357</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43.2</w:t>
            </w:r>
          </w:p>
        </w:tc>
      </w:tr>
      <w:tr w:rsidR="00777773" w:rsidRPr="00DD4C09" w:rsidTr="00777773">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777773" w:rsidRPr="00872866" w:rsidRDefault="00777773" w:rsidP="00A67A36">
            <w:pPr>
              <w:pStyle w:val="TableText"/>
              <w:ind w:left="142"/>
              <w:rPr>
                <w:lang w:eastAsia="en-NZ"/>
              </w:rPr>
            </w:pPr>
            <w:r w:rsidRPr="00872866">
              <w:rPr>
                <w:lang w:eastAsia="en-NZ"/>
              </w:rPr>
              <w:t>75+</w:t>
            </w:r>
          </w:p>
        </w:tc>
        <w:tc>
          <w:tcPr>
            <w:tcW w:w="1275"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527</w:t>
            </w:r>
          </w:p>
        </w:tc>
        <w:tc>
          <w:tcPr>
            <w:tcW w:w="590"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248</w:t>
            </w:r>
          </w:p>
        </w:tc>
        <w:tc>
          <w:tcPr>
            <w:tcW w:w="591"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47.1</w:t>
            </w:r>
          </w:p>
        </w:tc>
        <w:tc>
          <w:tcPr>
            <w:tcW w:w="591"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125</w:t>
            </w:r>
          </w:p>
        </w:tc>
        <w:tc>
          <w:tcPr>
            <w:tcW w:w="590"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23.7</w:t>
            </w:r>
          </w:p>
        </w:tc>
        <w:tc>
          <w:tcPr>
            <w:tcW w:w="591" w:type="dxa"/>
            <w:tcBorders>
              <w:top w:val="single" w:sz="4" w:space="0" w:color="A6A6A6" w:themeColor="background1" w:themeShade="A6"/>
              <w:left w:val="nil"/>
              <w:bottom w:val="single" w:sz="4" w:space="0" w:color="7F7F7F" w:themeColor="text1" w:themeTint="80"/>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120</w:t>
            </w:r>
          </w:p>
        </w:tc>
        <w:tc>
          <w:tcPr>
            <w:tcW w:w="591"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22.8</w:t>
            </w:r>
          </w:p>
        </w:tc>
        <w:tc>
          <w:tcPr>
            <w:tcW w:w="567"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273</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51.8</w:t>
            </w:r>
          </w:p>
        </w:tc>
      </w:tr>
      <w:tr w:rsidR="00777773" w:rsidRPr="00826E06" w:rsidTr="00777773">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77773" w:rsidRPr="00E848D2" w:rsidRDefault="00777773" w:rsidP="00A67A36">
            <w:pPr>
              <w:pStyle w:val="TableText"/>
              <w:rPr>
                <w:b/>
                <w:lang w:eastAsia="en-NZ"/>
              </w:rPr>
            </w:pPr>
            <w:r w:rsidRPr="00E848D2">
              <w:rPr>
                <w:b/>
                <w:lang w:eastAsia="en-NZ"/>
              </w:rPr>
              <w:t>Sex</w:t>
            </w:r>
          </w:p>
        </w:tc>
        <w:tc>
          <w:tcPr>
            <w:tcW w:w="1275"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p>
        </w:tc>
        <w:tc>
          <w:tcPr>
            <w:tcW w:w="590"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p>
        </w:tc>
        <w:tc>
          <w:tcPr>
            <w:tcW w:w="591"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91"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p>
        </w:tc>
        <w:tc>
          <w:tcPr>
            <w:tcW w:w="590"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91" w:type="dxa"/>
            <w:tcBorders>
              <w:top w:val="single" w:sz="4" w:space="0" w:color="7F7F7F" w:themeColor="text1" w:themeTint="80"/>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p>
        </w:tc>
        <w:tc>
          <w:tcPr>
            <w:tcW w:w="591"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67"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p>
        </w:tc>
      </w:tr>
      <w:tr w:rsidR="00777773" w:rsidRPr="00DD4C09"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77773" w:rsidRPr="00872866" w:rsidRDefault="00777773" w:rsidP="00A67A36">
            <w:pPr>
              <w:pStyle w:val="TableText"/>
              <w:ind w:left="142"/>
              <w:rPr>
                <w:lang w:eastAsia="en-NZ"/>
              </w:rPr>
            </w:pPr>
            <w:r>
              <w:rPr>
                <w:lang w:eastAsia="en-NZ"/>
              </w:rPr>
              <w:t>Female</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657</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372</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56.6</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257</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39.1</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108</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16.4</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281</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42.8</w:t>
            </w:r>
          </w:p>
        </w:tc>
      </w:tr>
      <w:tr w:rsidR="00777773" w:rsidRPr="00DD4C09" w:rsidTr="00777773">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777773" w:rsidRPr="00872866" w:rsidRDefault="00777773" w:rsidP="00A67A36">
            <w:pPr>
              <w:pStyle w:val="TableText"/>
              <w:ind w:left="142"/>
              <w:rPr>
                <w:lang w:eastAsia="en-NZ"/>
              </w:rPr>
            </w:pPr>
            <w:r>
              <w:rPr>
                <w:lang w:eastAsia="en-NZ"/>
              </w:rPr>
              <w:t>Male</w:t>
            </w:r>
          </w:p>
        </w:tc>
        <w:tc>
          <w:tcPr>
            <w:tcW w:w="1275"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1</w:t>
            </w:r>
            <w:r w:rsidR="00203F09">
              <w:rPr>
                <w:lang w:eastAsia="en-NZ"/>
              </w:rPr>
              <w:t>,</w:t>
            </w:r>
            <w:r w:rsidRPr="00DE7208">
              <w:rPr>
                <w:lang w:eastAsia="en-NZ"/>
              </w:rPr>
              <w:t>151</w:t>
            </w:r>
          </w:p>
        </w:tc>
        <w:tc>
          <w:tcPr>
            <w:tcW w:w="590"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612</w:t>
            </w:r>
          </w:p>
        </w:tc>
        <w:tc>
          <w:tcPr>
            <w:tcW w:w="591"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53.2</w:t>
            </w:r>
          </w:p>
        </w:tc>
        <w:tc>
          <w:tcPr>
            <w:tcW w:w="591"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435</w:t>
            </w:r>
          </w:p>
        </w:tc>
        <w:tc>
          <w:tcPr>
            <w:tcW w:w="590"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37.8</w:t>
            </w:r>
          </w:p>
        </w:tc>
        <w:tc>
          <w:tcPr>
            <w:tcW w:w="591" w:type="dxa"/>
            <w:tcBorders>
              <w:top w:val="single" w:sz="4" w:space="0" w:color="A6A6A6" w:themeColor="background1" w:themeShade="A6"/>
              <w:left w:val="nil"/>
              <w:bottom w:val="single" w:sz="4" w:space="0" w:color="7F7F7F" w:themeColor="text1" w:themeTint="80"/>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165</w:t>
            </w:r>
          </w:p>
        </w:tc>
        <w:tc>
          <w:tcPr>
            <w:tcW w:w="591"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14.3</w:t>
            </w:r>
          </w:p>
        </w:tc>
        <w:tc>
          <w:tcPr>
            <w:tcW w:w="567"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519</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45.1</w:t>
            </w:r>
          </w:p>
        </w:tc>
      </w:tr>
      <w:tr w:rsidR="00777773" w:rsidRPr="00826E06" w:rsidTr="00777773">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77773" w:rsidRPr="00E848D2" w:rsidRDefault="00777773" w:rsidP="00A67A36">
            <w:pPr>
              <w:pStyle w:val="TableText"/>
              <w:rPr>
                <w:b/>
                <w:lang w:eastAsia="en-NZ"/>
              </w:rPr>
            </w:pPr>
            <w:r w:rsidRPr="00E848D2">
              <w:rPr>
                <w:b/>
                <w:lang w:eastAsia="en-NZ"/>
              </w:rPr>
              <w:t>Ethnic group</w:t>
            </w:r>
          </w:p>
        </w:tc>
        <w:tc>
          <w:tcPr>
            <w:tcW w:w="1275"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p>
        </w:tc>
        <w:tc>
          <w:tcPr>
            <w:tcW w:w="590"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p>
        </w:tc>
        <w:tc>
          <w:tcPr>
            <w:tcW w:w="591"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91"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p>
        </w:tc>
        <w:tc>
          <w:tcPr>
            <w:tcW w:w="590"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91" w:type="dxa"/>
            <w:tcBorders>
              <w:top w:val="single" w:sz="4" w:space="0" w:color="7F7F7F" w:themeColor="text1" w:themeTint="80"/>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p>
        </w:tc>
        <w:tc>
          <w:tcPr>
            <w:tcW w:w="591"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67"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p>
        </w:tc>
      </w:tr>
      <w:tr w:rsidR="00777773" w:rsidRPr="00DD4C09"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77773" w:rsidRPr="00872866" w:rsidRDefault="00777773" w:rsidP="00A67A36">
            <w:pPr>
              <w:pStyle w:val="TableText"/>
              <w:ind w:left="142"/>
              <w:rPr>
                <w:lang w:eastAsia="en-NZ"/>
              </w:rPr>
            </w:pPr>
            <w:r w:rsidRPr="00872866">
              <w:rPr>
                <w:lang w:eastAsia="en-NZ"/>
              </w:rPr>
              <w:t>M</w:t>
            </w:r>
            <w:r>
              <w:rPr>
                <w:lang w:eastAsia="en-NZ"/>
              </w:rPr>
              <w:t>ā</w:t>
            </w:r>
            <w:r w:rsidRPr="00872866">
              <w:rPr>
                <w:lang w:eastAsia="en-NZ"/>
              </w:rPr>
              <w:t>ori</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120</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77</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64.2</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61</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50.8</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16</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13.3</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42</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35</w:t>
            </w:r>
          </w:p>
        </w:tc>
      </w:tr>
      <w:tr w:rsidR="00777773" w:rsidRPr="00DD4C09"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72866" w:rsidRDefault="00777773" w:rsidP="00A67A36">
            <w:pPr>
              <w:pStyle w:val="TableText"/>
              <w:ind w:left="142"/>
              <w:rPr>
                <w:lang w:eastAsia="en-NZ"/>
              </w:rPr>
            </w:pPr>
            <w:r w:rsidRPr="00872866">
              <w:rPr>
                <w:lang w:eastAsia="en-NZ"/>
              </w:rPr>
              <w:t>Pacific peoples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55</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26</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47.3</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23</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41.8</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3</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5.5</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27</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49.1</w:t>
            </w:r>
          </w:p>
        </w:tc>
      </w:tr>
      <w:tr w:rsidR="00777773" w:rsidRPr="00DD4C09"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72866" w:rsidRDefault="00777773" w:rsidP="00A67A36">
            <w:pPr>
              <w:pStyle w:val="TableText"/>
              <w:ind w:left="142"/>
              <w:rPr>
                <w:lang w:eastAsia="en-NZ"/>
              </w:rPr>
            </w:pPr>
            <w:r w:rsidRPr="00872866">
              <w:rPr>
                <w:lang w:eastAsia="en-NZ"/>
              </w:rPr>
              <w:t>Asian</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89</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47</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52.8</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36</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40.4</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10</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11.2</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41</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46.1</w:t>
            </w:r>
          </w:p>
        </w:tc>
      </w:tr>
      <w:tr w:rsidR="00777773" w:rsidRPr="00DD4C09"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72866" w:rsidRDefault="00777773" w:rsidP="00A67A36">
            <w:pPr>
              <w:pStyle w:val="TableText"/>
              <w:ind w:left="142"/>
              <w:rPr>
                <w:lang w:eastAsia="en-NZ"/>
              </w:rPr>
            </w:pPr>
            <w:r w:rsidRPr="00872866">
              <w:rPr>
                <w:lang w:eastAsia="en-NZ"/>
              </w:rPr>
              <w:t>European/Other</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1</w:t>
            </w:r>
            <w:r w:rsidR="00203F09">
              <w:rPr>
                <w:lang w:eastAsia="en-NZ"/>
              </w:rPr>
              <w:t>,</w:t>
            </w:r>
            <w:r w:rsidRPr="00DE7208">
              <w:rPr>
                <w:lang w:eastAsia="en-NZ"/>
              </w:rPr>
              <w:t>513</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819</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54.1</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561</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37.1</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240</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15.9</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675</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44.6</w:t>
            </w:r>
          </w:p>
        </w:tc>
      </w:tr>
      <w:tr w:rsidR="00777773" w:rsidRPr="00DD4C09" w:rsidTr="00777773">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777773" w:rsidRPr="00872866" w:rsidRDefault="00777773" w:rsidP="00A67A36">
            <w:pPr>
              <w:pStyle w:val="TableText"/>
              <w:ind w:left="142"/>
              <w:rPr>
                <w:lang w:eastAsia="en-NZ"/>
              </w:rPr>
            </w:pPr>
            <w:r w:rsidRPr="00872866">
              <w:rPr>
                <w:lang w:eastAsia="en-NZ"/>
              </w:rPr>
              <w:t>Unknown</w:t>
            </w:r>
          </w:p>
        </w:tc>
        <w:tc>
          <w:tcPr>
            <w:tcW w:w="1275"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31</w:t>
            </w:r>
          </w:p>
        </w:tc>
        <w:tc>
          <w:tcPr>
            <w:tcW w:w="590"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15</w:t>
            </w:r>
          </w:p>
        </w:tc>
        <w:tc>
          <w:tcPr>
            <w:tcW w:w="591"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48.4</w:t>
            </w:r>
          </w:p>
        </w:tc>
        <w:tc>
          <w:tcPr>
            <w:tcW w:w="591"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11</w:t>
            </w:r>
          </w:p>
        </w:tc>
        <w:tc>
          <w:tcPr>
            <w:tcW w:w="590"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35.5</w:t>
            </w:r>
          </w:p>
        </w:tc>
        <w:tc>
          <w:tcPr>
            <w:tcW w:w="591" w:type="dxa"/>
            <w:tcBorders>
              <w:top w:val="single" w:sz="4" w:space="0" w:color="A6A6A6" w:themeColor="background1" w:themeShade="A6"/>
              <w:left w:val="nil"/>
              <w:bottom w:val="single" w:sz="4" w:space="0" w:color="7F7F7F" w:themeColor="text1" w:themeTint="80"/>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4</w:t>
            </w:r>
          </w:p>
        </w:tc>
        <w:tc>
          <w:tcPr>
            <w:tcW w:w="591"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12.9</w:t>
            </w:r>
          </w:p>
        </w:tc>
        <w:tc>
          <w:tcPr>
            <w:tcW w:w="567"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15</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48.4</w:t>
            </w:r>
          </w:p>
        </w:tc>
      </w:tr>
      <w:tr w:rsidR="00777773" w:rsidRPr="00826E06" w:rsidTr="00777773">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77773" w:rsidRPr="00E848D2" w:rsidRDefault="00777773" w:rsidP="00A67A36">
            <w:pPr>
              <w:pStyle w:val="TableText"/>
              <w:rPr>
                <w:b/>
                <w:lang w:eastAsia="en-NZ"/>
              </w:rPr>
            </w:pPr>
            <w:r w:rsidRPr="00E848D2">
              <w:rPr>
                <w:b/>
                <w:lang w:eastAsia="en-NZ"/>
              </w:rPr>
              <w:t>NZDep2013 quintile</w:t>
            </w:r>
          </w:p>
        </w:tc>
        <w:tc>
          <w:tcPr>
            <w:tcW w:w="1275"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p>
        </w:tc>
        <w:tc>
          <w:tcPr>
            <w:tcW w:w="590"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p>
        </w:tc>
        <w:tc>
          <w:tcPr>
            <w:tcW w:w="591"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91"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p>
        </w:tc>
        <w:tc>
          <w:tcPr>
            <w:tcW w:w="590"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91" w:type="dxa"/>
            <w:tcBorders>
              <w:top w:val="single" w:sz="4" w:space="0" w:color="7F7F7F" w:themeColor="text1" w:themeTint="80"/>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p>
        </w:tc>
        <w:tc>
          <w:tcPr>
            <w:tcW w:w="591"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p>
        </w:tc>
        <w:tc>
          <w:tcPr>
            <w:tcW w:w="567"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p>
        </w:tc>
      </w:tr>
      <w:tr w:rsidR="00777773" w:rsidRPr="00DD4C09"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77773" w:rsidRPr="00872866" w:rsidRDefault="00777773" w:rsidP="00A67A36">
            <w:pPr>
              <w:pStyle w:val="TableText"/>
              <w:ind w:left="142"/>
              <w:rPr>
                <w:lang w:eastAsia="en-NZ"/>
              </w:rPr>
            </w:pPr>
            <w:r w:rsidRPr="00872866">
              <w:rPr>
                <w:lang w:eastAsia="en-NZ"/>
              </w:rPr>
              <w:t>1 (least deprived)</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295</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148</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50.2</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99</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33.6</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46</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15.6</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144</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48.8</w:t>
            </w:r>
          </w:p>
        </w:tc>
      </w:tr>
      <w:tr w:rsidR="00777773" w:rsidRPr="00DD4C09"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72866" w:rsidRDefault="00777773" w:rsidP="00A67A36">
            <w:pPr>
              <w:pStyle w:val="TableText"/>
              <w:ind w:left="142"/>
              <w:rPr>
                <w:lang w:eastAsia="en-NZ"/>
              </w:rPr>
            </w:pPr>
            <w:r w:rsidRPr="00872866">
              <w:rPr>
                <w:lang w:eastAsia="en-NZ"/>
              </w:rPr>
              <w:t>2</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316</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173</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54.7</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128</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40.5</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38</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12</w:t>
            </w:r>
            <w:r>
              <w:rPr>
                <w:lang w:eastAsia="en-NZ"/>
              </w:rPr>
              <w:t>.0</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140</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44.3</w:t>
            </w:r>
          </w:p>
        </w:tc>
      </w:tr>
      <w:tr w:rsidR="00777773" w:rsidRPr="00DD4C09"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72866" w:rsidRDefault="00777773" w:rsidP="00A67A36">
            <w:pPr>
              <w:pStyle w:val="TableText"/>
              <w:ind w:left="142"/>
              <w:rPr>
                <w:lang w:eastAsia="en-NZ"/>
              </w:rPr>
            </w:pPr>
            <w:r w:rsidRPr="00872866">
              <w:rPr>
                <w:lang w:eastAsia="en-NZ"/>
              </w:rPr>
              <w:t>3</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402</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190</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47.3</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129</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32.1</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56</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13.9</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209</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52</w:t>
            </w:r>
          </w:p>
        </w:tc>
      </w:tr>
      <w:tr w:rsidR="00777773" w:rsidRPr="00DD4C09"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72866" w:rsidRDefault="00777773" w:rsidP="00A67A36">
            <w:pPr>
              <w:pStyle w:val="TableText"/>
              <w:ind w:left="142"/>
              <w:rPr>
                <w:lang w:eastAsia="en-NZ"/>
              </w:rPr>
            </w:pPr>
            <w:r w:rsidRPr="00872866">
              <w:rPr>
                <w:lang w:eastAsia="en-NZ"/>
              </w:rPr>
              <w:t>4</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410</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249</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60.7</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169</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41.2</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79</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19.3</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155</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37.8</w:t>
            </w:r>
          </w:p>
        </w:tc>
      </w:tr>
      <w:tr w:rsidR="00777773" w:rsidRPr="00DD4C09" w:rsidTr="00777773">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72866" w:rsidRDefault="00777773" w:rsidP="00A67A36">
            <w:pPr>
              <w:pStyle w:val="TableText"/>
              <w:ind w:left="142"/>
              <w:rPr>
                <w:lang w:eastAsia="en-NZ"/>
              </w:rPr>
            </w:pPr>
            <w:r w:rsidRPr="00872866">
              <w:rPr>
                <w:lang w:eastAsia="en-NZ"/>
              </w:rPr>
              <w:t>5 (most deprived)</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777773">
            <w:pPr>
              <w:pStyle w:val="TableText"/>
              <w:tabs>
                <w:tab w:val="decimal" w:pos="793"/>
              </w:tabs>
              <w:rPr>
                <w:lang w:eastAsia="en-NZ"/>
              </w:rPr>
            </w:pPr>
            <w:r w:rsidRPr="00DE7208">
              <w:rPr>
                <w:lang w:eastAsia="en-NZ"/>
              </w:rPr>
              <w:t>385</w:t>
            </w:r>
          </w:p>
        </w:tc>
        <w:tc>
          <w:tcPr>
            <w:tcW w:w="59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224</w:t>
            </w:r>
          </w:p>
        </w:tc>
        <w:tc>
          <w:tcPr>
            <w:tcW w:w="59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58.2</w:t>
            </w:r>
          </w:p>
        </w:tc>
        <w:tc>
          <w:tcPr>
            <w:tcW w:w="59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25"/>
              </w:tabs>
              <w:rPr>
                <w:lang w:eastAsia="en-NZ"/>
              </w:rPr>
            </w:pPr>
            <w:r w:rsidRPr="00DE7208">
              <w:rPr>
                <w:lang w:eastAsia="en-NZ"/>
              </w:rPr>
              <w:t>167</w:t>
            </w:r>
          </w:p>
        </w:tc>
        <w:tc>
          <w:tcPr>
            <w:tcW w:w="59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43.4</w:t>
            </w:r>
          </w:p>
        </w:tc>
        <w:tc>
          <w:tcPr>
            <w:tcW w:w="591" w:type="dxa"/>
            <w:tcBorders>
              <w:top w:val="single" w:sz="4" w:space="0" w:color="A6A6A6" w:themeColor="background1" w:themeShade="A6"/>
              <w:left w:val="nil"/>
              <w:bottom w:val="single" w:sz="4" w:space="0" w:color="A6A6A6" w:themeColor="background1" w:themeShade="A6"/>
            </w:tcBorders>
            <w:shd w:val="clear" w:color="auto" w:fill="auto"/>
            <w:vAlign w:val="bottom"/>
          </w:tcPr>
          <w:p w:rsidR="00777773" w:rsidRPr="00DE7208" w:rsidRDefault="00777773" w:rsidP="00203F09">
            <w:pPr>
              <w:pStyle w:val="TableText"/>
              <w:tabs>
                <w:tab w:val="decimal" w:pos="416"/>
              </w:tabs>
              <w:rPr>
                <w:lang w:eastAsia="en-NZ"/>
              </w:rPr>
            </w:pPr>
            <w:r w:rsidRPr="00DE7208">
              <w:rPr>
                <w:lang w:eastAsia="en-NZ"/>
              </w:rPr>
              <w:t>54</w:t>
            </w:r>
          </w:p>
        </w:tc>
        <w:tc>
          <w:tcPr>
            <w:tcW w:w="5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tcPr>
          <w:p w:rsidR="00777773" w:rsidRPr="00DE7208" w:rsidRDefault="00777773" w:rsidP="00777773">
            <w:pPr>
              <w:pStyle w:val="TableText"/>
              <w:jc w:val="center"/>
              <w:rPr>
                <w:lang w:eastAsia="en-NZ"/>
              </w:rPr>
            </w:pPr>
            <w:r w:rsidRPr="00DE7208">
              <w:rPr>
                <w:lang w:eastAsia="en-NZ"/>
              </w:rPr>
              <w:t>14</w:t>
            </w:r>
            <w:r>
              <w:rPr>
                <w:lang w:eastAsia="en-NZ"/>
              </w:rPr>
              <w:t>.0</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bottom"/>
          </w:tcPr>
          <w:p w:rsidR="00777773" w:rsidRPr="00DE7208" w:rsidRDefault="00777773" w:rsidP="00203F09">
            <w:pPr>
              <w:pStyle w:val="TableText"/>
              <w:tabs>
                <w:tab w:val="decimal" w:pos="425"/>
              </w:tabs>
              <w:rPr>
                <w:lang w:eastAsia="en-NZ"/>
              </w:rPr>
            </w:pPr>
            <w:r w:rsidRPr="00DE7208">
              <w:rPr>
                <w:lang w:eastAsia="en-NZ"/>
              </w:rPr>
              <w:t>152</w:t>
            </w:r>
          </w:p>
        </w:tc>
        <w:tc>
          <w:tcPr>
            <w:tcW w:w="567" w:type="dxa"/>
            <w:tcBorders>
              <w:top w:val="single" w:sz="4" w:space="0" w:color="A6A6A6" w:themeColor="background1" w:themeShade="A6"/>
              <w:bottom w:val="single" w:sz="4" w:space="0" w:color="A6A6A6" w:themeColor="background1" w:themeShade="A6"/>
            </w:tcBorders>
            <w:vAlign w:val="bottom"/>
          </w:tcPr>
          <w:p w:rsidR="00777773" w:rsidRPr="00DE7208" w:rsidRDefault="00777773" w:rsidP="00777773">
            <w:pPr>
              <w:pStyle w:val="TableText"/>
              <w:jc w:val="center"/>
              <w:rPr>
                <w:lang w:eastAsia="en-NZ"/>
              </w:rPr>
            </w:pPr>
            <w:r w:rsidRPr="00DE7208">
              <w:rPr>
                <w:lang w:eastAsia="en-NZ"/>
              </w:rPr>
              <w:t>39.5</w:t>
            </w:r>
          </w:p>
        </w:tc>
      </w:tr>
    </w:tbl>
    <w:p w:rsidR="00E51135" w:rsidRDefault="00A06E9D" w:rsidP="00A06E9D">
      <w:pPr>
        <w:pStyle w:val="Note"/>
      </w:pPr>
      <w:r>
        <w:rPr>
          <w:rFonts w:ascii="Arial" w:hAnsi="Arial" w:cs="Arial"/>
        </w:rPr>
        <w:t>–</w:t>
      </w:r>
      <w:r w:rsidR="006A5D28" w:rsidRPr="00397252">
        <w:t xml:space="preserve"> Too few cases to report (&lt;10)</w:t>
      </w:r>
      <w:r w:rsidR="00203F09">
        <w:t>.</w:t>
      </w:r>
    </w:p>
    <w:p w:rsidR="006A5D28" w:rsidRDefault="006A5D28" w:rsidP="00777773">
      <w:pPr>
        <w:rPr>
          <w:lang w:eastAsia="en-NZ"/>
        </w:rPr>
      </w:pPr>
    </w:p>
    <w:p w:rsidR="006A5D28" w:rsidRDefault="00A06E9D" w:rsidP="00A06E9D">
      <w:pPr>
        <w:pStyle w:val="Heading2"/>
        <w:numPr>
          <w:ilvl w:val="0"/>
          <w:numId w:val="0"/>
        </w:numPr>
        <w:rPr>
          <w:lang w:eastAsia="en-NZ"/>
        </w:rPr>
      </w:pPr>
      <w:bookmarkStart w:id="173" w:name="_Toc528220241"/>
      <w:bookmarkStart w:id="174" w:name="_Toc517876"/>
      <w:bookmarkStart w:id="175" w:name="_Toc2253753"/>
      <w:r>
        <w:rPr>
          <w:lang w:eastAsia="en-NZ"/>
        </w:rPr>
        <w:lastRenderedPageBreak/>
        <w:t>6</w:t>
      </w:r>
      <w:r>
        <w:rPr>
          <w:lang w:eastAsia="en-NZ"/>
        </w:rPr>
        <w:tab/>
      </w:r>
      <w:r w:rsidR="006A5D28" w:rsidRPr="00CA3455">
        <w:rPr>
          <w:lang w:eastAsia="en-NZ"/>
        </w:rPr>
        <w:t>Stoma</w:t>
      </w:r>
      <w:r w:rsidR="006A5D28">
        <w:rPr>
          <w:lang w:eastAsia="en-NZ"/>
        </w:rPr>
        <w:t>-</w:t>
      </w:r>
      <w:r w:rsidR="006A5D28" w:rsidRPr="00CA3455">
        <w:rPr>
          <w:lang w:eastAsia="en-NZ"/>
        </w:rPr>
        <w:t>free survival</w:t>
      </w:r>
      <w:bookmarkEnd w:id="173"/>
      <w:bookmarkEnd w:id="174"/>
      <w:bookmarkEnd w:id="175"/>
    </w:p>
    <w:p w:rsidR="006A5D28" w:rsidRDefault="006A5D28" w:rsidP="00A06E9D">
      <w:pPr>
        <w:pStyle w:val="Table"/>
        <w:rPr>
          <w:lang w:eastAsia="en-NZ"/>
        </w:rPr>
      </w:pPr>
      <w:bookmarkStart w:id="176" w:name="_Toc535936733"/>
      <w:bookmarkStart w:id="177" w:name="_Toc2254052"/>
      <w:r>
        <w:t xml:space="preserve">Table </w:t>
      </w:r>
      <w:r>
        <w:rPr>
          <w:noProof/>
        </w:rPr>
        <w:fldChar w:fldCharType="begin"/>
      </w:r>
      <w:r>
        <w:rPr>
          <w:noProof/>
        </w:rPr>
        <w:instrText xml:space="preserve"> SEQ Table \* ARABIC </w:instrText>
      </w:r>
      <w:r>
        <w:rPr>
          <w:noProof/>
        </w:rPr>
        <w:fldChar w:fldCharType="separate"/>
      </w:r>
      <w:r w:rsidR="002B5148">
        <w:rPr>
          <w:noProof/>
        </w:rPr>
        <w:t>11</w:t>
      </w:r>
      <w:r>
        <w:rPr>
          <w:noProof/>
        </w:rPr>
        <w:fldChar w:fldCharType="end"/>
      </w:r>
      <w:r>
        <w:t xml:space="preserve">: </w:t>
      </w:r>
      <w:r w:rsidRPr="00CA3455">
        <w:rPr>
          <w:lang w:eastAsia="en-NZ"/>
        </w:rPr>
        <w:t xml:space="preserve">People having major surgery </w:t>
      </w:r>
      <w:r>
        <w:rPr>
          <w:lang w:eastAsia="en-NZ"/>
        </w:rPr>
        <w:t>for</w:t>
      </w:r>
      <w:r w:rsidRPr="00CA3455">
        <w:rPr>
          <w:lang w:eastAsia="en-NZ"/>
        </w:rPr>
        <w:t xml:space="preserve"> rectal cancer with a stoma at 18 months</w:t>
      </w:r>
      <w:r>
        <w:rPr>
          <w:lang w:eastAsia="en-NZ"/>
        </w:rPr>
        <w:t>, 2013–15</w:t>
      </w:r>
      <w:bookmarkEnd w:id="176"/>
      <w:bookmarkEnd w:id="177"/>
    </w:p>
    <w:tbl>
      <w:tblPr>
        <w:tblW w:w="8081" w:type="dxa"/>
        <w:tblInd w:w="57" w:type="dxa"/>
        <w:tblLayout w:type="fixed"/>
        <w:tblCellMar>
          <w:left w:w="57" w:type="dxa"/>
          <w:right w:w="57" w:type="dxa"/>
        </w:tblCellMar>
        <w:tblLook w:val="04A0" w:firstRow="1" w:lastRow="0" w:firstColumn="1" w:lastColumn="0" w:noHBand="0" w:noVBand="1"/>
      </w:tblPr>
      <w:tblGrid>
        <w:gridCol w:w="2127"/>
        <w:gridCol w:w="992"/>
        <w:gridCol w:w="614"/>
        <w:gridCol w:w="614"/>
        <w:gridCol w:w="614"/>
        <w:gridCol w:w="614"/>
        <w:gridCol w:w="614"/>
        <w:gridCol w:w="615"/>
        <w:gridCol w:w="638"/>
        <w:gridCol w:w="639"/>
      </w:tblGrid>
      <w:tr w:rsidR="00777773" w:rsidRPr="00EF4CBD" w:rsidTr="004D380D">
        <w:trPr>
          <w:cantSplit/>
          <w:tblHeader/>
        </w:trPr>
        <w:tc>
          <w:tcPr>
            <w:tcW w:w="2127" w:type="dxa"/>
            <w:vMerge w:val="restart"/>
            <w:tcBorders>
              <w:left w:val="nil"/>
              <w:right w:val="single" w:sz="4" w:space="0" w:color="A6A6A6" w:themeColor="background1" w:themeShade="A6"/>
            </w:tcBorders>
            <w:shd w:val="clear" w:color="auto" w:fill="D9D9D9" w:themeFill="background1" w:themeFillShade="D9"/>
            <w:noWrap/>
          </w:tcPr>
          <w:p w:rsidR="00777773" w:rsidRPr="002357E2" w:rsidRDefault="00777773" w:rsidP="00A67A36">
            <w:pPr>
              <w:pStyle w:val="TableText"/>
              <w:keepNext/>
              <w:rPr>
                <w:b/>
                <w:lang w:eastAsia="en-NZ"/>
              </w:rPr>
            </w:pPr>
          </w:p>
        </w:tc>
        <w:tc>
          <w:tcPr>
            <w:tcW w:w="992" w:type="dxa"/>
            <w:tcBorders>
              <w:left w:val="single" w:sz="4" w:space="0" w:color="A6A6A6" w:themeColor="background1" w:themeShade="A6"/>
              <w:right w:val="nil"/>
            </w:tcBorders>
            <w:shd w:val="clear" w:color="auto" w:fill="D9D9D9" w:themeFill="background1" w:themeFillShade="D9"/>
            <w:noWrap/>
          </w:tcPr>
          <w:p w:rsidR="00777773" w:rsidRPr="00777773" w:rsidRDefault="00777773" w:rsidP="00777773">
            <w:pPr>
              <w:pStyle w:val="TableText"/>
              <w:jc w:val="center"/>
              <w:rPr>
                <w:b/>
                <w:lang w:eastAsia="en-NZ"/>
              </w:rPr>
            </w:pPr>
            <w:r w:rsidRPr="00777773">
              <w:rPr>
                <w:b/>
                <w:lang w:eastAsia="en-NZ"/>
              </w:rPr>
              <w:t>Major surgery for rectal cancer</w:t>
            </w:r>
          </w:p>
        </w:tc>
        <w:tc>
          <w:tcPr>
            <w:tcW w:w="1228"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rsidR="00777773" w:rsidRPr="00777773" w:rsidRDefault="00777773" w:rsidP="00777773">
            <w:pPr>
              <w:pStyle w:val="TableText"/>
              <w:jc w:val="center"/>
              <w:rPr>
                <w:b/>
                <w:lang w:eastAsia="en-NZ"/>
              </w:rPr>
            </w:pPr>
            <w:r w:rsidRPr="00777773">
              <w:rPr>
                <w:b/>
                <w:lang w:eastAsia="en-NZ"/>
              </w:rPr>
              <w:t>Stoma forming surgery</w:t>
            </w:r>
          </w:p>
        </w:tc>
        <w:tc>
          <w:tcPr>
            <w:tcW w:w="1228"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rsidR="00777773" w:rsidRPr="00777773" w:rsidRDefault="00777773" w:rsidP="00777773">
            <w:pPr>
              <w:pStyle w:val="TableText"/>
              <w:jc w:val="center"/>
              <w:rPr>
                <w:b/>
                <w:lang w:eastAsia="en-NZ"/>
              </w:rPr>
            </w:pPr>
            <w:r w:rsidRPr="00777773">
              <w:rPr>
                <w:b/>
                <w:lang w:eastAsia="en-NZ"/>
              </w:rPr>
              <w:t>APER</w:t>
            </w:r>
          </w:p>
        </w:tc>
        <w:tc>
          <w:tcPr>
            <w:tcW w:w="1229" w:type="dxa"/>
            <w:gridSpan w:val="2"/>
            <w:tcBorders>
              <w:left w:val="nil"/>
              <w:right w:val="single" w:sz="4" w:space="0" w:color="A6A6A6" w:themeColor="background1" w:themeShade="A6"/>
            </w:tcBorders>
            <w:shd w:val="clear" w:color="auto" w:fill="D9D9D9" w:themeFill="background1" w:themeFillShade="D9"/>
          </w:tcPr>
          <w:p w:rsidR="00777773" w:rsidRPr="00777773" w:rsidRDefault="00777773" w:rsidP="00777773">
            <w:pPr>
              <w:pStyle w:val="TableText"/>
              <w:jc w:val="center"/>
              <w:rPr>
                <w:b/>
                <w:lang w:eastAsia="en-NZ"/>
              </w:rPr>
            </w:pPr>
            <w:r w:rsidRPr="00777773">
              <w:rPr>
                <w:b/>
                <w:lang w:eastAsia="en-NZ"/>
              </w:rPr>
              <w:t>People with stoma reversal</w:t>
            </w:r>
          </w:p>
        </w:tc>
        <w:tc>
          <w:tcPr>
            <w:tcW w:w="1277" w:type="dxa"/>
            <w:gridSpan w:val="2"/>
            <w:tcBorders>
              <w:left w:val="single" w:sz="4" w:space="0" w:color="A6A6A6" w:themeColor="background1" w:themeShade="A6"/>
              <w:right w:val="nil"/>
            </w:tcBorders>
            <w:shd w:val="clear" w:color="auto" w:fill="D9D9D9" w:themeFill="background1" w:themeFillShade="D9"/>
            <w:noWrap/>
          </w:tcPr>
          <w:p w:rsidR="00777773" w:rsidRPr="00777773" w:rsidRDefault="00777773" w:rsidP="00777773">
            <w:pPr>
              <w:pStyle w:val="TableText"/>
              <w:keepNext/>
              <w:jc w:val="center"/>
              <w:rPr>
                <w:b/>
                <w:lang w:eastAsia="en-NZ"/>
              </w:rPr>
            </w:pPr>
            <w:r w:rsidRPr="00777773">
              <w:rPr>
                <w:b/>
                <w:lang w:eastAsia="en-NZ"/>
              </w:rPr>
              <w:t>Stoma free survival for people with rectal surgery</w:t>
            </w:r>
          </w:p>
        </w:tc>
      </w:tr>
      <w:tr w:rsidR="00777773" w:rsidRPr="00EF4CBD" w:rsidTr="004D380D">
        <w:trPr>
          <w:cantSplit/>
          <w:tblHeader/>
        </w:trPr>
        <w:tc>
          <w:tcPr>
            <w:tcW w:w="2127" w:type="dxa"/>
            <w:vMerge/>
            <w:tcBorders>
              <w:left w:val="nil"/>
              <w:right w:val="single" w:sz="4" w:space="0" w:color="A6A6A6" w:themeColor="background1" w:themeShade="A6"/>
            </w:tcBorders>
            <w:shd w:val="clear" w:color="auto" w:fill="D9D9D9" w:themeFill="background1" w:themeFillShade="D9"/>
            <w:noWrap/>
          </w:tcPr>
          <w:p w:rsidR="00777773" w:rsidRPr="002357E2" w:rsidRDefault="00777773" w:rsidP="00A67A36">
            <w:pPr>
              <w:pStyle w:val="TableText"/>
              <w:keepNext/>
              <w:rPr>
                <w:b/>
                <w:lang w:eastAsia="en-NZ"/>
              </w:rPr>
            </w:pPr>
          </w:p>
        </w:tc>
        <w:tc>
          <w:tcPr>
            <w:tcW w:w="992" w:type="dxa"/>
            <w:tcBorders>
              <w:left w:val="single" w:sz="4" w:space="0" w:color="A6A6A6" w:themeColor="background1" w:themeShade="A6"/>
              <w:right w:val="nil"/>
            </w:tcBorders>
            <w:shd w:val="clear" w:color="auto" w:fill="D9D9D9" w:themeFill="background1" w:themeFillShade="D9"/>
            <w:noWrap/>
          </w:tcPr>
          <w:p w:rsidR="00777773" w:rsidRPr="00777773" w:rsidRDefault="00777773" w:rsidP="00777773">
            <w:pPr>
              <w:pStyle w:val="TableText"/>
              <w:spacing w:before="0"/>
              <w:jc w:val="center"/>
              <w:rPr>
                <w:b/>
                <w:lang w:eastAsia="en-NZ"/>
              </w:rPr>
            </w:pPr>
            <w:r w:rsidRPr="00777773">
              <w:rPr>
                <w:b/>
                <w:lang w:eastAsia="en-NZ"/>
              </w:rPr>
              <w:t>N</w:t>
            </w:r>
          </w:p>
        </w:tc>
        <w:tc>
          <w:tcPr>
            <w:tcW w:w="614" w:type="dxa"/>
            <w:tcBorders>
              <w:left w:val="single" w:sz="4" w:space="0" w:color="A6A6A6" w:themeColor="background1" w:themeShade="A6"/>
            </w:tcBorders>
            <w:shd w:val="clear" w:color="auto" w:fill="D9D9D9" w:themeFill="background1" w:themeFillShade="D9"/>
          </w:tcPr>
          <w:p w:rsidR="00777773" w:rsidRPr="00777773" w:rsidRDefault="00777773" w:rsidP="00777773">
            <w:pPr>
              <w:pStyle w:val="TableText"/>
              <w:spacing w:before="0"/>
              <w:jc w:val="center"/>
              <w:rPr>
                <w:b/>
                <w:lang w:eastAsia="en-NZ"/>
              </w:rPr>
            </w:pPr>
            <w:r w:rsidRPr="00777773">
              <w:rPr>
                <w:b/>
                <w:lang w:eastAsia="en-NZ"/>
              </w:rPr>
              <w:t>N</w:t>
            </w:r>
          </w:p>
        </w:tc>
        <w:tc>
          <w:tcPr>
            <w:tcW w:w="614" w:type="dxa"/>
            <w:tcBorders>
              <w:right w:val="single" w:sz="4" w:space="0" w:color="A6A6A6" w:themeColor="background1" w:themeShade="A6"/>
            </w:tcBorders>
            <w:shd w:val="clear" w:color="auto" w:fill="D9D9D9" w:themeFill="background1" w:themeFillShade="D9"/>
            <w:noWrap/>
          </w:tcPr>
          <w:p w:rsidR="00777773" w:rsidRPr="00777773" w:rsidRDefault="00777773" w:rsidP="00777773">
            <w:pPr>
              <w:pStyle w:val="TableText"/>
              <w:spacing w:before="0"/>
              <w:jc w:val="center"/>
              <w:rPr>
                <w:b/>
                <w:lang w:eastAsia="en-NZ"/>
              </w:rPr>
            </w:pPr>
            <w:r w:rsidRPr="00777773">
              <w:rPr>
                <w:b/>
                <w:lang w:eastAsia="en-NZ"/>
              </w:rPr>
              <w:t>%</w:t>
            </w:r>
          </w:p>
        </w:tc>
        <w:tc>
          <w:tcPr>
            <w:tcW w:w="614" w:type="dxa"/>
            <w:tcBorders>
              <w:left w:val="single" w:sz="4" w:space="0" w:color="A6A6A6" w:themeColor="background1" w:themeShade="A6"/>
            </w:tcBorders>
            <w:shd w:val="clear" w:color="auto" w:fill="D9D9D9" w:themeFill="background1" w:themeFillShade="D9"/>
          </w:tcPr>
          <w:p w:rsidR="00777773" w:rsidRPr="00777773" w:rsidRDefault="00777773" w:rsidP="00777773">
            <w:pPr>
              <w:pStyle w:val="TableText"/>
              <w:spacing w:before="0"/>
              <w:jc w:val="center"/>
              <w:rPr>
                <w:b/>
                <w:lang w:eastAsia="en-NZ"/>
              </w:rPr>
            </w:pPr>
            <w:r w:rsidRPr="00777773">
              <w:rPr>
                <w:b/>
                <w:lang w:eastAsia="en-NZ"/>
              </w:rPr>
              <w:t>N</w:t>
            </w:r>
          </w:p>
        </w:tc>
        <w:tc>
          <w:tcPr>
            <w:tcW w:w="614" w:type="dxa"/>
            <w:tcBorders>
              <w:right w:val="single" w:sz="4" w:space="0" w:color="A6A6A6" w:themeColor="background1" w:themeShade="A6"/>
            </w:tcBorders>
            <w:shd w:val="clear" w:color="auto" w:fill="D9D9D9" w:themeFill="background1" w:themeFillShade="D9"/>
            <w:noWrap/>
          </w:tcPr>
          <w:p w:rsidR="00777773" w:rsidRPr="00777773" w:rsidRDefault="00777773" w:rsidP="00777773">
            <w:pPr>
              <w:pStyle w:val="TableText"/>
              <w:spacing w:before="0"/>
              <w:jc w:val="center"/>
              <w:rPr>
                <w:b/>
                <w:lang w:eastAsia="en-NZ"/>
              </w:rPr>
            </w:pPr>
            <w:r w:rsidRPr="00777773">
              <w:rPr>
                <w:b/>
                <w:lang w:eastAsia="en-NZ"/>
              </w:rPr>
              <w:t>%</w:t>
            </w:r>
          </w:p>
        </w:tc>
        <w:tc>
          <w:tcPr>
            <w:tcW w:w="614" w:type="dxa"/>
            <w:tcBorders>
              <w:left w:val="nil"/>
            </w:tcBorders>
            <w:shd w:val="clear" w:color="auto" w:fill="D9D9D9" w:themeFill="background1" w:themeFillShade="D9"/>
          </w:tcPr>
          <w:p w:rsidR="00777773" w:rsidRPr="00777773" w:rsidRDefault="00777773" w:rsidP="00777773">
            <w:pPr>
              <w:pStyle w:val="TableText"/>
              <w:spacing w:before="0"/>
              <w:jc w:val="center"/>
              <w:rPr>
                <w:b/>
                <w:lang w:eastAsia="en-NZ"/>
              </w:rPr>
            </w:pPr>
            <w:r w:rsidRPr="00777773">
              <w:rPr>
                <w:b/>
                <w:lang w:eastAsia="en-NZ"/>
              </w:rPr>
              <w:t>N</w:t>
            </w:r>
          </w:p>
        </w:tc>
        <w:tc>
          <w:tcPr>
            <w:tcW w:w="615" w:type="dxa"/>
            <w:tcBorders>
              <w:left w:val="nil"/>
              <w:right w:val="single" w:sz="4" w:space="0" w:color="A6A6A6" w:themeColor="background1" w:themeShade="A6"/>
            </w:tcBorders>
            <w:shd w:val="clear" w:color="auto" w:fill="D9D9D9" w:themeFill="background1" w:themeFillShade="D9"/>
            <w:noWrap/>
          </w:tcPr>
          <w:p w:rsidR="00777773" w:rsidRPr="00777773" w:rsidRDefault="00777773" w:rsidP="00777773">
            <w:pPr>
              <w:pStyle w:val="TableText"/>
              <w:spacing w:before="0"/>
              <w:jc w:val="center"/>
              <w:rPr>
                <w:b/>
                <w:lang w:eastAsia="en-NZ"/>
              </w:rPr>
            </w:pPr>
            <w:r w:rsidRPr="00777773">
              <w:rPr>
                <w:b/>
                <w:lang w:eastAsia="en-NZ"/>
              </w:rPr>
              <w:t>%</w:t>
            </w:r>
          </w:p>
        </w:tc>
        <w:tc>
          <w:tcPr>
            <w:tcW w:w="638" w:type="dxa"/>
            <w:tcBorders>
              <w:left w:val="single" w:sz="4" w:space="0" w:color="A6A6A6" w:themeColor="background1" w:themeShade="A6"/>
            </w:tcBorders>
            <w:shd w:val="clear" w:color="auto" w:fill="D9D9D9" w:themeFill="background1" w:themeFillShade="D9"/>
            <w:noWrap/>
          </w:tcPr>
          <w:p w:rsidR="00777773" w:rsidRPr="00777773" w:rsidRDefault="00777773" w:rsidP="00777773">
            <w:pPr>
              <w:pStyle w:val="TableText"/>
              <w:spacing w:before="0"/>
              <w:jc w:val="center"/>
              <w:rPr>
                <w:b/>
                <w:lang w:eastAsia="en-NZ"/>
              </w:rPr>
            </w:pPr>
            <w:r w:rsidRPr="00777773">
              <w:rPr>
                <w:b/>
                <w:lang w:eastAsia="en-NZ"/>
              </w:rPr>
              <w:t>N</w:t>
            </w:r>
          </w:p>
        </w:tc>
        <w:tc>
          <w:tcPr>
            <w:tcW w:w="639" w:type="dxa"/>
            <w:shd w:val="clear" w:color="auto" w:fill="D9D9D9" w:themeFill="background1" w:themeFillShade="D9"/>
          </w:tcPr>
          <w:p w:rsidR="00777773" w:rsidRPr="00777773" w:rsidRDefault="00777773" w:rsidP="004D380D">
            <w:pPr>
              <w:pStyle w:val="TableText"/>
              <w:spacing w:before="0"/>
              <w:jc w:val="center"/>
              <w:rPr>
                <w:b/>
                <w:lang w:eastAsia="en-NZ"/>
              </w:rPr>
            </w:pPr>
            <w:r w:rsidRPr="00777773">
              <w:rPr>
                <w:b/>
                <w:lang w:eastAsia="en-NZ"/>
              </w:rPr>
              <w:t>%</w:t>
            </w:r>
          </w:p>
        </w:tc>
      </w:tr>
      <w:tr w:rsidR="00777773" w:rsidRPr="00AD2F2F" w:rsidTr="004D380D">
        <w:trPr>
          <w:cantSplit/>
        </w:trPr>
        <w:tc>
          <w:tcPr>
            <w:tcW w:w="2127" w:type="dxa"/>
            <w:tcBorders>
              <w:left w:val="nil"/>
              <w:bottom w:val="single" w:sz="4" w:space="0" w:color="7F7F7F" w:themeColor="text1" w:themeTint="80"/>
              <w:right w:val="single" w:sz="4" w:space="0" w:color="A6A6A6" w:themeColor="background1" w:themeShade="A6"/>
            </w:tcBorders>
            <w:shd w:val="clear" w:color="auto" w:fill="auto"/>
            <w:noWrap/>
            <w:hideMark/>
          </w:tcPr>
          <w:p w:rsidR="00777773" w:rsidRPr="00E848D2" w:rsidRDefault="00777773" w:rsidP="00A67A36">
            <w:pPr>
              <w:pStyle w:val="TableText"/>
              <w:keepNext/>
              <w:rPr>
                <w:b/>
                <w:lang w:eastAsia="en-NZ"/>
              </w:rPr>
            </w:pPr>
            <w:r w:rsidRPr="00E848D2">
              <w:rPr>
                <w:b/>
                <w:lang w:eastAsia="en-NZ"/>
              </w:rPr>
              <w:t>Total</w:t>
            </w:r>
          </w:p>
        </w:tc>
        <w:tc>
          <w:tcPr>
            <w:tcW w:w="992" w:type="dxa"/>
            <w:tcBorders>
              <w:left w:val="single" w:sz="4" w:space="0" w:color="A6A6A6" w:themeColor="background1" w:themeShade="A6"/>
              <w:bottom w:val="single" w:sz="4" w:space="0" w:color="7F7F7F" w:themeColor="text1" w:themeTint="80"/>
              <w:right w:val="nil"/>
            </w:tcBorders>
            <w:shd w:val="clear" w:color="auto" w:fill="auto"/>
            <w:noWrap/>
          </w:tcPr>
          <w:p w:rsidR="00777773" w:rsidRPr="003A16EF" w:rsidRDefault="00777773" w:rsidP="004D380D">
            <w:pPr>
              <w:pStyle w:val="TableText"/>
              <w:tabs>
                <w:tab w:val="decimal" w:pos="539"/>
              </w:tabs>
              <w:rPr>
                <w:lang w:eastAsia="en-NZ"/>
              </w:rPr>
            </w:pPr>
            <w:r w:rsidRPr="003A16EF">
              <w:rPr>
                <w:lang w:eastAsia="en-NZ"/>
              </w:rPr>
              <w:t>1</w:t>
            </w:r>
            <w:r w:rsidR="004D380D">
              <w:rPr>
                <w:lang w:eastAsia="en-NZ"/>
              </w:rPr>
              <w:t>,</w:t>
            </w:r>
            <w:r w:rsidRPr="003A16EF">
              <w:rPr>
                <w:lang w:eastAsia="en-NZ"/>
              </w:rPr>
              <w:t>242</w:t>
            </w:r>
          </w:p>
        </w:tc>
        <w:tc>
          <w:tcPr>
            <w:tcW w:w="614" w:type="dxa"/>
            <w:tcBorders>
              <w:left w:val="single" w:sz="4" w:space="0" w:color="A6A6A6" w:themeColor="background1" w:themeShade="A6"/>
              <w:bottom w:val="single" w:sz="4" w:space="0" w:color="7F7F7F" w:themeColor="text1" w:themeTint="80"/>
            </w:tcBorders>
            <w:shd w:val="clear" w:color="auto" w:fill="auto"/>
          </w:tcPr>
          <w:p w:rsidR="00777773" w:rsidRPr="003A16EF" w:rsidRDefault="00777773" w:rsidP="004D380D">
            <w:pPr>
              <w:pStyle w:val="TableText"/>
              <w:tabs>
                <w:tab w:val="decimal" w:pos="510"/>
              </w:tabs>
              <w:rPr>
                <w:lang w:eastAsia="en-NZ"/>
              </w:rPr>
            </w:pPr>
            <w:r w:rsidRPr="003A16EF">
              <w:rPr>
                <w:lang w:eastAsia="en-NZ"/>
              </w:rPr>
              <w:t>1</w:t>
            </w:r>
            <w:r w:rsidR="004D380D">
              <w:rPr>
                <w:lang w:eastAsia="en-NZ"/>
              </w:rPr>
              <w:t>,</w:t>
            </w:r>
            <w:r w:rsidRPr="003A16EF">
              <w:rPr>
                <w:lang w:eastAsia="en-NZ"/>
              </w:rPr>
              <w:t>108</w:t>
            </w:r>
          </w:p>
        </w:tc>
        <w:tc>
          <w:tcPr>
            <w:tcW w:w="614" w:type="dxa"/>
            <w:tcBorders>
              <w:bottom w:val="single" w:sz="4" w:space="0" w:color="7F7F7F" w:themeColor="text1" w:themeTint="80"/>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89.2</w:t>
            </w:r>
          </w:p>
        </w:tc>
        <w:tc>
          <w:tcPr>
            <w:tcW w:w="614" w:type="dxa"/>
            <w:tcBorders>
              <w:left w:val="single" w:sz="4" w:space="0" w:color="A6A6A6" w:themeColor="background1" w:themeShade="A6"/>
              <w:bottom w:val="single" w:sz="4" w:space="0" w:color="7F7F7F" w:themeColor="text1" w:themeTint="80"/>
            </w:tcBorders>
            <w:shd w:val="clear" w:color="auto" w:fill="auto"/>
          </w:tcPr>
          <w:p w:rsidR="00777773" w:rsidRPr="003A16EF" w:rsidRDefault="00777773" w:rsidP="004D380D">
            <w:pPr>
              <w:pStyle w:val="TableText"/>
              <w:tabs>
                <w:tab w:val="decimal" w:pos="442"/>
              </w:tabs>
              <w:rPr>
                <w:lang w:eastAsia="en-NZ"/>
              </w:rPr>
            </w:pPr>
            <w:r w:rsidRPr="003A16EF">
              <w:rPr>
                <w:lang w:eastAsia="en-NZ"/>
              </w:rPr>
              <w:t>282</w:t>
            </w:r>
          </w:p>
        </w:tc>
        <w:tc>
          <w:tcPr>
            <w:tcW w:w="614" w:type="dxa"/>
            <w:tcBorders>
              <w:bottom w:val="single" w:sz="4" w:space="0" w:color="7F7F7F" w:themeColor="text1" w:themeTint="80"/>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22.7</w:t>
            </w:r>
          </w:p>
        </w:tc>
        <w:tc>
          <w:tcPr>
            <w:tcW w:w="614" w:type="dxa"/>
            <w:tcBorders>
              <w:left w:val="nil"/>
              <w:bottom w:val="single" w:sz="4" w:space="0" w:color="7F7F7F" w:themeColor="text1" w:themeTint="80"/>
            </w:tcBorders>
            <w:shd w:val="clear" w:color="auto" w:fill="auto"/>
          </w:tcPr>
          <w:p w:rsidR="00777773" w:rsidRPr="003A16EF" w:rsidRDefault="00777773" w:rsidP="004D380D">
            <w:pPr>
              <w:pStyle w:val="TableText"/>
              <w:tabs>
                <w:tab w:val="decimal" w:pos="436"/>
              </w:tabs>
              <w:rPr>
                <w:lang w:eastAsia="en-NZ"/>
              </w:rPr>
            </w:pPr>
            <w:r w:rsidRPr="003A16EF">
              <w:rPr>
                <w:lang w:eastAsia="en-NZ"/>
              </w:rPr>
              <w:t>545</w:t>
            </w:r>
          </w:p>
        </w:tc>
        <w:tc>
          <w:tcPr>
            <w:tcW w:w="615" w:type="dxa"/>
            <w:tcBorders>
              <w:left w:val="nil"/>
              <w:bottom w:val="single" w:sz="4" w:space="0" w:color="7F7F7F" w:themeColor="text1" w:themeTint="80"/>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49.2</w:t>
            </w:r>
          </w:p>
        </w:tc>
        <w:tc>
          <w:tcPr>
            <w:tcW w:w="638" w:type="dxa"/>
            <w:tcBorders>
              <w:left w:val="single" w:sz="4" w:space="0" w:color="A6A6A6" w:themeColor="background1" w:themeShade="A6"/>
              <w:bottom w:val="single" w:sz="4" w:space="0" w:color="7F7F7F" w:themeColor="text1" w:themeTint="80"/>
            </w:tcBorders>
            <w:shd w:val="clear" w:color="auto" w:fill="auto"/>
            <w:noWrap/>
          </w:tcPr>
          <w:p w:rsidR="00777773" w:rsidRPr="003A16EF" w:rsidRDefault="00777773" w:rsidP="004D380D">
            <w:pPr>
              <w:pStyle w:val="TableText"/>
              <w:tabs>
                <w:tab w:val="decimal" w:pos="510"/>
              </w:tabs>
              <w:rPr>
                <w:lang w:eastAsia="en-NZ"/>
              </w:rPr>
            </w:pPr>
            <w:r w:rsidRPr="003A16EF">
              <w:rPr>
                <w:lang w:eastAsia="en-NZ"/>
              </w:rPr>
              <w:t>679</w:t>
            </w:r>
          </w:p>
        </w:tc>
        <w:tc>
          <w:tcPr>
            <w:tcW w:w="639" w:type="dxa"/>
            <w:tcBorders>
              <w:bottom w:val="single" w:sz="4" w:space="0" w:color="7F7F7F" w:themeColor="text1" w:themeTint="80"/>
            </w:tcBorders>
          </w:tcPr>
          <w:p w:rsidR="00777773" w:rsidRPr="003A16EF" w:rsidRDefault="00777773" w:rsidP="004D380D">
            <w:pPr>
              <w:pStyle w:val="TableText"/>
              <w:jc w:val="center"/>
              <w:rPr>
                <w:lang w:eastAsia="en-NZ"/>
              </w:rPr>
            </w:pPr>
            <w:r w:rsidRPr="003A16EF">
              <w:rPr>
                <w:lang w:eastAsia="en-NZ"/>
              </w:rPr>
              <w:t>54.7</w:t>
            </w:r>
          </w:p>
        </w:tc>
      </w:tr>
      <w:tr w:rsidR="00777773" w:rsidRPr="00AD2F2F" w:rsidTr="004D380D">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77773" w:rsidRPr="00E848D2" w:rsidRDefault="00777773" w:rsidP="00A67A36">
            <w:pPr>
              <w:pStyle w:val="TableText"/>
              <w:keepNext/>
              <w:rPr>
                <w:b/>
                <w:lang w:eastAsia="en-NZ"/>
              </w:rPr>
            </w:pPr>
            <w:r w:rsidRPr="00E848D2">
              <w:rPr>
                <w:b/>
                <w:lang w:eastAsia="en-NZ"/>
              </w:rPr>
              <w:t>Year of diagnosis</w:t>
            </w:r>
          </w:p>
        </w:tc>
        <w:tc>
          <w:tcPr>
            <w:tcW w:w="992"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777773" w:rsidRPr="003A16EF" w:rsidRDefault="00777773" w:rsidP="004D380D">
            <w:pPr>
              <w:pStyle w:val="TableText"/>
              <w:tabs>
                <w:tab w:val="decimal" w:pos="539"/>
              </w:tabs>
              <w:rPr>
                <w:lang w:eastAsia="en-NZ"/>
              </w:rPr>
            </w:pPr>
          </w:p>
        </w:tc>
        <w:tc>
          <w:tcPr>
            <w:tcW w:w="61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777773" w:rsidRPr="003A16EF" w:rsidRDefault="00777773" w:rsidP="004D380D">
            <w:pPr>
              <w:pStyle w:val="TableText"/>
              <w:tabs>
                <w:tab w:val="decimal" w:pos="510"/>
              </w:tabs>
              <w:rPr>
                <w:lang w:eastAsia="en-NZ"/>
              </w:rPr>
            </w:pPr>
          </w:p>
        </w:tc>
        <w:tc>
          <w:tcPr>
            <w:tcW w:w="61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p>
        </w:tc>
        <w:tc>
          <w:tcPr>
            <w:tcW w:w="61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777773" w:rsidRPr="003A16EF" w:rsidRDefault="00777773" w:rsidP="004D380D">
            <w:pPr>
              <w:pStyle w:val="TableText"/>
              <w:tabs>
                <w:tab w:val="decimal" w:pos="442"/>
              </w:tabs>
              <w:rPr>
                <w:lang w:eastAsia="en-NZ"/>
              </w:rPr>
            </w:pPr>
          </w:p>
        </w:tc>
        <w:tc>
          <w:tcPr>
            <w:tcW w:w="61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p>
        </w:tc>
        <w:tc>
          <w:tcPr>
            <w:tcW w:w="614" w:type="dxa"/>
            <w:tcBorders>
              <w:top w:val="single" w:sz="4" w:space="0" w:color="7F7F7F" w:themeColor="text1" w:themeTint="80"/>
              <w:left w:val="nil"/>
              <w:bottom w:val="single" w:sz="4" w:space="0" w:color="A6A6A6" w:themeColor="background1" w:themeShade="A6"/>
            </w:tcBorders>
            <w:shd w:val="clear" w:color="auto" w:fill="auto"/>
          </w:tcPr>
          <w:p w:rsidR="00777773" w:rsidRPr="003A16EF" w:rsidRDefault="00777773" w:rsidP="004D380D">
            <w:pPr>
              <w:pStyle w:val="TableText"/>
              <w:tabs>
                <w:tab w:val="decimal" w:pos="436"/>
              </w:tabs>
              <w:rPr>
                <w:lang w:eastAsia="en-NZ"/>
              </w:rPr>
            </w:pPr>
          </w:p>
        </w:tc>
        <w:tc>
          <w:tcPr>
            <w:tcW w:w="615"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p>
        </w:tc>
        <w:tc>
          <w:tcPr>
            <w:tcW w:w="63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noWrap/>
          </w:tcPr>
          <w:p w:rsidR="00777773" w:rsidRPr="003A16EF" w:rsidRDefault="00777773" w:rsidP="004D380D">
            <w:pPr>
              <w:pStyle w:val="TableText"/>
              <w:tabs>
                <w:tab w:val="decimal" w:pos="510"/>
              </w:tabs>
              <w:rPr>
                <w:lang w:eastAsia="en-NZ"/>
              </w:rPr>
            </w:pPr>
          </w:p>
        </w:tc>
        <w:tc>
          <w:tcPr>
            <w:tcW w:w="639" w:type="dxa"/>
            <w:tcBorders>
              <w:top w:val="single" w:sz="4" w:space="0" w:color="7F7F7F" w:themeColor="text1" w:themeTint="80"/>
              <w:bottom w:val="single" w:sz="4" w:space="0" w:color="A6A6A6" w:themeColor="background1" w:themeShade="A6"/>
            </w:tcBorders>
          </w:tcPr>
          <w:p w:rsidR="00777773" w:rsidRPr="003A16EF" w:rsidRDefault="00777773" w:rsidP="004D380D">
            <w:pPr>
              <w:pStyle w:val="TableText"/>
              <w:jc w:val="center"/>
              <w:rPr>
                <w:lang w:eastAsia="en-NZ"/>
              </w:rPr>
            </w:pPr>
          </w:p>
        </w:tc>
      </w:tr>
      <w:tr w:rsidR="00777773"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77773" w:rsidRPr="00872866" w:rsidRDefault="00777773" w:rsidP="00A67A36">
            <w:pPr>
              <w:pStyle w:val="TableText"/>
              <w:keepNext/>
              <w:ind w:left="142"/>
              <w:rPr>
                <w:lang w:eastAsia="en-NZ"/>
              </w:rPr>
            </w:pPr>
            <w:r w:rsidRPr="00872866">
              <w:rPr>
                <w:lang w:eastAsia="en-NZ"/>
              </w:rPr>
              <w:t>2013</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77773" w:rsidRPr="003A16EF" w:rsidRDefault="00777773" w:rsidP="004D380D">
            <w:pPr>
              <w:pStyle w:val="TableText"/>
              <w:tabs>
                <w:tab w:val="decimal" w:pos="539"/>
              </w:tabs>
              <w:rPr>
                <w:lang w:eastAsia="en-NZ"/>
              </w:rPr>
            </w:pPr>
            <w:r w:rsidRPr="003A16EF">
              <w:rPr>
                <w:lang w:eastAsia="en-NZ"/>
              </w:rPr>
              <w:t>391</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77773" w:rsidRPr="003A16EF" w:rsidRDefault="00777773" w:rsidP="004D380D">
            <w:pPr>
              <w:pStyle w:val="TableText"/>
              <w:tabs>
                <w:tab w:val="decimal" w:pos="510"/>
              </w:tabs>
              <w:rPr>
                <w:lang w:eastAsia="en-NZ"/>
              </w:rPr>
            </w:pPr>
            <w:r w:rsidRPr="003A16EF">
              <w:rPr>
                <w:lang w:eastAsia="en-NZ"/>
              </w:rPr>
              <w:t>356</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91</w:t>
            </w:r>
            <w:r>
              <w:rPr>
                <w:lang w:eastAsia="en-NZ"/>
              </w:rPr>
              <w:t>.0</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77773" w:rsidRPr="003A16EF" w:rsidRDefault="00777773" w:rsidP="004D380D">
            <w:pPr>
              <w:pStyle w:val="TableText"/>
              <w:tabs>
                <w:tab w:val="decimal" w:pos="442"/>
              </w:tabs>
              <w:rPr>
                <w:lang w:eastAsia="en-NZ"/>
              </w:rPr>
            </w:pPr>
            <w:r w:rsidRPr="003A16EF">
              <w:rPr>
                <w:lang w:eastAsia="en-NZ"/>
              </w:rPr>
              <w:t>101</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25.8</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77773" w:rsidRPr="003A16EF" w:rsidRDefault="00777773" w:rsidP="004D380D">
            <w:pPr>
              <w:pStyle w:val="TableText"/>
              <w:tabs>
                <w:tab w:val="decimal" w:pos="436"/>
              </w:tabs>
              <w:rPr>
                <w:lang w:eastAsia="en-NZ"/>
              </w:rPr>
            </w:pPr>
            <w:r w:rsidRPr="003A16EF">
              <w:rPr>
                <w:lang w:eastAsia="en-NZ"/>
              </w:rPr>
              <w:t>174</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48.9</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77773" w:rsidRPr="003A16EF" w:rsidRDefault="00777773" w:rsidP="004D380D">
            <w:pPr>
              <w:pStyle w:val="TableText"/>
              <w:tabs>
                <w:tab w:val="decimal" w:pos="510"/>
              </w:tabs>
              <w:rPr>
                <w:lang w:eastAsia="en-NZ"/>
              </w:rPr>
            </w:pPr>
            <w:r w:rsidRPr="003A16EF">
              <w:rPr>
                <w:lang w:eastAsia="en-NZ"/>
              </w:rPr>
              <w:t>209</w:t>
            </w:r>
          </w:p>
        </w:tc>
        <w:tc>
          <w:tcPr>
            <w:tcW w:w="639" w:type="dxa"/>
            <w:tcBorders>
              <w:top w:val="single" w:sz="4" w:space="0" w:color="A6A6A6" w:themeColor="background1" w:themeShade="A6"/>
              <w:bottom w:val="single" w:sz="4" w:space="0" w:color="A6A6A6" w:themeColor="background1" w:themeShade="A6"/>
            </w:tcBorders>
          </w:tcPr>
          <w:p w:rsidR="00777773" w:rsidRPr="003A16EF" w:rsidRDefault="00777773" w:rsidP="004D380D">
            <w:pPr>
              <w:pStyle w:val="TableText"/>
              <w:jc w:val="center"/>
              <w:rPr>
                <w:lang w:eastAsia="en-NZ"/>
              </w:rPr>
            </w:pPr>
            <w:r w:rsidRPr="003A16EF">
              <w:rPr>
                <w:lang w:eastAsia="en-NZ"/>
              </w:rPr>
              <w:t>53.5</w:t>
            </w:r>
          </w:p>
        </w:tc>
      </w:tr>
      <w:tr w:rsidR="00777773"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72866" w:rsidRDefault="00777773" w:rsidP="00A67A36">
            <w:pPr>
              <w:pStyle w:val="TableText"/>
              <w:keepNext/>
              <w:ind w:left="142"/>
              <w:rPr>
                <w:lang w:eastAsia="en-NZ"/>
              </w:rPr>
            </w:pPr>
            <w:r w:rsidRPr="00872866">
              <w:rPr>
                <w:lang w:eastAsia="en-NZ"/>
              </w:rPr>
              <w:t>2014</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77773" w:rsidRPr="003A16EF" w:rsidRDefault="00777773" w:rsidP="004D380D">
            <w:pPr>
              <w:pStyle w:val="TableText"/>
              <w:tabs>
                <w:tab w:val="decimal" w:pos="539"/>
              </w:tabs>
              <w:rPr>
                <w:lang w:eastAsia="en-NZ"/>
              </w:rPr>
            </w:pPr>
            <w:r w:rsidRPr="003A16EF">
              <w:rPr>
                <w:lang w:eastAsia="en-NZ"/>
              </w:rPr>
              <w:t>460</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77773" w:rsidRPr="003A16EF" w:rsidRDefault="00777773" w:rsidP="004D380D">
            <w:pPr>
              <w:pStyle w:val="TableText"/>
              <w:tabs>
                <w:tab w:val="decimal" w:pos="510"/>
              </w:tabs>
              <w:rPr>
                <w:lang w:eastAsia="en-NZ"/>
              </w:rPr>
            </w:pPr>
            <w:r w:rsidRPr="003A16EF">
              <w:rPr>
                <w:lang w:eastAsia="en-NZ"/>
              </w:rPr>
              <w:t>412</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89.6</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77773" w:rsidRPr="003A16EF" w:rsidRDefault="00777773" w:rsidP="004D380D">
            <w:pPr>
              <w:pStyle w:val="TableText"/>
              <w:tabs>
                <w:tab w:val="decimal" w:pos="442"/>
              </w:tabs>
              <w:rPr>
                <w:lang w:eastAsia="en-NZ"/>
              </w:rPr>
            </w:pPr>
            <w:r w:rsidRPr="003A16EF">
              <w:rPr>
                <w:lang w:eastAsia="en-NZ"/>
              </w:rPr>
              <w:t>102</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22.2</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77773" w:rsidRPr="003A16EF" w:rsidRDefault="00777773" w:rsidP="004D380D">
            <w:pPr>
              <w:pStyle w:val="TableText"/>
              <w:tabs>
                <w:tab w:val="decimal" w:pos="436"/>
              </w:tabs>
              <w:rPr>
                <w:lang w:eastAsia="en-NZ"/>
              </w:rPr>
            </w:pPr>
            <w:r w:rsidRPr="003A16EF">
              <w:rPr>
                <w:lang w:eastAsia="en-NZ"/>
              </w:rPr>
              <w:t>203</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49.3</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77773" w:rsidRPr="003A16EF" w:rsidRDefault="00777773" w:rsidP="004D380D">
            <w:pPr>
              <w:pStyle w:val="TableText"/>
              <w:tabs>
                <w:tab w:val="decimal" w:pos="510"/>
              </w:tabs>
              <w:rPr>
                <w:lang w:eastAsia="en-NZ"/>
              </w:rPr>
            </w:pPr>
            <w:r w:rsidRPr="003A16EF">
              <w:rPr>
                <w:lang w:eastAsia="en-NZ"/>
              </w:rPr>
              <w:t>251</w:t>
            </w:r>
          </w:p>
        </w:tc>
        <w:tc>
          <w:tcPr>
            <w:tcW w:w="639" w:type="dxa"/>
            <w:tcBorders>
              <w:top w:val="single" w:sz="4" w:space="0" w:color="A6A6A6" w:themeColor="background1" w:themeShade="A6"/>
              <w:bottom w:val="single" w:sz="4" w:space="0" w:color="A6A6A6" w:themeColor="background1" w:themeShade="A6"/>
            </w:tcBorders>
          </w:tcPr>
          <w:p w:rsidR="00777773" w:rsidRPr="003A16EF" w:rsidRDefault="00777773" w:rsidP="004D380D">
            <w:pPr>
              <w:pStyle w:val="TableText"/>
              <w:jc w:val="center"/>
              <w:rPr>
                <w:lang w:eastAsia="en-NZ"/>
              </w:rPr>
            </w:pPr>
            <w:r w:rsidRPr="003A16EF">
              <w:rPr>
                <w:lang w:eastAsia="en-NZ"/>
              </w:rPr>
              <w:t>54.6</w:t>
            </w:r>
          </w:p>
        </w:tc>
      </w:tr>
      <w:tr w:rsidR="00777773"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77773" w:rsidRPr="00872866" w:rsidRDefault="00777773" w:rsidP="00A67A36">
            <w:pPr>
              <w:pStyle w:val="TableText"/>
              <w:keepNext/>
              <w:ind w:left="142"/>
              <w:rPr>
                <w:lang w:eastAsia="en-NZ"/>
              </w:rPr>
            </w:pPr>
            <w:r w:rsidRPr="00872866">
              <w:rPr>
                <w:lang w:eastAsia="en-NZ"/>
              </w:rPr>
              <w:t>2015</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77773" w:rsidRPr="003A16EF" w:rsidRDefault="00777773" w:rsidP="004D380D">
            <w:pPr>
              <w:pStyle w:val="TableText"/>
              <w:tabs>
                <w:tab w:val="decimal" w:pos="539"/>
              </w:tabs>
              <w:rPr>
                <w:lang w:eastAsia="en-NZ"/>
              </w:rPr>
            </w:pPr>
            <w:r w:rsidRPr="003A16EF">
              <w:rPr>
                <w:lang w:eastAsia="en-NZ"/>
              </w:rPr>
              <w:t>391</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77773" w:rsidRPr="003A16EF" w:rsidRDefault="00777773" w:rsidP="004D380D">
            <w:pPr>
              <w:pStyle w:val="TableText"/>
              <w:tabs>
                <w:tab w:val="decimal" w:pos="510"/>
              </w:tabs>
              <w:rPr>
                <w:lang w:eastAsia="en-NZ"/>
              </w:rPr>
            </w:pPr>
            <w:r w:rsidRPr="003A16EF">
              <w:rPr>
                <w:lang w:eastAsia="en-NZ"/>
              </w:rPr>
              <w:t>340</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87</w:t>
            </w:r>
            <w:r>
              <w:rPr>
                <w:lang w:eastAsia="en-NZ"/>
              </w:rPr>
              <w:t>.0</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77773" w:rsidRPr="003A16EF" w:rsidRDefault="00777773" w:rsidP="004D380D">
            <w:pPr>
              <w:pStyle w:val="TableText"/>
              <w:tabs>
                <w:tab w:val="decimal" w:pos="442"/>
              </w:tabs>
              <w:rPr>
                <w:lang w:eastAsia="en-NZ"/>
              </w:rPr>
            </w:pPr>
            <w:r w:rsidRPr="003A16EF">
              <w:rPr>
                <w:lang w:eastAsia="en-NZ"/>
              </w:rPr>
              <w:t>79</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20.2</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77773" w:rsidRPr="003A16EF" w:rsidRDefault="00777773" w:rsidP="004D380D">
            <w:pPr>
              <w:pStyle w:val="TableText"/>
              <w:tabs>
                <w:tab w:val="decimal" w:pos="436"/>
              </w:tabs>
              <w:rPr>
                <w:lang w:eastAsia="en-NZ"/>
              </w:rPr>
            </w:pPr>
            <w:r w:rsidRPr="003A16EF">
              <w:rPr>
                <w:lang w:eastAsia="en-NZ"/>
              </w:rPr>
              <w:t>168</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49.4</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77773" w:rsidRPr="003A16EF" w:rsidRDefault="00777773" w:rsidP="004D380D">
            <w:pPr>
              <w:pStyle w:val="TableText"/>
              <w:tabs>
                <w:tab w:val="decimal" w:pos="510"/>
              </w:tabs>
              <w:rPr>
                <w:lang w:eastAsia="en-NZ"/>
              </w:rPr>
            </w:pPr>
            <w:r w:rsidRPr="003A16EF">
              <w:rPr>
                <w:lang w:eastAsia="en-NZ"/>
              </w:rPr>
              <w:t>219</w:t>
            </w:r>
          </w:p>
        </w:tc>
        <w:tc>
          <w:tcPr>
            <w:tcW w:w="639" w:type="dxa"/>
            <w:tcBorders>
              <w:top w:val="single" w:sz="4" w:space="0" w:color="A6A6A6" w:themeColor="background1" w:themeShade="A6"/>
              <w:bottom w:val="single" w:sz="4" w:space="0" w:color="A6A6A6" w:themeColor="background1" w:themeShade="A6"/>
            </w:tcBorders>
          </w:tcPr>
          <w:p w:rsidR="00777773" w:rsidRPr="003A16EF" w:rsidRDefault="00777773" w:rsidP="004D380D">
            <w:pPr>
              <w:pStyle w:val="TableText"/>
              <w:jc w:val="center"/>
              <w:rPr>
                <w:lang w:eastAsia="en-NZ"/>
              </w:rPr>
            </w:pPr>
            <w:r w:rsidRPr="003A16EF">
              <w:rPr>
                <w:lang w:eastAsia="en-NZ"/>
              </w:rPr>
              <w:t>56</w:t>
            </w:r>
            <w:r>
              <w:rPr>
                <w:lang w:eastAsia="en-NZ"/>
              </w:rPr>
              <w:t>.0</w:t>
            </w:r>
          </w:p>
        </w:tc>
      </w:tr>
      <w:tr w:rsidR="00777773" w:rsidRPr="00AD2F2F" w:rsidTr="004D380D">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77773" w:rsidRPr="00E848D2" w:rsidRDefault="00777773" w:rsidP="00230CA2">
            <w:pPr>
              <w:pStyle w:val="TableText"/>
              <w:rPr>
                <w:b/>
                <w:lang w:eastAsia="en-NZ"/>
              </w:rPr>
            </w:pPr>
            <w:r w:rsidRPr="00E848D2">
              <w:rPr>
                <w:b/>
                <w:lang w:eastAsia="en-NZ"/>
              </w:rPr>
              <w:t xml:space="preserve">DHB of </w:t>
            </w:r>
            <w:r w:rsidR="007D4D25">
              <w:rPr>
                <w:b/>
                <w:lang w:eastAsia="en-NZ"/>
              </w:rPr>
              <w:t>service</w:t>
            </w:r>
          </w:p>
        </w:tc>
        <w:tc>
          <w:tcPr>
            <w:tcW w:w="992"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777773" w:rsidRPr="003A16EF" w:rsidRDefault="00777773" w:rsidP="004D380D">
            <w:pPr>
              <w:pStyle w:val="TableText"/>
              <w:tabs>
                <w:tab w:val="decimal" w:pos="539"/>
              </w:tabs>
              <w:rPr>
                <w:lang w:eastAsia="en-NZ"/>
              </w:rPr>
            </w:pPr>
          </w:p>
        </w:tc>
        <w:tc>
          <w:tcPr>
            <w:tcW w:w="61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777773" w:rsidRPr="003A16EF" w:rsidRDefault="00777773" w:rsidP="004D380D">
            <w:pPr>
              <w:pStyle w:val="TableText"/>
              <w:tabs>
                <w:tab w:val="decimal" w:pos="510"/>
              </w:tabs>
              <w:rPr>
                <w:lang w:eastAsia="en-NZ"/>
              </w:rPr>
            </w:pPr>
          </w:p>
        </w:tc>
        <w:tc>
          <w:tcPr>
            <w:tcW w:w="61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p>
        </w:tc>
        <w:tc>
          <w:tcPr>
            <w:tcW w:w="61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777773" w:rsidRPr="003A16EF" w:rsidRDefault="00777773" w:rsidP="004D380D">
            <w:pPr>
              <w:pStyle w:val="TableText"/>
              <w:tabs>
                <w:tab w:val="decimal" w:pos="442"/>
              </w:tabs>
              <w:rPr>
                <w:lang w:eastAsia="en-NZ"/>
              </w:rPr>
            </w:pPr>
          </w:p>
        </w:tc>
        <w:tc>
          <w:tcPr>
            <w:tcW w:w="61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p>
        </w:tc>
        <w:tc>
          <w:tcPr>
            <w:tcW w:w="614" w:type="dxa"/>
            <w:tcBorders>
              <w:top w:val="single" w:sz="4" w:space="0" w:color="7F7F7F" w:themeColor="text1" w:themeTint="80"/>
              <w:left w:val="nil"/>
              <w:bottom w:val="single" w:sz="4" w:space="0" w:color="A6A6A6" w:themeColor="background1" w:themeShade="A6"/>
            </w:tcBorders>
            <w:shd w:val="clear" w:color="auto" w:fill="auto"/>
          </w:tcPr>
          <w:p w:rsidR="00777773" w:rsidRPr="003A16EF" w:rsidRDefault="00777773" w:rsidP="004D380D">
            <w:pPr>
              <w:pStyle w:val="TableText"/>
              <w:tabs>
                <w:tab w:val="decimal" w:pos="436"/>
              </w:tabs>
              <w:rPr>
                <w:lang w:eastAsia="en-NZ"/>
              </w:rPr>
            </w:pPr>
          </w:p>
        </w:tc>
        <w:tc>
          <w:tcPr>
            <w:tcW w:w="615"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p>
        </w:tc>
        <w:tc>
          <w:tcPr>
            <w:tcW w:w="63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noWrap/>
          </w:tcPr>
          <w:p w:rsidR="00777773" w:rsidRPr="003A16EF" w:rsidRDefault="00777773" w:rsidP="004D380D">
            <w:pPr>
              <w:pStyle w:val="TableText"/>
              <w:tabs>
                <w:tab w:val="decimal" w:pos="510"/>
              </w:tabs>
              <w:rPr>
                <w:lang w:eastAsia="en-NZ"/>
              </w:rPr>
            </w:pPr>
          </w:p>
        </w:tc>
        <w:tc>
          <w:tcPr>
            <w:tcW w:w="639" w:type="dxa"/>
            <w:tcBorders>
              <w:top w:val="single" w:sz="4" w:space="0" w:color="7F7F7F" w:themeColor="text1" w:themeTint="80"/>
              <w:bottom w:val="single" w:sz="4" w:space="0" w:color="A6A6A6" w:themeColor="background1" w:themeShade="A6"/>
            </w:tcBorders>
          </w:tcPr>
          <w:p w:rsidR="00777773" w:rsidRPr="003A16EF" w:rsidRDefault="00777773" w:rsidP="004D380D">
            <w:pPr>
              <w:pStyle w:val="TableText"/>
              <w:jc w:val="center"/>
              <w:rPr>
                <w:lang w:eastAsia="en-NZ"/>
              </w:rPr>
            </w:pPr>
          </w:p>
        </w:tc>
      </w:tr>
      <w:tr w:rsidR="00777773"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77773" w:rsidRPr="00826E06" w:rsidRDefault="00777773" w:rsidP="00A67A36">
            <w:pPr>
              <w:pStyle w:val="TableText"/>
              <w:ind w:left="142"/>
              <w:rPr>
                <w:lang w:eastAsia="en-NZ"/>
              </w:rPr>
            </w:pPr>
            <w:r w:rsidRPr="00826E06">
              <w:rPr>
                <w:lang w:eastAsia="en-NZ"/>
              </w:rPr>
              <w:t>Auckland</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77773" w:rsidRPr="003A16EF" w:rsidRDefault="00777773" w:rsidP="004D380D">
            <w:pPr>
              <w:pStyle w:val="TableText"/>
              <w:tabs>
                <w:tab w:val="decimal" w:pos="539"/>
              </w:tabs>
              <w:rPr>
                <w:lang w:eastAsia="en-NZ"/>
              </w:rPr>
            </w:pPr>
            <w:r w:rsidRPr="003A16EF">
              <w:rPr>
                <w:lang w:eastAsia="en-NZ"/>
              </w:rPr>
              <w:t>86</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77773" w:rsidRPr="003A16EF" w:rsidRDefault="00777773" w:rsidP="004D380D">
            <w:pPr>
              <w:pStyle w:val="TableText"/>
              <w:tabs>
                <w:tab w:val="decimal" w:pos="510"/>
              </w:tabs>
              <w:rPr>
                <w:lang w:eastAsia="en-NZ"/>
              </w:rPr>
            </w:pPr>
            <w:r w:rsidRPr="003A16EF">
              <w:rPr>
                <w:lang w:eastAsia="en-NZ"/>
              </w:rPr>
              <w:t>81</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94.2</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77773" w:rsidRPr="003A16EF" w:rsidRDefault="00777773" w:rsidP="004D380D">
            <w:pPr>
              <w:pStyle w:val="TableText"/>
              <w:tabs>
                <w:tab w:val="decimal" w:pos="442"/>
              </w:tabs>
              <w:rPr>
                <w:lang w:eastAsia="en-NZ"/>
              </w:rPr>
            </w:pPr>
            <w:r w:rsidRPr="003A16EF">
              <w:rPr>
                <w:lang w:eastAsia="en-NZ"/>
              </w:rPr>
              <w:t>14</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16.3</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77773" w:rsidRPr="003A16EF" w:rsidRDefault="00777773" w:rsidP="004D380D">
            <w:pPr>
              <w:pStyle w:val="TableText"/>
              <w:tabs>
                <w:tab w:val="decimal" w:pos="436"/>
              </w:tabs>
              <w:rPr>
                <w:lang w:eastAsia="en-NZ"/>
              </w:rPr>
            </w:pPr>
            <w:r w:rsidRPr="003A16EF">
              <w:rPr>
                <w:lang w:eastAsia="en-NZ"/>
              </w:rPr>
              <w:t>64</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77773" w:rsidRPr="003A16EF" w:rsidRDefault="00777773" w:rsidP="004D380D">
            <w:pPr>
              <w:pStyle w:val="TableText"/>
              <w:jc w:val="center"/>
              <w:rPr>
                <w:lang w:eastAsia="en-NZ"/>
              </w:rPr>
            </w:pPr>
            <w:r w:rsidRPr="003A16EF">
              <w:rPr>
                <w:lang w:eastAsia="en-NZ"/>
              </w:rPr>
              <w:t>79</w:t>
            </w:r>
            <w:r>
              <w:rPr>
                <w:lang w:eastAsia="en-NZ"/>
              </w:rPr>
              <w:t>.0</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77773" w:rsidRPr="003A16EF" w:rsidRDefault="00777773" w:rsidP="004D380D">
            <w:pPr>
              <w:pStyle w:val="TableText"/>
              <w:tabs>
                <w:tab w:val="decimal" w:pos="510"/>
              </w:tabs>
              <w:rPr>
                <w:lang w:eastAsia="en-NZ"/>
              </w:rPr>
            </w:pPr>
            <w:r w:rsidRPr="003A16EF">
              <w:rPr>
                <w:lang w:eastAsia="en-NZ"/>
              </w:rPr>
              <w:t>69</w:t>
            </w:r>
          </w:p>
        </w:tc>
        <w:tc>
          <w:tcPr>
            <w:tcW w:w="639" w:type="dxa"/>
            <w:tcBorders>
              <w:top w:val="single" w:sz="4" w:space="0" w:color="A6A6A6" w:themeColor="background1" w:themeShade="A6"/>
              <w:bottom w:val="single" w:sz="4" w:space="0" w:color="A6A6A6" w:themeColor="background1" w:themeShade="A6"/>
            </w:tcBorders>
          </w:tcPr>
          <w:p w:rsidR="00777773" w:rsidRPr="003A16EF" w:rsidRDefault="00777773" w:rsidP="004D380D">
            <w:pPr>
              <w:pStyle w:val="TableText"/>
              <w:jc w:val="center"/>
              <w:rPr>
                <w:lang w:eastAsia="en-NZ"/>
              </w:rPr>
            </w:pPr>
            <w:r w:rsidRPr="003A16EF">
              <w:rPr>
                <w:lang w:eastAsia="en-NZ"/>
              </w:rPr>
              <w:t>80.2</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Bay of Plenty</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73</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68</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93.2</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19</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26</w:t>
            </w:r>
            <w:r>
              <w:rPr>
                <w:lang w:eastAsia="en-NZ"/>
              </w:rPr>
              <w:t>.0</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27</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39.7</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32</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43.8</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Canterbury</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166</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157</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94.6</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47</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28.3</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60</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38.2</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69</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41.6</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Capital and Coast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78</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74</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94.9</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19</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24.4</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41</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55.4</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45</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57.7</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Counties Manukau</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100</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87</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87</w:t>
            </w:r>
            <w:r>
              <w:rPr>
                <w:lang w:eastAsia="en-NZ"/>
              </w:rPr>
              <w:t>.0</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24</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24</w:t>
            </w:r>
            <w:r>
              <w:rPr>
                <w:lang w:eastAsia="en-NZ"/>
              </w:rPr>
              <w:t>.0</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41</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47.1</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54</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54</w:t>
            </w:r>
            <w:r>
              <w:rPr>
                <w:lang w:eastAsia="en-NZ"/>
              </w:rPr>
              <w:t>.0</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Hawke</w:t>
            </w:r>
            <w:r>
              <w:rPr>
                <w:lang w:eastAsia="en-NZ"/>
              </w:rPr>
              <w:t>’</w:t>
            </w:r>
            <w:r w:rsidRPr="00826E06">
              <w:rPr>
                <w:lang w:eastAsia="en-NZ"/>
              </w:rPr>
              <w:t>s Bay</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51</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49</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96.1</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8</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15.7</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33</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67.3</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35</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68.6</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Hutt Valley</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41</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39</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95.1</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13</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31.7</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15</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38.5</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17</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41.5</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Lakes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26</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24</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92.3</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10</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38.5</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6</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25</w:t>
            </w:r>
            <w:r>
              <w:rPr>
                <w:lang w:eastAsia="en-NZ"/>
              </w:rPr>
              <w:t>.0</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8</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30.8</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MidCentral</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66</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54</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81.8</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20</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30.3</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28</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51.9</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40</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60.6</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Nelson Marlborough</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42</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32</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76.2</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13</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31</w:t>
            </w:r>
            <w:r>
              <w:rPr>
                <w:lang w:eastAsia="en-NZ"/>
              </w:rPr>
              <w:t>.0</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13</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40.6</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23</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54.8</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Northland</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63</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45</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71.4</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8</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12.7</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22</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48.9</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40</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63.5</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South Canterbury</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28</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27</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96.4</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16</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57.1</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3</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11.1</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4</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14.3</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Southern</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125</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109</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87.2</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17</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13.6</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50</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45.9</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66</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52.8</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Tair</w:t>
            </w:r>
            <w:r w:rsidRPr="00401D63">
              <w:rPr>
                <w:lang w:eastAsia="en-NZ"/>
              </w:rPr>
              <w:t>ā</w:t>
            </w:r>
            <w:r w:rsidRPr="00826E06">
              <w:rPr>
                <w:lang w:eastAsia="en-NZ"/>
              </w:rPr>
              <w:t>whiti</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7</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7</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100</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1</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14.3</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1</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14.3</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1</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14.3</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Taranaki</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34</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31</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91.2</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8</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23.5</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12</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38.7</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15</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44.1</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Waikato</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88</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79</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89.8</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17</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19.3</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46</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58.2</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55</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62.5</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Wairarapa</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t>–</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t>–</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t>–</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t>–</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t>–</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t>–</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t>–</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t>–</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t>–</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Waitemata</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F56888" w:rsidRDefault="007D4D25" w:rsidP="007D4D25">
            <w:pPr>
              <w:pStyle w:val="TableText"/>
              <w:jc w:val="center"/>
              <w:rPr>
                <w:highlight w:val="yellow"/>
                <w:lang w:eastAsia="en-NZ"/>
              </w:rPr>
            </w:pPr>
            <w:r w:rsidRPr="003A16EF">
              <w:rPr>
                <w:lang w:eastAsia="en-NZ"/>
              </w:rPr>
              <w:t>141</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F56888" w:rsidRDefault="007D4D25" w:rsidP="007D4D25">
            <w:pPr>
              <w:pStyle w:val="TableText"/>
              <w:jc w:val="center"/>
              <w:rPr>
                <w:highlight w:val="yellow"/>
                <w:lang w:eastAsia="en-NZ"/>
              </w:rPr>
            </w:pPr>
            <w:r w:rsidRPr="003A16EF">
              <w:rPr>
                <w:lang w:eastAsia="en-NZ"/>
              </w:rPr>
              <w:t>119</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F56888" w:rsidRDefault="007D4D25" w:rsidP="007D4D25">
            <w:pPr>
              <w:pStyle w:val="TableText"/>
              <w:jc w:val="center"/>
              <w:rPr>
                <w:highlight w:val="yellow"/>
                <w:lang w:eastAsia="en-NZ"/>
              </w:rPr>
            </w:pPr>
            <w:r w:rsidRPr="003A16EF">
              <w:rPr>
                <w:lang w:eastAsia="en-NZ"/>
              </w:rPr>
              <w:t>84.4</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F56888" w:rsidRDefault="007D4D25" w:rsidP="007D4D25">
            <w:pPr>
              <w:pStyle w:val="TableText"/>
              <w:jc w:val="center"/>
              <w:rPr>
                <w:highlight w:val="yellow"/>
                <w:lang w:eastAsia="en-NZ"/>
              </w:rPr>
            </w:pPr>
            <w:r w:rsidRPr="003A16EF">
              <w:rPr>
                <w:lang w:eastAsia="en-NZ"/>
              </w:rPr>
              <w:t>27</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F56888" w:rsidRDefault="007D4D25" w:rsidP="007D4D25">
            <w:pPr>
              <w:pStyle w:val="TableText"/>
              <w:jc w:val="center"/>
              <w:rPr>
                <w:highlight w:val="yellow"/>
                <w:lang w:eastAsia="en-NZ"/>
              </w:rPr>
            </w:pPr>
            <w:r w:rsidRPr="003A16EF">
              <w:rPr>
                <w:lang w:eastAsia="en-NZ"/>
              </w:rPr>
              <w:t>19.1</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F56888" w:rsidRDefault="007D4D25" w:rsidP="007D4D25">
            <w:pPr>
              <w:pStyle w:val="TableText"/>
              <w:jc w:val="center"/>
              <w:rPr>
                <w:highlight w:val="yellow"/>
                <w:lang w:eastAsia="en-NZ"/>
              </w:rPr>
            </w:pPr>
            <w:r w:rsidRPr="003A16EF">
              <w:rPr>
                <w:lang w:eastAsia="en-NZ"/>
              </w:rPr>
              <w:t>68</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F56888" w:rsidRDefault="007D4D25" w:rsidP="007D4D25">
            <w:pPr>
              <w:pStyle w:val="TableText"/>
              <w:jc w:val="center"/>
              <w:rPr>
                <w:highlight w:val="yellow"/>
                <w:lang w:eastAsia="en-NZ"/>
              </w:rPr>
            </w:pPr>
            <w:r w:rsidRPr="003A16EF">
              <w:rPr>
                <w:lang w:eastAsia="en-NZ"/>
              </w:rPr>
              <w:t>57.1</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F56888" w:rsidRDefault="007D4D25" w:rsidP="007D4D25">
            <w:pPr>
              <w:pStyle w:val="TableText"/>
              <w:jc w:val="center"/>
              <w:rPr>
                <w:highlight w:val="yellow"/>
                <w:lang w:eastAsia="en-NZ"/>
              </w:rPr>
            </w:pPr>
            <w:r w:rsidRPr="003A16EF">
              <w:rPr>
                <w:lang w:eastAsia="en-NZ"/>
              </w:rPr>
              <w:t>90</w:t>
            </w:r>
          </w:p>
        </w:tc>
        <w:tc>
          <w:tcPr>
            <w:tcW w:w="639" w:type="dxa"/>
            <w:tcBorders>
              <w:top w:val="single" w:sz="4" w:space="0" w:color="A6A6A6" w:themeColor="background1" w:themeShade="A6"/>
              <w:bottom w:val="single" w:sz="4" w:space="0" w:color="A6A6A6" w:themeColor="background1" w:themeShade="A6"/>
            </w:tcBorders>
          </w:tcPr>
          <w:p w:rsidR="007D4D25" w:rsidRPr="00F56888" w:rsidRDefault="007D4D25" w:rsidP="007D4D25">
            <w:pPr>
              <w:pStyle w:val="TableText"/>
              <w:jc w:val="center"/>
              <w:rPr>
                <w:highlight w:val="yellow"/>
                <w:lang w:eastAsia="en-NZ"/>
              </w:rPr>
            </w:pPr>
            <w:r w:rsidRPr="003A16EF">
              <w:rPr>
                <w:lang w:eastAsia="en-NZ"/>
              </w:rPr>
              <w:t>63.8</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West Coast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t>–</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t>–</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t>–</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t>–</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t>–</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t>–</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t>–</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t>–</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t>–</w:t>
            </w:r>
          </w:p>
        </w:tc>
      </w:tr>
      <w:tr w:rsidR="007D4D25" w:rsidRPr="00AD2F2F" w:rsidTr="004D380D">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7D4D25" w:rsidRPr="00826E06" w:rsidRDefault="007D4D25" w:rsidP="007D4D25">
            <w:pPr>
              <w:pStyle w:val="TableText"/>
              <w:ind w:left="142"/>
              <w:rPr>
                <w:lang w:eastAsia="en-NZ"/>
              </w:rPr>
            </w:pPr>
            <w:r w:rsidRPr="00826E06">
              <w:rPr>
                <w:lang w:eastAsia="en-NZ"/>
              </w:rPr>
              <w:t>Whanganui</w:t>
            </w:r>
          </w:p>
        </w:tc>
        <w:tc>
          <w:tcPr>
            <w:tcW w:w="992"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7D4D25" w:rsidRPr="00F56888" w:rsidRDefault="007D4D25" w:rsidP="007D4D25">
            <w:pPr>
              <w:pStyle w:val="TableText"/>
              <w:jc w:val="center"/>
              <w:rPr>
                <w:highlight w:val="yellow"/>
                <w:lang w:eastAsia="en-NZ"/>
              </w:rPr>
            </w:pPr>
            <w:r w:rsidRPr="003A16EF">
              <w:rPr>
                <w:lang w:eastAsia="en-NZ"/>
              </w:rPr>
              <w:t>20</w:t>
            </w:r>
          </w:p>
        </w:tc>
        <w:tc>
          <w:tcPr>
            <w:tcW w:w="61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7D4D25" w:rsidRPr="00F56888" w:rsidRDefault="007D4D25" w:rsidP="007D4D25">
            <w:pPr>
              <w:pStyle w:val="TableText"/>
              <w:jc w:val="center"/>
              <w:rPr>
                <w:highlight w:val="yellow"/>
                <w:lang w:eastAsia="en-NZ"/>
              </w:rPr>
            </w:pPr>
            <w:r w:rsidRPr="003A16EF">
              <w:rPr>
                <w:lang w:eastAsia="en-NZ"/>
              </w:rPr>
              <w:t>20</w:t>
            </w:r>
          </w:p>
        </w:tc>
        <w:tc>
          <w:tcPr>
            <w:tcW w:w="614"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7D4D25" w:rsidRPr="00F56888" w:rsidRDefault="007D4D25" w:rsidP="007D4D25">
            <w:pPr>
              <w:pStyle w:val="TableText"/>
              <w:jc w:val="center"/>
              <w:rPr>
                <w:highlight w:val="yellow"/>
                <w:lang w:eastAsia="en-NZ"/>
              </w:rPr>
            </w:pPr>
            <w:r w:rsidRPr="003A16EF">
              <w:rPr>
                <w:lang w:eastAsia="en-NZ"/>
              </w:rPr>
              <w:t>100</w:t>
            </w:r>
          </w:p>
        </w:tc>
        <w:tc>
          <w:tcPr>
            <w:tcW w:w="61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7D4D25" w:rsidRPr="00F56888" w:rsidRDefault="007D4D25" w:rsidP="007D4D25">
            <w:pPr>
              <w:pStyle w:val="TableText"/>
              <w:jc w:val="center"/>
              <w:rPr>
                <w:highlight w:val="yellow"/>
                <w:lang w:eastAsia="en-NZ"/>
              </w:rPr>
            </w:pPr>
            <w:r w:rsidRPr="003A16EF">
              <w:rPr>
                <w:lang w:eastAsia="en-NZ"/>
              </w:rPr>
              <w:t>1</w:t>
            </w:r>
          </w:p>
        </w:tc>
        <w:tc>
          <w:tcPr>
            <w:tcW w:w="614"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7D4D25" w:rsidRPr="00F56888" w:rsidRDefault="007D4D25" w:rsidP="007D4D25">
            <w:pPr>
              <w:pStyle w:val="TableText"/>
              <w:jc w:val="center"/>
              <w:rPr>
                <w:highlight w:val="yellow"/>
                <w:lang w:eastAsia="en-NZ"/>
              </w:rPr>
            </w:pPr>
            <w:r w:rsidRPr="003A16EF">
              <w:rPr>
                <w:lang w:eastAsia="en-NZ"/>
              </w:rPr>
              <w:t>5</w:t>
            </w:r>
          </w:p>
        </w:tc>
        <w:tc>
          <w:tcPr>
            <w:tcW w:w="614" w:type="dxa"/>
            <w:tcBorders>
              <w:top w:val="single" w:sz="4" w:space="0" w:color="A6A6A6" w:themeColor="background1" w:themeShade="A6"/>
              <w:left w:val="nil"/>
              <w:bottom w:val="single" w:sz="4" w:space="0" w:color="7F7F7F" w:themeColor="text1" w:themeTint="80"/>
            </w:tcBorders>
            <w:shd w:val="clear" w:color="auto" w:fill="auto"/>
          </w:tcPr>
          <w:p w:rsidR="007D4D25" w:rsidRPr="00F56888" w:rsidRDefault="007D4D25" w:rsidP="007D4D25">
            <w:pPr>
              <w:pStyle w:val="TableText"/>
              <w:jc w:val="center"/>
              <w:rPr>
                <w:highlight w:val="yellow"/>
                <w:lang w:eastAsia="en-NZ"/>
              </w:rPr>
            </w:pPr>
            <w:r w:rsidRPr="003A16EF">
              <w:rPr>
                <w:lang w:eastAsia="en-NZ"/>
              </w:rPr>
              <w:t>12</w:t>
            </w:r>
          </w:p>
        </w:tc>
        <w:tc>
          <w:tcPr>
            <w:tcW w:w="615"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7D4D25" w:rsidRPr="00F56888" w:rsidRDefault="007D4D25" w:rsidP="007D4D25">
            <w:pPr>
              <w:pStyle w:val="TableText"/>
              <w:jc w:val="center"/>
              <w:rPr>
                <w:highlight w:val="yellow"/>
                <w:lang w:eastAsia="en-NZ"/>
              </w:rPr>
            </w:pPr>
            <w:r w:rsidRPr="003A16EF">
              <w:rPr>
                <w:lang w:eastAsia="en-NZ"/>
              </w:rPr>
              <w:t>60</w:t>
            </w:r>
            <w:r>
              <w:rPr>
                <w:lang w:eastAsia="en-NZ"/>
              </w:rPr>
              <w:t>.0</w:t>
            </w:r>
          </w:p>
        </w:tc>
        <w:tc>
          <w:tcPr>
            <w:tcW w:w="63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noWrap/>
          </w:tcPr>
          <w:p w:rsidR="007D4D25" w:rsidRPr="00F56888" w:rsidRDefault="007D4D25" w:rsidP="007D4D25">
            <w:pPr>
              <w:pStyle w:val="TableText"/>
              <w:jc w:val="center"/>
              <w:rPr>
                <w:highlight w:val="yellow"/>
                <w:lang w:eastAsia="en-NZ"/>
              </w:rPr>
            </w:pPr>
            <w:r w:rsidRPr="003A16EF">
              <w:rPr>
                <w:lang w:eastAsia="en-NZ"/>
              </w:rPr>
              <w:t>12</w:t>
            </w:r>
          </w:p>
        </w:tc>
        <w:tc>
          <w:tcPr>
            <w:tcW w:w="639" w:type="dxa"/>
            <w:tcBorders>
              <w:top w:val="single" w:sz="4" w:space="0" w:color="A6A6A6" w:themeColor="background1" w:themeShade="A6"/>
              <w:bottom w:val="single" w:sz="4" w:space="0" w:color="7F7F7F" w:themeColor="text1" w:themeTint="80"/>
            </w:tcBorders>
          </w:tcPr>
          <w:p w:rsidR="007D4D25" w:rsidRPr="00F56888" w:rsidRDefault="007D4D25" w:rsidP="007D4D25">
            <w:pPr>
              <w:pStyle w:val="TableText"/>
              <w:jc w:val="center"/>
              <w:rPr>
                <w:highlight w:val="yellow"/>
                <w:lang w:eastAsia="en-NZ"/>
              </w:rPr>
            </w:pPr>
            <w:r w:rsidRPr="003A16EF">
              <w:rPr>
                <w:lang w:eastAsia="en-NZ"/>
              </w:rPr>
              <w:t>60</w:t>
            </w:r>
            <w:r>
              <w:rPr>
                <w:lang w:eastAsia="en-NZ"/>
              </w:rPr>
              <w:t>.0</w:t>
            </w:r>
          </w:p>
        </w:tc>
      </w:tr>
      <w:tr w:rsidR="007D4D25" w:rsidRPr="00AD2F2F" w:rsidTr="004D380D">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D4D25" w:rsidRPr="00E848D2" w:rsidRDefault="007D4D25" w:rsidP="007D4D25">
            <w:pPr>
              <w:pStyle w:val="TableText"/>
              <w:keepNext/>
              <w:rPr>
                <w:b/>
                <w:lang w:eastAsia="en-NZ"/>
              </w:rPr>
            </w:pPr>
            <w:r w:rsidRPr="00E848D2">
              <w:rPr>
                <w:b/>
                <w:lang w:eastAsia="en-NZ"/>
              </w:rPr>
              <w:lastRenderedPageBreak/>
              <w:t>Age group (years)</w:t>
            </w:r>
          </w:p>
        </w:tc>
        <w:tc>
          <w:tcPr>
            <w:tcW w:w="992"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p>
        </w:tc>
        <w:tc>
          <w:tcPr>
            <w:tcW w:w="61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p>
        </w:tc>
        <w:tc>
          <w:tcPr>
            <w:tcW w:w="61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p>
        </w:tc>
        <w:tc>
          <w:tcPr>
            <w:tcW w:w="61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p>
        </w:tc>
        <w:tc>
          <w:tcPr>
            <w:tcW w:w="61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p>
        </w:tc>
        <w:tc>
          <w:tcPr>
            <w:tcW w:w="614" w:type="dxa"/>
            <w:tcBorders>
              <w:top w:val="single" w:sz="4" w:space="0" w:color="7F7F7F" w:themeColor="text1" w:themeTint="80"/>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p>
        </w:tc>
        <w:tc>
          <w:tcPr>
            <w:tcW w:w="615"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p>
        </w:tc>
        <w:tc>
          <w:tcPr>
            <w:tcW w:w="63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p>
        </w:tc>
        <w:tc>
          <w:tcPr>
            <w:tcW w:w="639" w:type="dxa"/>
            <w:tcBorders>
              <w:top w:val="single" w:sz="4" w:space="0" w:color="7F7F7F" w:themeColor="text1" w:themeTint="80"/>
              <w:bottom w:val="single" w:sz="4" w:space="0" w:color="A6A6A6" w:themeColor="background1" w:themeShade="A6"/>
            </w:tcBorders>
          </w:tcPr>
          <w:p w:rsidR="007D4D25" w:rsidRPr="003A16EF" w:rsidRDefault="007D4D25" w:rsidP="007D4D25">
            <w:pPr>
              <w:pStyle w:val="TableText"/>
              <w:jc w:val="center"/>
              <w:rPr>
                <w:lang w:eastAsia="en-NZ"/>
              </w:rPr>
            </w:pP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872866" w:rsidRDefault="007D4D25" w:rsidP="007D4D25">
            <w:pPr>
              <w:pStyle w:val="TableText"/>
              <w:keepNext/>
              <w:ind w:left="142"/>
              <w:rPr>
                <w:lang w:eastAsia="en-NZ"/>
              </w:rPr>
            </w:pPr>
            <w:r w:rsidRPr="00872866">
              <w:rPr>
                <w:lang w:eastAsia="en-NZ"/>
              </w:rPr>
              <w:t>18</w:t>
            </w:r>
            <w:r>
              <w:rPr>
                <w:lang w:eastAsia="en-NZ"/>
              </w:rPr>
              <w:t>–</w:t>
            </w:r>
            <w:r w:rsidRPr="00872866">
              <w:rPr>
                <w:lang w:eastAsia="en-NZ"/>
              </w:rPr>
              <w:t>49</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111</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103</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92.8</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15</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13.5</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62</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60.2</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70</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63.1</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72866" w:rsidRDefault="007D4D25" w:rsidP="007D4D25">
            <w:pPr>
              <w:pStyle w:val="TableText"/>
              <w:keepNext/>
              <w:ind w:left="142"/>
              <w:rPr>
                <w:lang w:eastAsia="en-NZ"/>
              </w:rPr>
            </w:pPr>
            <w:r w:rsidRPr="00872866">
              <w:rPr>
                <w:lang w:eastAsia="en-NZ"/>
              </w:rPr>
              <w:t>50</w:t>
            </w:r>
            <w:r>
              <w:rPr>
                <w:lang w:eastAsia="en-NZ"/>
              </w:rPr>
              <w:t>–</w:t>
            </w:r>
            <w:r w:rsidRPr="00872866">
              <w:rPr>
                <w:lang w:eastAsia="en-NZ"/>
              </w:rPr>
              <w:t>59</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203</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184</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90.6</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35</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17.2</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115</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62.5</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134</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66</w:t>
            </w:r>
            <w:r>
              <w:rPr>
                <w:lang w:eastAsia="en-NZ"/>
              </w:rPr>
              <w:t>.0</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72866" w:rsidRDefault="007D4D25" w:rsidP="007D4D25">
            <w:pPr>
              <w:pStyle w:val="TableText"/>
              <w:keepNext/>
              <w:ind w:left="142"/>
              <w:rPr>
                <w:lang w:eastAsia="en-NZ"/>
              </w:rPr>
            </w:pPr>
            <w:r w:rsidRPr="00872866">
              <w:rPr>
                <w:lang w:eastAsia="en-NZ"/>
              </w:rPr>
              <w:t>60</w:t>
            </w:r>
            <w:r>
              <w:rPr>
                <w:lang w:eastAsia="en-NZ"/>
              </w:rPr>
              <w:t>–</w:t>
            </w:r>
            <w:r w:rsidRPr="00872866">
              <w:rPr>
                <w:lang w:eastAsia="en-NZ"/>
              </w:rPr>
              <w:t>74</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587</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521</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88.8</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133</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22.7</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264</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50.7</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330</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56.2</w:t>
            </w:r>
          </w:p>
        </w:tc>
      </w:tr>
      <w:tr w:rsidR="007D4D25" w:rsidRPr="00AD2F2F" w:rsidTr="004D380D">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7D4D25" w:rsidRPr="00872866" w:rsidRDefault="007D4D25" w:rsidP="007D4D25">
            <w:pPr>
              <w:pStyle w:val="TableText"/>
              <w:ind w:left="142"/>
              <w:rPr>
                <w:lang w:eastAsia="en-NZ"/>
              </w:rPr>
            </w:pPr>
            <w:r w:rsidRPr="00872866">
              <w:rPr>
                <w:lang w:eastAsia="en-NZ"/>
              </w:rPr>
              <w:t>75+</w:t>
            </w:r>
          </w:p>
        </w:tc>
        <w:tc>
          <w:tcPr>
            <w:tcW w:w="992"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341</w:t>
            </w:r>
          </w:p>
        </w:tc>
        <w:tc>
          <w:tcPr>
            <w:tcW w:w="61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7D4D25" w:rsidRPr="003A16EF" w:rsidRDefault="007D4D25" w:rsidP="007D4D25">
            <w:pPr>
              <w:pStyle w:val="TableText"/>
              <w:tabs>
                <w:tab w:val="decimal" w:pos="510"/>
              </w:tabs>
              <w:rPr>
                <w:lang w:eastAsia="en-NZ"/>
              </w:rPr>
            </w:pPr>
            <w:r w:rsidRPr="003A16EF">
              <w:rPr>
                <w:lang w:eastAsia="en-NZ"/>
              </w:rPr>
              <w:t>300</w:t>
            </w:r>
          </w:p>
        </w:tc>
        <w:tc>
          <w:tcPr>
            <w:tcW w:w="614"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88</w:t>
            </w:r>
            <w:r>
              <w:rPr>
                <w:lang w:eastAsia="en-NZ"/>
              </w:rPr>
              <w:t>.0</w:t>
            </w:r>
          </w:p>
        </w:tc>
        <w:tc>
          <w:tcPr>
            <w:tcW w:w="61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7D4D25" w:rsidRPr="003A16EF" w:rsidRDefault="007D4D25" w:rsidP="007D4D25">
            <w:pPr>
              <w:pStyle w:val="TableText"/>
              <w:tabs>
                <w:tab w:val="decimal" w:pos="442"/>
              </w:tabs>
              <w:rPr>
                <w:lang w:eastAsia="en-NZ"/>
              </w:rPr>
            </w:pPr>
            <w:r w:rsidRPr="003A16EF">
              <w:rPr>
                <w:lang w:eastAsia="en-NZ"/>
              </w:rPr>
              <w:t>99</w:t>
            </w:r>
          </w:p>
        </w:tc>
        <w:tc>
          <w:tcPr>
            <w:tcW w:w="614"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29</w:t>
            </w:r>
            <w:r>
              <w:rPr>
                <w:lang w:eastAsia="en-NZ"/>
              </w:rPr>
              <w:t>.0</w:t>
            </w:r>
          </w:p>
        </w:tc>
        <w:tc>
          <w:tcPr>
            <w:tcW w:w="614" w:type="dxa"/>
            <w:tcBorders>
              <w:top w:val="single" w:sz="4" w:space="0" w:color="A6A6A6" w:themeColor="background1" w:themeShade="A6"/>
              <w:left w:val="nil"/>
              <w:bottom w:val="single" w:sz="4" w:space="0" w:color="7F7F7F" w:themeColor="text1" w:themeTint="80"/>
            </w:tcBorders>
            <w:shd w:val="clear" w:color="auto" w:fill="auto"/>
          </w:tcPr>
          <w:p w:rsidR="007D4D25" w:rsidRPr="003A16EF" w:rsidRDefault="007D4D25" w:rsidP="007D4D25">
            <w:pPr>
              <w:pStyle w:val="TableText"/>
              <w:tabs>
                <w:tab w:val="decimal" w:pos="436"/>
              </w:tabs>
              <w:rPr>
                <w:lang w:eastAsia="en-NZ"/>
              </w:rPr>
            </w:pPr>
            <w:r w:rsidRPr="003A16EF">
              <w:rPr>
                <w:lang w:eastAsia="en-NZ"/>
              </w:rPr>
              <w:t>104</w:t>
            </w:r>
          </w:p>
        </w:tc>
        <w:tc>
          <w:tcPr>
            <w:tcW w:w="615"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34.7</w:t>
            </w:r>
          </w:p>
        </w:tc>
        <w:tc>
          <w:tcPr>
            <w:tcW w:w="63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145</w:t>
            </w:r>
          </w:p>
        </w:tc>
        <w:tc>
          <w:tcPr>
            <w:tcW w:w="639" w:type="dxa"/>
            <w:tcBorders>
              <w:top w:val="single" w:sz="4" w:space="0" w:color="A6A6A6" w:themeColor="background1" w:themeShade="A6"/>
              <w:bottom w:val="single" w:sz="4" w:space="0" w:color="7F7F7F" w:themeColor="text1" w:themeTint="80"/>
            </w:tcBorders>
          </w:tcPr>
          <w:p w:rsidR="007D4D25" w:rsidRPr="003A16EF" w:rsidRDefault="007D4D25" w:rsidP="007D4D25">
            <w:pPr>
              <w:pStyle w:val="TableText"/>
              <w:jc w:val="center"/>
              <w:rPr>
                <w:lang w:eastAsia="en-NZ"/>
              </w:rPr>
            </w:pPr>
            <w:r w:rsidRPr="003A16EF">
              <w:rPr>
                <w:lang w:eastAsia="en-NZ"/>
              </w:rPr>
              <w:t>42.5</w:t>
            </w:r>
          </w:p>
        </w:tc>
      </w:tr>
      <w:tr w:rsidR="007D4D25" w:rsidRPr="00AD2F2F" w:rsidTr="004D380D">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D4D25" w:rsidRPr="00E848D2" w:rsidRDefault="007D4D25" w:rsidP="007D4D25">
            <w:pPr>
              <w:pStyle w:val="TableText"/>
              <w:rPr>
                <w:b/>
                <w:lang w:eastAsia="en-NZ"/>
              </w:rPr>
            </w:pPr>
            <w:r w:rsidRPr="00E848D2">
              <w:rPr>
                <w:b/>
                <w:lang w:eastAsia="en-NZ"/>
              </w:rPr>
              <w:t>Sex</w:t>
            </w:r>
          </w:p>
        </w:tc>
        <w:tc>
          <w:tcPr>
            <w:tcW w:w="992"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p>
        </w:tc>
        <w:tc>
          <w:tcPr>
            <w:tcW w:w="61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p>
        </w:tc>
        <w:tc>
          <w:tcPr>
            <w:tcW w:w="61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p>
        </w:tc>
        <w:tc>
          <w:tcPr>
            <w:tcW w:w="61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p>
        </w:tc>
        <w:tc>
          <w:tcPr>
            <w:tcW w:w="61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p>
        </w:tc>
        <w:tc>
          <w:tcPr>
            <w:tcW w:w="614" w:type="dxa"/>
            <w:tcBorders>
              <w:top w:val="single" w:sz="4" w:space="0" w:color="7F7F7F" w:themeColor="text1" w:themeTint="80"/>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p>
        </w:tc>
        <w:tc>
          <w:tcPr>
            <w:tcW w:w="615"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p>
        </w:tc>
        <w:tc>
          <w:tcPr>
            <w:tcW w:w="63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p>
        </w:tc>
        <w:tc>
          <w:tcPr>
            <w:tcW w:w="639" w:type="dxa"/>
            <w:tcBorders>
              <w:top w:val="single" w:sz="4" w:space="0" w:color="7F7F7F" w:themeColor="text1" w:themeTint="80"/>
              <w:bottom w:val="single" w:sz="4" w:space="0" w:color="A6A6A6" w:themeColor="background1" w:themeShade="A6"/>
            </w:tcBorders>
          </w:tcPr>
          <w:p w:rsidR="007D4D25" w:rsidRPr="003A16EF" w:rsidRDefault="007D4D25" w:rsidP="007D4D25">
            <w:pPr>
              <w:pStyle w:val="TableText"/>
              <w:jc w:val="center"/>
              <w:rPr>
                <w:lang w:eastAsia="en-NZ"/>
              </w:rPr>
            </w:pP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872866" w:rsidRDefault="007D4D25" w:rsidP="007D4D25">
            <w:pPr>
              <w:pStyle w:val="TableText"/>
              <w:ind w:left="142"/>
              <w:rPr>
                <w:lang w:eastAsia="en-NZ"/>
              </w:rPr>
            </w:pPr>
            <w:r>
              <w:rPr>
                <w:lang w:eastAsia="en-NZ"/>
              </w:rPr>
              <w:t>Female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458</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406</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88.6</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107</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23.4</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197</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48.5</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249</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54.4</w:t>
            </w:r>
          </w:p>
        </w:tc>
      </w:tr>
      <w:tr w:rsidR="007D4D25" w:rsidRPr="00AD2F2F" w:rsidTr="004D380D">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7D4D25" w:rsidRPr="00872866" w:rsidRDefault="007D4D25" w:rsidP="007D4D25">
            <w:pPr>
              <w:pStyle w:val="TableText"/>
              <w:ind w:left="142"/>
              <w:rPr>
                <w:lang w:eastAsia="en-NZ"/>
              </w:rPr>
            </w:pPr>
            <w:r>
              <w:rPr>
                <w:lang w:eastAsia="en-NZ"/>
              </w:rPr>
              <w:t>Male</w:t>
            </w:r>
          </w:p>
        </w:tc>
        <w:tc>
          <w:tcPr>
            <w:tcW w:w="992"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784</w:t>
            </w:r>
          </w:p>
        </w:tc>
        <w:tc>
          <w:tcPr>
            <w:tcW w:w="61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7D4D25" w:rsidRPr="003A16EF" w:rsidRDefault="007D4D25" w:rsidP="007D4D25">
            <w:pPr>
              <w:pStyle w:val="TableText"/>
              <w:tabs>
                <w:tab w:val="decimal" w:pos="510"/>
              </w:tabs>
              <w:rPr>
                <w:lang w:eastAsia="en-NZ"/>
              </w:rPr>
            </w:pPr>
            <w:r w:rsidRPr="003A16EF">
              <w:rPr>
                <w:lang w:eastAsia="en-NZ"/>
              </w:rPr>
              <w:t>702</w:t>
            </w:r>
          </w:p>
        </w:tc>
        <w:tc>
          <w:tcPr>
            <w:tcW w:w="614"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89.5</w:t>
            </w:r>
          </w:p>
        </w:tc>
        <w:tc>
          <w:tcPr>
            <w:tcW w:w="61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7D4D25" w:rsidRPr="003A16EF" w:rsidRDefault="007D4D25" w:rsidP="007D4D25">
            <w:pPr>
              <w:pStyle w:val="TableText"/>
              <w:tabs>
                <w:tab w:val="decimal" w:pos="442"/>
              </w:tabs>
              <w:rPr>
                <w:lang w:eastAsia="en-NZ"/>
              </w:rPr>
            </w:pPr>
            <w:r w:rsidRPr="003A16EF">
              <w:rPr>
                <w:lang w:eastAsia="en-NZ"/>
              </w:rPr>
              <w:t>175</w:t>
            </w:r>
          </w:p>
        </w:tc>
        <w:tc>
          <w:tcPr>
            <w:tcW w:w="614"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22.3</w:t>
            </w:r>
          </w:p>
        </w:tc>
        <w:tc>
          <w:tcPr>
            <w:tcW w:w="614" w:type="dxa"/>
            <w:tcBorders>
              <w:top w:val="single" w:sz="4" w:space="0" w:color="A6A6A6" w:themeColor="background1" w:themeShade="A6"/>
              <w:left w:val="nil"/>
              <w:bottom w:val="single" w:sz="4" w:space="0" w:color="7F7F7F" w:themeColor="text1" w:themeTint="80"/>
            </w:tcBorders>
            <w:shd w:val="clear" w:color="auto" w:fill="auto"/>
          </w:tcPr>
          <w:p w:rsidR="007D4D25" w:rsidRPr="003A16EF" w:rsidRDefault="007D4D25" w:rsidP="007D4D25">
            <w:pPr>
              <w:pStyle w:val="TableText"/>
              <w:tabs>
                <w:tab w:val="decimal" w:pos="436"/>
              </w:tabs>
              <w:rPr>
                <w:lang w:eastAsia="en-NZ"/>
              </w:rPr>
            </w:pPr>
            <w:r w:rsidRPr="003A16EF">
              <w:rPr>
                <w:lang w:eastAsia="en-NZ"/>
              </w:rPr>
              <w:t>348</w:t>
            </w:r>
          </w:p>
        </w:tc>
        <w:tc>
          <w:tcPr>
            <w:tcW w:w="615"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49.6</w:t>
            </w:r>
          </w:p>
        </w:tc>
        <w:tc>
          <w:tcPr>
            <w:tcW w:w="63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430</w:t>
            </w:r>
          </w:p>
        </w:tc>
        <w:tc>
          <w:tcPr>
            <w:tcW w:w="639" w:type="dxa"/>
            <w:tcBorders>
              <w:top w:val="single" w:sz="4" w:space="0" w:color="A6A6A6" w:themeColor="background1" w:themeShade="A6"/>
              <w:bottom w:val="single" w:sz="4" w:space="0" w:color="7F7F7F" w:themeColor="text1" w:themeTint="80"/>
            </w:tcBorders>
          </w:tcPr>
          <w:p w:rsidR="007D4D25" w:rsidRPr="003A16EF" w:rsidRDefault="007D4D25" w:rsidP="007D4D25">
            <w:pPr>
              <w:pStyle w:val="TableText"/>
              <w:jc w:val="center"/>
              <w:rPr>
                <w:lang w:eastAsia="en-NZ"/>
              </w:rPr>
            </w:pPr>
            <w:r w:rsidRPr="003A16EF">
              <w:rPr>
                <w:lang w:eastAsia="en-NZ"/>
              </w:rPr>
              <w:t>54.8</w:t>
            </w:r>
          </w:p>
        </w:tc>
      </w:tr>
      <w:tr w:rsidR="007D4D25" w:rsidRPr="00AD2F2F" w:rsidTr="004D380D">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D4D25" w:rsidRPr="00E848D2" w:rsidRDefault="007D4D25" w:rsidP="007D4D25">
            <w:pPr>
              <w:pStyle w:val="TableText"/>
              <w:rPr>
                <w:b/>
                <w:lang w:eastAsia="en-NZ"/>
              </w:rPr>
            </w:pPr>
            <w:r w:rsidRPr="00E848D2">
              <w:rPr>
                <w:b/>
                <w:lang w:eastAsia="en-NZ"/>
              </w:rPr>
              <w:t>Ethnic group</w:t>
            </w:r>
          </w:p>
        </w:tc>
        <w:tc>
          <w:tcPr>
            <w:tcW w:w="992"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p>
        </w:tc>
        <w:tc>
          <w:tcPr>
            <w:tcW w:w="61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p>
        </w:tc>
        <w:tc>
          <w:tcPr>
            <w:tcW w:w="61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p>
        </w:tc>
        <w:tc>
          <w:tcPr>
            <w:tcW w:w="61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p>
        </w:tc>
        <w:tc>
          <w:tcPr>
            <w:tcW w:w="61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p>
        </w:tc>
        <w:tc>
          <w:tcPr>
            <w:tcW w:w="614" w:type="dxa"/>
            <w:tcBorders>
              <w:top w:val="single" w:sz="4" w:space="0" w:color="7F7F7F" w:themeColor="text1" w:themeTint="80"/>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p>
        </w:tc>
        <w:tc>
          <w:tcPr>
            <w:tcW w:w="615"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p>
        </w:tc>
        <w:tc>
          <w:tcPr>
            <w:tcW w:w="63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p>
        </w:tc>
        <w:tc>
          <w:tcPr>
            <w:tcW w:w="639" w:type="dxa"/>
            <w:tcBorders>
              <w:top w:val="single" w:sz="4" w:space="0" w:color="7F7F7F" w:themeColor="text1" w:themeTint="80"/>
              <w:bottom w:val="single" w:sz="4" w:space="0" w:color="A6A6A6" w:themeColor="background1" w:themeShade="A6"/>
            </w:tcBorders>
          </w:tcPr>
          <w:p w:rsidR="007D4D25" w:rsidRPr="003A16EF" w:rsidRDefault="007D4D25" w:rsidP="007D4D25">
            <w:pPr>
              <w:pStyle w:val="TableText"/>
              <w:jc w:val="center"/>
              <w:rPr>
                <w:lang w:eastAsia="en-NZ"/>
              </w:rPr>
            </w:pP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872866" w:rsidRDefault="007D4D25" w:rsidP="007D4D25">
            <w:pPr>
              <w:pStyle w:val="TableText"/>
              <w:ind w:left="142"/>
              <w:rPr>
                <w:lang w:eastAsia="en-NZ"/>
              </w:rPr>
            </w:pPr>
            <w:r w:rsidRPr="00872866">
              <w:rPr>
                <w:lang w:eastAsia="en-NZ"/>
              </w:rPr>
              <w:t>M</w:t>
            </w:r>
            <w:r>
              <w:rPr>
                <w:lang w:eastAsia="en-NZ"/>
              </w:rPr>
              <w:t>ā</w:t>
            </w:r>
            <w:r w:rsidRPr="00872866">
              <w:rPr>
                <w:lang w:eastAsia="en-NZ"/>
              </w:rPr>
              <w:t>ori</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77</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70</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90.9</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22</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28.6</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33</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47.1</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40</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51.9</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72866" w:rsidRDefault="007D4D25" w:rsidP="007D4D25">
            <w:pPr>
              <w:pStyle w:val="TableText"/>
              <w:ind w:left="142"/>
              <w:rPr>
                <w:lang w:eastAsia="en-NZ"/>
              </w:rPr>
            </w:pPr>
            <w:r w:rsidRPr="00872866">
              <w:rPr>
                <w:lang w:eastAsia="en-NZ"/>
              </w:rPr>
              <w:t>Pacific peoples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31</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25</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80.6</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4</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12.9</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14</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56</w:t>
            </w:r>
            <w:r>
              <w:rPr>
                <w:lang w:eastAsia="en-NZ"/>
              </w:rPr>
              <w:t>.0</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20</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64.5</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72866" w:rsidRDefault="007D4D25" w:rsidP="007D4D25">
            <w:pPr>
              <w:pStyle w:val="TableText"/>
              <w:ind w:left="142"/>
              <w:rPr>
                <w:lang w:eastAsia="en-NZ"/>
              </w:rPr>
            </w:pPr>
            <w:r w:rsidRPr="00872866">
              <w:rPr>
                <w:lang w:eastAsia="en-NZ"/>
              </w:rPr>
              <w:t>Asian</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63</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60</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95.2</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9</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14.3</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38</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63.3</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41</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65.1</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72866" w:rsidRDefault="007D4D25" w:rsidP="007D4D25">
            <w:pPr>
              <w:pStyle w:val="TableText"/>
              <w:ind w:left="142"/>
              <w:rPr>
                <w:lang w:eastAsia="en-NZ"/>
              </w:rPr>
            </w:pPr>
            <w:r w:rsidRPr="00872866">
              <w:rPr>
                <w:lang w:eastAsia="en-NZ"/>
              </w:rPr>
              <w:t>European/Other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1</w:t>
            </w:r>
            <w:r>
              <w:rPr>
                <w:lang w:eastAsia="en-NZ"/>
              </w:rPr>
              <w:t>,</w:t>
            </w:r>
            <w:r w:rsidRPr="003A16EF">
              <w:rPr>
                <w:lang w:eastAsia="en-NZ"/>
              </w:rPr>
              <w:t>049</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933</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88.9</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241</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23</w:t>
            </w:r>
            <w:r>
              <w:rPr>
                <w:lang w:eastAsia="en-NZ"/>
              </w:rPr>
              <w:t>.0</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448</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48</w:t>
            </w:r>
            <w:r>
              <w:rPr>
                <w:lang w:eastAsia="en-NZ"/>
              </w:rPr>
              <w:t>.0</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564</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53.8</w:t>
            </w:r>
          </w:p>
        </w:tc>
      </w:tr>
      <w:tr w:rsidR="007D4D25" w:rsidRPr="00AD2F2F" w:rsidTr="004D380D">
        <w:trPr>
          <w:cantSplit/>
        </w:trPr>
        <w:tc>
          <w:tcPr>
            <w:tcW w:w="2127"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hideMark/>
          </w:tcPr>
          <w:p w:rsidR="007D4D25" w:rsidRPr="00872866" w:rsidRDefault="007D4D25" w:rsidP="007D4D25">
            <w:pPr>
              <w:pStyle w:val="TableText"/>
              <w:ind w:left="142"/>
              <w:rPr>
                <w:lang w:eastAsia="en-NZ"/>
              </w:rPr>
            </w:pPr>
            <w:r w:rsidRPr="00872866">
              <w:rPr>
                <w:lang w:eastAsia="en-NZ"/>
              </w:rPr>
              <w:t>Unknown</w:t>
            </w:r>
          </w:p>
        </w:tc>
        <w:tc>
          <w:tcPr>
            <w:tcW w:w="992" w:type="dxa"/>
            <w:tcBorders>
              <w:top w:val="single" w:sz="4" w:space="0" w:color="A6A6A6" w:themeColor="background1" w:themeShade="A6"/>
              <w:left w:val="single" w:sz="4" w:space="0" w:color="A6A6A6" w:themeColor="background1" w:themeShade="A6"/>
              <w:bottom w:val="single" w:sz="4" w:space="0" w:color="7F7F7F" w:themeColor="text1" w:themeTint="80"/>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22</w:t>
            </w:r>
          </w:p>
        </w:tc>
        <w:tc>
          <w:tcPr>
            <w:tcW w:w="61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7D4D25" w:rsidRPr="003A16EF" w:rsidRDefault="007D4D25" w:rsidP="007D4D25">
            <w:pPr>
              <w:pStyle w:val="TableText"/>
              <w:tabs>
                <w:tab w:val="decimal" w:pos="510"/>
              </w:tabs>
              <w:rPr>
                <w:lang w:eastAsia="en-NZ"/>
              </w:rPr>
            </w:pPr>
            <w:r w:rsidRPr="003A16EF">
              <w:rPr>
                <w:lang w:eastAsia="en-NZ"/>
              </w:rPr>
              <w:t>20</w:t>
            </w:r>
          </w:p>
        </w:tc>
        <w:tc>
          <w:tcPr>
            <w:tcW w:w="614"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90.9</w:t>
            </w:r>
          </w:p>
        </w:tc>
        <w:tc>
          <w:tcPr>
            <w:tcW w:w="614"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tcPr>
          <w:p w:rsidR="007D4D25" w:rsidRPr="003A16EF" w:rsidRDefault="007D4D25" w:rsidP="007D4D25">
            <w:pPr>
              <w:pStyle w:val="TableText"/>
              <w:tabs>
                <w:tab w:val="decimal" w:pos="442"/>
              </w:tabs>
              <w:rPr>
                <w:lang w:eastAsia="en-NZ"/>
              </w:rPr>
            </w:pPr>
            <w:r w:rsidRPr="003A16EF">
              <w:rPr>
                <w:lang w:eastAsia="en-NZ"/>
              </w:rPr>
              <w:t>6</w:t>
            </w:r>
          </w:p>
        </w:tc>
        <w:tc>
          <w:tcPr>
            <w:tcW w:w="614" w:type="dxa"/>
            <w:tcBorders>
              <w:top w:val="single" w:sz="4" w:space="0" w:color="A6A6A6" w:themeColor="background1" w:themeShade="A6"/>
              <w:bottom w:val="single" w:sz="4" w:space="0" w:color="7F7F7F" w:themeColor="text1" w:themeTint="80"/>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27.3</w:t>
            </w:r>
          </w:p>
        </w:tc>
        <w:tc>
          <w:tcPr>
            <w:tcW w:w="614" w:type="dxa"/>
            <w:tcBorders>
              <w:top w:val="single" w:sz="4" w:space="0" w:color="A6A6A6" w:themeColor="background1" w:themeShade="A6"/>
              <w:left w:val="nil"/>
              <w:bottom w:val="single" w:sz="4" w:space="0" w:color="7F7F7F" w:themeColor="text1" w:themeTint="80"/>
            </w:tcBorders>
            <w:shd w:val="clear" w:color="auto" w:fill="auto"/>
          </w:tcPr>
          <w:p w:rsidR="007D4D25" w:rsidRPr="003A16EF" w:rsidRDefault="007D4D25" w:rsidP="007D4D25">
            <w:pPr>
              <w:pStyle w:val="TableText"/>
              <w:tabs>
                <w:tab w:val="decimal" w:pos="436"/>
              </w:tabs>
              <w:rPr>
                <w:lang w:eastAsia="en-NZ"/>
              </w:rPr>
            </w:pPr>
            <w:r w:rsidRPr="003A16EF">
              <w:rPr>
                <w:lang w:eastAsia="en-NZ"/>
              </w:rPr>
              <w:t>12</w:t>
            </w:r>
          </w:p>
        </w:tc>
        <w:tc>
          <w:tcPr>
            <w:tcW w:w="615" w:type="dxa"/>
            <w:tcBorders>
              <w:top w:val="single" w:sz="4" w:space="0" w:color="A6A6A6" w:themeColor="background1" w:themeShade="A6"/>
              <w:left w:val="nil"/>
              <w:bottom w:val="single" w:sz="4" w:space="0" w:color="7F7F7F" w:themeColor="text1" w:themeTint="80"/>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60</w:t>
            </w:r>
            <w:r>
              <w:rPr>
                <w:lang w:eastAsia="en-NZ"/>
              </w:rPr>
              <w:t>.0</w:t>
            </w:r>
          </w:p>
        </w:tc>
        <w:tc>
          <w:tcPr>
            <w:tcW w:w="638" w:type="dxa"/>
            <w:tcBorders>
              <w:top w:val="single" w:sz="4" w:space="0" w:color="A6A6A6" w:themeColor="background1" w:themeShade="A6"/>
              <w:left w:val="single" w:sz="4" w:space="0" w:color="A6A6A6" w:themeColor="background1" w:themeShade="A6"/>
              <w:bottom w:val="single" w:sz="4" w:space="0" w:color="7F7F7F" w:themeColor="text1" w:themeTint="80"/>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14</w:t>
            </w:r>
          </w:p>
        </w:tc>
        <w:tc>
          <w:tcPr>
            <w:tcW w:w="639" w:type="dxa"/>
            <w:tcBorders>
              <w:top w:val="single" w:sz="4" w:space="0" w:color="A6A6A6" w:themeColor="background1" w:themeShade="A6"/>
              <w:bottom w:val="single" w:sz="4" w:space="0" w:color="7F7F7F" w:themeColor="text1" w:themeTint="80"/>
            </w:tcBorders>
          </w:tcPr>
          <w:p w:rsidR="007D4D25" w:rsidRPr="003A16EF" w:rsidRDefault="007D4D25" w:rsidP="007D4D25">
            <w:pPr>
              <w:pStyle w:val="TableText"/>
              <w:jc w:val="center"/>
              <w:rPr>
                <w:lang w:eastAsia="en-NZ"/>
              </w:rPr>
            </w:pPr>
            <w:r w:rsidRPr="003A16EF">
              <w:rPr>
                <w:lang w:eastAsia="en-NZ"/>
              </w:rPr>
              <w:t>63.6</w:t>
            </w:r>
          </w:p>
        </w:tc>
      </w:tr>
      <w:tr w:rsidR="007D4D25" w:rsidRPr="00AD2F2F" w:rsidTr="004D380D">
        <w:trPr>
          <w:cantSplit/>
        </w:trPr>
        <w:tc>
          <w:tcPr>
            <w:tcW w:w="2127"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D4D25" w:rsidRPr="00E848D2" w:rsidRDefault="007D4D25" w:rsidP="007D4D25">
            <w:pPr>
              <w:pStyle w:val="TableText"/>
              <w:rPr>
                <w:b/>
                <w:lang w:eastAsia="en-NZ"/>
              </w:rPr>
            </w:pPr>
            <w:r w:rsidRPr="00E848D2">
              <w:rPr>
                <w:b/>
                <w:lang w:eastAsia="en-NZ"/>
              </w:rPr>
              <w:t>NZDep2013 quintile</w:t>
            </w:r>
          </w:p>
        </w:tc>
        <w:tc>
          <w:tcPr>
            <w:tcW w:w="992" w:type="dxa"/>
            <w:tcBorders>
              <w:top w:val="single" w:sz="4" w:space="0" w:color="7F7F7F" w:themeColor="text1" w:themeTint="80"/>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p>
        </w:tc>
        <w:tc>
          <w:tcPr>
            <w:tcW w:w="61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p>
        </w:tc>
        <w:tc>
          <w:tcPr>
            <w:tcW w:w="61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p>
        </w:tc>
        <w:tc>
          <w:tcPr>
            <w:tcW w:w="614"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p>
        </w:tc>
        <w:tc>
          <w:tcPr>
            <w:tcW w:w="614" w:type="dxa"/>
            <w:tcBorders>
              <w:top w:val="single" w:sz="4" w:space="0" w:color="7F7F7F" w:themeColor="text1" w:themeTint="80"/>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p>
        </w:tc>
        <w:tc>
          <w:tcPr>
            <w:tcW w:w="614" w:type="dxa"/>
            <w:tcBorders>
              <w:top w:val="single" w:sz="4" w:space="0" w:color="7F7F7F" w:themeColor="text1" w:themeTint="80"/>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p>
        </w:tc>
        <w:tc>
          <w:tcPr>
            <w:tcW w:w="615" w:type="dxa"/>
            <w:tcBorders>
              <w:top w:val="single" w:sz="4" w:space="0" w:color="7F7F7F" w:themeColor="text1" w:themeTint="80"/>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p>
        </w:tc>
        <w:tc>
          <w:tcPr>
            <w:tcW w:w="638" w:type="dxa"/>
            <w:tcBorders>
              <w:top w:val="single" w:sz="4" w:space="0" w:color="7F7F7F" w:themeColor="text1" w:themeTint="80"/>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p>
        </w:tc>
        <w:tc>
          <w:tcPr>
            <w:tcW w:w="639" w:type="dxa"/>
            <w:tcBorders>
              <w:top w:val="single" w:sz="4" w:space="0" w:color="7F7F7F" w:themeColor="text1" w:themeTint="80"/>
              <w:bottom w:val="single" w:sz="4" w:space="0" w:color="A6A6A6" w:themeColor="background1" w:themeShade="A6"/>
            </w:tcBorders>
          </w:tcPr>
          <w:p w:rsidR="007D4D25" w:rsidRPr="003A16EF" w:rsidRDefault="007D4D25" w:rsidP="007D4D25">
            <w:pPr>
              <w:pStyle w:val="TableText"/>
              <w:jc w:val="center"/>
              <w:rPr>
                <w:lang w:eastAsia="en-NZ"/>
              </w:rPr>
            </w:pP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872866" w:rsidRDefault="007D4D25" w:rsidP="007D4D25">
            <w:pPr>
              <w:pStyle w:val="TableText"/>
              <w:ind w:left="142"/>
              <w:rPr>
                <w:lang w:eastAsia="en-NZ"/>
              </w:rPr>
            </w:pPr>
            <w:r w:rsidRPr="00872866">
              <w:rPr>
                <w:lang w:eastAsia="en-NZ"/>
              </w:rPr>
              <w:t>1 (least deprived)</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213</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188</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88.3</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48</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22.5</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91</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48.4</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116</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54.5</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72866" w:rsidRDefault="007D4D25" w:rsidP="007D4D25">
            <w:pPr>
              <w:pStyle w:val="TableText"/>
              <w:ind w:left="142"/>
              <w:rPr>
                <w:lang w:eastAsia="en-NZ"/>
              </w:rPr>
            </w:pPr>
            <w:r w:rsidRPr="00872866">
              <w:rPr>
                <w:lang w:eastAsia="en-NZ"/>
              </w:rPr>
              <w:t>2</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213</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186</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87.3</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48</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22.5</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95</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51.1</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122</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57.3</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72866" w:rsidRDefault="007D4D25" w:rsidP="007D4D25">
            <w:pPr>
              <w:pStyle w:val="TableText"/>
              <w:ind w:left="142"/>
              <w:rPr>
                <w:lang w:eastAsia="en-NZ"/>
              </w:rPr>
            </w:pPr>
            <w:r w:rsidRPr="00872866">
              <w:rPr>
                <w:lang w:eastAsia="en-NZ"/>
              </w:rPr>
              <w:t>3</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267</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237</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88.8</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55</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20.6</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118</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49.8</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148</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55.4</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72866" w:rsidRDefault="007D4D25" w:rsidP="007D4D25">
            <w:pPr>
              <w:pStyle w:val="TableText"/>
              <w:ind w:left="142"/>
              <w:rPr>
                <w:lang w:eastAsia="en-NZ"/>
              </w:rPr>
            </w:pPr>
            <w:r w:rsidRPr="00872866">
              <w:rPr>
                <w:lang w:eastAsia="en-NZ"/>
              </w:rPr>
              <w:t>4</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300</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275</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91.7</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73</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24.3</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139</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50.5</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164</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54.7</w:t>
            </w:r>
          </w:p>
        </w:tc>
      </w:tr>
      <w:tr w:rsidR="007D4D25" w:rsidRPr="00AD2F2F" w:rsidTr="004D380D">
        <w:trPr>
          <w:cantSplit/>
        </w:trPr>
        <w:tc>
          <w:tcPr>
            <w:tcW w:w="2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7D4D25" w:rsidRPr="00872866" w:rsidRDefault="007D4D25" w:rsidP="007D4D25">
            <w:pPr>
              <w:pStyle w:val="TableText"/>
              <w:ind w:left="142"/>
              <w:rPr>
                <w:lang w:eastAsia="en-NZ"/>
              </w:rPr>
            </w:pPr>
            <w:r w:rsidRPr="00872866">
              <w:rPr>
                <w:lang w:eastAsia="en-NZ"/>
              </w:rPr>
              <w:t>5 (most deprived)</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rsidR="007D4D25" w:rsidRPr="003A16EF" w:rsidRDefault="007D4D25" w:rsidP="007D4D25">
            <w:pPr>
              <w:pStyle w:val="TableText"/>
              <w:tabs>
                <w:tab w:val="decimal" w:pos="539"/>
              </w:tabs>
              <w:rPr>
                <w:lang w:eastAsia="en-NZ"/>
              </w:rPr>
            </w:pPr>
            <w:r w:rsidRPr="003A16EF">
              <w:rPr>
                <w:lang w:eastAsia="en-NZ"/>
              </w:rPr>
              <w:t>249</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510"/>
              </w:tabs>
              <w:rPr>
                <w:lang w:eastAsia="en-NZ"/>
              </w:rPr>
            </w:pPr>
            <w:r w:rsidRPr="003A16EF">
              <w:rPr>
                <w:lang w:eastAsia="en-NZ"/>
              </w:rPr>
              <w:t>222</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89.2</w:t>
            </w:r>
          </w:p>
        </w:tc>
        <w:tc>
          <w:tcPr>
            <w:tcW w:w="61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rsidR="007D4D25" w:rsidRPr="003A16EF" w:rsidRDefault="007D4D25" w:rsidP="007D4D25">
            <w:pPr>
              <w:pStyle w:val="TableText"/>
              <w:tabs>
                <w:tab w:val="decimal" w:pos="442"/>
              </w:tabs>
              <w:rPr>
                <w:lang w:eastAsia="en-NZ"/>
              </w:rPr>
            </w:pPr>
            <w:r w:rsidRPr="003A16EF">
              <w:rPr>
                <w:lang w:eastAsia="en-NZ"/>
              </w:rPr>
              <w:t>58</w:t>
            </w:r>
          </w:p>
        </w:tc>
        <w:tc>
          <w:tcPr>
            <w:tcW w:w="6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23.3</w:t>
            </w:r>
          </w:p>
        </w:tc>
        <w:tc>
          <w:tcPr>
            <w:tcW w:w="614" w:type="dxa"/>
            <w:tcBorders>
              <w:top w:val="single" w:sz="4" w:space="0" w:color="A6A6A6" w:themeColor="background1" w:themeShade="A6"/>
              <w:left w:val="nil"/>
              <w:bottom w:val="single" w:sz="4" w:space="0" w:color="A6A6A6" w:themeColor="background1" w:themeShade="A6"/>
            </w:tcBorders>
            <w:shd w:val="clear" w:color="auto" w:fill="auto"/>
          </w:tcPr>
          <w:p w:rsidR="007D4D25" w:rsidRPr="003A16EF" w:rsidRDefault="007D4D25" w:rsidP="007D4D25">
            <w:pPr>
              <w:pStyle w:val="TableText"/>
              <w:tabs>
                <w:tab w:val="decimal" w:pos="436"/>
              </w:tabs>
              <w:rPr>
                <w:lang w:eastAsia="en-NZ"/>
              </w:rPr>
            </w:pPr>
            <w:r w:rsidRPr="003A16EF">
              <w:rPr>
                <w:lang w:eastAsia="en-NZ"/>
              </w:rPr>
              <w:t>102</w:t>
            </w:r>
          </w:p>
        </w:tc>
        <w:tc>
          <w:tcPr>
            <w:tcW w:w="61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rsidR="007D4D25" w:rsidRPr="003A16EF" w:rsidRDefault="007D4D25" w:rsidP="007D4D25">
            <w:pPr>
              <w:pStyle w:val="TableText"/>
              <w:jc w:val="center"/>
              <w:rPr>
                <w:lang w:eastAsia="en-NZ"/>
              </w:rPr>
            </w:pPr>
            <w:r w:rsidRPr="003A16EF">
              <w:rPr>
                <w:lang w:eastAsia="en-NZ"/>
              </w:rPr>
              <w:t>45.9</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tcPr>
          <w:p w:rsidR="007D4D25" w:rsidRPr="003A16EF" w:rsidRDefault="007D4D25" w:rsidP="007D4D25">
            <w:pPr>
              <w:pStyle w:val="TableText"/>
              <w:tabs>
                <w:tab w:val="decimal" w:pos="510"/>
              </w:tabs>
              <w:rPr>
                <w:lang w:eastAsia="en-NZ"/>
              </w:rPr>
            </w:pPr>
            <w:r w:rsidRPr="003A16EF">
              <w:rPr>
                <w:lang w:eastAsia="en-NZ"/>
              </w:rPr>
              <w:t>129</w:t>
            </w:r>
          </w:p>
        </w:tc>
        <w:tc>
          <w:tcPr>
            <w:tcW w:w="639" w:type="dxa"/>
            <w:tcBorders>
              <w:top w:val="single" w:sz="4" w:space="0" w:color="A6A6A6" w:themeColor="background1" w:themeShade="A6"/>
              <w:bottom w:val="single" w:sz="4" w:space="0" w:color="A6A6A6" w:themeColor="background1" w:themeShade="A6"/>
            </w:tcBorders>
          </w:tcPr>
          <w:p w:rsidR="007D4D25" w:rsidRPr="003A16EF" w:rsidRDefault="007D4D25" w:rsidP="007D4D25">
            <w:pPr>
              <w:pStyle w:val="TableText"/>
              <w:jc w:val="center"/>
              <w:rPr>
                <w:lang w:eastAsia="en-NZ"/>
              </w:rPr>
            </w:pPr>
            <w:r w:rsidRPr="003A16EF">
              <w:rPr>
                <w:lang w:eastAsia="en-NZ"/>
              </w:rPr>
              <w:t>51.8</w:t>
            </w:r>
          </w:p>
        </w:tc>
      </w:tr>
    </w:tbl>
    <w:p w:rsidR="00E51135" w:rsidRDefault="00A06E9D" w:rsidP="00A06E9D">
      <w:pPr>
        <w:pStyle w:val="Note"/>
      </w:pPr>
      <w:r>
        <w:rPr>
          <w:rFonts w:ascii="Arial" w:hAnsi="Arial" w:cs="Arial"/>
        </w:rPr>
        <w:t>–</w:t>
      </w:r>
      <w:r w:rsidR="006A5D28" w:rsidRPr="00397252">
        <w:t xml:space="preserve"> Too few cases to report (&lt;10)</w:t>
      </w:r>
      <w:r w:rsidR="004D380D">
        <w:t>.</w:t>
      </w:r>
    </w:p>
    <w:p w:rsidR="006A5D28" w:rsidRDefault="006A5D28" w:rsidP="004D380D">
      <w:pPr>
        <w:rPr>
          <w:lang w:eastAsia="en-NZ"/>
        </w:rPr>
      </w:pPr>
    </w:p>
    <w:p w:rsidR="006A5D28" w:rsidRDefault="006A5D28" w:rsidP="00A06E9D">
      <w:pPr>
        <w:pStyle w:val="Heading1"/>
        <w:numPr>
          <w:ilvl w:val="0"/>
          <w:numId w:val="0"/>
        </w:numPr>
        <w:rPr>
          <w:lang w:eastAsia="en-NZ"/>
        </w:rPr>
      </w:pPr>
      <w:bookmarkStart w:id="178" w:name="_Toc517877"/>
      <w:bookmarkStart w:id="179" w:name="_Toc2253754"/>
      <w:r>
        <w:rPr>
          <w:lang w:eastAsia="en-NZ"/>
        </w:rPr>
        <w:lastRenderedPageBreak/>
        <w:t>Appendix B: Working group members</w:t>
      </w:r>
      <w:bookmarkEnd w:id="178"/>
      <w:bookmarkEnd w:id="179"/>
    </w:p>
    <w:p w:rsidR="006A5D28" w:rsidRPr="00D40BA3" w:rsidRDefault="006A5D28" w:rsidP="00A06E9D">
      <w:r>
        <w:t xml:space="preserve">The </w:t>
      </w:r>
      <w:r w:rsidRPr="00D40BA3">
        <w:t>National Bowel Cancer Working Group members in 2018</w:t>
      </w:r>
      <w:r>
        <w:t xml:space="preserve"> were:</w:t>
      </w:r>
    </w:p>
    <w:p w:rsidR="006A5D28" w:rsidRPr="00D40BA3" w:rsidRDefault="006A5D28" w:rsidP="00A06E9D">
      <w:pPr>
        <w:pStyle w:val="Bullet"/>
        <w:spacing w:before="80"/>
      </w:pPr>
      <w:r w:rsidRPr="00D40BA3">
        <w:t>Professor Ian Bissett</w:t>
      </w:r>
      <w:r>
        <w:t xml:space="preserve"> (chair)</w:t>
      </w:r>
      <w:r w:rsidRPr="00D40BA3">
        <w:t xml:space="preserve">, colorectal surgeon, Auckland </w:t>
      </w:r>
      <w:r>
        <w:t>District Health Board/</w:t>
      </w:r>
      <w:r w:rsidR="00A06E9D">
        <w:t xml:space="preserve"> </w:t>
      </w:r>
      <w:r>
        <w:t>University of Auckland</w:t>
      </w:r>
    </w:p>
    <w:p w:rsidR="006A5D28" w:rsidRPr="00D40BA3" w:rsidRDefault="006A5D28" w:rsidP="00A06E9D">
      <w:pPr>
        <w:pStyle w:val="Bullet"/>
        <w:spacing w:before="80"/>
      </w:pPr>
      <w:r w:rsidRPr="00D40BA3">
        <w:t>Dr Christopher Jackson</w:t>
      </w:r>
      <w:r>
        <w:t xml:space="preserve"> (deputy chair)</w:t>
      </w:r>
      <w:r w:rsidRPr="00D40BA3">
        <w:t xml:space="preserve">, medical oncologist, Southern </w:t>
      </w:r>
      <w:r>
        <w:t>District Health Board</w:t>
      </w:r>
    </w:p>
    <w:p w:rsidR="006A5D28" w:rsidRPr="005E5A14" w:rsidRDefault="006A5D28" w:rsidP="00A06E9D">
      <w:pPr>
        <w:pStyle w:val="Bullet"/>
        <w:spacing w:before="80"/>
      </w:pPr>
      <w:r w:rsidRPr="005E5A14">
        <w:t xml:space="preserve">Mr Adrian Secker, general surgeon, Nelson Marlborough </w:t>
      </w:r>
      <w:r>
        <w:t>District Health Board</w:t>
      </w:r>
    </w:p>
    <w:p w:rsidR="006A5D28" w:rsidRPr="005E5A14" w:rsidRDefault="006A5D28" w:rsidP="00A06E9D">
      <w:pPr>
        <w:pStyle w:val="Bullet"/>
        <w:spacing w:before="80"/>
      </w:pPr>
      <w:r w:rsidRPr="005E5A14">
        <w:t xml:space="preserve">Anne Cleland, gastroenterology nurse, MidCentral </w:t>
      </w:r>
      <w:r>
        <w:t>District Health Board</w:t>
      </w:r>
    </w:p>
    <w:p w:rsidR="006A5D28" w:rsidRPr="00523956" w:rsidRDefault="006A5D28" w:rsidP="00A06E9D">
      <w:pPr>
        <w:pStyle w:val="Bullet"/>
        <w:spacing w:before="80"/>
      </w:pPr>
      <w:r w:rsidRPr="00523956">
        <w:t xml:space="preserve">Mr David Vernon, general surgeon, Lakes </w:t>
      </w:r>
      <w:r>
        <w:t>District Health Board</w:t>
      </w:r>
    </w:p>
    <w:p w:rsidR="006A5D28" w:rsidRPr="00F9493B" w:rsidRDefault="006A5D28" w:rsidP="00A06E9D">
      <w:pPr>
        <w:pStyle w:val="Bullet"/>
        <w:spacing w:before="80"/>
      </w:pPr>
      <w:r w:rsidRPr="00F9493B">
        <w:t>Denise Robbins, consumer representative</w:t>
      </w:r>
    </w:p>
    <w:p w:rsidR="006A5D28" w:rsidRPr="00F9493B" w:rsidRDefault="006A5D28" w:rsidP="00A06E9D">
      <w:pPr>
        <w:pStyle w:val="Bullet"/>
        <w:spacing w:before="80"/>
      </w:pPr>
      <w:r w:rsidRPr="00F9493B">
        <w:t xml:space="preserve">Dr Helen Moore, radiologist, Auckland </w:t>
      </w:r>
      <w:r>
        <w:t>District Health Board</w:t>
      </w:r>
    </w:p>
    <w:p w:rsidR="006A5D28" w:rsidRPr="00F9493B" w:rsidRDefault="006A5D28" w:rsidP="00A06E9D">
      <w:pPr>
        <w:pStyle w:val="Bullet"/>
        <w:spacing w:before="80"/>
      </w:pPr>
      <w:r w:rsidRPr="00F9493B">
        <w:t>Dr Iain Ward, radiation oncologist, Canterbury</w:t>
      </w:r>
      <w:r w:rsidR="00A15D10">
        <w:t xml:space="preserve"> District Health Board</w:t>
      </w:r>
    </w:p>
    <w:p w:rsidR="006A5D28" w:rsidRPr="00F9493B" w:rsidRDefault="006A5D28" w:rsidP="00A06E9D">
      <w:pPr>
        <w:pStyle w:val="Bullet"/>
        <w:spacing w:before="80"/>
      </w:pPr>
      <w:r w:rsidRPr="00F9493B">
        <w:t>Dr Janet Hayward, general practitioner, Nelson</w:t>
      </w:r>
    </w:p>
    <w:p w:rsidR="006A5D28" w:rsidRPr="00F9493B" w:rsidRDefault="006A5D28" w:rsidP="00A06E9D">
      <w:pPr>
        <w:pStyle w:val="Bullet"/>
        <w:spacing w:before="80"/>
      </w:pPr>
      <w:r w:rsidRPr="00F9493B">
        <w:t>Dr Joe Feltham, r</w:t>
      </w:r>
      <w:r w:rsidRPr="00C17153">
        <w:rPr>
          <w:bCs/>
        </w:rPr>
        <w:t xml:space="preserve">adiologist, Capital and Coast </w:t>
      </w:r>
      <w:r>
        <w:t>District Health Board</w:t>
      </w:r>
    </w:p>
    <w:p w:rsidR="006A5D28" w:rsidRPr="00F9493B" w:rsidRDefault="006A5D28" w:rsidP="00A06E9D">
      <w:pPr>
        <w:pStyle w:val="Bullet"/>
        <w:spacing w:before="80"/>
      </w:pPr>
      <w:r w:rsidRPr="00F9493B">
        <w:t>Dr John McMenamin, general practitioner, Whanganui</w:t>
      </w:r>
    </w:p>
    <w:p w:rsidR="006A5D28" w:rsidRPr="00523956" w:rsidRDefault="006A5D28" w:rsidP="00A06E9D">
      <w:pPr>
        <w:pStyle w:val="Bullet"/>
        <w:spacing w:before="80"/>
      </w:pPr>
      <w:r w:rsidRPr="005E5A14">
        <w:t xml:space="preserve">Judith Warren, cancer nurse, Waikato </w:t>
      </w:r>
      <w:r>
        <w:t>District Health Board</w:t>
      </w:r>
    </w:p>
    <w:p w:rsidR="006A5D28" w:rsidRPr="00D40BA3" w:rsidRDefault="006A5D28" w:rsidP="00A06E9D">
      <w:pPr>
        <w:pStyle w:val="Bullet"/>
        <w:spacing w:before="80"/>
      </w:pPr>
      <w:r w:rsidRPr="00F9493B">
        <w:t>Dr Marianne Lill, general</w:t>
      </w:r>
      <w:r w:rsidRPr="00D40BA3">
        <w:t xml:space="preserve"> surgeon, Whanganui </w:t>
      </w:r>
      <w:r>
        <w:t>District Health Board</w:t>
      </w:r>
    </w:p>
    <w:p w:rsidR="006A5D28" w:rsidRDefault="006A5D28" w:rsidP="00A06E9D">
      <w:pPr>
        <w:pStyle w:val="Bullet"/>
        <w:spacing w:before="80"/>
      </w:pPr>
      <w:r>
        <w:t>Dr Nicole Kramer, pathologist, Auckland District Health Board</w:t>
      </w:r>
    </w:p>
    <w:p w:rsidR="006A5D28" w:rsidRPr="00D40BA3" w:rsidRDefault="006A5D28" w:rsidP="00A06E9D">
      <w:pPr>
        <w:pStyle w:val="Bullet"/>
        <w:spacing w:before="80"/>
      </w:pPr>
      <w:r w:rsidRPr="00D40BA3">
        <w:t xml:space="preserve">Dr </w:t>
      </w:r>
      <w:r w:rsidRPr="00C17153">
        <w:rPr>
          <w:bCs/>
        </w:rPr>
        <w:t>Nina Scott</w:t>
      </w:r>
      <w:r w:rsidRPr="00D40BA3">
        <w:t xml:space="preserve"> (Ngāti Whatua), public health physician, Waikato</w:t>
      </w:r>
    </w:p>
    <w:p w:rsidR="006A5D28" w:rsidRPr="00D40BA3" w:rsidRDefault="006A5D28" w:rsidP="00A06E9D">
      <w:pPr>
        <w:pStyle w:val="Bullet"/>
        <w:spacing w:before="80"/>
      </w:pPr>
      <w:r w:rsidRPr="00D40BA3">
        <w:t xml:space="preserve">Mr Ralph Van Dalen, colorectal surgeon, Waikato </w:t>
      </w:r>
      <w:r>
        <w:t>District Health Board</w:t>
      </w:r>
    </w:p>
    <w:p w:rsidR="006A5D28" w:rsidRPr="00D40BA3" w:rsidRDefault="006A5D28" w:rsidP="00A06E9D">
      <w:pPr>
        <w:pStyle w:val="Bullet"/>
        <w:spacing w:before="80"/>
      </w:pPr>
      <w:r w:rsidRPr="00D40BA3">
        <w:t xml:space="preserve">Mr Siraj Rajaratnam, general and colorectal surgeon and endoscopist, Waitemata </w:t>
      </w:r>
      <w:r>
        <w:t>District Health Board</w:t>
      </w:r>
    </w:p>
    <w:p w:rsidR="006A5D28" w:rsidRDefault="006A5D28" w:rsidP="00A06E9D">
      <w:pPr>
        <w:pStyle w:val="Bullet"/>
        <w:spacing w:before="80"/>
      </w:pPr>
      <w:r>
        <w:t>Associate Professor Susan Parry, gastroenterologist, Auckland District Health Board</w:t>
      </w:r>
    </w:p>
    <w:p w:rsidR="006A5D28" w:rsidRDefault="006A5D28" w:rsidP="00A06E9D">
      <w:pPr>
        <w:pStyle w:val="Bullet"/>
        <w:spacing w:before="80"/>
      </w:pPr>
      <w:r>
        <w:t xml:space="preserve">Dr </w:t>
      </w:r>
      <w:r w:rsidRPr="00D40BA3">
        <w:t xml:space="preserve">Teresa Chalmers-Watson, </w:t>
      </w:r>
      <w:r>
        <w:t>g</w:t>
      </w:r>
      <w:r w:rsidRPr="00D40BA3">
        <w:t xml:space="preserve">astroenterologist and </w:t>
      </w:r>
      <w:r>
        <w:t>h</w:t>
      </w:r>
      <w:r w:rsidRPr="00D40BA3">
        <w:t xml:space="preserve">epatologist, Canterbury </w:t>
      </w:r>
      <w:r>
        <w:t>District Health Board.</w:t>
      </w:r>
    </w:p>
    <w:p w:rsidR="006A5D28" w:rsidRDefault="006A5D28" w:rsidP="00A06E9D"/>
    <w:p w:rsidR="006A5D28" w:rsidRDefault="006A5D28" w:rsidP="00A06E9D">
      <w:r>
        <w:t>The bowel cancer indicator development group members were:</w:t>
      </w:r>
    </w:p>
    <w:p w:rsidR="006A5D28" w:rsidRDefault="006A5D28" w:rsidP="00A06E9D">
      <w:pPr>
        <w:pStyle w:val="Bullet"/>
        <w:spacing w:before="80"/>
      </w:pPr>
      <w:r w:rsidRPr="00D40BA3">
        <w:t>Dr Christopher Jackson</w:t>
      </w:r>
      <w:r>
        <w:t xml:space="preserve"> (chair)</w:t>
      </w:r>
      <w:r w:rsidRPr="00D40BA3">
        <w:t xml:space="preserve">, medical oncologist, Southern </w:t>
      </w:r>
      <w:r>
        <w:t>District Health Board</w:t>
      </w:r>
    </w:p>
    <w:p w:rsidR="006A5D28" w:rsidRPr="00D40BA3" w:rsidRDefault="006A5D28" w:rsidP="00A06E9D">
      <w:pPr>
        <w:pStyle w:val="Bullet"/>
        <w:spacing w:before="80"/>
      </w:pPr>
      <w:r w:rsidRPr="00D40BA3">
        <w:t>Professor Ian Bissett</w:t>
      </w:r>
      <w:r>
        <w:t xml:space="preserve"> (deputy chair)</w:t>
      </w:r>
      <w:r w:rsidRPr="00D40BA3">
        <w:t xml:space="preserve">, colorectal surgeon, Auckland </w:t>
      </w:r>
      <w:r>
        <w:t>District Health Board/University of Auckland</w:t>
      </w:r>
    </w:p>
    <w:p w:rsidR="006A5D28" w:rsidRDefault="006A5D28" w:rsidP="00A06E9D">
      <w:pPr>
        <w:pStyle w:val="Bullet"/>
        <w:spacing w:before="80"/>
      </w:pPr>
      <w:r>
        <w:t>Mr Christopher Harmston, general and colorectal surgeon, Northland District Health Board</w:t>
      </w:r>
    </w:p>
    <w:p w:rsidR="006A5D28" w:rsidRDefault="006A5D28" w:rsidP="00A06E9D">
      <w:pPr>
        <w:pStyle w:val="Bullet"/>
        <w:spacing w:before="80"/>
      </w:pPr>
      <w:r>
        <w:t>Dr Sarah Derrett, Bowel Cancer New Zealand</w:t>
      </w:r>
    </w:p>
    <w:p w:rsidR="006A5D28" w:rsidRPr="00F9493B" w:rsidRDefault="006A5D28" w:rsidP="00A06E9D">
      <w:pPr>
        <w:pStyle w:val="Bullet"/>
        <w:spacing w:before="80"/>
      </w:pPr>
      <w:r w:rsidRPr="00F9493B">
        <w:t>Dr Joe Feltham, r</w:t>
      </w:r>
      <w:r w:rsidRPr="00C17153">
        <w:rPr>
          <w:bCs/>
        </w:rPr>
        <w:t xml:space="preserve">adiologist, Capital and Coast </w:t>
      </w:r>
      <w:r>
        <w:t>District Health Board</w:t>
      </w:r>
    </w:p>
    <w:p w:rsidR="006A5D28" w:rsidRDefault="006A5D28" w:rsidP="00A06E9D">
      <w:pPr>
        <w:pStyle w:val="Bullet"/>
        <w:spacing w:before="80"/>
      </w:pPr>
      <w:r>
        <w:t>Dr Nicole Kramer, pathologist, Auckland District Health Board</w:t>
      </w:r>
    </w:p>
    <w:p w:rsidR="006A5D28" w:rsidRDefault="006A5D28" w:rsidP="00A06E9D">
      <w:pPr>
        <w:pStyle w:val="Bullet"/>
        <w:spacing w:before="80"/>
      </w:pPr>
      <w:r w:rsidRPr="00F9493B">
        <w:t>Dr Iain Ward, radiation oncologist, Canterbury</w:t>
      </w:r>
      <w:r w:rsidR="00A15D10">
        <w:t xml:space="preserve"> District Health Board</w:t>
      </w:r>
    </w:p>
    <w:p w:rsidR="006A5D28" w:rsidRPr="00D40BA3" w:rsidRDefault="006A5D28" w:rsidP="00A06E9D">
      <w:pPr>
        <w:pStyle w:val="Bullet"/>
        <w:spacing w:before="80"/>
      </w:pPr>
      <w:r w:rsidRPr="00F9493B">
        <w:t>Dr Janet Hayward, general practitioner, Nelson</w:t>
      </w:r>
      <w:r>
        <w:t>.</w:t>
      </w:r>
    </w:p>
    <w:sectPr w:rsidR="006A5D28" w:rsidRPr="00D40BA3" w:rsidSect="003309CA">
      <w:headerReference w:type="default" r:id="rId31"/>
      <w:footerReference w:type="even" r:id="rId32"/>
      <w:footerReference w:type="default" r:id="rId33"/>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DE" w:rsidRDefault="008F5FDE">
      <w:r>
        <w:separator/>
      </w:r>
    </w:p>
    <w:p w:rsidR="008F5FDE" w:rsidRDefault="008F5FDE"/>
  </w:endnote>
  <w:endnote w:type="continuationSeparator" w:id="0">
    <w:p w:rsidR="008F5FDE" w:rsidRDefault="008F5FDE">
      <w:r>
        <w:continuationSeparator/>
      </w:r>
    </w:p>
    <w:p w:rsidR="008F5FDE" w:rsidRDefault="008F5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DE" w:rsidRPr="00581136" w:rsidRDefault="008F5FDE"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8F5FDE" w:rsidRPr="005A79E5" w:rsidRDefault="008F5FDE">
    <w:pPr>
      <w:pStyle w:val="Foote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F5FDE" w:rsidTr="00D662F8">
      <w:trPr>
        <w:cantSplit/>
      </w:trPr>
      <w:tc>
        <w:tcPr>
          <w:tcW w:w="8080" w:type="dxa"/>
          <w:vAlign w:val="center"/>
        </w:tcPr>
        <w:p w:rsidR="008F5FDE" w:rsidRDefault="008F5FDE" w:rsidP="006A5D28">
          <w:pPr>
            <w:pStyle w:val="RectoFooter"/>
          </w:pPr>
          <w:r>
            <w:t>BOWEL CANCER QUALITY IMPROVEMENT REPORT 2019</w:t>
          </w:r>
        </w:p>
      </w:tc>
      <w:tc>
        <w:tcPr>
          <w:tcW w:w="709" w:type="dxa"/>
          <w:vAlign w:val="center"/>
        </w:tcPr>
        <w:p w:rsidR="008F5FDE" w:rsidRPr="00931466" w:rsidRDefault="008F5FD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76E1A">
            <w:rPr>
              <w:rStyle w:val="PageNumber"/>
              <w:noProof/>
            </w:rPr>
            <w:t>17</w:t>
          </w:r>
          <w:r w:rsidRPr="00931466">
            <w:rPr>
              <w:rStyle w:val="PageNumber"/>
            </w:rPr>
            <w:fldChar w:fldCharType="end"/>
          </w:r>
        </w:p>
      </w:tc>
    </w:tr>
  </w:tbl>
  <w:p w:rsidR="008F5FDE" w:rsidRPr="00581EB8" w:rsidRDefault="008F5FDE" w:rsidP="00581EB8">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DE" w:rsidRDefault="008F5FDE"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DE" w:rsidRDefault="008F5F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8F5FDE" w:rsidTr="00D662F8">
      <w:trPr>
        <w:cantSplit/>
      </w:trPr>
      <w:tc>
        <w:tcPr>
          <w:tcW w:w="709" w:type="dxa"/>
          <w:vAlign w:val="center"/>
        </w:tcPr>
        <w:p w:rsidR="008F5FDE" w:rsidRPr="00931466" w:rsidRDefault="008F5FD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76E1A">
            <w:rPr>
              <w:rStyle w:val="PageNumber"/>
              <w:noProof/>
            </w:rPr>
            <w:t>iv</w:t>
          </w:r>
          <w:r w:rsidRPr="00931466">
            <w:rPr>
              <w:rStyle w:val="PageNumber"/>
            </w:rPr>
            <w:fldChar w:fldCharType="end"/>
          </w:r>
        </w:p>
      </w:tc>
      <w:tc>
        <w:tcPr>
          <w:tcW w:w="8080" w:type="dxa"/>
          <w:vAlign w:val="center"/>
        </w:tcPr>
        <w:p w:rsidR="008F5FDE" w:rsidRDefault="008F5FDE" w:rsidP="006A5D28">
          <w:pPr>
            <w:pStyle w:val="RectoFooter"/>
            <w:jc w:val="left"/>
          </w:pPr>
          <w:r>
            <w:t>BOWEL CANCER QUALITY IMPROVEMENT REPORT 2019</w:t>
          </w:r>
        </w:p>
      </w:tc>
    </w:tr>
  </w:tbl>
  <w:p w:rsidR="008F5FDE" w:rsidRPr="00571223" w:rsidRDefault="008F5FDE"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F5FDE" w:rsidTr="00D662F8">
      <w:trPr>
        <w:cantSplit/>
      </w:trPr>
      <w:tc>
        <w:tcPr>
          <w:tcW w:w="8080" w:type="dxa"/>
          <w:vAlign w:val="center"/>
        </w:tcPr>
        <w:p w:rsidR="008F5FDE" w:rsidRDefault="008F5FDE" w:rsidP="006A5D28">
          <w:pPr>
            <w:pStyle w:val="RectoFooter"/>
          </w:pPr>
          <w:r>
            <w:t>BOWEL CANCER QUALITY IMPROVEMENT REPORT 2019</w:t>
          </w:r>
        </w:p>
      </w:tc>
      <w:tc>
        <w:tcPr>
          <w:tcW w:w="709" w:type="dxa"/>
          <w:vAlign w:val="center"/>
        </w:tcPr>
        <w:p w:rsidR="008F5FDE" w:rsidRPr="00931466" w:rsidRDefault="008F5FD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76E1A">
            <w:rPr>
              <w:rStyle w:val="PageNumber"/>
              <w:noProof/>
            </w:rPr>
            <w:t>v</w:t>
          </w:r>
          <w:r w:rsidRPr="00931466">
            <w:rPr>
              <w:rStyle w:val="PageNumber"/>
            </w:rPr>
            <w:fldChar w:fldCharType="end"/>
          </w:r>
        </w:p>
      </w:tc>
    </w:tr>
  </w:tbl>
  <w:p w:rsidR="008F5FDE" w:rsidRPr="00581EB8" w:rsidRDefault="008F5FDE"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DE" w:rsidRPr="00571223" w:rsidRDefault="008F5FDE"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8F5FDE" w:rsidTr="00D662F8">
      <w:trPr>
        <w:cantSplit/>
      </w:trPr>
      <w:tc>
        <w:tcPr>
          <w:tcW w:w="709" w:type="dxa"/>
          <w:vAlign w:val="center"/>
        </w:tcPr>
        <w:p w:rsidR="008F5FDE" w:rsidRPr="00931466" w:rsidRDefault="008F5FD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2602">
            <w:rPr>
              <w:rStyle w:val="PageNumber"/>
              <w:noProof/>
            </w:rPr>
            <w:t>viii</w:t>
          </w:r>
          <w:r w:rsidRPr="00931466">
            <w:rPr>
              <w:rStyle w:val="PageNumber"/>
            </w:rPr>
            <w:fldChar w:fldCharType="end"/>
          </w:r>
        </w:p>
      </w:tc>
      <w:tc>
        <w:tcPr>
          <w:tcW w:w="8080" w:type="dxa"/>
          <w:vAlign w:val="center"/>
        </w:tcPr>
        <w:p w:rsidR="008F5FDE" w:rsidRDefault="008F5FDE" w:rsidP="006A5D28">
          <w:pPr>
            <w:pStyle w:val="RectoFooter"/>
            <w:jc w:val="left"/>
          </w:pPr>
          <w:r>
            <w:t>BOWEL CANCER QUALITY IMPROVEMENT REPORT 2019</w:t>
          </w:r>
        </w:p>
      </w:tc>
    </w:tr>
  </w:tbl>
  <w:p w:rsidR="008F5FDE" w:rsidRPr="00571223" w:rsidRDefault="008F5FDE" w:rsidP="00571223">
    <w:pPr>
      <w:pStyle w:val="Verso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F5FDE" w:rsidTr="00D662F8">
      <w:trPr>
        <w:cantSplit/>
      </w:trPr>
      <w:tc>
        <w:tcPr>
          <w:tcW w:w="8080" w:type="dxa"/>
          <w:vAlign w:val="center"/>
        </w:tcPr>
        <w:p w:rsidR="008F5FDE" w:rsidRDefault="008F5FDE" w:rsidP="006A5D28">
          <w:pPr>
            <w:pStyle w:val="RectoFooter"/>
          </w:pPr>
          <w:r>
            <w:t>BOWEL CANCER QUALITY IMPROVEMENT REPORT 2019</w:t>
          </w:r>
        </w:p>
      </w:tc>
      <w:tc>
        <w:tcPr>
          <w:tcW w:w="709" w:type="dxa"/>
          <w:vAlign w:val="center"/>
        </w:tcPr>
        <w:p w:rsidR="008F5FDE" w:rsidRPr="00931466" w:rsidRDefault="008F5FD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76E1A">
            <w:rPr>
              <w:rStyle w:val="PageNumber"/>
              <w:noProof/>
            </w:rPr>
            <w:t>vii</w:t>
          </w:r>
          <w:r w:rsidRPr="00931466">
            <w:rPr>
              <w:rStyle w:val="PageNumber"/>
            </w:rPr>
            <w:fldChar w:fldCharType="end"/>
          </w:r>
        </w:p>
      </w:tc>
    </w:tr>
  </w:tbl>
  <w:p w:rsidR="008F5FDE" w:rsidRPr="00581EB8" w:rsidRDefault="008F5FDE" w:rsidP="00581EB8">
    <w:pPr>
      <w:pStyle w:val="Foote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8F5FDE" w:rsidTr="00D662F8">
      <w:trPr>
        <w:cantSplit/>
      </w:trPr>
      <w:tc>
        <w:tcPr>
          <w:tcW w:w="675" w:type="dxa"/>
          <w:vAlign w:val="center"/>
        </w:tcPr>
        <w:p w:rsidR="008F5FDE" w:rsidRPr="00931466" w:rsidRDefault="008F5FD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76E1A">
            <w:rPr>
              <w:rStyle w:val="PageNumber"/>
              <w:noProof/>
            </w:rPr>
            <w:t>18</w:t>
          </w:r>
          <w:r w:rsidRPr="00931466">
            <w:rPr>
              <w:rStyle w:val="PageNumber"/>
            </w:rPr>
            <w:fldChar w:fldCharType="end"/>
          </w:r>
        </w:p>
      </w:tc>
      <w:tc>
        <w:tcPr>
          <w:tcW w:w="9072" w:type="dxa"/>
          <w:vAlign w:val="center"/>
        </w:tcPr>
        <w:p w:rsidR="008F5FDE" w:rsidRDefault="008F5FDE" w:rsidP="006A5D28">
          <w:pPr>
            <w:pStyle w:val="RectoFooter"/>
            <w:jc w:val="left"/>
          </w:pPr>
          <w:r>
            <w:t>BOWEL CANCER QUALITY IMPROVEMENT REPORT 2019</w:t>
          </w:r>
        </w:p>
      </w:tc>
    </w:tr>
  </w:tbl>
  <w:p w:rsidR="008F5FDE" w:rsidRPr="00571223" w:rsidRDefault="008F5FDE" w:rsidP="00571223">
    <w:pPr>
      <w:pStyle w:val="Verso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DE" w:rsidRPr="00A26E6B" w:rsidRDefault="008F5FDE" w:rsidP="00A26E6B"/>
  </w:footnote>
  <w:footnote w:type="continuationSeparator" w:id="0">
    <w:p w:rsidR="008F5FDE" w:rsidRDefault="008F5FDE">
      <w:r>
        <w:continuationSeparator/>
      </w:r>
    </w:p>
    <w:p w:rsidR="008F5FDE" w:rsidRDefault="008F5FDE"/>
  </w:footnote>
  <w:footnote w:id="1">
    <w:p w:rsidR="008F5FDE" w:rsidRDefault="008F5FDE" w:rsidP="006A5D28">
      <w:pPr>
        <w:pStyle w:val="FootnoteText"/>
      </w:pPr>
      <w:r w:rsidRPr="004347ED">
        <w:rPr>
          <w:rStyle w:val="FootnoteReference"/>
        </w:rPr>
        <w:footnoteRef/>
      </w:r>
      <w:r>
        <w:tab/>
      </w:r>
      <w:r w:rsidRPr="009D2ACC">
        <w:t xml:space="preserve">Pathological M-stage is reported as not available where the M value is submitted as </w:t>
      </w:r>
      <w:r>
        <w:t>‘</w:t>
      </w:r>
      <w:r w:rsidRPr="009D2ACC">
        <w:t>not assessed</w:t>
      </w:r>
      <w:r>
        <w:t>’</w:t>
      </w:r>
      <w:r w:rsidRPr="009D2ACC">
        <w:t xml:space="preserve"> (Mx) or </w:t>
      </w:r>
      <w:r>
        <w:t>‘</w:t>
      </w:r>
      <w:r w:rsidRPr="009D2ACC">
        <w:t>not recorded</w:t>
      </w:r>
      <w:r>
        <w:t>’</w:t>
      </w:r>
      <w:r w:rsidRPr="009D2ACC">
        <w:t xml:space="preserve"> (M9).</w:t>
      </w:r>
    </w:p>
  </w:footnote>
  <w:footnote w:id="2">
    <w:p w:rsidR="008F5FDE" w:rsidRDefault="008F5FDE" w:rsidP="004347ED">
      <w:pPr>
        <w:pStyle w:val="FootnoteText"/>
      </w:pPr>
      <w:r w:rsidRPr="004347ED">
        <w:rPr>
          <w:rStyle w:val="FootnoteReference"/>
        </w:rPr>
        <w:footnoteRef/>
      </w:r>
      <w:r>
        <w:tab/>
        <w:t>An ileostomy is a surgical procedure that creates an opening for a stoma by bringing the end or loop of small intestine out onto the surface of the skin.</w:t>
      </w:r>
    </w:p>
  </w:footnote>
  <w:footnote w:id="3">
    <w:p w:rsidR="008F5FDE" w:rsidRDefault="008F5FDE" w:rsidP="004347ED">
      <w:pPr>
        <w:pStyle w:val="FootnoteText"/>
      </w:pPr>
      <w:r w:rsidRPr="004347ED">
        <w:rPr>
          <w:rStyle w:val="FootnoteReference"/>
        </w:rPr>
        <w:footnoteRef/>
      </w:r>
      <w:r>
        <w:tab/>
        <w:t>A colostomy is the surgical procedure that creates an opening in the large intestine.</w:t>
      </w:r>
    </w:p>
  </w:footnote>
  <w:footnote w:id="4">
    <w:p w:rsidR="008F5FDE" w:rsidRDefault="008F5FDE" w:rsidP="004347ED">
      <w:pPr>
        <w:pStyle w:val="FootnoteText"/>
      </w:pPr>
      <w:r w:rsidRPr="004347ED">
        <w:rPr>
          <w:rStyle w:val="FootnoteReference"/>
        </w:rPr>
        <w:footnoteRef/>
      </w:r>
      <w:r>
        <w:tab/>
      </w:r>
      <w:r w:rsidRPr="007E49D6">
        <w:rPr>
          <w:rFonts w:cs="Arial"/>
          <w:color w:val="000000"/>
        </w:rPr>
        <w:t>Common Counting Technical Advisory Group and Ministry of Health</w:t>
      </w:r>
      <w:r w:rsidRPr="007E49D6">
        <w:t xml:space="preserve">. 2017. </w:t>
      </w:r>
      <w:r w:rsidRPr="007E49D6">
        <w:rPr>
          <w:i/>
        </w:rPr>
        <w:t>Common Counting Standards 2013/14</w:t>
      </w:r>
      <w:r w:rsidRPr="007E49D6">
        <w:t>. Wellington: Ministry of Health. URL:</w:t>
      </w:r>
      <w:r>
        <w:t xml:space="preserve"> </w:t>
      </w:r>
      <w:hyperlink r:id="rId1" w:history="1">
        <w:r w:rsidRPr="004347ED">
          <w:rPr>
            <w:rStyle w:val="Hyperlink"/>
          </w:rPr>
          <w:t>https://nsfl.health.govt.nz/system/files/documents/publications/commoncountingstandards2013-14final_0_0.docx</w:t>
        </w:r>
      </w:hyperlink>
      <w:r>
        <w:rPr>
          <w:rStyle w:val="Hyperlink"/>
          <w:sz w:val="18"/>
          <w:szCs w:val="18"/>
        </w:rPr>
        <w:t xml:space="preserve"> </w:t>
      </w:r>
      <w:r w:rsidRPr="007E49D6">
        <w:rPr>
          <w:rFonts w:cs="Arial"/>
          <w:color w:val="000000"/>
        </w:rPr>
        <w:t>(accessed 18 December 2018).</w:t>
      </w:r>
    </w:p>
  </w:footnote>
  <w:footnote w:id="5">
    <w:p w:rsidR="008F5FDE" w:rsidRDefault="008F5FDE" w:rsidP="004347ED">
      <w:pPr>
        <w:pStyle w:val="FootnoteText"/>
      </w:pPr>
      <w:r w:rsidRPr="004347ED">
        <w:rPr>
          <w:rStyle w:val="FootnoteReference"/>
        </w:rPr>
        <w:footnoteRef/>
      </w:r>
      <w:r>
        <w:tab/>
      </w:r>
      <w:r w:rsidRPr="00361CFA">
        <w:t>Atkinson J., Salmond C. and Crampton P. 2014. NZDep2013 Index of Deprivation. Dunedin: University of Otago</w:t>
      </w:r>
      <w:r>
        <w:t>.</w:t>
      </w:r>
    </w:p>
  </w:footnote>
  <w:footnote w:id="6">
    <w:p w:rsidR="002B5148" w:rsidRDefault="008F5FDE" w:rsidP="00B22602">
      <w:pPr>
        <w:spacing w:before="60" w:line="228" w:lineRule="auto"/>
        <w:ind w:left="284" w:hanging="284"/>
      </w:pPr>
      <w:r>
        <w:rPr>
          <w:rStyle w:val="FootnoteReference"/>
        </w:rPr>
        <w:footnoteRef/>
      </w:r>
      <w:bookmarkStart w:id="60" w:name="_ENREF_1"/>
      <w:r w:rsidR="006E5240">
        <w:rPr>
          <w:rFonts w:cs="Segoe UI"/>
          <w:noProof/>
          <w:sz w:val="17"/>
          <w:szCs w:val="17"/>
        </w:rPr>
        <w:t xml:space="preserve"> </w:t>
      </w:r>
      <w:r w:rsidR="006E5240">
        <w:rPr>
          <w:rFonts w:cs="Segoe UI"/>
          <w:noProof/>
          <w:sz w:val="17"/>
          <w:szCs w:val="17"/>
        </w:rPr>
        <w:tab/>
      </w:r>
      <w:r w:rsidR="002B5148" w:rsidRPr="00B22602">
        <w:rPr>
          <w:rFonts w:cs="Segoe UI"/>
          <w:noProof/>
          <w:sz w:val="17"/>
          <w:szCs w:val="17"/>
        </w:rPr>
        <w:t xml:space="preserve">Jackson C, Sharples K, Firth M, et al. 2015. </w:t>
      </w:r>
      <w:r w:rsidR="002B5148" w:rsidRPr="00B22602">
        <w:rPr>
          <w:rFonts w:cs="Segoe UI"/>
          <w:i/>
          <w:noProof/>
          <w:sz w:val="17"/>
          <w:szCs w:val="17"/>
        </w:rPr>
        <w:t>The PIPER Project - An Internal Examination of Colorectal Cancer Management in New Zealand</w:t>
      </w:r>
      <w:r w:rsidR="002B5148" w:rsidRPr="00B22602">
        <w:rPr>
          <w:rFonts w:cs="Segoe UI"/>
          <w:noProof/>
          <w:sz w:val="17"/>
          <w:szCs w:val="17"/>
        </w:rPr>
        <w:t>. URL: https://</w:t>
      </w:r>
      <w:hyperlink r:id="rId2" w:history="1">
        <w:r w:rsidR="002B5148" w:rsidRPr="00B22602">
          <w:rPr>
            <w:rStyle w:val="Hyperlink"/>
            <w:rFonts w:cs="Segoe UI"/>
            <w:noProof/>
            <w:sz w:val="17"/>
            <w:szCs w:val="17"/>
          </w:rPr>
          <w:t>www.fmhs.auckland.ac.nz/assets/fmhs/sms/ctnz/docs/THE%20PIPER%20PROJECT%20Final%20deliverable%20report%207%20August%202015%20(HRC%2011_764%20FINDLAY).pdf</w:t>
        </w:r>
      </w:hyperlink>
      <w:r w:rsidR="002B5148" w:rsidRPr="00B22602">
        <w:rPr>
          <w:rFonts w:cs="Segoe UI"/>
          <w:noProof/>
          <w:sz w:val="17"/>
          <w:szCs w:val="17"/>
        </w:rPr>
        <w:t xml:space="preserve"> (accessed 18 February 2019).</w:t>
      </w:r>
      <w:bookmarkEnd w:id="60"/>
    </w:p>
  </w:footnote>
  <w:footnote w:id="7">
    <w:p w:rsidR="008F5FDE" w:rsidRDefault="008F5FDE">
      <w:pPr>
        <w:pStyle w:val="FootnoteText"/>
      </w:pPr>
      <w:r>
        <w:rPr>
          <w:rStyle w:val="FootnoteReference"/>
        </w:rPr>
        <w:footnoteRef/>
      </w:r>
      <w:r>
        <w:t xml:space="preserve"> </w:t>
      </w:r>
      <w:r w:rsidR="006E5240">
        <w:tab/>
      </w:r>
      <w:r w:rsidRPr="00B22602">
        <w:rPr>
          <w:rFonts w:cs="Segoe UI"/>
          <w:noProof/>
          <w:szCs w:val="17"/>
        </w:rPr>
        <w:t xml:space="preserve">HQIP. 2016. </w:t>
      </w:r>
      <w:r w:rsidRPr="00B22602">
        <w:rPr>
          <w:rFonts w:cs="Segoe UI"/>
          <w:i/>
          <w:noProof/>
          <w:szCs w:val="17"/>
        </w:rPr>
        <w:t xml:space="preserve">National Bowel Cancer Audit Annual Report </w:t>
      </w:r>
      <w:r w:rsidRPr="00B22602">
        <w:rPr>
          <w:rFonts w:cs="Segoe UI"/>
          <w:noProof/>
          <w:szCs w:val="17"/>
        </w:rPr>
        <w:t>URL: https://</w:t>
      </w:r>
      <w:hyperlink r:id="rId3" w:history="1">
        <w:r w:rsidRPr="00B22602">
          <w:rPr>
            <w:rStyle w:val="Hyperlink"/>
            <w:rFonts w:cs="Segoe UI"/>
            <w:noProof/>
            <w:szCs w:val="17"/>
          </w:rPr>
          <w:t>www.acpgbi.org.uk/content/uploads/2016/07/nati-clin-audi-bowe-canc-2016-rep-v2.pdf</w:t>
        </w:r>
      </w:hyperlink>
      <w:r w:rsidRPr="00B22602">
        <w:rPr>
          <w:rFonts w:cs="Segoe UI"/>
          <w:noProof/>
          <w:szCs w:val="17"/>
        </w:rPr>
        <w:t xml:space="preserve"> (accessed 18 February 2019)</w:t>
      </w:r>
    </w:p>
  </w:footnote>
  <w:footnote w:id="8">
    <w:p w:rsidR="008F5FDE" w:rsidRPr="00A06E9D" w:rsidRDefault="008F5FDE" w:rsidP="00A06E9D">
      <w:pPr>
        <w:pStyle w:val="FootnoteText"/>
      </w:pPr>
      <w:r w:rsidRPr="00A06E9D">
        <w:rPr>
          <w:rStyle w:val="FootnoteReference"/>
        </w:rPr>
        <w:footnoteRef/>
      </w:r>
      <w:r>
        <w:tab/>
      </w:r>
      <w:r w:rsidRPr="0046014D">
        <w:t>New Zealand Guidelines Group</w:t>
      </w:r>
      <w:r>
        <w:t>. 2011</w:t>
      </w:r>
      <w:r w:rsidRPr="0046014D">
        <w:t>. Clinical practice guidelines for the management</w:t>
      </w:r>
      <w:r>
        <w:t xml:space="preserve"> </w:t>
      </w:r>
      <w:r w:rsidRPr="0046014D">
        <w:t>of early colorectal cancer. Wellington</w:t>
      </w:r>
      <w:r>
        <w:t xml:space="preserve">: New Zealand Guidelines Group. URL: </w:t>
      </w:r>
      <w:hyperlink r:id="rId4" w:history="1">
        <w:r w:rsidRPr="00A06E9D">
          <w:rPr>
            <w:rStyle w:val="Hyperlink"/>
          </w:rPr>
          <w:t>https://www.health.govt.nz/system/files/documents/publications/early-management-colorectal-cancer-guideline.pdf</w:t>
        </w:r>
      </w:hyperlink>
      <w:r w:rsidRPr="00A06E9D">
        <w:t xml:space="preserve"> (accessed 18 December 2018)</w:t>
      </w:r>
      <w:r>
        <w:t>.</w:t>
      </w:r>
    </w:p>
  </w:footnote>
  <w:footnote w:id="9">
    <w:p w:rsidR="008F5FDE" w:rsidRDefault="008F5FDE" w:rsidP="00A06E9D">
      <w:pPr>
        <w:pStyle w:val="FootnoteText"/>
      </w:pPr>
      <w:r w:rsidRPr="00A06E9D">
        <w:rPr>
          <w:rStyle w:val="FootnoteReference"/>
        </w:rPr>
        <w:footnoteRef/>
      </w:r>
      <w:r>
        <w:tab/>
      </w:r>
      <w:r w:rsidRPr="00272F51">
        <w:t>The edge or border of the tissue removed in cancer surgery. The margin is described as positive or involved when the pathologist finds cancer cells at the edge of the tissue, suggesting that all of the cancer has not been removed.</w:t>
      </w:r>
    </w:p>
  </w:footnote>
  <w:footnote w:id="10">
    <w:p w:rsidR="008F5FDE" w:rsidRDefault="008F5FDE" w:rsidP="00A06E9D">
      <w:pPr>
        <w:pStyle w:val="FootnoteText"/>
      </w:pPr>
      <w:r w:rsidRPr="00A06E9D">
        <w:rPr>
          <w:rStyle w:val="FootnoteReference"/>
        </w:rPr>
        <w:footnoteRef/>
      </w:r>
      <w:r>
        <w:tab/>
      </w:r>
      <w:r w:rsidRPr="00017E93">
        <w:t xml:space="preserve">NICE. </w:t>
      </w:r>
      <w:r>
        <w:t xml:space="preserve">2011. </w:t>
      </w:r>
      <w:r w:rsidRPr="00017E93">
        <w:t>Colorectal cancer: diagnosis and management. National Institute for Health and Care Excellence; November.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8F5FDE" w:rsidTr="005A79E5">
      <w:trPr>
        <w:cantSplit/>
      </w:trPr>
      <w:tc>
        <w:tcPr>
          <w:tcW w:w="5210" w:type="dxa"/>
        </w:tcPr>
        <w:p w:rsidR="008F5FDE" w:rsidRDefault="008F5FDE" w:rsidP="009C7D50">
          <w:pPr>
            <w:pStyle w:val="Header"/>
          </w:pPr>
          <w:r>
            <w:rPr>
              <w:noProof/>
              <w:lang w:eastAsia="en-NZ"/>
            </w:rPr>
            <w:drawing>
              <wp:inline distT="0" distB="0" distL="0" distR="0" wp14:anchorId="5E81A7DC" wp14:editId="2F1188E7">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8F5FDE" w:rsidRDefault="008F5FDE" w:rsidP="009C7D50">
          <w:pPr>
            <w:pStyle w:val="Header"/>
            <w:jc w:val="right"/>
          </w:pPr>
          <w:r>
            <w:rPr>
              <w:noProof/>
              <w:lang w:eastAsia="en-NZ"/>
            </w:rPr>
            <w:drawing>
              <wp:inline distT="0" distB="0" distL="0" distR="0" wp14:anchorId="4EBDC18F" wp14:editId="60B77B44">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8F5FDE" w:rsidRDefault="008F5F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DE" w:rsidRDefault="008F5FDE"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DE" w:rsidRDefault="008F5FDE"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DE" w:rsidRDefault="008F5F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5" w15:restartNumberingAfterBreak="0">
    <w:nsid w:val="7DC117A6"/>
    <w:multiLevelType w:val="multilevel"/>
    <w:tmpl w:val="8C46FF6A"/>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lowerLetter"/>
      <w:pStyle w:val="Heading3"/>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3"/>
  </w:num>
  <w:num w:numId="4">
    <w:abstractNumId w:val="0"/>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25A6F"/>
    <w:rsid w:val="0002618D"/>
    <w:rsid w:val="00030930"/>
    <w:rsid w:val="00030B26"/>
    <w:rsid w:val="00030E84"/>
    <w:rsid w:val="00032C0A"/>
    <w:rsid w:val="00035257"/>
    <w:rsid w:val="00035D68"/>
    <w:rsid w:val="00053778"/>
    <w:rsid w:val="00054B44"/>
    <w:rsid w:val="0006228D"/>
    <w:rsid w:val="00072BD6"/>
    <w:rsid w:val="00075B78"/>
    <w:rsid w:val="000763E9"/>
    <w:rsid w:val="00076E1A"/>
    <w:rsid w:val="00082CD6"/>
    <w:rsid w:val="0008437D"/>
    <w:rsid w:val="00085AFE"/>
    <w:rsid w:val="00094800"/>
    <w:rsid w:val="000A3FDA"/>
    <w:rsid w:val="000A41ED"/>
    <w:rsid w:val="000B0730"/>
    <w:rsid w:val="000B1FD9"/>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468A"/>
    <w:rsid w:val="0018662D"/>
    <w:rsid w:val="00192356"/>
    <w:rsid w:val="00197427"/>
    <w:rsid w:val="001A21B4"/>
    <w:rsid w:val="001A5CF5"/>
    <w:rsid w:val="001B39D2"/>
    <w:rsid w:val="001B4BF8"/>
    <w:rsid w:val="001C4326"/>
    <w:rsid w:val="001C665E"/>
    <w:rsid w:val="001D3541"/>
    <w:rsid w:val="001D3E4E"/>
    <w:rsid w:val="001E254A"/>
    <w:rsid w:val="001E7386"/>
    <w:rsid w:val="001F45A7"/>
    <w:rsid w:val="00201A01"/>
    <w:rsid w:val="00203F09"/>
    <w:rsid w:val="0020754B"/>
    <w:rsid w:val="002104D3"/>
    <w:rsid w:val="00213A33"/>
    <w:rsid w:val="0021763B"/>
    <w:rsid w:val="00230CA2"/>
    <w:rsid w:val="002357E2"/>
    <w:rsid w:val="00246DB1"/>
    <w:rsid w:val="002476B5"/>
    <w:rsid w:val="002520CC"/>
    <w:rsid w:val="00253ECF"/>
    <w:rsid w:val="002546A1"/>
    <w:rsid w:val="002628F4"/>
    <w:rsid w:val="00272613"/>
    <w:rsid w:val="00275D08"/>
    <w:rsid w:val="002858E3"/>
    <w:rsid w:val="0029190A"/>
    <w:rsid w:val="00292C5A"/>
    <w:rsid w:val="00295241"/>
    <w:rsid w:val="002A4DFC"/>
    <w:rsid w:val="002B047D"/>
    <w:rsid w:val="002B5148"/>
    <w:rsid w:val="002B732B"/>
    <w:rsid w:val="002B76A7"/>
    <w:rsid w:val="002C2219"/>
    <w:rsid w:val="002C2552"/>
    <w:rsid w:val="002D0DF2"/>
    <w:rsid w:val="002D23BD"/>
    <w:rsid w:val="002E0B47"/>
    <w:rsid w:val="002F4685"/>
    <w:rsid w:val="002F6687"/>
    <w:rsid w:val="002F7213"/>
    <w:rsid w:val="0030382F"/>
    <w:rsid w:val="0030408D"/>
    <w:rsid w:val="003060E4"/>
    <w:rsid w:val="003160E7"/>
    <w:rsid w:val="0031739E"/>
    <w:rsid w:val="003309CA"/>
    <w:rsid w:val="003325AB"/>
    <w:rsid w:val="003332D1"/>
    <w:rsid w:val="0033412B"/>
    <w:rsid w:val="00340704"/>
    <w:rsid w:val="00341161"/>
    <w:rsid w:val="00343365"/>
    <w:rsid w:val="003445F4"/>
    <w:rsid w:val="00353501"/>
    <w:rsid w:val="00353734"/>
    <w:rsid w:val="003606F8"/>
    <w:rsid w:val="003648EF"/>
    <w:rsid w:val="003673E6"/>
    <w:rsid w:val="00377264"/>
    <w:rsid w:val="003779D2"/>
    <w:rsid w:val="00385E38"/>
    <w:rsid w:val="00393BEE"/>
    <w:rsid w:val="003A26A5"/>
    <w:rsid w:val="003A3761"/>
    <w:rsid w:val="003A512D"/>
    <w:rsid w:val="003A5FEA"/>
    <w:rsid w:val="003B1D10"/>
    <w:rsid w:val="003C76D4"/>
    <w:rsid w:val="003D137D"/>
    <w:rsid w:val="003D2CC5"/>
    <w:rsid w:val="003E04C1"/>
    <w:rsid w:val="003E0887"/>
    <w:rsid w:val="003E439B"/>
    <w:rsid w:val="003E74C8"/>
    <w:rsid w:val="003E7C46"/>
    <w:rsid w:val="003F2106"/>
    <w:rsid w:val="003F52A7"/>
    <w:rsid w:val="003F7013"/>
    <w:rsid w:val="0040240C"/>
    <w:rsid w:val="00413021"/>
    <w:rsid w:val="004153B3"/>
    <w:rsid w:val="004301C6"/>
    <w:rsid w:val="0043478F"/>
    <w:rsid w:val="004347ED"/>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2E6A"/>
    <w:rsid w:val="004D380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3B99"/>
    <w:rsid w:val="00554BD0"/>
    <w:rsid w:val="00556BB7"/>
    <w:rsid w:val="0055763D"/>
    <w:rsid w:val="00561516"/>
    <w:rsid w:val="005621F2"/>
    <w:rsid w:val="00567B58"/>
    <w:rsid w:val="00571223"/>
    <w:rsid w:val="005763E0"/>
    <w:rsid w:val="00581136"/>
    <w:rsid w:val="00581EB8"/>
    <w:rsid w:val="005A27CA"/>
    <w:rsid w:val="005A43BD"/>
    <w:rsid w:val="005A79E5"/>
    <w:rsid w:val="005D034C"/>
    <w:rsid w:val="005E226E"/>
    <w:rsid w:val="005E2636"/>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A5D28"/>
    <w:rsid w:val="006B0E73"/>
    <w:rsid w:val="006B1E3D"/>
    <w:rsid w:val="006B4A4D"/>
    <w:rsid w:val="006B5695"/>
    <w:rsid w:val="006B7B2E"/>
    <w:rsid w:val="006C78EB"/>
    <w:rsid w:val="006D1660"/>
    <w:rsid w:val="006D63E5"/>
    <w:rsid w:val="006E1753"/>
    <w:rsid w:val="006E3911"/>
    <w:rsid w:val="006E5240"/>
    <w:rsid w:val="006F1B67"/>
    <w:rsid w:val="006F4D9C"/>
    <w:rsid w:val="0070091D"/>
    <w:rsid w:val="00702854"/>
    <w:rsid w:val="0071741C"/>
    <w:rsid w:val="00721758"/>
    <w:rsid w:val="00742B90"/>
    <w:rsid w:val="0074434D"/>
    <w:rsid w:val="007570C4"/>
    <w:rsid w:val="007605B8"/>
    <w:rsid w:val="00771B1E"/>
    <w:rsid w:val="00773C95"/>
    <w:rsid w:val="00776634"/>
    <w:rsid w:val="00777773"/>
    <w:rsid w:val="0078171E"/>
    <w:rsid w:val="00784621"/>
    <w:rsid w:val="007860DC"/>
    <w:rsid w:val="0078658E"/>
    <w:rsid w:val="007920E2"/>
    <w:rsid w:val="0079566E"/>
    <w:rsid w:val="00795B34"/>
    <w:rsid w:val="007A067F"/>
    <w:rsid w:val="007A7532"/>
    <w:rsid w:val="007B1770"/>
    <w:rsid w:val="007B4628"/>
    <w:rsid w:val="007B4D3E"/>
    <w:rsid w:val="007B7C70"/>
    <w:rsid w:val="007B7DEB"/>
    <w:rsid w:val="007D2151"/>
    <w:rsid w:val="007D3B90"/>
    <w:rsid w:val="007D42CC"/>
    <w:rsid w:val="007D4D25"/>
    <w:rsid w:val="007D5DE4"/>
    <w:rsid w:val="007D7C3A"/>
    <w:rsid w:val="007E0777"/>
    <w:rsid w:val="007E1341"/>
    <w:rsid w:val="007E1B41"/>
    <w:rsid w:val="007E1EC4"/>
    <w:rsid w:val="007E30B9"/>
    <w:rsid w:val="007E74F1"/>
    <w:rsid w:val="007F0F0C"/>
    <w:rsid w:val="007F1288"/>
    <w:rsid w:val="00800A8A"/>
    <w:rsid w:val="0080155C"/>
    <w:rsid w:val="008052E1"/>
    <w:rsid w:val="008229F6"/>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2973"/>
    <w:rsid w:val="008C6324"/>
    <w:rsid w:val="008C64C4"/>
    <w:rsid w:val="008D74D5"/>
    <w:rsid w:val="008E0ED1"/>
    <w:rsid w:val="008E3A07"/>
    <w:rsid w:val="008E537B"/>
    <w:rsid w:val="008F116D"/>
    <w:rsid w:val="008F29BE"/>
    <w:rsid w:val="008F4AE5"/>
    <w:rsid w:val="008F51EB"/>
    <w:rsid w:val="008F5FDE"/>
    <w:rsid w:val="00900197"/>
    <w:rsid w:val="009024C5"/>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45037"/>
    <w:rsid w:val="0095565C"/>
    <w:rsid w:val="00964AB6"/>
    <w:rsid w:val="009653C3"/>
    <w:rsid w:val="00966F9A"/>
    <w:rsid w:val="009715DE"/>
    <w:rsid w:val="00977B8A"/>
    <w:rsid w:val="00982971"/>
    <w:rsid w:val="009845AD"/>
    <w:rsid w:val="00984835"/>
    <w:rsid w:val="009933EF"/>
    <w:rsid w:val="00995BA0"/>
    <w:rsid w:val="009A418B"/>
    <w:rsid w:val="009A426F"/>
    <w:rsid w:val="009A42D5"/>
    <w:rsid w:val="009A4473"/>
    <w:rsid w:val="009B05C9"/>
    <w:rsid w:val="009B286C"/>
    <w:rsid w:val="009C151C"/>
    <w:rsid w:val="009C391C"/>
    <w:rsid w:val="009C440A"/>
    <w:rsid w:val="009C7D50"/>
    <w:rsid w:val="009D5125"/>
    <w:rsid w:val="009D60B8"/>
    <w:rsid w:val="009D7D4B"/>
    <w:rsid w:val="009E36ED"/>
    <w:rsid w:val="009E3C8C"/>
    <w:rsid w:val="009E6B77"/>
    <w:rsid w:val="009F460A"/>
    <w:rsid w:val="00A043FB"/>
    <w:rsid w:val="00A06BE4"/>
    <w:rsid w:val="00A06E9D"/>
    <w:rsid w:val="00A0729C"/>
    <w:rsid w:val="00A07779"/>
    <w:rsid w:val="00A1166A"/>
    <w:rsid w:val="00A15D10"/>
    <w:rsid w:val="00A20B2E"/>
    <w:rsid w:val="00A24F33"/>
    <w:rsid w:val="00A25069"/>
    <w:rsid w:val="00A26E6B"/>
    <w:rsid w:val="00A3068F"/>
    <w:rsid w:val="00A3145B"/>
    <w:rsid w:val="00A339D0"/>
    <w:rsid w:val="00A41002"/>
    <w:rsid w:val="00A4201A"/>
    <w:rsid w:val="00A43337"/>
    <w:rsid w:val="00A5465D"/>
    <w:rsid w:val="00A553CE"/>
    <w:rsid w:val="00A5677A"/>
    <w:rsid w:val="00A56DCC"/>
    <w:rsid w:val="00A625E8"/>
    <w:rsid w:val="00A63DFF"/>
    <w:rsid w:val="00A6490D"/>
    <w:rsid w:val="00A67A36"/>
    <w:rsid w:val="00A7415D"/>
    <w:rsid w:val="00A80363"/>
    <w:rsid w:val="00A80939"/>
    <w:rsid w:val="00A83E9D"/>
    <w:rsid w:val="00A8644C"/>
    <w:rsid w:val="00A87C05"/>
    <w:rsid w:val="00A9169D"/>
    <w:rsid w:val="00A93456"/>
    <w:rsid w:val="00A9671B"/>
    <w:rsid w:val="00AA240C"/>
    <w:rsid w:val="00AC101C"/>
    <w:rsid w:val="00AC456F"/>
    <w:rsid w:val="00AD4CF1"/>
    <w:rsid w:val="00AD5988"/>
    <w:rsid w:val="00AD6293"/>
    <w:rsid w:val="00AE0301"/>
    <w:rsid w:val="00AF4A3C"/>
    <w:rsid w:val="00AF7800"/>
    <w:rsid w:val="00B00CF5"/>
    <w:rsid w:val="00B072E0"/>
    <w:rsid w:val="00B1007E"/>
    <w:rsid w:val="00B22602"/>
    <w:rsid w:val="00B253F6"/>
    <w:rsid w:val="00B26675"/>
    <w:rsid w:val="00B305DB"/>
    <w:rsid w:val="00B332F8"/>
    <w:rsid w:val="00B3492B"/>
    <w:rsid w:val="00B4646F"/>
    <w:rsid w:val="00B55C7D"/>
    <w:rsid w:val="00B63038"/>
    <w:rsid w:val="00B64BD8"/>
    <w:rsid w:val="00B701D1"/>
    <w:rsid w:val="00B73AF2"/>
    <w:rsid w:val="00B7551A"/>
    <w:rsid w:val="00B773F1"/>
    <w:rsid w:val="00B77549"/>
    <w:rsid w:val="00B86AB1"/>
    <w:rsid w:val="00B96170"/>
    <w:rsid w:val="00BB2A06"/>
    <w:rsid w:val="00BB2CBB"/>
    <w:rsid w:val="00BB4198"/>
    <w:rsid w:val="00BC03EE"/>
    <w:rsid w:val="00BC59F1"/>
    <w:rsid w:val="00BF18D8"/>
    <w:rsid w:val="00BF3DE1"/>
    <w:rsid w:val="00BF4843"/>
    <w:rsid w:val="00BF5205"/>
    <w:rsid w:val="00C05132"/>
    <w:rsid w:val="00C12508"/>
    <w:rsid w:val="00C23728"/>
    <w:rsid w:val="00C3026C"/>
    <w:rsid w:val="00C313A9"/>
    <w:rsid w:val="00C31E9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495"/>
    <w:rsid w:val="00D20C59"/>
    <w:rsid w:val="00D23323"/>
    <w:rsid w:val="00D2392A"/>
    <w:rsid w:val="00D25FFE"/>
    <w:rsid w:val="00D37D80"/>
    <w:rsid w:val="00D4476F"/>
    <w:rsid w:val="00D50573"/>
    <w:rsid w:val="00D54D50"/>
    <w:rsid w:val="00D560B4"/>
    <w:rsid w:val="00D662F8"/>
    <w:rsid w:val="00D66797"/>
    <w:rsid w:val="00D7087C"/>
    <w:rsid w:val="00D70C3C"/>
    <w:rsid w:val="00D71DF7"/>
    <w:rsid w:val="00D72BE5"/>
    <w:rsid w:val="00D81462"/>
    <w:rsid w:val="00D82F26"/>
    <w:rsid w:val="00D863D0"/>
    <w:rsid w:val="00D86FB9"/>
    <w:rsid w:val="00D87C87"/>
    <w:rsid w:val="00D90BB4"/>
    <w:rsid w:val="00D90E07"/>
    <w:rsid w:val="00D932C2"/>
    <w:rsid w:val="00DA76BC"/>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35"/>
    <w:rsid w:val="00E511D5"/>
    <w:rsid w:val="00E60249"/>
    <w:rsid w:val="00E65269"/>
    <w:rsid w:val="00E76D66"/>
    <w:rsid w:val="00E825DA"/>
    <w:rsid w:val="00E848D2"/>
    <w:rsid w:val="00EA796A"/>
    <w:rsid w:val="00EB1856"/>
    <w:rsid w:val="00EC50CE"/>
    <w:rsid w:val="00EC5B34"/>
    <w:rsid w:val="00ED021E"/>
    <w:rsid w:val="00ED323C"/>
    <w:rsid w:val="00EE2D5C"/>
    <w:rsid w:val="00EE4ADE"/>
    <w:rsid w:val="00EE4DE8"/>
    <w:rsid w:val="00EE5CB7"/>
    <w:rsid w:val="00EF4CBD"/>
    <w:rsid w:val="00F024FE"/>
    <w:rsid w:val="00F05AD4"/>
    <w:rsid w:val="00F10EB6"/>
    <w:rsid w:val="00F13F07"/>
    <w:rsid w:val="00F140B2"/>
    <w:rsid w:val="00F25970"/>
    <w:rsid w:val="00F311A9"/>
    <w:rsid w:val="00F4528E"/>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325704D-4D3D-4BB8-973F-03A624E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6A5D28"/>
    <w:pPr>
      <w:pageBreakBefore/>
      <w:numPr>
        <w:numId w:val="6"/>
      </w:numPr>
      <w:spacing w:after="360"/>
      <w:outlineLvl w:val="0"/>
    </w:pPr>
    <w:rPr>
      <w:rFonts w:ascii="Georgia" w:hAnsi="Georgia"/>
      <w:color w:val="23305D"/>
      <w:spacing w:val="-10"/>
      <w:sz w:val="72"/>
    </w:rPr>
  </w:style>
  <w:style w:type="paragraph" w:styleId="Heading2">
    <w:name w:val="heading 2"/>
    <w:basedOn w:val="Normal"/>
    <w:next w:val="Normal"/>
    <w:link w:val="Heading2Char"/>
    <w:uiPriority w:val="9"/>
    <w:qFormat/>
    <w:rsid w:val="00030E84"/>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92356"/>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192356"/>
    <w:pPr>
      <w:tabs>
        <w:tab w:val="right" w:pos="8080"/>
      </w:tabs>
      <w:spacing w:before="60"/>
      <w:ind w:left="1134" w:right="567" w:hanging="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945037"/>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6A5D28"/>
    <w:rPr>
      <w:rFonts w:ascii="Georgia" w:hAnsi="Georgia"/>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BalloonText">
    <w:name w:val="Balloon Text"/>
    <w:basedOn w:val="Normal"/>
    <w:link w:val="BalloonTextChar"/>
    <w:uiPriority w:val="99"/>
    <w:semiHidden/>
    <w:unhideWhenUsed/>
    <w:rsid w:val="00A15D10"/>
    <w:rPr>
      <w:rFonts w:cs="Segoe UI"/>
      <w:sz w:val="18"/>
      <w:szCs w:val="18"/>
    </w:rPr>
  </w:style>
  <w:style w:type="character" w:customStyle="1" w:styleId="BalloonTextChar">
    <w:name w:val="Balloon Text Char"/>
    <w:basedOn w:val="DefaultParagraphFont"/>
    <w:link w:val="BalloonText"/>
    <w:uiPriority w:val="99"/>
    <w:semiHidden/>
    <w:rsid w:val="00A15D10"/>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9.png"/><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footer" Target="footer7.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cpgbi.org.uk/content/uploads/2016/07/nati-clin-audi-bowe-canc-2016-rep-v2.pdf" TargetMode="External"/><Relationship Id="rId2" Type="http://schemas.openxmlformats.org/officeDocument/2006/relationships/hyperlink" Target="http://www.fmhs.auckland.ac.nz/assets/fmhs/sms/ctnz/docs/THE%20PIPER%20PROJECT%20Final%20deliverable%20report%207%20August%202015%20(HRC%2011_764%20FINDLAY).pdf" TargetMode="External"/><Relationship Id="rId1" Type="http://schemas.openxmlformats.org/officeDocument/2006/relationships/hyperlink" Target="https://nsfl.health.govt.nz/system/files/documents/publications/commoncountingstandards2013-14final_0_0.docx" TargetMode="External"/><Relationship Id="rId4" Type="http://schemas.openxmlformats.org/officeDocument/2006/relationships/hyperlink" Target="https://www.health.govt.nz/system/files/documents/publications/early-management-colorectal-cancer-guidelin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BD37-5C15-4128-9FFF-1E9EF900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49</Pages>
  <Words>10856</Words>
  <Characters>59530</Characters>
  <Application>Microsoft Office Word</Application>
  <DocSecurity>0</DocSecurity>
  <Lines>496</Lines>
  <Paragraphs>140</Paragraphs>
  <ScaleCrop>false</ScaleCrop>
  <HeadingPairs>
    <vt:vector size="2" baseType="variant">
      <vt:variant>
        <vt:lpstr>Title</vt:lpstr>
      </vt:variant>
      <vt:variant>
        <vt:i4>1</vt:i4>
      </vt:variant>
    </vt:vector>
  </HeadingPairs>
  <TitlesOfParts>
    <vt:vector size="1" baseType="lpstr">
      <vt:lpstr>Bowel Cancer Quality Improvement Report</vt:lpstr>
    </vt:vector>
  </TitlesOfParts>
  <Company>Microsoft</Company>
  <LinksUpToDate>false</LinksUpToDate>
  <CharactersWithSpaces>70246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Bowel Cancer Quality Improvement Report</dc:title>
  <dc:creator>Ministry of Health</dc:creator>
  <cp:lastModifiedBy>Berni Marwick</cp:lastModifiedBy>
  <cp:revision>2</cp:revision>
  <cp:lastPrinted>2019-02-27T21:18:00Z</cp:lastPrinted>
  <dcterms:created xsi:type="dcterms:W3CDTF">2019-03-03T21:03:00Z</dcterms:created>
  <dcterms:modified xsi:type="dcterms:W3CDTF">2019-03-03T21:03:00Z</dcterms:modified>
</cp:coreProperties>
</file>