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6248" w:rsidRPr="00926083" w:rsidRDefault="000B2566" w:rsidP="00926083">
      <w:pPr>
        <w:pStyle w:val="Title"/>
      </w:pPr>
      <w:r>
        <w:t>Annual Report on Drinking-water Quality</w:t>
      </w:r>
    </w:p>
    <w:p w:rsidR="00C05132" w:rsidRDefault="000B2566" w:rsidP="00926083">
      <w:pPr>
        <w:pStyle w:val="Subhead"/>
      </w:pPr>
      <w:r>
        <w:t>2017–2018</w:t>
      </w:r>
    </w:p>
    <w:p w:rsidR="00142954" w:rsidRPr="00142954" w:rsidRDefault="00142954" w:rsidP="00142954">
      <w:pPr>
        <w:sectPr w:rsidR="00142954" w:rsidRPr="00142954" w:rsidSect="00925892">
          <w:headerReference w:type="default" r:id="rId8"/>
          <w:footerReference w:type="default" r:id="rId9"/>
          <w:pgSz w:w="11907" w:h="16834" w:code="9"/>
          <w:pgMar w:top="5670" w:right="1134" w:bottom="1134" w:left="1134" w:header="567" w:footer="851" w:gutter="0"/>
          <w:pgNumType w:start="1"/>
          <w:cols w:space="720"/>
        </w:sectPr>
      </w:pPr>
    </w:p>
    <w:p w:rsidR="000B2566" w:rsidRDefault="000B2566" w:rsidP="002A74AE">
      <w:pPr>
        <w:rPr>
          <w:rFonts w:asciiTheme="minorHAnsi" w:hAnsiTheme="minorHAnsi" w:cstheme="minorHAnsi"/>
          <w:b/>
          <w:spacing w:val="10"/>
          <w:sz w:val="36"/>
          <w:szCs w:val="36"/>
        </w:rPr>
      </w:pPr>
      <w:r>
        <w:rPr>
          <w:rFonts w:asciiTheme="minorHAnsi" w:hAnsiTheme="minorHAnsi" w:cstheme="minorHAnsi"/>
          <w:b/>
          <w:spacing w:val="10"/>
          <w:sz w:val="36"/>
          <w:szCs w:val="36"/>
        </w:rPr>
        <w:lastRenderedPageBreak/>
        <w:t>M</w:t>
      </w:r>
      <w:r w:rsidR="00526DA3">
        <w:rPr>
          <w:rFonts w:asciiTheme="minorHAnsi" w:hAnsiTheme="minorHAnsi" w:cstheme="minorHAnsi"/>
          <w:b/>
          <w:spacing w:val="10"/>
          <w:sz w:val="36"/>
          <w:szCs w:val="36"/>
        </w:rPr>
        <w:t xml:space="preserve">inistry </w:t>
      </w:r>
      <w:r>
        <w:rPr>
          <w:rFonts w:asciiTheme="minorHAnsi" w:hAnsiTheme="minorHAnsi" w:cstheme="minorHAnsi"/>
          <w:b/>
          <w:spacing w:val="10"/>
          <w:sz w:val="36"/>
          <w:szCs w:val="36"/>
        </w:rPr>
        <w:t>o</w:t>
      </w:r>
      <w:r w:rsidR="00526DA3">
        <w:rPr>
          <w:rFonts w:asciiTheme="minorHAnsi" w:hAnsiTheme="minorHAnsi" w:cstheme="minorHAnsi"/>
          <w:b/>
          <w:spacing w:val="10"/>
          <w:sz w:val="36"/>
          <w:szCs w:val="36"/>
        </w:rPr>
        <w:t xml:space="preserve">f </w:t>
      </w:r>
      <w:r>
        <w:rPr>
          <w:rFonts w:asciiTheme="minorHAnsi" w:hAnsiTheme="minorHAnsi" w:cstheme="minorHAnsi"/>
          <w:b/>
          <w:spacing w:val="10"/>
          <w:sz w:val="36"/>
          <w:szCs w:val="36"/>
        </w:rPr>
        <w:t>H</w:t>
      </w:r>
      <w:r w:rsidR="00526DA3">
        <w:rPr>
          <w:rFonts w:asciiTheme="minorHAnsi" w:hAnsiTheme="minorHAnsi" w:cstheme="minorHAnsi"/>
          <w:b/>
          <w:spacing w:val="10"/>
          <w:sz w:val="36"/>
          <w:szCs w:val="36"/>
        </w:rPr>
        <w:t>ealth</w:t>
      </w:r>
      <w:r>
        <w:rPr>
          <w:rFonts w:asciiTheme="minorHAnsi" w:hAnsiTheme="minorHAnsi" w:cstheme="minorHAnsi"/>
          <w:b/>
          <w:spacing w:val="10"/>
          <w:sz w:val="36"/>
          <w:szCs w:val="36"/>
        </w:rPr>
        <w:t xml:space="preserve"> Disclaimer</w:t>
      </w:r>
    </w:p>
    <w:p w:rsidR="00A16D4E" w:rsidRPr="00A16D4E" w:rsidRDefault="00A16D4E" w:rsidP="000B2566">
      <w:pPr>
        <w:rPr>
          <w:rFonts w:cs="Segoe UI"/>
          <w:sz w:val="20"/>
        </w:rPr>
      </w:pPr>
      <w:r w:rsidRPr="00A16D4E">
        <w:rPr>
          <w:rFonts w:cs="Segoe UI"/>
          <w:sz w:val="20"/>
        </w:rPr>
        <w:t>The data and analyses contained in the Annual Repor</w:t>
      </w:r>
      <w:r>
        <w:rPr>
          <w:rFonts w:cs="Segoe UI"/>
          <w:sz w:val="20"/>
        </w:rPr>
        <w:t>t on Drinking-water Quality 2017</w:t>
      </w:r>
      <w:r w:rsidRPr="00A16D4E">
        <w:rPr>
          <w:rFonts w:cs="Segoe UI"/>
          <w:sz w:val="20"/>
        </w:rPr>
        <w:t>– 201</w:t>
      </w:r>
      <w:r>
        <w:rPr>
          <w:rFonts w:cs="Segoe UI"/>
          <w:sz w:val="20"/>
        </w:rPr>
        <w:t>8</w:t>
      </w:r>
      <w:r w:rsidRPr="00A16D4E">
        <w:rPr>
          <w:rFonts w:cs="Segoe UI"/>
          <w:sz w:val="20"/>
        </w:rPr>
        <w:t xml:space="preserve"> have been supplied to the Ministry of Health by the Institute of Environmental Science and Research Limited (ESR). The Ministry of Health cannot confirm the accuracy of the data and the analyses and accepts no liability or responsibility for any acts or omissions, done or omitted in reliance, in whole or in part, on the data or the analyses.</w:t>
      </w:r>
    </w:p>
    <w:p w:rsidR="00B55AEA" w:rsidRPr="00A63DFF" w:rsidRDefault="00B55AEA" w:rsidP="002A74AE">
      <w:pPr>
        <w:spacing w:before="360"/>
        <w:rPr>
          <w:rFonts w:asciiTheme="minorHAnsi" w:hAnsiTheme="minorHAnsi" w:cstheme="minorHAnsi"/>
          <w:b/>
          <w:spacing w:val="10"/>
          <w:sz w:val="36"/>
          <w:szCs w:val="36"/>
        </w:rPr>
      </w:pPr>
      <w:r>
        <w:rPr>
          <w:rFonts w:asciiTheme="minorHAnsi" w:hAnsiTheme="minorHAnsi" w:cstheme="minorHAnsi"/>
          <w:b/>
          <w:spacing w:val="10"/>
          <w:sz w:val="36"/>
          <w:szCs w:val="36"/>
        </w:rPr>
        <w:t>ESR Disclaimer</w:t>
      </w:r>
    </w:p>
    <w:p w:rsidR="00B55AEA" w:rsidRPr="00B55AEA" w:rsidRDefault="00B55AEA" w:rsidP="00B55AEA">
      <w:pPr>
        <w:rPr>
          <w:rFonts w:cs="Segoe UI"/>
          <w:sz w:val="20"/>
        </w:rPr>
      </w:pPr>
      <w:r w:rsidRPr="00B55AEA">
        <w:rPr>
          <w:rFonts w:cs="Segoe UI"/>
          <w:sz w:val="20"/>
        </w:rPr>
        <w:t>This report (“the Report”) of the Ministry of Health uses material provided in draft form by the Institute of Environmental Science and Research Limited (ESR) solely for the benefit of the Ministry of Health in preparing the Report and as defined in the Contract between ESR and the Ministry of Health.</w:t>
      </w:r>
    </w:p>
    <w:p w:rsidR="00B55AEA" w:rsidRPr="00B55AEA" w:rsidRDefault="00B55AEA" w:rsidP="00B55AEA">
      <w:pPr>
        <w:rPr>
          <w:rFonts w:cs="Segoe UI"/>
          <w:sz w:val="20"/>
        </w:rPr>
      </w:pPr>
    </w:p>
    <w:p w:rsidR="00B55AEA" w:rsidRPr="00B55AEA" w:rsidRDefault="00B55AEA" w:rsidP="00B55AEA">
      <w:pPr>
        <w:rPr>
          <w:rFonts w:cs="Segoe UI"/>
          <w:sz w:val="20"/>
        </w:rPr>
      </w:pPr>
      <w:r w:rsidRPr="00B55AEA">
        <w:rPr>
          <w:rFonts w:cs="Segoe UI"/>
          <w:sz w:val="20"/>
        </w:rPr>
        <w:t>ESR has used all reasonable endeavours to ensure that the information provided to the Ministry of Health is accurate. However, as the information was provided in draft form only, it has not been subject to the full ESR Quality Assurance process and ESR does not give any express or implied warranty as to the completeness or accuracy of that information as used or presented in the Report by the Ministry of Health or that it will be suitable for any particular purpose.</w:t>
      </w:r>
    </w:p>
    <w:p w:rsidR="00B55AEA" w:rsidRPr="00B55AEA" w:rsidRDefault="00B55AEA" w:rsidP="00B55AEA">
      <w:pPr>
        <w:rPr>
          <w:rFonts w:cs="Segoe UI"/>
          <w:sz w:val="20"/>
        </w:rPr>
      </w:pPr>
    </w:p>
    <w:p w:rsidR="00B55AEA" w:rsidRDefault="00B55AEA" w:rsidP="00B55AEA">
      <w:pPr>
        <w:rPr>
          <w:rFonts w:cs="Segoe UI"/>
          <w:sz w:val="20"/>
        </w:rPr>
      </w:pPr>
      <w:r w:rsidRPr="00B55AEA">
        <w:rPr>
          <w:rFonts w:cs="Segoe UI"/>
          <w:sz w:val="20"/>
        </w:rPr>
        <w:t>Additionally, some of the data used in the information provided by ESR to the Ministry of Health has been received by ESR from third parties and to that extent ESR is unable to validate or verify the correctness or otherwise of that data, and neither ESR nor any of its employees makes any warranty, express or implied, or assumes any liability or responsibility whatsoever for use of the Report or its contents by any other person or organisation</w:t>
      </w:r>
      <w:r w:rsidR="00526DA3">
        <w:rPr>
          <w:rFonts w:cs="Segoe UI"/>
          <w:sz w:val="20"/>
        </w:rPr>
        <w:t>.</w:t>
      </w:r>
    </w:p>
    <w:p w:rsidR="00526DA3" w:rsidRPr="00B55AEA" w:rsidRDefault="00526DA3" w:rsidP="00B55AEA">
      <w:pPr>
        <w:rPr>
          <w:rFonts w:cs="Segoe UI"/>
          <w:sz w:val="20"/>
        </w:rPr>
      </w:pPr>
    </w:p>
    <w:p w:rsidR="00A80363" w:rsidRPr="00C05132" w:rsidRDefault="00A80363" w:rsidP="00526DA3">
      <w:pPr>
        <w:pStyle w:val="Imprint"/>
        <w:rPr>
          <w:rFonts w:cs="Segoe UI"/>
        </w:rPr>
      </w:pPr>
      <w:r w:rsidRPr="00C05132">
        <w:rPr>
          <w:rFonts w:cs="Segoe UI"/>
        </w:rPr>
        <w:t xml:space="preserve">Citation: </w:t>
      </w:r>
      <w:r w:rsidR="00442C1C" w:rsidRPr="00C05132">
        <w:rPr>
          <w:rFonts w:cs="Segoe UI"/>
        </w:rPr>
        <w:t xml:space="preserve">Ministry of Health. </w:t>
      </w:r>
      <w:r w:rsidR="000B2566">
        <w:rPr>
          <w:rFonts w:cs="Segoe UI"/>
        </w:rPr>
        <w:t>2019</w:t>
      </w:r>
      <w:r w:rsidR="00442C1C" w:rsidRPr="00C05132">
        <w:rPr>
          <w:rFonts w:cs="Segoe UI"/>
        </w:rPr>
        <w:t xml:space="preserve">. </w:t>
      </w:r>
      <w:r w:rsidR="000B2566">
        <w:rPr>
          <w:rFonts w:cs="Segoe UI"/>
          <w:i/>
        </w:rPr>
        <w:t>Annual Report on Drinking-water Quality</w:t>
      </w:r>
      <w:r w:rsidR="00442C1C" w:rsidRPr="00C05132">
        <w:rPr>
          <w:rFonts w:cs="Segoe UI"/>
        </w:rPr>
        <w:t>. Wellington: Ministry of Health.</w:t>
      </w:r>
    </w:p>
    <w:p w:rsidR="00C86248" w:rsidRDefault="00C86248">
      <w:pPr>
        <w:pStyle w:val="Imprint"/>
      </w:pPr>
      <w:r>
        <w:t xml:space="preserve">Published in </w:t>
      </w:r>
      <w:r w:rsidR="00943F7F">
        <w:t xml:space="preserve">June </w:t>
      </w:r>
      <w:r w:rsidR="003235C6">
        <w:t>2019</w:t>
      </w:r>
      <w:r w:rsidR="00A63DFF">
        <w:t xml:space="preserve"> </w:t>
      </w:r>
      <w:r>
        <w:t>by the</w:t>
      </w:r>
      <w:r w:rsidR="00442C1C">
        <w:t xml:space="preserve"> </w:t>
      </w:r>
      <w:r>
        <w:t>Ministry of Health</w:t>
      </w:r>
      <w:r>
        <w:br/>
        <w:t>PO Box 5013, Wellington</w:t>
      </w:r>
      <w:r w:rsidR="00A80363">
        <w:t xml:space="preserve"> 614</w:t>
      </w:r>
      <w:r w:rsidR="006041F0">
        <w:t>0</w:t>
      </w:r>
      <w:r>
        <w:t xml:space="preserve">, </w:t>
      </w:r>
      <w:r w:rsidR="00571223">
        <w:t>New Zealand</w:t>
      </w:r>
    </w:p>
    <w:p w:rsidR="00082CD6" w:rsidRPr="009C0F2D" w:rsidRDefault="00D863D0" w:rsidP="00082CD6">
      <w:pPr>
        <w:pStyle w:val="Imprint"/>
      </w:pPr>
      <w:r>
        <w:t>IS</w:t>
      </w:r>
      <w:r w:rsidR="00B6210A">
        <w:t>S</w:t>
      </w:r>
      <w:r>
        <w:t>N</w:t>
      </w:r>
      <w:r w:rsidR="00442C1C">
        <w:t xml:space="preserve"> </w:t>
      </w:r>
      <w:r w:rsidR="00B6210A" w:rsidRPr="00B6210A">
        <w:t>1179-2604</w:t>
      </w:r>
      <w:r w:rsidR="002B7BEC">
        <w:t xml:space="preserve"> </w:t>
      </w:r>
      <w:r>
        <w:t>(</w:t>
      </w:r>
      <w:r w:rsidR="00442C1C">
        <w:t>online</w:t>
      </w:r>
      <w:r>
        <w:t>)</w:t>
      </w:r>
      <w:r w:rsidR="00082CD6">
        <w:br/>
      </w:r>
      <w:r w:rsidR="00082CD6" w:rsidRPr="009C0F2D">
        <w:t xml:space="preserve">HP </w:t>
      </w:r>
      <w:r w:rsidR="00B6210A">
        <w:t>7144</w:t>
      </w:r>
    </w:p>
    <w:p w:rsidR="00C86248" w:rsidRDefault="008C64C4" w:rsidP="00A63DFF">
      <w:r>
        <w:rPr>
          <w:noProof/>
          <w:lang w:eastAsia="en-NZ"/>
        </w:rPr>
        <w:drawing>
          <wp:inline distT="0" distB="0" distL="0" distR="0" wp14:anchorId="704D4368" wp14:editId="5F1FEE8E">
            <wp:extent cx="1413163" cy="57633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grayscl/>
                      <a:extLst>
                        <a:ext uri="{28A0092B-C50C-407E-A947-70E740481C1C}">
                          <a14:useLocalDpi xmlns:a14="http://schemas.microsoft.com/office/drawing/2010/main" val="0"/>
                        </a:ext>
                      </a:extLst>
                    </a:blip>
                    <a:srcRect/>
                    <a:stretch>
                      <a:fillRect/>
                    </a:stretch>
                  </pic:blipFill>
                  <pic:spPr bwMode="auto">
                    <a:xfrm>
                      <a:off x="0" y="0"/>
                      <a:ext cx="1413017" cy="576270"/>
                    </a:xfrm>
                    <a:prstGeom prst="rect">
                      <a:avLst/>
                    </a:prstGeom>
                    <a:noFill/>
                    <a:ln>
                      <a:noFill/>
                    </a:ln>
                  </pic:spPr>
                </pic:pic>
              </a:graphicData>
            </a:graphic>
          </wp:inline>
        </w:drawing>
      </w:r>
    </w:p>
    <w:p w:rsidR="000A1C6A" w:rsidRDefault="00A63DFF" w:rsidP="002A74AE">
      <w:pPr>
        <w:pStyle w:val="Imprint"/>
        <w:spacing w:before="120" w:after="120"/>
      </w:pPr>
      <w:r>
        <w:t>This document is available at health.govt.nz</w:t>
      </w:r>
    </w:p>
    <w:p w:rsidR="002A74AE" w:rsidRPr="002A74AE" w:rsidRDefault="002A74AE" w:rsidP="002A74AE"/>
    <w:tbl>
      <w:tblPr>
        <w:tblW w:w="0" w:type="auto"/>
        <w:tblLayout w:type="fixed"/>
        <w:tblLook w:val="04A0" w:firstRow="1" w:lastRow="0" w:firstColumn="1" w:lastColumn="0" w:noHBand="0" w:noVBand="1"/>
      </w:tblPr>
      <w:tblGrid>
        <w:gridCol w:w="1526"/>
        <w:gridCol w:w="6061"/>
      </w:tblGrid>
      <w:tr w:rsidR="002A74AE" w:rsidRPr="00A63DFF" w:rsidTr="00933AF5">
        <w:trPr>
          <w:cantSplit/>
        </w:trPr>
        <w:tc>
          <w:tcPr>
            <w:tcW w:w="1526" w:type="dxa"/>
          </w:tcPr>
          <w:p w:rsidR="002A74AE" w:rsidRPr="00A63DFF" w:rsidRDefault="002A74AE" w:rsidP="00933AF5">
            <w:pPr>
              <w:rPr>
                <w:rFonts w:cs="Segoe UI"/>
                <w:sz w:val="15"/>
                <w:szCs w:val="15"/>
              </w:rPr>
            </w:pPr>
            <w:r w:rsidRPr="00A63DFF">
              <w:rPr>
                <w:rFonts w:cs="Segoe UI"/>
                <w:b/>
                <w:noProof/>
                <w:sz w:val="15"/>
                <w:szCs w:val="15"/>
                <w:lang w:eastAsia="en-NZ"/>
              </w:rPr>
              <w:drawing>
                <wp:inline distT="0" distB="0" distL="0" distR="0" wp14:anchorId="06F590E3" wp14:editId="15C40698">
                  <wp:extent cx="809625" cy="285750"/>
                  <wp:effectExtent l="0" t="0" r="9525" b="0"/>
                  <wp:docPr id="8" name="Picture 8" descr="CC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BY"/>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a:noFill/>
                          </a:ln>
                        </pic:spPr>
                      </pic:pic>
                    </a:graphicData>
                  </a:graphic>
                </wp:inline>
              </w:drawing>
            </w:r>
          </w:p>
        </w:tc>
        <w:tc>
          <w:tcPr>
            <w:tcW w:w="6061" w:type="dxa"/>
          </w:tcPr>
          <w:p w:rsidR="002A74AE" w:rsidRPr="00A63DFF" w:rsidRDefault="002A74AE" w:rsidP="00933AF5">
            <w:pPr>
              <w:rPr>
                <w:rFonts w:cs="Segoe UI"/>
                <w:sz w:val="15"/>
                <w:szCs w:val="15"/>
              </w:rPr>
            </w:pPr>
            <w:r w:rsidRPr="00A63DFF">
              <w:rPr>
                <w:rFonts w:cs="Segoe UI"/>
                <w:sz w:val="15"/>
                <w:szCs w:val="15"/>
              </w:rPr>
              <w:t xml:space="preserve">This work is licensed under the Creative Commons Attribution 4.0 International licence. In essence, </w:t>
            </w:r>
            <w:r w:rsidRPr="00A63DFF">
              <w:rPr>
                <w:rFonts w:cs="Segoe UI"/>
                <w:bCs/>
                <w:sz w:val="15"/>
                <w:szCs w:val="15"/>
              </w:rPr>
              <w:t xml:space="preserve">you are free to: </w:t>
            </w:r>
            <w:r w:rsidRPr="00A63DFF">
              <w:rPr>
                <w:rFonts w:cs="Segoe UI"/>
                <w:sz w:val="15"/>
                <w:szCs w:val="15"/>
              </w:rPr>
              <w:t xml:space="preserve">share ie, copy and redistribute the material in any medium or format; adapt ie, remix, transform and build upon the material. </w:t>
            </w:r>
            <w:r w:rsidRPr="00A63DFF">
              <w:rPr>
                <w:rFonts w:cs="Segoe UI"/>
                <w:bCs/>
                <w:sz w:val="15"/>
                <w:szCs w:val="15"/>
              </w:rPr>
              <w:t>You must give appropriate credit, provide a link to the licence and indicate if changes were made.</w:t>
            </w:r>
          </w:p>
        </w:tc>
      </w:tr>
    </w:tbl>
    <w:p w:rsidR="00526DA3" w:rsidRPr="00526DA3" w:rsidRDefault="00526DA3" w:rsidP="00526DA3"/>
    <w:p w:rsidR="00526DA3" w:rsidRPr="00526DA3" w:rsidRDefault="00526DA3" w:rsidP="00526DA3"/>
    <w:p w:rsidR="000A1C6A" w:rsidRDefault="000A1C6A" w:rsidP="00A63DFF">
      <w:pPr>
        <w:pStyle w:val="Imprint"/>
        <w:spacing w:before="240" w:after="480"/>
        <w:sectPr w:rsidR="000A1C6A" w:rsidSect="00925892">
          <w:headerReference w:type="even" r:id="rId12"/>
          <w:footerReference w:type="even" r:id="rId13"/>
          <w:footerReference w:type="default" r:id="rId14"/>
          <w:pgSz w:w="11907" w:h="16834" w:code="9"/>
          <w:pgMar w:top="1701" w:right="2268" w:bottom="1134" w:left="2268" w:header="0" w:footer="0" w:gutter="0"/>
          <w:cols w:space="720"/>
          <w:vAlign w:val="bottom"/>
        </w:sectPr>
      </w:pPr>
    </w:p>
    <w:p w:rsidR="00C86248" w:rsidRDefault="00C86248" w:rsidP="002A74AE">
      <w:pPr>
        <w:pStyle w:val="IntroHead"/>
        <w:spacing w:after="240"/>
      </w:pPr>
      <w:bookmarkStart w:id="0" w:name="_Toc405792991"/>
      <w:bookmarkStart w:id="1" w:name="_Toc405793224"/>
      <w:r>
        <w:lastRenderedPageBreak/>
        <w:t>Contents</w:t>
      </w:r>
      <w:bookmarkEnd w:id="0"/>
      <w:bookmarkEnd w:id="1"/>
    </w:p>
    <w:p w:rsidR="00F83517" w:rsidRDefault="00BE5BFB">
      <w:pPr>
        <w:pStyle w:val="TOC1"/>
        <w:rPr>
          <w:rFonts w:asciiTheme="minorHAnsi" w:eastAsiaTheme="minorEastAsia" w:hAnsiTheme="minorHAnsi" w:cstheme="minorBidi"/>
          <w:noProof/>
          <w:sz w:val="22"/>
          <w:szCs w:val="22"/>
          <w:lang w:eastAsia="en-NZ"/>
        </w:rPr>
      </w:pPr>
      <w:r>
        <w:rPr>
          <w:b/>
        </w:rPr>
        <w:fldChar w:fldCharType="begin"/>
      </w:r>
      <w:r>
        <w:rPr>
          <w:b/>
        </w:rPr>
        <w:instrText xml:space="preserve"> TOC \o "1-2" \h \z </w:instrText>
      </w:r>
      <w:r>
        <w:rPr>
          <w:b/>
        </w:rPr>
        <w:fldChar w:fldCharType="separate"/>
      </w:r>
      <w:hyperlink w:anchor="_Toc10553999" w:history="1">
        <w:r w:rsidR="00F83517" w:rsidRPr="00E5324A">
          <w:rPr>
            <w:rStyle w:val="Hyperlink"/>
            <w:rFonts w:eastAsiaTheme="majorEastAsia"/>
            <w:noProof/>
          </w:rPr>
          <w:t>Key findings</w:t>
        </w:r>
        <w:r w:rsidR="00F83517">
          <w:rPr>
            <w:noProof/>
            <w:webHidden/>
          </w:rPr>
          <w:tab/>
        </w:r>
        <w:r w:rsidR="00F83517">
          <w:rPr>
            <w:noProof/>
            <w:webHidden/>
          </w:rPr>
          <w:fldChar w:fldCharType="begin"/>
        </w:r>
        <w:r w:rsidR="00F83517">
          <w:rPr>
            <w:noProof/>
            <w:webHidden/>
          </w:rPr>
          <w:instrText xml:space="preserve"> PAGEREF _Toc10553999 \h </w:instrText>
        </w:r>
        <w:r w:rsidR="00F83517">
          <w:rPr>
            <w:noProof/>
            <w:webHidden/>
          </w:rPr>
        </w:r>
        <w:r w:rsidR="00F83517">
          <w:rPr>
            <w:noProof/>
            <w:webHidden/>
          </w:rPr>
          <w:fldChar w:fldCharType="separate"/>
        </w:r>
        <w:r w:rsidR="00D64346">
          <w:rPr>
            <w:noProof/>
            <w:webHidden/>
          </w:rPr>
          <w:t>vii</w:t>
        </w:r>
        <w:r w:rsidR="00F83517">
          <w:rPr>
            <w:noProof/>
            <w:webHidden/>
          </w:rPr>
          <w:fldChar w:fldCharType="end"/>
        </w:r>
      </w:hyperlink>
    </w:p>
    <w:p w:rsidR="00F83517" w:rsidRDefault="000A1C6A">
      <w:pPr>
        <w:pStyle w:val="TOC1"/>
        <w:rPr>
          <w:rFonts w:asciiTheme="minorHAnsi" w:eastAsiaTheme="minorEastAsia" w:hAnsiTheme="minorHAnsi" w:cstheme="minorBidi"/>
          <w:noProof/>
          <w:sz w:val="22"/>
          <w:szCs w:val="22"/>
          <w:lang w:eastAsia="en-NZ"/>
        </w:rPr>
      </w:pPr>
      <w:hyperlink w:anchor="_Toc10554000" w:history="1">
        <w:r w:rsidR="00F83517" w:rsidRPr="00E5324A">
          <w:rPr>
            <w:rStyle w:val="Hyperlink"/>
            <w:noProof/>
          </w:rPr>
          <w:t>1</w:t>
        </w:r>
        <w:r w:rsidR="00F83517">
          <w:rPr>
            <w:rFonts w:asciiTheme="minorHAnsi" w:eastAsiaTheme="minorEastAsia" w:hAnsiTheme="minorHAnsi" w:cstheme="minorBidi"/>
            <w:noProof/>
            <w:sz w:val="22"/>
            <w:szCs w:val="22"/>
            <w:lang w:eastAsia="en-NZ"/>
          </w:rPr>
          <w:tab/>
        </w:r>
        <w:r w:rsidR="00F83517" w:rsidRPr="00E5324A">
          <w:rPr>
            <w:rStyle w:val="Hyperlink"/>
            <w:noProof/>
          </w:rPr>
          <w:t>Introduction</w:t>
        </w:r>
        <w:r w:rsidR="00F83517">
          <w:rPr>
            <w:noProof/>
            <w:webHidden/>
          </w:rPr>
          <w:tab/>
        </w:r>
        <w:r w:rsidR="00F83517">
          <w:rPr>
            <w:noProof/>
            <w:webHidden/>
          </w:rPr>
          <w:fldChar w:fldCharType="begin"/>
        </w:r>
        <w:r w:rsidR="00F83517">
          <w:rPr>
            <w:noProof/>
            <w:webHidden/>
          </w:rPr>
          <w:instrText xml:space="preserve"> PAGEREF _Toc10554000 \h </w:instrText>
        </w:r>
        <w:r w:rsidR="00F83517">
          <w:rPr>
            <w:noProof/>
            <w:webHidden/>
          </w:rPr>
        </w:r>
        <w:r w:rsidR="00F83517">
          <w:rPr>
            <w:noProof/>
            <w:webHidden/>
          </w:rPr>
          <w:fldChar w:fldCharType="separate"/>
        </w:r>
        <w:r w:rsidR="00D64346">
          <w:rPr>
            <w:noProof/>
            <w:webHidden/>
          </w:rPr>
          <w:t>1</w:t>
        </w:r>
        <w:r w:rsidR="00F83517">
          <w:rPr>
            <w:noProof/>
            <w:webHidden/>
          </w:rPr>
          <w:fldChar w:fldCharType="end"/>
        </w:r>
      </w:hyperlink>
    </w:p>
    <w:p w:rsidR="00F83517" w:rsidRDefault="000A1C6A">
      <w:pPr>
        <w:pStyle w:val="TOC1"/>
        <w:rPr>
          <w:rFonts w:asciiTheme="minorHAnsi" w:eastAsiaTheme="minorEastAsia" w:hAnsiTheme="minorHAnsi" w:cstheme="minorBidi"/>
          <w:noProof/>
          <w:sz w:val="22"/>
          <w:szCs w:val="22"/>
          <w:lang w:eastAsia="en-NZ"/>
        </w:rPr>
      </w:pPr>
      <w:hyperlink w:anchor="_Toc10554001" w:history="1">
        <w:r w:rsidR="00F83517" w:rsidRPr="00E5324A">
          <w:rPr>
            <w:rStyle w:val="Hyperlink"/>
            <w:rFonts w:eastAsiaTheme="majorEastAsia"/>
            <w:noProof/>
          </w:rPr>
          <w:t>2</w:t>
        </w:r>
        <w:r w:rsidR="00F83517">
          <w:rPr>
            <w:rFonts w:asciiTheme="minorHAnsi" w:eastAsiaTheme="minorEastAsia" w:hAnsiTheme="minorHAnsi" w:cstheme="minorBidi"/>
            <w:noProof/>
            <w:sz w:val="22"/>
            <w:szCs w:val="22"/>
            <w:lang w:eastAsia="en-NZ"/>
          </w:rPr>
          <w:tab/>
        </w:r>
        <w:r w:rsidR="00F83517" w:rsidRPr="00E5324A">
          <w:rPr>
            <w:rStyle w:val="Hyperlink"/>
            <w:rFonts w:eastAsiaTheme="majorEastAsia"/>
            <w:noProof/>
          </w:rPr>
          <w:t>Methods</w:t>
        </w:r>
        <w:r w:rsidR="00F83517">
          <w:rPr>
            <w:noProof/>
            <w:webHidden/>
          </w:rPr>
          <w:tab/>
        </w:r>
        <w:r w:rsidR="00F83517">
          <w:rPr>
            <w:noProof/>
            <w:webHidden/>
          </w:rPr>
          <w:fldChar w:fldCharType="begin"/>
        </w:r>
        <w:r w:rsidR="00F83517">
          <w:rPr>
            <w:noProof/>
            <w:webHidden/>
          </w:rPr>
          <w:instrText xml:space="preserve"> PAGEREF _Toc10554001 \h </w:instrText>
        </w:r>
        <w:r w:rsidR="00F83517">
          <w:rPr>
            <w:noProof/>
            <w:webHidden/>
          </w:rPr>
        </w:r>
        <w:r w:rsidR="00F83517">
          <w:rPr>
            <w:noProof/>
            <w:webHidden/>
          </w:rPr>
          <w:fldChar w:fldCharType="separate"/>
        </w:r>
        <w:r w:rsidR="00D64346">
          <w:rPr>
            <w:noProof/>
            <w:webHidden/>
          </w:rPr>
          <w:t>2</w:t>
        </w:r>
        <w:r w:rsidR="00F83517">
          <w:rPr>
            <w:noProof/>
            <w:webHidden/>
          </w:rPr>
          <w:fldChar w:fldCharType="end"/>
        </w:r>
      </w:hyperlink>
    </w:p>
    <w:p w:rsidR="00F83517" w:rsidRDefault="000A1C6A">
      <w:pPr>
        <w:pStyle w:val="TOC1"/>
        <w:rPr>
          <w:rFonts w:asciiTheme="minorHAnsi" w:eastAsiaTheme="minorEastAsia" w:hAnsiTheme="minorHAnsi" w:cstheme="minorBidi"/>
          <w:noProof/>
          <w:sz w:val="22"/>
          <w:szCs w:val="22"/>
          <w:lang w:eastAsia="en-NZ"/>
        </w:rPr>
      </w:pPr>
      <w:hyperlink w:anchor="_Toc10554002" w:history="1">
        <w:r w:rsidR="00F83517" w:rsidRPr="00E5324A">
          <w:rPr>
            <w:rStyle w:val="Hyperlink"/>
            <w:rFonts w:eastAsiaTheme="majorEastAsia"/>
            <w:noProof/>
          </w:rPr>
          <w:t>3</w:t>
        </w:r>
        <w:r w:rsidR="00F83517">
          <w:rPr>
            <w:rFonts w:asciiTheme="minorHAnsi" w:eastAsiaTheme="minorEastAsia" w:hAnsiTheme="minorHAnsi" w:cstheme="minorBidi"/>
            <w:noProof/>
            <w:sz w:val="22"/>
            <w:szCs w:val="22"/>
            <w:lang w:eastAsia="en-NZ"/>
          </w:rPr>
          <w:tab/>
        </w:r>
        <w:r w:rsidR="00F83517" w:rsidRPr="00E5324A">
          <w:rPr>
            <w:rStyle w:val="Hyperlink"/>
            <w:rFonts w:eastAsiaTheme="majorEastAsia"/>
            <w:noProof/>
          </w:rPr>
          <w:t>Compliance with the Health Act 1956</w:t>
        </w:r>
        <w:r w:rsidR="00F83517">
          <w:rPr>
            <w:noProof/>
            <w:webHidden/>
          </w:rPr>
          <w:tab/>
        </w:r>
        <w:r w:rsidR="00F83517">
          <w:rPr>
            <w:noProof/>
            <w:webHidden/>
          </w:rPr>
          <w:fldChar w:fldCharType="begin"/>
        </w:r>
        <w:r w:rsidR="00F83517">
          <w:rPr>
            <w:noProof/>
            <w:webHidden/>
          </w:rPr>
          <w:instrText xml:space="preserve"> PAGEREF _Toc10554002 \h </w:instrText>
        </w:r>
        <w:r w:rsidR="00F83517">
          <w:rPr>
            <w:noProof/>
            <w:webHidden/>
          </w:rPr>
        </w:r>
        <w:r w:rsidR="00F83517">
          <w:rPr>
            <w:noProof/>
            <w:webHidden/>
          </w:rPr>
          <w:fldChar w:fldCharType="separate"/>
        </w:r>
        <w:r w:rsidR="00D64346">
          <w:rPr>
            <w:noProof/>
            <w:webHidden/>
          </w:rPr>
          <w:t>3</w:t>
        </w:r>
        <w:r w:rsidR="00F83517">
          <w:rPr>
            <w:noProof/>
            <w:webHidden/>
          </w:rPr>
          <w:fldChar w:fldCharType="end"/>
        </w:r>
      </w:hyperlink>
    </w:p>
    <w:p w:rsidR="00F83517" w:rsidRPr="002A74AE" w:rsidRDefault="000A1C6A">
      <w:pPr>
        <w:pStyle w:val="TOC2"/>
        <w:tabs>
          <w:tab w:val="left" w:pos="1100"/>
        </w:tabs>
        <w:rPr>
          <w:rFonts w:asciiTheme="minorHAnsi" w:eastAsiaTheme="minorEastAsia" w:hAnsiTheme="minorHAnsi" w:cstheme="minorBidi"/>
          <w:noProof/>
          <w:sz w:val="21"/>
          <w:szCs w:val="21"/>
          <w:lang w:eastAsia="en-NZ"/>
        </w:rPr>
      </w:pPr>
      <w:hyperlink w:anchor="_Toc10554003" w:history="1">
        <w:r w:rsidR="00F83517" w:rsidRPr="002A74AE">
          <w:rPr>
            <w:rStyle w:val="Hyperlink"/>
            <w:noProof/>
            <w:sz w:val="21"/>
            <w:szCs w:val="21"/>
          </w:rPr>
          <w:t>3.1</w:t>
        </w:r>
        <w:r w:rsidR="00F83517" w:rsidRPr="002A74AE">
          <w:rPr>
            <w:rFonts w:asciiTheme="minorHAnsi" w:eastAsiaTheme="minorEastAsia" w:hAnsiTheme="minorHAnsi" w:cstheme="minorBidi"/>
            <w:noProof/>
            <w:sz w:val="21"/>
            <w:szCs w:val="21"/>
            <w:lang w:eastAsia="en-NZ"/>
          </w:rPr>
          <w:tab/>
        </w:r>
        <w:r w:rsidR="00F83517" w:rsidRPr="002A74AE">
          <w:rPr>
            <w:rStyle w:val="Hyperlink"/>
            <w:noProof/>
            <w:sz w:val="21"/>
            <w:szCs w:val="21"/>
          </w:rPr>
          <w:t>Introduction</w:t>
        </w:r>
        <w:r w:rsidR="00F83517" w:rsidRPr="002A74AE">
          <w:rPr>
            <w:noProof/>
            <w:webHidden/>
            <w:sz w:val="21"/>
            <w:szCs w:val="21"/>
          </w:rPr>
          <w:tab/>
        </w:r>
        <w:r w:rsidR="00F83517" w:rsidRPr="002A74AE">
          <w:rPr>
            <w:noProof/>
            <w:webHidden/>
            <w:sz w:val="21"/>
            <w:szCs w:val="21"/>
          </w:rPr>
          <w:fldChar w:fldCharType="begin"/>
        </w:r>
        <w:r w:rsidR="00F83517" w:rsidRPr="002A74AE">
          <w:rPr>
            <w:noProof/>
            <w:webHidden/>
            <w:sz w:val="21"/>
            <w:szCs w:val="21"/>
          </w:rPr>
          <w:instrText xml:space="preserve"> PAGEREF _Toc10554003 \h </w:instrText>
        </w:r>
        <w:r w:rsidR="00F83517" w:rsidRPr="002A74AE">
          <w:rPr>
            <w:noProof/>
            <w:webHidden/>
            <w:sz w:val="21"/>
            <w:szCs w:val="21"/>
          </w:rPr>
        </w:r>
        <w:r w:rsidR="00F83517" w:rsidRPr="002A74AE">
          <w:rPr>
            <w:noProof/>
            <w:webHidden/>
            <w:sz w:val="21"/>
            <w:szCs w:val="21"/>
          </w:rPr>
          <w:fldChar w:fldCharType="separate"/>
        </w:r>
        <w:r w:rsidR="00D64346" w:rsidRPr="002A74AE">
          <w:rPr>
            <w:noProof/>
            <w:webHidden/>
            <w:sz w:val="21"/>
            <w:szCs w:val="21"/>
          </w:rPr>
          <w:t>3</w:t>
        </w:r>
        <w:r w:rsidR="00F83517" w:rsidRPr="002A74AE">
          <w:rPr>
            <w:noProof/>
            <w:webHidden/>
            <w:sz w:val="21"/>
            <w:szCs w:val="21"/>
          </w:rPr>
          <w:fldChar w:fldCharType="end"/>
        </w:r>
      </w:hyperlink>
    </w:p>
    <w:p w:rsidR="00F83517" w:rsidRPr="002A74AE" w:rsidRDefault="000A1C6A">
      <w:pPr>
        <w:pStyle w:val="TOC2"/>
        <w:tabs>
          <w:tab w:val="left" w:pos="1100"/>
        </w:tabs>
        <w:rPr>
          <w:rFonts w:asciiTheme="minorHAnsi" w:eastAsiaTheme="minorEastAsia" w:hAnsiTheme="minorHAnsi" w:cstheme="minorBidi"/>
          <w:noProof/>
          <w:sz w:val="21"/>
          <w:szCs w:val="21"/>
          <w:lang w:eastAsia="en-NZ"/>
        </w:rPr>
      </w:pPr>
      <w:hyperlink w:anchor="_Toc10554004" w:history="1">
        <w:r w:rsidR="00F83517" w:rsidRPr="002A74AE">
          <w:rPr>
            <w:rStyle w:val="Hyperlink"/>
            <w:noProof/>
            <w:sz w:val="21"/>
            <w:szCs w:val="21"/>
          </w:rPr>
          <w:t>3.2</w:t>
        </w:r>
        <w:r w:rsidR="00F83517" w:rsidRPr="002A74AE">
          <w:rPr>
            <w:rFonts w:asciiTheme="minorHAnsi" w:eastAsiaTheme="minorEastAsia" w:hAnsiTheme="minorHAnsi" w:cstheme="minorBidi"/>
            <w:noProof/>
            <w:sz w:val="21"/>
            <w:szCs w:val="21"/>
            <w:lang w:eastAsia="en-NZ"/>
          </w:rPr>
          <w:tab/>
        </w:r>
        <w:r w:rsidR="00F83517" w:rsidRPr="002A74AE">
          <w:rPr>
            <w:rStyle w:val="Hyperlink"/>
            <w:noProof/>
            <w:sz w:val="21"/>
            <w:szCs w:val="21"/>
          </w:rPr>
          <w:t>Overall compliance with the Health Act 1956</w:t>
        </w:r>
        <w:r w:rsidR="00F83517" w:rsidRPr="002A74AE">
          <w:rPr>
            <w:noProof/>
            <w:webHidden/>
            <w:sz w:val="21"/>
            <w:szCs w:val="21"/>
          </w:rPr>
          <w:tab/>
        </w:r>
        <w:r w:rsidR="00F83517" w:rsidRPr="002A74AE">
          <w:rPr>
            <w:noProof/>
            <w:webHidden/>
            <w:sz w:val="21"/>
            <w:szCs w:val="21"/>
          </w:rPr>
          <w:fldChar w:fldCharType="begin"/>
        </w:r>
        <w:r w:rsidR="00F83517" w:rsidRPr="002A74AE">
          <w:rPr>
            <w:noProof/>
            <w:webHidden/>
            <w:sz w:val="21"/>
            <w:szCs w:val="21"/>
          </w:rPr>
          <w:instrText xml:space="preserve"> PAGEREF _Toc10554004 \h </w:instrText>
        </w:r>
        <w:r w:rsidR="00F83517" w:rsidRPr="002A74AE">
          <w:rPr>
            <w:noProof/>
            <w:webHidden/>
            <w:sz w:val="21"/>
            <w:szCs w:val="21"/>
          </w:rPr>
        </w:r>
        <w:r w:rsidR="00F83517" w:rsidRPr="002A74AE">
          <w:rPr>
            <w:noProof/>
            <w:webHidden/>
            <w:sz w:val="21"/>
            <w:szCs w:val="21"/>
          </w:rPr>
          <w:fldChar w:fldCharType="separate"/>
        </w:r>
        <w:r w:rsidR="00D64346" w:rsidRPr="002A74AE">
          <w:rPr>
            <w:noProof/>
            <w:webHidden/>
            <w:sz w:val="21"/>
            <w:szCs w:val="21"/>
          </w:rPr>
          <w:t>4</w:t>
        </w:r>
        <w:r w:rsidR="00F83517" w:rsidRPr="002A74AE">
          <w:rPr>
            <w:noProof/>
            <w:webHidden/>
            <w:sz w:val="21"/>
            <w:szCs w:val="21"/>
          </w:rPr>
          <w:fldChar w:fldCharType="end"/>
        </w:r>
      </w:hyperlink>
    </w:p>
    <w:p w:rsidR="00F83517" w:rsidRPr="002A74AE" w:rsidRDefault="000A1C6A">
      <w:pPr>
        <w:pStyle w:val="TOC2"/>
        <w:tabs>
          <w:tab w:val="left" w:pos="1100"/>
        </w:tabs>
        <w:rPr>
          <w:rFonts w:asciiTheme="minorHAnsi" w:eastAsiaTheme="minorEastAsia" w:hAnsiTheme="minorHAnsi" w:cstheme="minorBidi"/>
          <w:noProof/>
          <w:sz w:val="21"/>
          <w:szCs w:val="21"/>
          <w:lang w:eastAsia="en-NZ"/>
        </w:rPr>
      </w:pPr>
      <w:hyperlink w:anchor="_Toc10554005" w:history="1">
        <w:r w:rsidR="00F83517" w:rsidRPr="002A74AE">
          <w:rPr>
            <w:rStyle w:val="Hyperlink"/>
            <w:noProof/>
            <w:sz w:val="21"/>
            <w:szCs w:val="21"/>
          </w:rPr>
          <w:t>3.3</w:t>
        </w:r>
        <w:r w:rsidR="00F83517" w:rsidRPr="002A74AE">
          <w:rPr>
            <w:rFonts w:asciiTheme="minorHAnsi" w:eastAsiaTheme="minorEastAsia" w:hAnsiTheme="minorHAnsi" w:cstheme="minorBidi"/>
            <w:noProof/>
            <w:sz w:val="21"/>
            <w:szCs w:val="21"/>
            <w:lang w:eastAsia="en-NZ"/>
          </w:rPr>
          <w:tab/>
        </w:r>
        <w:r w:rsidR="00F83517" w:rsidRPr="002A74AE">
          <w:rPr>
            <w:rStyle w:val="Hyperlink"/>
            <w:noProof/>
            <w:sz w:val="21"/>
            <w:szCs w:val="21"/>
          </w:rPr>
          <w:t>Compari</w:t>
        </w:r>
        <w:bookmarkStart w:id="2" w:name="_GoBack"/>
        <w:bookmarkEnd w:id="2"/>
        <w:r w:rsidR="00F83517" w:rsidRPr="002A74AE">
          <w:rPr>
            <w:rStyle w:val="Hyperlink"/>
            <w:noProof/>
            <w:sz w:val="21"/>
            <w:szCs w:val="21"/>
          </w:rPr>
          <w:t>son by size category</w:t>
        </w:r>
        <w:r w:rsidR="00F83517" w:rsidRPr="002A74AE">
          <w:rPr>
            <w:noProof/>
            <w:webHidden/>
            <w:sz w:val="21"/>
            <w:szCs w:val="21"/>
          </w:rPr>
          <w:tab/>
        </w:r>
        <w:r w:rsidR="00F83517" w:rsidRPr="002A74AE">
          <w:rPr>
            <w:noProof/>
            <w:webHidden/>
            <w:sz w:val="21"/>
            <w:szCs w:val="21"/>
          </w:rPr>
          <w:fldChar w:fldCharType="begin"/>
        </w:r>
        <w:r w:rsidR="00F83517" w:rsidRPr="002A74AE">
          <w:rPr>
            <w:noProof/>
            <w:webHidden/>
            <w:sz w:val="21"/>
            <w:szCs w:val="21"/>
          </w:rPr>
          <w:instrText xml:space="preserve"> PAGEREF _Toc10554005 \h </w:instrText>
        </w:r>
        <w:r w:rsidR="00F83517" w:rsidRPr="002A74AE">
          <w:rPr>
            <w:noProof/>
            <w:webHidden/>
            <w:sz w:val="21"/>
            <w:szCs w:val="21"/>
          </w:rPr>
        </w:r>
        <w:r w:rsidR="00F83517" w:rsidRPr="002A74AE">
          <w:rPr>
            <w:noProof/>
            <w:webHidden/>
            <w:sz w:val="21"/>
            <w:szCs w:val="21"/>
          </w:rPr>
          <w:fldChar w:fldCharType="separate"/>
        </w:r>
        <w:r w:rsidR="00D64346" w:rsidRPr="002A74AE">
          <w:rPr>
            <w:noProof/>
            <w:webHidden/>
            <w:sz w:val="21"/>
            <w:szCs w:val="21"/>
          </w:rPr>
          <w:t>4</w:t>
        </w:r>
        <w:r w:rsidR="00F83517" w:rsidRPr="002A74AE">
          <w:rPr>
            <w:noProof/>
            <w:webHidden/>
            <w:sz w:val="21"/>
            <w:szCs w:val="21"/>
          </w:rPr>
          <w:fldChar w:fldCharType="end"/>
        </w:r>
      </w:hyperlink>
    </w:p>
    <w:p w:rsidR="00F83517" w:rsidRPr="002A74AE" w:rsidRDefault="000A1C6A">
      <w:pPr>
        <w:pStyle w:val="TOC2"/>
        <w:tabs>
          <w:tab w:val="left" w:pos="1100"/>
        </w:tabs>
        <w:rPr>
          <w:rFonts w:asciiTheme="minorHAnsi" w:eastAsiaTheme="minorEastAsia" w:hAnsiTheme="minorHAnsi" w:cstheme="minorBidi"/>
          <w:noProof/>
          <w:sz w:val="21"/>
          <w:szCs w:val="21"/>
          <w:lang w:eastAsia="en-NZ"/>
        </w:rPr>
      </w:pPr>
      <w:hyperlink w:anchor="_Toc10554006" w:history="1">
        <w:r w:rsidR="00F83517" w:rsidRPr="002A74AE">
          <w:rPr>
            <w:rStyle w:val="Hyperlink"/>
            <w:noProof/>
            <w:sz w:val="21"/>
            <w:szCs w:val="21"/>
          </w:rPr>
          <w:t>3.4</w:t>
        </w:r>
        <w:r w:rsidR="00F83517" w:rsidRPr="002A74AE">
          <w:rPr>
            <w:rFonts w:asciiTheme="minorHAnsi" w:eastAsiaTheme="minorEastAsia" w:hAnsiTheme="minorHAnsi" w:cstheme="minorBidi"/>
            <w:noProof/>
            <w:sz w:val="21"/>
            <w:szCs w:val="21"/>
            <w:lang w:eastAsia="en-NZ"/>
          </w:rPr>
          <w:tab/>
        </w:r>
        <w:r w:rsidR="00F83517" w:rsidRPr="002A74AE">
          <w:rPr>
            <w:rStyle w:val="Hyperlink"/>
            <w:noProof/>
            <w:sz w:val="21"/>
            <w:szCs w:val="21"/>
          </w:rPr>
          <w:t>Water safety plans</w:t>
        </w:r>
        <w:r w:rsidR="00F83517" w:rsidRPr="002A74AE">
          <w:rPr>
            <w:noProof/>
            <w:webHidden/>
            <w:sz w:val="21"/>
            <w:szCs w:val="21"/>
          </w:rPr>
          <w:tab/>
        </w:r>
        <w:r w:rsidR="00F83517" w:rsidRPr="002A74AE">
          <w:rPr>
            <w:noProof/>
            <w:webHidden/>
            <w:sz w:val="21"/>
            <w:szCs w:val="21"/>
          </w:rPr>
          <w:fldChar w:fldCharType="begin"/>
        </w:r>
        <w:r w:rsidR="00F83517" w:rsidRPr="002A74AE">
          <w:rPr>
            <w:noProof/>
            <w:webHidden/>
            <w:sz w:val="21"/>
            <w:szCs w:val="21"/>
          </w:rPr>
          <w:instrText xml:space="preserve"> PAGEREF _Toc10554006 \h </w:instrText>
        </w:r>
        <w:r w:rsidR="00F83517" w:rsidRPr="002A74AE">
          <w:rPr>
            <w:noProof/>
            <w:webHidden/>
            <w:sz w:val="21"/>
            <w:szCs w:val="21"/>
          </w:rPr>
        </w:r>
        <w:r w:rsidR="00F83517" w:rsidRPr="002A74AE">
          <w:rPr>
            <w:noProof/>
            <w:webHidden/>
            <w:sz w:val="21"/>
            <w:szCs w:val="21"/>
          </w:rPr>
          <w:fldChar w:fldCharType="separate"/>
        </w:r>
        <w:r w:rsidR="00D64346" w:rsidRPr="002A74AE">
          <w:rPr>
            <w:noProof/>
            <w:webHidden/>
            <w:sz w:val="21"/>
            <w:szCs w:val="21"/>
          </w:rPr>
          <w:t>5</w:t>
        </w:r>
        <w:r w:rsidR="00F83517" w:rsidRPr="002A74AE">
          <w:rPr>
            <w:noProof/>
            <w:webHidden/>
            <w:sz w:val="21"/>
            <w:szCs w:val="21"/>
          </w:rPr>
          <w:fldChar w:fldCharType="end"/>
        </w:r>
      </w:hyperlink>
    </w:p>
    <w:p w:rsidR="00F83517" w:rsidRPr="002A74AE" w:rsidRDefault="000A1C6A">
      <w:pPr>
        <w:pStyle w:val="TOC2"/>
        <w:tabs>
          <w:tab w:val="left" w:pos="1100"/>
        </w:tabs>
        <w:rPr>
          <w:rFonts w:asciiTheme="minorHAnsi" w:eastAsiaTheme="minorEastAsia" w:hAnsiTheme="minorHAnsi" w:cstheme="minorBidi"/>
          <w:noProof/>
          <w:sz w:val="21"/>
          <w:szCs w:val="21"/>
          <w:lang w:eastAsia="en-NZ"/>
        </w:rPr>
      </w:pPr>
      <w:hyperlink w:anchor="_Toc10554007" w:history="1">
        <w:r w:rsidR="00F83517" w:rsidRPr="002A74AE">
          <w:rPr>
            <w:rStyle w:val="Hyperlink"/>
            <w:noProof/>
            <w:sz w:val="21"/>
            <w:szCs w:val="21"/>
          </w:rPr>
          <w:t>3.5</w:t>
        </w:r>
        <w:r w:rsidR="00F83517" w:rsidRPr="002A74AE">
          <w:rPr>
            <w:rFonts w:asciiTheme="minorHAnsi" w:eastAsiaTheme="minorEastAsia" w:hAnsiTheme="minorHAnsi" w:cstheme="minorBidi"/>
            <w:noProof/>
            <w:sz w:val="21"/>
            <w:szCs w:val="21"/>
            <w:lang w:eastAsia="en-NZ"/>
          </w:rPr>
          <w:tab/>
        </w:r>
        <w:r w:rsidR="00F83517" w:rsidRPr="002A74AE">
          <w:rPr>
            <w:rStyle w:val="Hyperlink"/>
            <w:noProof/>
            <w:sz w:val="21"/>
            <w:szCs w:val="21"/>
          </w:rPr>
          <w:t>Duties</w:t>
        </w:r>
        <w:r w:rsidR="00F83517" w:rsidRPr="002A74AE">
          <w:rPr>
            <w:noProof/>
            <w:webHidden/>
            <w:sz w:val="21"/>
            <w:szCs w:val="21"/>
          </w:rPr>
          <w:tab/>
        </w:r>
        <w:r w:rsidR="00F83517" w:rsidRPr="002A74AE">
          <w:rPr>
            <w:noProof/>
            <w:webHidden/>
            <w:sz w:val="21"/>
            <w:szCs w:val="21"/>
          </w:rPr>
          <w:fldChar w:fldCharType="begin"/>
        </w:r>
        <w:r w:rsidR="00F83517" w:rsidRPr="002A74AE">
          <w:rPr>
            <w:noProof/>
            <w:webHidden/>
            <w:sz w:val="21"/>
            <w:szCs w:val="21"/>
          </w:rPr>
          <w:instrText xml:space="preserve"> PAGEREF _Toc10554007 \h </w:instrText>
        </w:r>
        <w:r w:rsidR="00F83517" w:rsidRPr="002A74AE">
          <w:rPr>
            <w:noProof/>
            <w:webHidden/>
            <w:sz w:val="21"/>
            <w:szCs w:val="21"/>
          </w:rPr>
        </w:r>
        <w:r w:rsidR="00F83517" w:rsidRPr="002A74AE">
          <w:rPr>
            <w:noProof/>
            <w:webHidden/>
            <w:sz w:val="21"/>
            <w:szCs w:val="21"/>
          </w:rPr>
          <w:fldChar w:fldCharType="separate"/>
        </w:r>
        <w:r w:rsidR="00D64346" w:rsidRPr="002A74AE">
          <w:rPr>
            <w:noProof/>
            <w:webHidden/>
            <w:sz w:val="21"/>
            <w:szCs w:val="21"/>
          </w:rPr>
          <w:t>6</w:t>
        </w:r>
        <w:r w:rsidR="00F83517" w:rsidRPr="002A74AE">
          <w:rPr>
            <w:noProof/>
            <w:webHidden/>
            <w:sz w:val="21"/>
            <w:szCs w:val="21"/>
          </w:rPr>
          <w:fldChar w:fldCharType="end"/>
        </w:r>
      </w:hyperlink>
    </w:p>
    <w:p w:rsidR="00F83517" w:rsidRPr="002A74AE" w:rsidRDefault="000A1C6A">
      <w:pPr>
        <w:pStyle w:val="TOC2"/>
        <w:tabs>
          <w:tab w:val="left" w:pos="1100"/>
        </w:tabs>
        <w:rPr>
          <w:rFonts w:asciiTheme="minorHAnsi" w:eastAsiaTheme="minorEastAsia" w:hAnsiTheme="minorHAnsi" w:cstheme="minorBidi"/>
          <w:noProof/>
          <w:sz w:val="21"/>
          <w:szCs w:val="21"/>
          <w:lang w:eastAsia="en-NZ"/>
        </w:rPr>
      </w:pPr>
      <w:hyperlink w:anchor="_Toc10554008" w:history="1">
        <w:r w:rsidR="00F83517" w:rsidRPr="002A74AE">
          <w:rPr>
            <w:rStyle w:val="Hyperlink"/>
            <w:noProof/>
            <w:sz w:val="21"/>
            <w:szCs w:val="21"/>
          </w:rPr>
          <w:t>3.6</w:t>
        </w:r>
        <w:r w:rsidR="00F83517" w:rsidRPr="002A74AE">
          <w:rPr>
            <w:rFonts w:asciiTheme="minorHAnsi" w:eastAsiaTheme="minorEastAsia" w:hAnsiTheme="minorHAnsi" w:cstheme="minorBidi"/>
            <w:noProof/>
            <w:sz w:val="21"/>
            <w:szCs w:val="21"/>
            <w:lang w:eastAsia="en-NZ"/>
          </w:rPr>
          <w:tab/>
        </w:r>
        <w:r w:rsidR="00F83517" w:rsidRPr="002A74AE">
          <w:rPr>
            <w:rStyle w:val="Hyperlink"/>
            <w:noProof/>
            <w:sz w:val="21"/>
            <w:szCs w:val="21"/>
          </w:rPr>
          <w:t>Public health significance of not meeting the requirements of the Health Act</w:t>
        </w:r>
        <w:r w:rsidR="00F83517" w:rsidRPr="002A74AE">
          <w:rPr>
            <w:noProof/>
            <w:webHidden/>
            <w:sz w:val="21"/>
            <w:szCs w:val="21"/>
          </w:rPr>
          <w:tab/>
        </w:r>
        <w:r w:rsidR="00F83517" w:rsidRPr="002A74AE">
          <w:rPr>
            <w:noProof/>
            <w:webHidden/>
            <w:sz w:val="21"/>
            <w:szCs w:val="21"/>
          </w:rPr>
          <w:fldChar w:fldCharType="begin"/>
        </w:r>
        <w:r w:rsidR="00F83517" w:rsidRPr="002A74AE">
          <w:rPr>
            <w:noProof/>
            <w:webHidden/>
            <w:sz w:val="21"/>
            <w:szCs w:val="21"/>
          </w:rPr>
          <w:instrText xml:space="preserve"> PAGEREF _Toc10554008 \h </w:instrText>
        </w:r>
        <w:r w:rsidR="00F83517" w:rsidRPr="002A74AE">
          <w:rPr>
            <w:noProof/>
            <w:webHidden/>
            <w:sz w:val="21"/>
            <w:szCs w:val="21"/>
          </w:rPr>
        </w:r>
        <w:r w:rsidR="00F83517" w:rsidRPr="002A74AE">
          <w:rPr>
            <w:noProof/>
            <w:webHidden/>
            <w:sz w:val="21"/>
            <w:szCs w:val="21"/>
          </w:rPr>
          <w:fldChar w:fldCharType="separate"/>
        </w:r>
        <w:r w:rsidR="00D64346" w:rsidRPr="002A74AE">
          <w:rPr>
            <w:noProof/>
            <w:webHidden/>
            <w:sz w:val="21"/>
            <w:szCs w:val="21"/>
          </w:rPr>
          <w:t>8</w:t>
        </w:r>
        <w:r w:rsidR="00F83517" w:rsidRPr="002A74AE">
          <w:rPr>
            <w:noProof/>
            <w:webHidden/>
            <w:sz w:val="21"/>
            <w:szCs w:val="21"/>
          </w:rPr>
          <w:fldChar w:fldCharType="end"/>
        </w:r>
      </w:hyperlink>
    </w:p>
    <w:p w:rsidR="00F83517" w:rsidRDefault="000A1C6A">
      <w:pPr>
        <w:pStyle w:val="TOC1"/>
        <w:rPr>
          <w:rFonts w:asciiTheme="minorHAnsi" w:eastAsiaTheme="minorEastAsia" w:hAnsiTheme="minorHAnsi" w:cstheme="minorBidi"/>
          <w:noProof/>
          <w:sz w:val="22"/>
          <w:szCs w:val="22"/>
          <w:lang w:eastAsia="en-NZ"/>
        </w:rPr>
      </w:pPr>
      <w:hyperlink w:anchor="_Toc10554009" w:history="1">
        <w:r w:rsidR="00F83517" w:rsidRPr="00E5324A">
          <w:rPr>
            <w:rStyle w:val="Hyperlink"/>
            <w:rFonts w:eastAsiaTheme="majorEastAsia"/>
            <w:noProof/>
          </w:rPr>
          <w:t>4</w:t>
        </w:r>
        <w:r w:rsidR="00F83517">
          <w:rPr>
            <w:rFonts w:asciiTheme="minorHAnsi" w:eastAsiaTheme="minorEastAsia" w:hAnsiTheme="minorHAnsi" w:cstheme="minorBidi"/>
            <w:noProof/>
            <w:sz w:val="22"/>
            <w:szCs w:val="22"/>
            <w:lang w:eastAsia="en-NZ"/>
          </w:rPr>
          <w:tab/>
        </w:r>
        <w:r w:rsidR="00F83517" w:rsidRPr="00E5324A">
          <w:rPr>
            <w:rStyle w:val="Hyperlink"/>
            <w:rFonts w:eastAsiaTheme="majorEastAsia"/>
            <w:noProof/>
          </w:rPr>
          <w:t xml:space="preserve">Meeting the </w:t>
        </w:r>
        <w:r w:rsidR="00F83517" w:rsidRPr="00E5324A">
          <w:rPr>
            <w:rStyle w:val="Hyperlink"/>
            <w:rFonts w:eastAsiaTheme="majorEastAsia"/>
            <w:i/>
            <w:noProof/>
          </w:rPr>
          <w:t>Drinking-Water Standards for New Zealand 2005 (revised 2008)</w:t>
        </w:r>
        <w:r w:rsidR="00F83517">
          <w:rPr>
            <w:noProof/>
            <w:webHidden/>
          </w:rPr>
          <w:tab/>
        </w:r>
        <w:r w:rsidR="00F83517">
          <w:rPr>
            <w:noProof/>
            <w:webHidden/>
          </w:rPr>
          <w:fldChar w:fldCharType="begin"/>
        </w:r>
        <w:r w:rsidR="00F83517">
          <w:rPr>
            <w:noProof/>
            <w:webHidden/>
          </w:rPr>
          <w:instrText xml:space="preserve"> PAGEREF _Toc10554009 \h </w:instrText>
        </w:r>
        <w:r w:rsidR="00F83517">
          <w:rPr>
            <w:noProof/>
            <w:webHidden/>
          </w:rPr>
        </w:r>
        <w:r w:rsidR="00F83517">
          <w:rPr>
            <w:noProof/>
            <w:webHidden/>
          </w:rPr>
          <w:fldChar w:fldCharType="separate"/>
        </w:r>
        <w:r w:rsidR="00D64346">
          <w:rPr>
            <w:noProof/>
            <w:webHidden/>
          </w:rPr>
          <w:t>10</w:t>
        </w:r>
        <w:r w:rsidR="00F83517">
          <w:rPr>
            <w:noProof/>
            <w:webHidden/>
          </w:rPr>
          <w:fldChar w:fldCharType="end"/>
        </w:r>
      </w:hyperlink>
    </w:p>
    <w:p w:rsidR="00F83517" w:rsidRPr="002A74AE" w:rsidRDefault="000A1C6A">
      <w:pPr>
        <w:pStyle w:val="TOC2"/>
        <w:tabs>
          <w:tab w:val="left" w:pos="1100"/>
        </w:tabs>
        <w:rPr>
          <w:rFonts w:asciiTheme="minorHAnsi" w:eastAsiaTheme="minorEastAsia" w:hAnsiTheme="minorHAnsi" w:cstheme="minorBidi"/>
          <w:noProof/>
          <w:sz w:val="21"/>
          <w:szCs w:val="21"/>
          <w:lang w:eastAsia="en-NZ"/>
        </w:rPr>
      </w:pPr>
      <w:hyperlink w:anchor="_Toc10554010" w:history="1">
        <w:r w:rsidR="00F83517" w:rsidRPr="002A74AE">
          <w:rPr>
            <w:rStyle w:val="Hyperlink"/>
            <w:noProof/>
            <w:sz w:val="21"/>
            <w:szCs w:val="21"/>
          </w:rPr>
          <w:t>4.1</w:t>
        </w:r>
        <w:r w:rsidR="00F83517" w:rsidRPr="002A74AE">
          <w:rPr>
            <w:rFonts w:asciiTheme="minorHAnsi" w:eastAsiaTheme="minorEastAsia" w:hAnsiTheme="minorHAnsi" w:cstheme="minorBidi"/>
            <w:noProof/>
            <w:sz w:val="21"/>
            <w:szCs w:val="21"/>
            <w:lang w:eastAsia="en-NZ"/>
          </w:rPr>
          <w:tab/>
        </w:r>
        <w:r w:rsidR="00F83517" w:rsidRPr="002A74AE">
          <w:rPr>
            <w:rStyle w:val="Hyperlink"/>
            <w:noProof/>
            <w:sz w:val="21"/>
            <w:szCs w:val="21"/>
          </w:rPr>
          <w:t>Introduction</w:t>
        </w:r>
        <w:r w:rsidR="00F83517" w:rsidRPr="002A74AE">
          <w:rPr>
            <w:noProof/>
            <w:webHidden/>
            <w:sz w:val="21"/>
            <w:szCs w:val="21"/>
          </w:rPr>
          <w:tab/>
        </w:r>
        <w:r w:rsidR="00F83517" w:rsidRPr="002A74AE">
          <w:rPr>
            <w:noProof/>
            <w:webHidden/>
            <w:sz w:val="21"/>
            <w:szCs w:val="21"/>
          </w:rPr>
          <w:fldChar w:fldCharType="begin"/>
        </w:r>
        <w:r w:rsidR="00F83517" w:rsidRPr="002A74AE">
          <w:rPr>
            <w:noProof/>
            <w:webHidden/>
            <w:sz w:val="21"/>
            <w:szCs w:val="21"/>
          </w:rPr>
          <w:instrText xml:space="preserve"> PAGEREF _Toc10554010 \h </w:instrText>
        </w:r>
        <w:r w:rsidR="00F83517" w:rsidRPr="002A74AE">
          <w:rPr>
            <w:noProof/>
            <w:webHidden/>
            <w:sz w:val="21"/>
            <w:szCs w:val="21"/>
          </w:rPr>
        </w:r>
        <w:r w:rsidR="00F83517" w:rsidRPr="002A74AE">
          <w:rPr>
            <w:noProof/>
            <w:webHidden/>
            <w:sz w:val="21"/>
            <w:szCs w:val="21"/>
          </w:rPr>
          <w:fldChar w:fldCharType="separate"/>
        </w:r>
        <w:r w:rsidR="00D64346" w:rsidRPr="002A74AE">
          <w:rPr>
            <w:noProof/>
            <w:webHidden/>
            <w:sz w:val="21"/>
            <w:szCs w:val="21"/>
          </w:rPr>
          <w:t>10</w:t>
        </w:r>
        <w:r w:rsidR="00F83517" w:rsidRPr="002A74AE">
          <w:rPr>
            <w:noProof/>
            <w:webHidden/>
            <w:sz w:val="21"/>
            <w:szCs w:val="21"/>
          </w:rPr>
          <w:fldChar w:fldCharType="end"/>
        </w:r>
      </w:hyperlink>
    </w:p>
    <w:p w:rsidR="00F83517" w:rsidRPr="002A74AE" w:rsidRDefault="000A1C6A">
      <w:pPr>
        <w:pStyle w:val="TOC2"/>
        <w:tabs>
          <w:tab w:val="left" w:pos="1100"/>
        </w:tabs>
        <w:rPr>
          <w:rFonts w:asciiTheme="minorHAnsi" w:eastAsiaTheme="minorEastAsia" w:hAnsiTheme="minorHAnsi" w:cstheme="minorBidi"/>
          <w:noProof/>
          <w:sz w:val="21"/>
          <w:szCs w:val="21"/>
          <w:lang w:eastAsia="en-NZ"/>
        </w:rPr>
      </w:pPr>
      <w:hyperlink w:anchor="_Toc10554011" w:history="1">
        <w:r w:rsidR="00F83517" w:rsidRPr="002A74AE">
          <w:rPr>
            <w:rStyle w:val="Hyperlink"/>
            <w:noProof/>
            <w:sz w:val="21"/>
            <w:szCs w:val="21"/>
          </w:rPr>
          <w:t>4.2</w:t>
        </w:r>
        <w:r w:rsidR="00F83517" w:rsidRPr="002A74AE">
          <w:rPr>
            <w:rFonts w:asciiTheme="minorHAnsi" w:eastAsiaTheme="minorEastAsia" w:hAnsiTheme="minorHAnsi" w:cstheme="minorBidi"/>
            <w:noProof/>
            <w:sz w:val="21"/>
            <w:szCs w:val="21"/>
            <w:lang w:eastAsia="en-NZ"/>
          </w:rPr>
          <w:tab/>
        </w:r>
        <w:r w:rsidR="00F83517" w:rsidRPr="002A74AE">
          <w:rPr>
            <w:rStyle w:val="Hyperlink"/>
            <w:noProof/>
            <w:sz w:val="21"/>
            <w:szCs w:val="21"/>
          </w:rPr>
          <w:t>Overall achievement of the Standards</w:t>
        </w:r>
        <w:r w:rsidR="00F83517" w:rsidRPr="002A74AE">
          <w:rPr>
            <w:noProof/>
            <w:webHidden/>
            <w:sz w:val="21"/>
            <w:szCs w:val="21"/>
          </w:rPr>
          <w:tab/>
        </w:r>
        <w:r w:rsidR="00F83517" w:rsidRPr="002A74AE">
          <w:rPr>
            <w:noProof/>
            <w:webHidden/>
            <w:sz w:val="21"/>
            <w:szCs w:val="21"/>
          </w:rPr>
          <w:fldChar w:fldCharType="begin"/>
        </w:r>
        <w:r w:rsidR="00F83517" w:rsidRPr="002A74AE">
          <w:rPr>
            <w:noProof/>
            <w:webHidden/>
            <w:sz w:val="21"/>
            <w:szCs w:val="21"/>
          </w:rPr>
          <w:instrText xml:space="preserve"> PAGEREF _Toc10554011 \h </w:instrText>
        </w:r>
        <w:r w:rsidR="00F83517" w:rsidRPr="002A74AE">
          <w:rPr>
            <w:noProof/>
            <w:webHidden/>
            <w:sz w:val="21"/>
            <w:szCs w:val="21"/>
          </w:rPr>
        </w:r>
        <w:r w:rsidR="00F83517" w:rsidRPr="002A74AE">
          <w:rPr>
            <w:noProof/>
            <w:webHidden/>
            <w:sz w:val="21"/>
            <w:szCs w:val="21"/>
          </w:rPr>
          <w:fldChar w:fldCharType="separate"/>
        </w:r>
        <w:r w:rsidR="00D64346" w:rsidRPr="002A74AE">
          <w:rPr>
            <w:noProof/>
            <w:webHidden/>
            <w:sz w:val="21"/>
            <w:szCs w:val="21"/>
          </w:rPr>
          <w:t>11</w:t>
        </w:r>
        <w:r w:rsidR="00F83517" w:rsidRPr="002A74AE">
          <w:rPr>
            <w:noProof/>
            <w:webHidden/>
            <w:sz w:val="21"/>
            <w:szCs w:val="21"/>
          </w:rPr>
          <w:fldChar w:fldCharType="end"/>
        </w:r>
      </w:hyperlink>
    </w:p>
    <w:p w:rsidR="00F83517" w:rsidRPr="002A74AE" w:rsidRDefault="000A1C6A">
      <w:pPr>
        <w:pStyle w:val="TOC2"/>
        <w:tabs>
          <w:tab w:val="left" w:pos="1100"/>
        </w:tabs>
        <w:rPr>
          <w:rFonts w:asciiTheme="minorHAnsi" w:eastAsiaTheme="minorEastAsia" w:hAnsiTheme="minorHAnsi" w:cstheme="minorBidi"/>
          <w:noProof/>
          <w:sz w:val="21"/>
          <w:szCs w:val="21"/>
          <w:lang w:eastAsia="en-NZ"/>
        </w:rPr>
      </w:pPr>
      <w:hyperlink w:anchor="_Toc10554012" w:history="1">
        <w:r w:rsidR="00F83517" w:rsidRPr="002A74AE">
          <w:rPr>
            <w:rStyle w:val="Hyperlink"/>
            <w:noProof/>
            <w:sz w:val="21"/>
            <w:szCs w:val="21"/>
          </w:rPr>
          <w:t>4.3</w:t>
        </w:r>
        <w:r w:rsidR="00F83517" w:rsidRPr="002A74AE">
          <w:rPr>
            <w:rFonts w:asciiTheme="minorHAnsi" w:eastAsiaTheme="minorEastAsia" w:hAnsiTheme="minorHAnsi" w:cstheme="minorBidi"/>
            <w:noProof/>
            <w:sz w:val="21"/>
            <w:szCs w:val="21"/>
            <w:lang w:eastAsia="en-NZ"/>
          </w:rPr>
          <w:tab/>
        </w:r>
        <w:r w:rsidR="00F83517" w:rsidRPr="002A74AE">
          <w:rPr>
            <w:rStyle w:val="Hyperlink"/>
            <w:noProof/>
            <w:sz w:val="21"/>
            <w:szCs w:val="21"/>
          </w:rPr>
          <w:t>Comparison by size category</w:t>
        </w:r>
        <w:r w:rsidR="00F83517" w:rsidRPr="002A74AE">
          <w:rPr>
            <w:noProof/>
            <w:webHidden/>
            <w:sz w:val="21"/>
            <w:szCs w:val="21"/>
          </w:rPr>
          <w:tab/>
        </w:r>
        <w:r w:rsidR="00F83517" w:rsidRPr="002A74AE">
          <w:rPr>
            <w:noProof/>
            <w:webHidden/>
            <w:sz w:val="21"/>
            <w:szCs w:val="21"/>
          </w:rPr>
          <w:fldChar w:fldCharType="begin"/>
        </w:r>
        <w:r w:rsidR="00F83517" w:rsidRPr="002A74AE">
          <w:rPr>
            <w:noProof/>
            <w:webHidden/>
            <w:sz w:val="21"/>
            <w:szCs w:val="21"/>
          </w:rPr>
          <w:instrText xml:space="preserve"> PAGEREF _Toc10554012 \h </w:instrText>
        </w:r>
        <w:r w:rsidR="00F83517" w:rsidRPr="002A74AE">
          <w:rPr>
            <w:noProof/>
            <w:webHidden/>
            <w:sz w:val="21"/>
            <w:szCs w:val="21"/>
          </w:rPr>
        </w:r>
        <w:r w:rsidR="00F83517" w:rsidRPr="002A74AE">
          <w:rPr>
            <w:noProof/>
            <w:webHidden/>
            <w:sz w:val="21"/>
            <w:szCs w:val="21"/>
          </w:rPr>
          <w:fldChar w:fldCharType="separate"/>
        </w:r>
        <w:r w:rsidR="00D64346" w:rsidRPr="002A74AE">
          <w:rPr>
            <w:noProof/>
            <w:webHidden/>
            <w:sz w:val="21"/>
            <w:szCs w:val="21"/>
          </w:rPr>
          <w:t>12</w:t>
        </w:r>
        <w:r w:rsidR="00F83517" w:rsidRPr="002A74AE">
          <w:rPr>
            <w:noProof/>
            <w:webHidden/>
            <w:sz w:val="21"/>
            <w:szCs w:val="21"/>
          </w:rPr>
          <w:fldChar w:fldCharType="end"/>
        </w:r>
      </w:hyperlink>
    </w:p>
    <w:p w:rsidR="00F83517" w:rsidRPr="002A74AE" w:rsidRDefault="000A1C6A">
      <w:pPr>
        <w:pStyle w:val="TOC2"/>
        <w:tabs>
          <w:tab w:val="left" w:pos="1100"/>
        </w:tabs>
        <w:rPr>
          <w:rFonts w:asciiTheme="minorHAnsi" w:eastAsiaTheme="minorEastAsia" w:hAnsiTheme="minorHAnsi" w:cstheme="minorBidi"/>
          <w:noProof/>
          <w:sz w:val="21"/>
          <w:szCs w:val="21"/>
          <w:lang w:eastAsia="en-NZ"/>
        </w:rPr>
      </w:pPr>
      <w:hyperlink w:anchor="_Toc10554013" w:history="1">
        <w:r w:rsidR="00F83517" w:rsidRPr="002A74AE">
          <w:rPr>
            <w:rStyle w:val="Hyperlink"/>
            <w:noProof/>
            <w:sz w:val="21"/>
            <w:szCs w:val="21"/>
          </w:rPr>
          <w:t>4.4</w:t>
        </w:r>
        <w:r w:rsidR="00F83517" w:rsidRPr="002A74AE">
          <w:rPr>
            <w:rFonts w:asciiTheme="minorHAnsi" w:eastAsiaTheme="minorEastAsia" w:hAnsiTheme="minorHAnsi" w:cstheme="minorBidi"/>
            <w:noProof/>
            <w:sz w:val="21"/>
            <w:szCs w:val="21"/>
            <w:lang w:eastAsia="en-NZ"/>
          </w:rPr>
          <w:tab/>
        </w:r>
        <w:r w:rsidR="00F83517" w:rsidRPr="002A74AE">
          <w:rPr>
            <w:rStyle w:val="Hyperlink"/>
            <w:noProof/>
            <w:sz w:val="21"/>
            <w:szCs w:val="21"/>
          </w:rPr>
          <w:t>Meeting the bacteriological Standards</w:t>
        </w:r>
        <w:r w:rsidR="00F83517" w:rsidRPr="002A74AE">
          <w:rPr>
            <w:noProof/>
            <w:webHidden/>
            <w:sz w:val="21"/>
            <w:szCs w:val="21"/>
          </w:rPr>
          <w:tab/>
        </w:r>
        <w:r w:rsidR="00F83517" w:rsidRPr="002A74AE">
          <w:rPr>
            <w:noProof/>
            <w:webHidden/>
            <w:sz w:val="21"/>
            <w:szCs w:val="21"/>
          </w:rPr>
          <w:fldChar w:fldCharType="begin"/>
        </w:r>
        <w:r w:rsidR="00F83517" w:rsidRPr="002A74AE">
          <w:rPr>
            <w:noProof/>
            <w:webHidden/>
            <w:sz w:val="21"/>
            <w:szCs w:val="21"/>
          </w:rPr>
          <w:instrText xml:space="preserve"> PAGEREF _Toc10554013 \h </w:instrText>
        </w:r>
        <w:r w:rsidR="00F83517" w:rsidRPr="002A74AE">
          <w:rPr>
            <w:noProof/>
            <w:webHidden/>
            <w:sz w:val="21"/>
            <w:szCs w:val="21"/>
          </w:rPr>
        </w:r>
        <w:r w:rsidR="00F83517" w:rsidRPr="002A74AE">
          <w:rPr>
            <w:noProof/>
            <w:webHidden/>
            <w:sz w:val="21"/>
            <w:szCs w:val="21"/>
          </w:rPr>
          <w:fldChar w:fldCharType="separate"/>
        </w:r>
        <w:r w:rsidR="00D64346" w:rsidRPr="002A74AE">
          <w:rPr>
            <w:noProof/>
            <w:webHidden/>
            <w:sz w:val="21"/>
            <w:szCs w:val="21"/>
          </w:rPr>
          <w:t>13</w:t>
        </w:r>
        <w:r w:rsidR="00F83517" w:rsidRPr="002A74AE">
          <w:rPr>
            <w:noProof/>
            <w:webHidden/>
            <w:sz w:val="21"/>
            <w:szCs w:val="21"/>
          </w:rPr>
          <w:fldChar w:fldCharType="end"/>
        </w:r>
      </w:hyperlink>
    </w:p>
    <w:p w:rsidR="00F83517" w:rsidRPr="002A74AE" w:rsidRDefault="000A1C6A">
      <w:pPr>
        <w:pStyle w:val="TOC2"/>
        <w:tabs>
          <w:tab w:val="left" w:pos="1100"/>
        </w:tabs>
        <w:rPr>
          <w:rFonts w:asciiTheme="minorHAnsi" w:eastAsiaTheme="minorEastAsia" w:hAnsiTheme="minorHAnsi" w:cstheme="minorBidi"/>
          <w:noProof/>
          <w:sz w:val="21"/>
          <w:szCs w:val="21"/>
          <w:lang w:eastAsia="en-NZ"/>
        </w:rPr>
      </w:pPr>
      <w:hyperlink w:anchor="_Toc10554014" w:history="1">
        <w:r w:rsidR="00F83517" w:rsidRPr="002A74AE">
          <w:rPr>
            <w:rStyle w:val="Hyperlink"/>
            <w:noProof/>
            <w:sz w:val="21"/>
            <w:szCs w:val="21"/>
          </w:rPr>
          <w:t>4.5</w:t>
        </w:r>
        <w:r w:rsidR="00F83517" w:rsidRPr="002A74AE">
          <w:rPr>
            <w:rFonts w:asciiTheme="minorHAnsi" w:eastAsiaTheme="minorEastAsia" w:hAnsiTheme="minorHAnsi" w:cstheme="minorBidi"/>
            <w:noProof/>
            <w:sz w:val="21"/>
            <w:szCs w:val="21"/>
            <w:lang w:eastAsia="en-NZ"/>
          </w:rPr>
          <w:tab/>
        </w:r>
        <w:r w:rsidR="00F83517" w:rsidRPr="002A74AE">
          <w:rPr>
            <w:rStyle w:val="Hyperlink"/>
            <w:noProof/>
            <w:sz w:val="21"/>
            <w:szCs w:val="21"/>
          </w:rPr>
          <w:t>Public health significance of bacteriological transgressions</w:t>
        </w:r>
        <w:r w:rsidR="00F83517" w:rsidRPr="002A74AE">
          <w:rPr>
            <w:noProof/>
            <w:webHidden/>
            <w:sz w:val="21"/>
            <w:szCs w:val="21"/>
          </w:rPr>
          <w:tab/>
        </w:r>
        <w:r w:rsidR="00F83517" w:rsidRPr="002A74AE">
          <w:rPr>
            <w:noProof/>
            <w:webHidden/>
            <w:sz w:val="21"/>
            <w:szCs w:val="21"/>
          </w:rPr>
          <w:fldChar w:fldCharType="begin"/>
        </w:r>
        <w:r w:rsidR="00F83517" w:rsidRPr="002A74AE">
          <w:rPr>
            <w:noProof/>
            <w:webHidden/>
            <w:sz w:val="21"/>
            <w:szCs w:val="21"/>
          </w:rPr>
          <w:instrText xml:space="preserve"> PAGEREF _Toc10554014 \h </w:instrText>
        </w:r>
        <w:r w:rsidR="00F83517" w:rsidRPr="002A74AE">
          <w:rPr>
            <w:noProof/>
            <w:webHidden/>
            <w:sz w:val="21"/>
            <w:szCs w:val="21"/>
          </w:rPr>
        </w:r>
        <w:r w:rsidR="00F83517" w:rsidRPr="002A74AE">
          <w:rPr>
            <w:noProof/>
            <w:webHidden/>
            <w:sz w:val="21"/>
            <w:szCs w:val="21"/>
          </w:rPr>
          <w:fldChar w:fldCharType="separate"/>
        </w:r>
        <w:r w:rsidR="00D64346" w:rsidRPr="002A74AE">
          <w:rPr>
            <w:noProof/>
            <w:webHidden/>
            <w:sz w:val="21"/>
            <w:szCs w:val="21"/>
          </w:rPr>
          <w:t>14</w:t>
        </w:r>
        <w:r w:rsidR="00F83517" w:rsidRPr="002A74AE">
          <w:rPr>
            <w:noProof/>
            <w:webHidden/>
            <w:sz w:val="21"/>
            <w:szCs w:val="21"/>
          </w:rPr>
          <w:fldChar w:fldCharType="end"/>
        </w:r>
      </w:hyperlink>
    </w:p>
    <w:p w:rsidR="00F83517" w:rsidRPr="002A74AE" w:rsidRDefault="000A1C6A">
      <w:pPr>
        <w:pStyle w:val="TOC2"/>
        <w:tabs>
          <w:tab w:val="left" w:pos="1100"/>
        </w:tabs>
        <w:rPr>
          <w:rFonts w:asciiTheme="minorHAnsi" w:eastAsiaTheme="minorEastAsia" w:hAnsiTheme="minorHAnsi" w:cstheme="minorBidi"/>
          <w:noProof/>
          <w:sz w:val="21"/>
          <w:szCs w:val="21"/>
          <w:lang w:eastAsia="en-NZ"/>
        </w:rPr>
      </w:pPr>
      <w:hyperlink w:anchor="_Toc10554015" w:history="1">
        <w:r w:rsidR="00F83517" w:rsidRPr="002A74AE">
          <w:rPr>
            <w:rStyle w:val="Hyperlink"/>
            <w:noProof/>
            <w:sz w:val="21"/>
            <w:szCs w:val="21"/>
          </w:rPr>
          <w:t>4.6</w:t>
        </w:r>
        <w:r w:rsidR="00F83517" w:rsidRPr="002A74AE">
          <w:rPr>
            <w:rFonts w:asciiTheme="minorHAnsi" w:eastAsiaTheme="minorEastAsia" w:hAnsiTheme="minorHAnsi" w:cstheme="minorBidi"/>
            <w:noProof/>
            <w:sz w:val="21"/>
            <w:szCs w:val="21"/>
            <w:lang w:eastAsia="en-NZ"/>
          </w:rPr>
          <w:tab/>
        </w:r>
        <w:r w:rsidR="00F83517" w:rsidRPr="002A74AE">
          <w:rPr>
            <w:rStyle w:val="Hyperlink"/>
            <w:noProof/>
            <w:sz w:val="21"/>
            <w:szCs w:val="21"/>
          </w:rPr>
          <w:t>Meeting the protozoal Standards</w:t>
        </w:r>
        <w:r w:rsidR="00F83517" w:rsidRPr="002A74AE">
          <w:rPr>
            <w:noProof/>
            <w:webHidden/>
            <w:sz w:val="21"/>
            <w:szCs w:val="21"/>
          </w:rPr>
          <w:tab/>
        </w:r>
        <w:r w:rsidR="00F83517" w:rsidRPr="002A74AE">
          <w:rPr>
            <w:noProof/>
            <w:webHidden/>
            <w:sz w:val="21"/>
            <w:szCs w:val="21"/>
          </w:rPr>
          <w:fldChar w:fldCharType="begin"/>
        </w:r>
        <w:r w:rsidR="00F83517" w:rsidRPr="002A74AE">
          <w:rPr>
            <w:noProof/>
            <w:webHidden/>
            <w:sz w:val="21"/>
            <w:szCs w:val="21"/>
          </w:rPr>
          <w:instrText xml:space="preserve"> PAGEREF _Toc10554015 \h </w:instrText>
        </w:r>
        <w:r w:rsidR="00F83517" w:rsidRPr="002A74AE">
          <w:rPr>
            <w:noProof/>
            <w:webHidden/>
            <w:sz w:val="21"/>
            <w:szCs w:val="21"/>
          </w:rPr>
        </w:r>
        <w:r w:rsidR="00F83517" w:rsidRPr="002A74AE">
          <w:rPr>
            <w:noProof/>
            <w:webHidden/>
            <w:sz w:val="21"/>
            <w:szCs w:val="21"/>
          </w:rPr>
          <w:fldChar w:fldCharType="separate"/>
        </w:r>
        <w:r w:rsidR="00D64346" w:rsidRPr="002A74AE">
          <w:rPr>
            <w:noProof/>
            <w:webHidden/>
            <w:sz w:val="21"/>
            <w:szCs w:val="21"/>
          </w:rPr>
          <w:t>15</w:t>
        </w:r>
        <w:r w:rsidR="00F83517" w:rsidRPr="002A74AE">
          <w:rPr>
            <w:noProof/>
            <w:webHidden/>
            <w:sz w:val="21"/>
            <w:szCs w:val="21"/>
          </w:rPr>
          <w:fldChar w:fldCharType="end"/>
        </w:r>
      </w:hyperlink>
    </w:p>
    <w:p w:rsidR="00F83517" w:rsidRPr="002A74AE" w:rsidRDefault="000A1C6A">
      <w:pPr>
        <w:pStyle w:val="TOC2"/>
        <w:tabs>
          <w:tab w:val="left" w:pos="1100"/>
        </w:tabs>
        <w:rPr>
          <w:rFonts w:asciiTheme="minorHAnsi" w:eastAsiaTheme="minorEastAsia" w:hAnsiTheme="minorHAnsi" w:cstheme="minorBidi"/>
          <w:noProof/>
          <w:sz w:val="21"/>
          <w:szCs w:val="21"/>
          <w:lang w:eastAsia="en-NZ"/>
        </w:rPr>
      </w:pPr>
      <w:hyperlink w:anchor="_Toc10554016" w:history="1">
        <w:r w:rsidR="00F83517" w:rsidRPr="002A74AE">
          <w:rPr>
            <w:rStyle w:val="Hyperlink"/>
            <w:noProof/>
            <w:sz w:val="21"/>
            <w:szCs w:val="21"/>
          </w:rPr>
          <w:t>4.7</w:t>
        </w:r>
        <w:r w:rsidR="00F83517" w:rsidRPr="002A74AE">
          <w:rPr>
            <w:rFonts w:asciiTheme="minorHAnsi" w:eastAsiaTheme="minorEastAsia" w:hAnsiTheme="minorHAnsi" w:cstheme="minorBidi"/>
            <w:noProof/>
            <w:sz w:val="21"/>
            <w:szCs w:val="21"/>
            <w:lang w:eastAsia="en-NZ"/>
          </w:rPr>
          <w:tab/>
        </w:r>
        <w:r w:rsidR="00F83517" w:rsidRPr="002A74AE">
          <w:rPr>
            <w:rStyle w:val="Hyperlink"/>
            <w:noProof/>
            <w:sz w:val="21"/>
            <w:szCs w:val="21"/>
          </w:rPr>
          <w:t>Meeting the chemical Standards</w:t>
        </w:r>
        <w:r w:rsidR="00F83517" w:rsidRPr="002A74AE">
          <w:rPr>
            <w:noProof/>
            <w:webHidden/>
            <w:sz w:val="21"/>
            <w:szCs w:val="21"/>
          </w:rPr>
          <w:tab/>
        </w:r>
        <w:r w:rsidR="00F83517" w:rsidRPr="002A74AE">
          <w:rPr>
            <w:noProof/>
            <w:webHidden/>
            <w:sz w:val="21"/>
            <w:szCs w:val="21"/>
          </w:rPr>
          <w:fldChar w:fldCharType="begin"/>
        </w:r>
        <w:r w:rsidR="00F83517" w:rsidRPr="002A74AE">
          <w:rPr>
            <w:noProof/>
            <w:webHidden/>
            <w:sz w:val="21"/>
            <w:szCs w:val="21"/>
          </w:rPr>
          <w:instrText xml:space="preserve"> PAGEREF _Toc10554016 \h </w:instrText>
        </w:r>
        <w:r w:rsidR="00F83517" w:rsidRPr="002A74AE">
          <w:rPr>
            <w:noProof/>
            <w:webHidden/>
            <w:sz w:val="21"/>
            <w:szCs w:val="21"/>
          </w:rPr>
        </w:r>
        <w:r w:rsidR="00F83517" w:rsidRPr="002A74AE">
          <w:rPr>
            <w:noProof/>
            <w:webHidden/>
            <w:sz w:val="21"/>
            <w:szCs w:val="21"/>
          </w:rPr>
          <w:fldChar w:fldCharType="separate"/>
        </w:r>
        <w:r w:rsidR="00D64346" w:rsidRPr="002A74AE">
          <w:rPr>
            <w:noProof/>
            <w:webHidden/>
            <w:sz w:val="21"/>
            <w:szCs w:val="21"/>
          </w:rPr>
          <w:t>16</w:t>
        </w:r>
        <w:r w:rsidR="00F83517" w:rsidRPr="002A74AE">
          <w:rPr>
            <w:noProof/>
            <w:webHidden/>
            <w:sz w:val="21"/>
            <w:szCs w:val="21"/>
          </w:rPr>
          <w:fldChar w:fldCharType="end"/>
        </w:r>
      </w:hyperlink>
    </w:p>
    <w:p w:rsidR="00F83517" w:rsidRPr="002A74AE" w:rsidRDefault="000A1C6A">
      <w:pPr>
        <w:pStyle w:val="TOC2"/>
        <w:tabs>
          <w:tab w:val="left" w:pos="1100"/>
        </w:tabs>
        <w:rPr>
          <w:rFonts w:asciiTheme="minorHAnsi" w:eastAsiaTheme="minorEastAsia" w:hAnsiTheme="minorHAnsi" w:cstheme="minorBidi"/>
          <w:noProof/>
          <w:sz w:val="21"/>
          <w:szCs w:val="21"/>
          <w:lang w:eastAsia="en-NZ"/>
        </w:rPr>
      </w:pPr>
      <w:hyperlink w:anchor="_Toc10554017" w:history="1">
        <w:r w:rsidR="00F83517" w:rsidRPr="002A74AE">
          <w:rPr>
            <w:rStyle w:val="Hyperlink"/>
            <w:noProof/>
            <w:sz w:val="21"/>
            <w:szCs w:val="21"/>
          </w:rPr>
          <w:t>4.8</w:t>
        </w:r>
        <w:r w:rsidR="00F83517" w:rsidRPr="002A74AE">
          <w:rPr>
            <w:rFonts w:asciiTheme="minorHAnsi" w:eastAsiaTheme="minorEastAsia" w:hAnsiTheme="minorHAnsi" w:cstheme="minorBidi"/>
            <w:noProof/>
            <w:sz w:val="21"/>
            <w:szCs w:val="21"/>
            <w:lang w:eastAsia="en-NZ"/>
          </w:rPr>
          <w:tab/>
        </w:r>
        <w:r w:rsidR="00F83517" w:rsidRPr="002A74AE">
          <w:rPr>
            <w:rStyle w:val="Hyperlink"/>
            <w:noProof/>
            <w:sz w:val="21"/>
            <w:szCs w:val="21"/>
          </w:rPr>
          <w:t>Public health significance of chemical transgressions</w:t>
        </w:r>
        <w:r w:rsidR="00F83517" w:rsidRPr="002A74AE">
          <w:rPr>
            <w:noProof/>
            <w:webHidden/>
            <w:sz w:val="21"/>
            <w:szCs w:val="21"/>
          </w:rPr>
          <w:tab/>
        </w:r>
        <w:r w:rsidR="00F83517" w:rsidRPr="002A74AE">
          <w:rPr>
            <w:noProof/>
            <w:webHidden/>
            <w:sz w:val="21"/>
            <w:szCs w:val="21"/>
          </w:rPr>
          <w:fldChar w:fldCharType="begin"/>
        </w:r>
        <w:r w:rsidR="00F83517" w:rsidRPr="002A74AE">
          <w:rPr>
            <w:noProof/>
            <w:webHidden/>
            <w:sz w:val="21"/>
            <w:szCs w:val="21"/>
          </w:rPr>
          <w:instrText xml:space="preserve"> PAGEREF _Toc10554017 \h </w:instrText>
        </w:r>
        <w:r w:rsidR="00F83517" w:rsidRPr="002A74AE">
          <w:rPr>
            <w:noProof/>
            <w:webHidden/>
            <w:sz w:val="21"/>
            <w:szCs w:val="21"/>
          </w:rPr>
        </w:r>
        <w:r w:rsidR="00F83517" w:rsidRPr="002A74AE">
          <w:rPr>
            <w:noProof/>
            <w:webHidden/>
            <w:sz w:val="21"/>
            <w:szCs w:val="21"/>
          </w:rPr>
          <w:fldChar w:fldCharType="separate"/>
        </w:r>
        <w:r w:rsidR="00D64346" w:rsidRPr="002A74AE">
          <w:rPr>
            <w:noProof/>
            <w:webHidden/>
            <w:sz w:val="21"/>
            <w:szCs w:val="21"/>
          </w:rPr>
          <w:t>18</w:t>
        </w:r>
        <w:r w:rsidR="00F83517" w:rsidRPr="002A74AE">
          <w:rPr>
            <w:noProof/>
            <w:webHidden/>
            <w:sz w:val="21"/>
            <w:szCs w:val="21"/>
          </w:rPr>
          <w:fldChar w:fldCharType="end"/>
        </w:r>
      </w:hyperlink>
    </w:p>
    <w:p w:rsidR="00F83517" w:rsidRPr="002A74AE" w:rsidRDefault="000A1C6A">
      <w:pPr>
        <w:pStyle w:val="TOC2"/>
        <w:tabs>
          <w:tab w:val="left" w:pos="1100"/>
        </w:tabs>
        <w:rPr>
          <w:rFonts w:asciiTheme="minorHAnsi" w:eastAsiaTheme="minorEastAsia" w:hAnsiTheme="minorHAnsi" w:cstheme="minorBidi"/>
          <w:noProof/>
          <w:sz w:val="21"/>
          <w:szCs w:val="21"/>
          <w:lang w:eastAsia="en-NZ"/>
        </w:rPr>
      </w:pPr>
      <w:hyperlink w:anchor="_Toc10554018" w:history="1">
        <w:r w:rsidR="00F83517" w:rsidRPr="002A74AE">
          <w:rPr>
            <w:rStyle w:val="Hyperlink"/>
            <w:noProof/>
            <w:sz w:val="21"/>
            <w:szCs w:val="21"/>
          </w:rPr>
          <w:t>4.9</w:t>
        </w:r>
        <w:r w:rsidR="00F83517" w:rsidRPr="002A74AE">
          <w:rPr>
            <w:rFonts w:asciiTheme="minorHAnsi" w:eastAsiaTheme="minorEastAsia" w:hAnsiTheme="minorHAnsi" w:cstheme="minorBidi"/>
            <w:noProof/>
            <w:sz w:val="21"/>
            <w:szCs w:val="21"/>
            <w:lang w:eastAsia="en-NZ"/>
          </w:rPr>
          <w:tab/>
        </w:r>
        <w:r w:rsidR="00F83517" w:rsidRPr="002A74AE">
          <w:rPr>
            <w:rStyle w:val="Hyperlink"/>
            <w:noProof/>
            <w:sz w:val="21"/>
            <w:szCs w:val="21"/>
          </w:rPr>
          <w:t>Monitoring</w:t>
        </w:r>
        <w:r w:rsidR="00F83517" w:rsidRPr="002A74AE">
          <w:rPr>
            <w:noProof/>
            <w:webHidden/>
            <w:sz w:val="21"/>
            <w:szCs w:val="21"/>
          </w:rPr>
          <w:tab/>
        </w:r>
        <w:r w:rsidR="00F83517" w:rsidRPr="002A74AE">
          <w:rPr>
            <w:noProof/>
            <w:webHidden/>
            <w:sz w:val="21"/>
            <w:szCs w:val="21"/>
          </w:rPr>
          <w:fldChar w:fldCharType="begin"/>
        </w:r>
        <w:r w:rsidR="00F83517" w:rsidRPr="002A74AE">
          <w:rPr>
            <w:noProof/>
            <w:webHidden/>
            <w:sz w:val="21"/>
            <w:szCs w:val="21"/>
          </w:rPr>
          <w:instrText xml:space="preserve"> PAGEREF _Toc10554018 \h </w:instrText>
        </w:r>
        <w:r w:rsidR="00F83517" w:rsidRPr="002A74AE">
          <w:rPr>
            <w:noProof/>
            <w:webHidden/>
            <w:sz w:val="21"/>
            <w:szCs w:val="21"/>
          </w:rPr>
        </w:r>
        <w:r w:rsidR="00F83517" w:rsidRPr="002A74AE">
          <w:rPr>
            <w:noProof/>
            <w:webHidden/>
            <w:sz w:val="21"/>
            <w:szCs w:val="21"/>
          </w:rPr>
          <w:fldChar w:fldCharType="separate"/>
        </w:r>
        <w:r w:rsidR="00D64346" w:rsidRPr="002A74AE">
          <w:rPr>
            <w:noProof/>
            <w:webHidden/>
            <w:sz w:val="21"/>
            <w:szCs w:val="21"/>
          </w:rPr>
          <w:t>18</w:t>
        </w:r>
        <w:r w:rsidR="00F83517" w:rsidRPr="002A74AE">
          <w:rPr>
            <w:noProof/>
            <w:webHidden/>
            <w:sz w:val="21"/>
            <w:szCs w:val="21"/>
          </w:rPr>
          <w:fldChar w:fldCharType="end"/>
        </w:r>
      </w:hyperlink>
    </w:p>
    <w:p w:rsidR="00F83517" w:rsidRDefault="000A1C6A">
      <w:pPr>
        <w:pStyle w:val="TOC1"/>
        <w:rPr>
          <w:rFonts w:asciiTheme="minorHAnsi" w:eastAsiaTheme="minorEastAsia" w:hAnsiTheme="minorHAnsi" w:cstheme="minorBidi"/>
          <w:noProof/>
          <w:sz w:val="22"/>
          <w:szCs w:val="22"/>
          <w:lang w:eastAsia="en-NZ"/>
        </w:rPr>
      </w:pPr>
      <w:hyperlink w:anchor="_Toc10554019" w:history="1">
        <w:r w:rsidR="00F83517" w:rsidRPr="00E5324A">
          <w:rPr>
            <w:rStyle w:val="Hyperlink"/>
            <w:noProof/>
          </w:rPr>
          <w:t>5</w:t>
        </w:r>
        <w:r w:rsidR="00F83517">
          <w:rPr>
            <w:rFonts w:asciiTheme="minorHAnsi" w:eastAsiaTheme="minorEastAsia" w:hAnsiTheme="minorHAnsi" w:cstheme="minorBidi"/>
            <w:noProof/>
            <w:sz w:val="22"/>
            <w:szCs w:val="22"/>
            <w:lang w:eastAsia="en-NZ"/>
          </w:rPr>
          <w:tab/>
        </w:r>
        <w:r w:rsidR="00F83517" w:rsidRPr="00E5324A">
          <w:rPr>
            <w:rStyle w:val="Hyperlink"/>
            <w:rFonts w:eastAsiaTheme="majorEastAsia"/>
            <w:noProof/>
          </w:rPr>
          <w:t>Research and project work</w:t>
        </w:r>
        <w:r w:rsidR="00F83517">
          <w:rPr>
            <w:noProof/>
            <w:webHidden/>
          </w:rPr>
          <w:tab/>
        </w:r>
        <w:r w:rsidR="00F83517">
          <w:rPr>
            <w:noProof/>
            <w:webHidden/>
          </w:rPr>
          <w:fldChar w:fldCharType="begin"/>
        </w:r>
        <w:r w:rsidR="00F83517">
          <w:rPr>
            <w:noProof/>
            <w:webHidden/>
          </w:rPr>
          <w:instrText xml:space="preserve"> PAGEREF _Toc10554019 \h </w:instrText>
        </w:r>
        <w:r w:rsidR="00F83517">
          <w:rPr>
            <w:noProof/>
            <w:webHidden/>
          </w:rPr>
        </w:r>
        <w:r w:rsidR="00F83517">
          <w:rPr>
            <w:noProof/>
            <w:webHidden/>
          </w:rPr>
          <w:fldChar w:fldCharType="separate"/>
        </w:r>
        <w:r w:rsidR="00D64346">
          <w:rPr>
            <w:noProof/>
            <w:webHidden/>
          </w:rPr>
          <w:t>20</w:t>
        </w:r>
        <w:r w:rsidR="00F83517">
          <w:rPr>
            <w:noProof/>
            <w:webHidden/>
          </w:rPr>
          <w:fldChar w:fldCharType="end"/>
        </w:r>
      </w:hyperlink>
    </w:p>
    <w:p w:rsidR="00C86248" w:rsidRDefault="00BE5BFB">
      <w:r>
        <w:rPr>
          <w:rFonts w:ascii="Segoe UI Semibold" w:hAnsi="Segoe UI Semibold"/>
          <w:b/>
          <w:sz w:val="24"/>
        </w:rPr>
        <w:fldChar w:fldCharType="end"/>
      </w:r>
    </w:p>
    <w:p w:rsidR="002B76A7" w:rsidRDefault="002B76A7" w:rsidP="002A74AE">
      <w:pPr>
        <w:pStyle w:val="TOC1"/>
        <w:keepNext/>
        <w:spacing w:before="0"/>
      </w:pPr>
      <w:r>
        <w:t>List of Tables</w:t>
      </w:r>
    </w:p>
    <w:p w:rsidR="00BE5BFB" w:rsidRDefault="00BE5BFB">
      <w:pPr>
        <w:pStyle w:val="TOC3"/>
        <w:rPr>
          <w:rFonts w:asciiTheme="minorHAnsi" w:eastAsiaTheme="minorEastAsia" w:hAnsiTheme="minorHAnsi" w:cstheme="minorBidi"/>
          <w:noProof/>
          <w:sz w:val="22"/>
          <w:szCs w:val="22"/>
          <w:lang w:eastAsia="en-NZ"/>
        </w:rPr>
      </w:pPr>
      <w:r>
        <w:rPr>
          <w:sz w:val="20"/>
        </w:rPr>
        <w:fldChar w:fldCharType="begin"/>
      </w:r>
      <w:r>
        <w:rPr>
          <w:sz w:val="20"/>
        </w:rPr>
        <w:instrText xml:space="preserve"> TOC \h \z \t "Table,3" </w:instrText>
      </w:r>
      <w:r>
        <w:rPr>
          <w:sz w:val="20"/>
        </w:rPr>
        <w:fldChar w:fldCharType="separate"/>
      </w:r>
      <w:hyperlink w:anchor="_Toc9846294" w:history="1">
        <w:r w:rsidRPr="00E01D10">
          <w:rPr>
            <w:rStyle w:val="Hyperlink"/>
            <w:noProof/>
          </w:rPr>
          <w:t>Table 1: Compliance with the Act in previous and current reporting periods</w:t>
        </w:r>
        <w:r>
          <w:rPr>
            <w:noProof/>
            <w:webHidden/>
          </w:rPr>
          <w:tab/>
        </w:r>
        <w:r>
          <w:rPr>
            <w:noProof/>
            <w:webHidden/>
          </w:rPr>
          <w:fldChar w:fldCharType="begin"/>
        </w:r>
        <w:r>
          <w:rPr>
            <w:noProof/>
            <w:webHidden/>
          </w:rPr>
          <w:instrText xml:space="preserve"> PAGEREF _Toc9846294 \h </w:instrText>
        </w:r>
        <w:r>
          <w:rPr>
            <w:noProof/>
            <w:webHidden/>
          </w:rPr>
        </w:r>
        <w:r>
          <w:rPr>
            <w:noProof/>
            <w:webHidden/>
          </w:rPr>
          <w:fldChar w:fldCharType="separate"/>
        </w:r>
        <w:r>
          <w:rPr>
            <w:noProof/>
            <w:webHidden/>
          </w:rPr>
          <w:t>4</w:t>
        </w:r>
        <w:r>
          <w:rPr>
            <w:noProof/>
            <w:webHidden/>
          </w:rPr>
          <w:fldChar w:fldCharType="end"/>
        </w:r>
      </w:hyperlink>
    </w:p>
    <w:p w:rsidR="00BE5BFB" w:rsidRDefault="000A1C6A">
      <w:pPr>
        <w:pStyle w:val="TOC3"/>
        <w:rPr>
          <w:rFonts w:asciiTheme="minorHAnsi" w:eastAsiaTheme="minorEastAsia" w:hAnsiTheme="minorHAnsi" w:cstheme="minorBidi"/>
          <w:noProof/>
          <w:sz w:val="22"/>
          <w:szCs w:val="22"/>
          <w:lang w:eastAsia="en-NZ"/>
        </w:rPr>
      </w:pPr>
      <w:hyperlink w:anchor="_Toc9846295" w:history="1">
        <w:r w:rsidR="00BE5BFB" w:rsidRPr="00E01D10">
          <w:rPr>
            <w:rStyle w:val="Hyperlink"/>
            <w:noProof/>
          </w:rPr>
          <w:t>Table 2: Compliance rates with the Act, by supply size</w:t>
        </w:r>
        <w:r w:rsidR="00BE5BFB">
          <w:rPr>
            <w:noProof/>
            <w:webHidden/>
          </w:rPr>
          <w:tab/>
        </w:r>
        <w:r w:rsidR="00BE5BFB">
          <w:rPr>
            <w:noProof/>
            <w:webHidden/>
          </w:rPr>
          <w:fldChar w:fldCharType="begin"/>
        </w:r>
        <w:r w:rsidR="00BE5BFB">
          <w:rPr>
            <w:noProof/>
            <w:webHidden/>
          </w:rPr>
          <w:instrText xml:space="preserve"> PAGEREF _Toc9846295 \h </w:instrText>
        </w:r>
        <w:r w:rsidR="00BE5BFB">
          <w:rPr>
            <w:noProof/>
            <w:webHidden/>
          </w:rPr>
        </w:r>
        <w:r w:rsidR="00BE5BFB">
          <w:rPr>
            <w:noProof/>
            <w:webHidden/>
          </w:rPr>
          <w:fldChar w:fldCharType="separate"/>
        </w:r>
        <w:r w:rsidR="00BE5BFB">
          <w:rPr>
            <w:noProof/>
            <w:webHidden/>
          </w:rPr>
          <w:t>5</w:t>
        </w:r>
        <w:r w:rsidR="00BE5BFB">
          <w:rPr>
            <w:noProof/>
            <w:webHidden/>
          </w:rPr>
          <w:fldChar w:fldCharType="end"/>
        </w:r>
      </w:hyperlink>
    </w:p>
    <w:p w:rsidR="00BE5BFB" w:rsidRDefault="000A1C6A">
      <w:pPr>
        <w:pStyle w:val="TOC3"/>
        <w:rPr>
          <w:rFonts w:asciiTheme="minorHAnsi" w:eastAsiaTheme="minorEastAsia" w:hAnsiTheme="minorHAnsi" w:cstheme="minorBidi"/>
          <w:noProof/>
          <w:sz w:val="22"/>
          <w:szCs w:val="22"/>
          <w:lang w:eastAsia="en-NZ"/>
        </w:rPr>
      </w:pPr>
      <w:hyperlink w:anchor="_Toc9846296" w:history="1">
        <w:r w:rsidR="00BE5BFB" w:rsidRPr="00E01D10">
          <w:rPr>
            <w:rStyle w:val="Hyperlink"/>
            <w:noProof/>
          </w:rPr>
          <w:t>Table 3: Achievement of the Standards between previous and current reporting periods</w:t>
        </w:r>
        <w:r w:rsidR="00BE5BFB">
          <w:rPr>
            <w:noProof/>
            <w:webHidden/>
          </w:rPr>
          <w:tab/>
        </w:r>
        <w:r w:rsidR="00BE5BFB">
          <w:rPr>
            <w:noProof/>
            <w:webHidden/>
          </w:rPr>
          <w:fldChar w:fldCharType="begin"/>
        </w:r>
        <w:r w:rsidR="00BE5BFB">
          <w:rPr>
            <w:noProof/>
            <w:webHidden/>
          </w:rPr>
          <w:instrText xml:space="preserve"> PAGEREF _Toc9846296 \h </w:instrText>
        </w:r>
        <w:r w:rsidR="00BE5BFB">
          <w:rPr>
            <w:noProof/>
            <w:webHidden/>
          </w:rPr>
        </w:r>
        <w:r w:rsidR="00BE5BFB">
          <w:rPr>
            <w:noProof/>
            <w:webHidden/>
          </w:rPr>
          <w:fldChar w:fldCharType="separate"/>
        </w:r>
        <w:r w:rsidR="00BE5BFB">
          <w:rPr>
            <w:noProof/>
            <w:webHidden/>
          </w:rPr>
          <w:t>11</w:t>
        </w:r>
        <w:r w:rsidR="00BE5BFB">
          <w:rPr>
            <w:noProof/>
            <w:webHidden/>
          </w:rPr>
          <w:fldChar w:fldCharType="end"/>
        </w:r>
      </w:hyperlink>
    </w:p>
    <w:p w:rsidR="00BE5BFB" w:rsidRDefault="000A1C6A">
      <w:pPr>
        <w:pStyle w:val="TOC3"/>
        <w:rPr>
          <w:rFonts w:asciiTheme="minorHAnsi" w:eastAsiaTheme="minorEastAsia" w:hAnsiTheme="minorHAnsi" w:cstheme="minorBidi"/>
          <w:noProof/>
          <w:sz w:val="22"/>
          <w:szCs w:val="22"/>
          <w:lang w:eastAsia="en-NZ"/>
        </w:rPr>
      </w:pPr>
      <w:hyperlink w:anchor="_Toc9846297" w:history="1">
        <w:r w:rsidR="00BE5BFB" w:rsidRPr="00E01D10">
          <w:rPr>
            <w:rStyle w:val="Hyperlink"/>
            <w:noProof/>
          </w:rPr>
          <w:t>Table 4: Achievement of Standards: large supplies</w:t>
        </w:r>
        <w:r w:rsidR="00BE5BFB">
          <w:rPr>
            <w:noProof/>
            <w:webHidden/>
          </w:rPr>
          <w:tab/>
        </w:r>
        <w:r w:rsidR="00BE5BFB">
          <w:rPr>
            <w:noProof/>
            <w:webHidden/>
          </w:rPr>
          <w:fldChar w:fldCharType="begin"/>
        </w:r>
        <w:r w:rsidR="00BE5BFB">
          <w:rPr>
            <w:noProof/>
            <w:webHidden/>
          </w:rPr>
          <w:instrText xml:space="preserve"> PAGEREF _Toc9846297 \h </w:instrText>
        </w:r>
        <w:r w:rsidR="00BE5BFB">
          <w:rPr>
            <w:noProof/>
            <w:webHidden/>
          </w:rPr>
        </w:r>
        <w:r w:rsidR="00BE5BFB">
          <w:rPr>
            <w:noProof/>
            <w:webHidden/>
          </w:rPr>
          <w:fldChar w:fldCharType="separate"/>
        </w:r>
        <w:r w:rsidR="00BE5BFB">
          <w:rPr>
            <w:noProof/>
            <w:webHidden/>
          </w:rPr>
          <w:t>11</w:t>
        </w:r>
        <w:r w:rsidR="00BE5BFB">
          <w:rPr>
            <w:noProof/>
            <w:webHidden/>
          </w:rPr>
          <w:fldChar w:fldCharType="end"/>
        </w:r>
      </w:hyperlink>
    </w:p>
    <w:p w:rsidR="00BE5BFB" w:rsidRDefault="000A1C6A">
      <w:pPr>
        <w:pStyle w:val="TOC3"/>
        <w:rPr>
          <w:rFonts w:asciiTheme="minorHAnsi" w:eastAsiaTheme="minorEastAsia" w:hAnsiTheme="minorHAnsi" w:cstheme="minorBidi"/>
          <w:noProof/>
          <w:sz w:val="22"/>
          <w:szCs w:val="22"/>
          <w:lang w:eastAsia="en-NZ"/>
        </w:rPr>
      </w:pPr>
      <w:hyperlink w:anchor="_Toc9846298" w:history="1">
        <w:r w:rsidR="00BE5BFB" w:rsidRPr="00E01D10">
          <w:rPr>
            <w:rStyle w:val="Hyperlink"/>
            <w:noProof/>
          </w:rPr>
          <w:t>Table 5: Achievement of Standards: medium supplies</w:t>
        </w:r>
        <w:r w:rsidR="00BE5BFB">
          <w:rPr>
            <w:noProof/>
            <w:webHidden/>
          </w:rPr>
          <w:tab/>
        </w:r>
        <w:r w:rsidR="00BE5BFB">
          <w:rPr>
            <w:noProof/>
            <w:webHidden/>
          </w:rPr>
          <w:fldChar w:fldCharType="begin"/>
        </w:r>
        <w:r w:rsidR="00BE5BFB">
          <w:rPr>
            <w:noProof/>
            <w:webHidden/>
          </w:rPr>
          <w:instrText xml:space="preserve"> PAGEREF _Toc9846298 \h </w:instrText>
        </w:r>
        <w:r w:rsidR="00BE5BFB">
          <w:rPr>
            <w:noProof/>
            <w:webHidden/>
          </w:rPr>
        </w:r>
        <w:r w:rsidR="00BE5BFB">
          <w:rPr>
            <w:noProof/>
            <w:webHidden/>
          </w:rPr>
          <w:fldChar w:fldCharType="separate"/>
        </w:r>
        <w:r w:rsidR="00BE5BFB">
          <w:rPr>
            <w:noProof/>
            <w:webHidden/>
          </w:rPr>
          <w:t>11</w:t>
        </w:r>
        <w:r w:rsidR="00BE5BFB">
          <w:rPr>
            <w:noProof/>
            <w:webHidden/>
          </w:rPr>
          <w:fldChar w:fldCharType="end"/>
        </w:r>
      </w:hyperlink>
    </w:p>
    <w:p w:rsidR="00BE5BFB" w:rsidRDefault="000A1C6A">
      <w:pPr>
        <w:pStyle w:val="TOC3"/>
        <w:rPr>
          <w:rFonts w:asciiTheme="minorHAnsi" w:eastAsiaTheme="minorEastAsia" w:hAnsiTheme="minorHAnsi" w:cstheme="minorBidi"/>
          <w:noProof/>
          <w:sz w:val="22"/>
          <w:szCs w:val="22"/>
          <w:lang w:eastAsia="en-NZ"/>
        </w:rPr>
      </w:pPr>
      <w:hyperlink w:anchor="_Toc9846299" w:history="1">
        <w:r w:rsidR="00BE5BFB" w:rsidRPr="00E01D10">
          <w:rPr>
            <w:rStyle w:val="Hyperlink"/>
            <w:noProof/>
          </w:rPr>
          <w:t>Table 6: Achievement of Standards: minor supplies</w:t>
        </w:r>
        <w:r w:rsidR="00BE5BFB">
          <w:rPr>
            <w:noProof/>
            <w:webHidden/>
          </w:rPr>
          <w:tab/>
        </w:r>
        <w:r w:rsidR="00BE5BFB">
          <w:rPr>
            <w:noProof/>
            <w:webHidden/>
          </w:rPr>
          <w:fldChar w:fldCharType="begin"/>
        </w:r>
        <w:r w:rsidR="00BE5BFB">
          <w:rPr>
            <w:noProof/>
            <w:webHidden/>
          </w:rPr>
          <w:instrText xml:space="preserve"> PAGEREF _Toc9846299 \h </w:instrText>
        </w:r>
        <w:r w:rsidR="00BE5BFB">
          <w:rPr>
            <w:noProof/>
            <w:webHidden/>
          </w:rPr>
        </w:r>
        <w:r w:rsidR="00BE5BFB">
          <w:rPr>
            <w:noProof/>
            <w:webHidden/>
          </w:rPr>
          <w:fldChar w:fldCharType="separate"/>
        </w:r>
        <w:r w:rsidR="00BE5BFB">
          <w:rPr>
            <w:noProof/>
            <w:webHidden/>
          </w:rPr>
          <w:t>12</w:t>
        </w:r>
        <w:r w:rsidR="00BE5BFB">
          <w:rPr>
            <w:noProof/>
            <w:webHidden/>
          </w:rPr>
          <w:fldChar w:fldCharType="end"/>
        </w:r>
      </w:hyperlink>
    </w:p>
    <w:p w:rsidR="00BE5BFB" w:rsidRDefault="000A1C6A">
      <w:pPr>
        <w:pStyle w:val="TOC3"/>
        <w:rPr>
          <w:rFonts w:asciiTheme="minorHAnsi" w:eastAsiaTheme="minorEastAsia" w:hAnsiTheme="minorHAnsi" w:cstheme="minorBidi"/>
          <w:noProof/>
          <w:sz w:val="22"/>
          <w:szCs w:val="22"/>
          <w:lang w:eastAsia="en-NZ"/>
        </w:rPr>
      </w:pPr>
      <w:hyperlink w:anchor="_Toc9846300" w:history="1">
        <w:r w:rsidR="00BE5BFB" w:rsidRPr="00E01D10">
          <w:rPr>
            <w:rStyle w:val="Hyperlink"/>
            <w:noProof/>
          </w:rPr>
          <w:t>Table 7: Achievement of Standards: small supplies</w:t>
        </w:r>
        <w:r w:rsidR="00BE5BFB">
          <w:rPr>
            <w:noProof/>
            <w:webHidden/>
          </w:rPr>
          <w:tab/>
        </w:r>
        <w:r w:rsidR="00BE5BFB">
          <w:rPr>
            <w:noProof/>
            <w:webHidden/>
          </w:rPr>
          <w:fldChar w:fldCharType="begin"/>
        </w:r>
        <w:r w:rsidR="00BE5BFB">
          <w:rPr>
            <w:noProof/>
            <w:webHidden/>
          </w:rPr>
          <w:instrText xml:space="preserve"> PAGEREF _Toc9846300 \h </w:instrText>
        </w:r>
        <w:r w:rsidR="00BE5BFB">
          <w:rPr>
            <w:noProof/>
            <w:webHidden/>
          </w:rPr>
        </w:r>
        <w:r w:rsidR="00BE5BFB">
          <w:rPr>
            <w:noProof/>
            <w:webHidden/>
          </w:rPr>
          <w:fldChar w:fldCharType="separate"/>
        </w:r>
        <w:r w:rsidR="00BE5BFB">
          <w:rPr>
            <w:noProof/>
            <w:webHidden/>
          </w:rPr>
          <w:t>12</w:t>
        </w:r>
        <w:r w:rsidR="00BE5BFB">
          <w:rPr>
            <w:noProof/>
            <w:webHidden/>
          </w:rPr>
          <w:fldChar w:fldCharType="end"/>
        </w:r>
      </w:hyperlink>
    </w:p>
    <w:p w:rsidR="00BE5BFB" w:rsidRDefault="000A1C6A">
      <w:pPr>
        <w:pStyle w:val="TOC3"/>
        <w:rPr>
          <w:rFonts w:asciiTheme="minorHAnsi" w:eastAsiaTheme="minorEastAsia" w:hAnsiTheme="minorHAnsi" w:cstheme="minorBidi"/>
          <w:noProof/>
          <w:sz w:val="22"/>
          <w:szCs w:val="22"/>
          <w:lang w:eastAsia="en-NZ"/>
        </w:rPr>
      </w:pPr>
      <w:hyperlink w:anchor="_Toc9846301" w:history="1">
        <w:r w:rsidR="00BE5BFB" w:rsidRPr="00E01D10">
          <w:rPr>
            <w:rStyle w:val="Hyperlink"/>
            <w:noProof/>
          </w:rPr>
          <w:t>Table 8: Protozoal achievement against the Standards between reporting periods</w:t>
        </w:r>
        <w:r w:rsidR="00BE5BFB">
          <w:rPr>
            <w:noProof/>
            <w:webHidden/>
          </w:rPr>
          <w:tab/>
        </w:r>
        <w:r w:rsidR="00BE5BFB">
          <w:rPr>
            <w:noProof/>
            <w:webHidden/>
          </w:rPr>
          <w:fldChar w:fldCharType="begin"/>
        </w:r>
        <w:r w:rsidR="00BE5BFB">
          <w:rPr>
            <w:noProof/>
            <w:webHidden/>
          </w:rPr>
          <w:instrText xml:space="preserve"> PAGEREF _Toc9846301 \h </w:instrText>
        </w:r>
        <w:r w:rsidR="00BE5BFB">
          <w:rPr>
            <w:noProof/>
            <w:webHidden/>
          </w:rPr>
        </w:r>
        <w:r w:rsidR="00BE5BFB">
          <w:rPr>
            <w:noProof/>
            <w:webHidden/>
          </w:rPr>
          <w:fldChar w:fldCharType="separate"/>
        </w:r>
        <w:r w:rsidR="00BE5BFB">
          <w:rPr>
            <w:noProof/>
            <w:webHidden/>
          </w:rPr>
          <w:t>14</w:t>
        </w:r>
        <w:r w:rsidR="00BE5BFB">
          <w:rPr>
            <w:noProof/>
            <w:webHidden/>
          </w:rPr>
          <w:fldChar w:fldCharType="end"/>
        </w:r>
      </w:hyperlink>
    </w:p>
    <w:p w:rsidR="00BE5BFB" w:rsidRDefault="000A1C6A">
      <w:pPr>
        <w:pStyle w:val="TOC3"/>
        <w:rPr>
          <w:rFonts w:asciiTheme="minorHAnsi" w:eastAsiaTheme="minorEastAsia" w:hAnsiTheme="minorHAnsi" w:cstheme="minorBidi"/>
          <w:noProof/>
          <w:sz w:val="22"/>
          <w:szCs w:val="22"/>
          <w:lang w:eastAsia="en-NZ"/>
        </w:rPr>
      </w:pPr>
      <w:hyperlink w:anchor="_Toc9846302" w:history="1">
        <w:r w:rsidR="00BE5BFB" w:rsidRPr="00E01D10">
          <w:rPr>
            <w:rStyle w:val="Hyperlink"/>
            <w:noProof/>
          </w:rPr>
          <w:t>Table 9: Chemical achievement against the Standards between reporting periods</w:t>
        </w:r>
        <w:r w:rsidR="00BE5BFB">
          <w:rPr>
            <w:noProof/>
            <w:webHidden/>
          </w:rPr>
          <w:tab/>
        </w:r>
        <w:r w:rsidR="00BE5BFB">
          <w:rPr>
            <w:noProof/>
            <w:webHidden/>
          </w:rPr>
          <w:fldChar w:fldCharType="begin"/>
        </w:r>
        <w:r w:rsidR="00BE5BFB">
          <w:rPr>
            <w:noProof/>
            <w:webHidden/>
          </w:rPr>
          <w:instrText xml:space="preserve"> PAGEREF _Toc9846302 \h </w:instrText>
        </w:r>
        <w:r w:rsidR="00BE5BFB">
          <w:rPr>
            <w:noProof/>
            <w:webHidden/>
          </w:rPr>
        </w:r>
        <w:r w:rsidR="00BE5BFB">
          <w:rPr>
            <w:noProof/>
            <w:webHidden/>
          </w:rPr>
          <w:fldChar w:fldCharType="separate"/>
        </w:r>
        <w:r w:rsidR="00BE5BFB">
          <w:rPr>
            <w:noProof/>
            <w:webHidden/>
          </w:rPr>
          <w:t>16</w:t>
        </w:r>
        <w:r w:rsidR="00BE5BFB">
          <w:rPr>
            <w:noProof/>
            <w:webHidden/>
          </w:rPr>
          <w:fldChar w:fldCharType="end"/>
        </w:r>
      </w:hyperlink>
    </w:p>
    <w:p w:rsidR="001D3E4E" w:rsidRPr="00D64346" w:rsidRDefault="00BE5BFB" w:rsidP="002A74AE">
      <w:pPr>
        <w:sectPr w:rsidR="001D3E4E" w:rsidRPr="00D64346" w:rsidSect="00925892">
          <w:headerReference w:type="even" r:id="rId15"/>
          <w:headerReference w:type="default" r:id="rId16"/>
          <w:footerReference w:type="even" r:id="rId17"/>
          <w:footerReference w:type="default" r:id="rId18"/>
          <w:pgSz w:w="11907" w:h="16840" w:code="9"/>
          <w:pgMar w:top="1418" w:right="1701" w:bottom="1134" w:left="1843" w:header="284" w:footer="425" w:gutter="284"/>
          <w:pgNumType w:fmt="lowerRoman"/>
          <w:cols w:space="720"/>
        </w:sectPr>
      </w:pPr>
      <w:r>
        <w:rPr>
          <w:sz w:val="20"/>
        </w:rPr>
        <w:lastRenderedPageBreak/>
        <w:fldChar w:fldCharType="end"/>
      </w:r>
    </w:p>
    <w:p w:rsidR="000B2566" w:rsidRPr="009238B5" w:rsidRDefault="000B2566" w:rsidP="00323611">
      <w:pPr>
        <w:pStyle w:val="Heading1"/>
        <w:numPr>
          <w:ilvl w:val="0"/>
          <w:numId w:val="0"/>
        </w:numPr>
        <w:rPr>
          <w:rFonts w:eastAsiaTheme="majorEastAsia"/>
        </w:rPr>
      </w:pPr>
      <w:bookmarkStart w:id="3" w:name="_Toc515552561"/>
      <w:bookmarkStart w:id="4" w:name="_Toc10553999"/>
      <w:r w:rsidRPr="009238B5">
        <w:rPr>
          <w:rFonts w:eastAsiaTheme="majorEastAsia"/>
        </w:rPr>
        <w:lastRenderedPageBreak/>
        <w:t xml:space="preserve">Key </w:t>
      </w:r>
      <w:r>
        <w:rPr>
          <w:rFonts w:eastAsiaTheme="majorEastAsia"/>
        </w:rPr>
        <w:t>f</w:t>
      </w:r>
      <w:r w:rsidRPr="009238B5">
        <w:rPr>
          <w:rFonts w:eastAsiaTheme="majorEastAsia"/>
        </w:rPr>
        <w:t>indings</w:t>
      </w:r>
      <w:bookmarkEnd w:id="3"/>
      <w:bookmarkEnd w:id="4"/>
    </w:p>
    <w:p w:rsidR="000B2566" w:rsidRPr="009238B5" w:rsidRDefault="000B2566" w:rsidP="00323611">
      <w:r w:rsidRPr="009238B5">
        <w:t xml:space="preserve">This report describes drinking-water quality for all registered, networked drinking-water supplies that served populations of more than 100 people (the supplies) from 1 July 2017 to 30 June 2018 (the reporting period), representing 3,839,000 people (the report population). It describes the compliance of these supplies with the drinking-water requirements of the Health Act 1956 (the Act) and the extent to which they met the </w:t>
      </w:r>
      <w:r w:rsidRPr="009238B5">
        <w:rPr>
          <w:i/>
        </w:rPr>
        <w:t>Drinking-water Standards for New Zealand 2005 (Revised 2008)</w:t>
      </w:r>
      <w:r w:rsidRPr="009238B5">
        <w:t xml:space="preserve"> (the Standards).</w:t>
      </w:r>
    </w:p>
    <w:p w:rsidR="00323611" w:rsidRDefault="00323611" w:rsidP="00323611"/>
    <w:p w:rsidR="000B2566" w:rsidRPr="009238B5" w:rsidRDefault="000B2566" w:rsidP="00323611">
      <w:r w:rsidRPr="009238B5">
        <w:t xml:space="preserve">In any comparison of achievement or compliance between the reporting period and the previous reporting period of 1 July 2016 to 30 June 2017, this report will refer to </w:t>
      </w:r>
      <w:r>
        <w:t>those periods</w:t>
      </w:r>
      <w:r w:rsidRPr="009238B5">
        <w:t xml:space="preserve"> as the </w:t>
      </w:r>
      <w:r>
        <w:t>reporting</w:t>
      </w:r>
      <w:r w:rsidRPr="009238B5">
        <w:t xml:space="preserve"> period and the previous period, respectively.</w:t>
      </w:r>
    </w:p>
    <w:p w:rsidR="00323611" w:rsidRDefault="00323611" w:rsidP="00323611"/>
    <w:p w:rsidR="000B2566" w:rsidRPr="009238B5" w:rsidRDefault="000B2566" w:rsidP="00323611">
      <w:r w:rsidRPr="009238B5">
        <w:t xml:space="preserve">The Act groups drinking water supplies into supply size categories according to the </w:t>
      </w:r>
      <w:r w:rsidRPr="009238B5">
        <w:rPr>
          <w:noProof/>
        </w:rPr>
        <w:t>population</w:t>
      </w:r>
      <w:r w:rsidRPr="009238B5">
        <w:t xml:space="preserve"> served. The four supply size categories used in this report are large (more than 10,000 people), medium (5,001 to 10,000</w:t>
      </w:r>
      <w:r>
        <w:t xml:space="preserve"> people</w:t>
      </w:r>
      <w:r w:rsidRPr="009238B5">
        <w:t>), minor (501 to 5,000</w:t>
      </w:r>
      <w:r>
        <w:t xml:space="preserve"> people</w:t>
      </w:r>
      <w:r w:rsidRPr="009238B5">
        <w:t>) and small (101 to 500 people</w:t>
      </w:r>
      <w:r>
        <w:t xml:space="preserve"> people</w:t>
      </w:r>
      <w:r w:rsidRPr="009238B5">
        <w:t>).</w:t>
      </w:r>
    </w:p>
    <w:p w:rsidR="00323611" w:rsidRDefault="00323611" w:rsidP="00323611"/>
    <w:p w:rsidR="000B2566" w:rsidRPr="009238B5" w:rsidRDefault="000B2566" w:rsidP="00323611">
      <w:r w:rsidRPr="009238B5">
        <w:t xml:space="preserve">During the reporting period, </w:t>
      </w:r>
      <w:r>
        <w:t xml:space="preserve">drinking-water suppliers carried out </w:t>
      </w:r>
      <w:r w:rsidRPr="009238B5">
        <w:t>a number of actions to meet the requirements of the Act.</w:t>
      </w:r>
      <w:r>
        <w:t xml:space="preserve"> Consequently:</w:t>
      </w:r>
    </w:p>
    <w:p w:rsidR="000B2566" w:rsidRPr="00E744CD" w:rsidRDefault="000B2566" w:rsidP="00323611">
      <w:pPr>
        <w:pStyle w:val="Bullet"/>
      </w:pPr>
      <w:r w:rsidRPr="00E744CD">
        <w:t xml:space="preserve">84.7 percent of the </w:t>
      </w:r>
      <w:r>
        <w:t xml:space="preserve">report </w:t>
      </w:r>
      <w:r w:rsidRPr="00E744CD">
        <w:t xml:space="preserve">population </w:t>
      </w:r>
      <w:r>
        <w:t>(see Introduction for a definition of this term)</w:t>
      </w:r>
      <w:r w:rsidRPr="00E744CD">
        <w:t xml:space="preserve"> (3,250,000 people in 329 supplies) received drinking-water that </w:t>
      </w:r>
      <w:r w:rsidRPr="00E744CD">
        <w:rPr>
          <w:b/>
        </w:rPr>
        <w:t>complied with all the legislative requirements</w:t>
      </w:r>
      <w:r w:rsidRPr="00E744CD">
        <w:t xml:space="preserve"> under the Act covered in this report</w:t>
      </w:r>
    </w:p>
    <w:p w:rsidR="000B2566" w:rsidRPr="00E744CD" w:rsidRDefault="000B2566" w:rsidP="00323611">
      <w:pPr>
        <w:pStyle w:val="Bullet"/>
      </w:pPr>
      <w:r w:rsidRPr="00E744CD">
        <w:t xml:space="preserve">99.3 percent (3,810,000 people in 481 supplies) received drinking-water from a supply with a </w:t>
      </w:r>
      <w:r w:rsidRPr="00E744CD">
        <w:rPr>
          <w:b/>
        </w:rPr>
        <w:t>water safety plan</w:t>
      </w:r>
      <w:r w:rsidRPr="00E744CD">
        <w:t xml:space="preserve"> for which implementation had commenced</w:t>
      </w:r>
    </w:p>
    <w:p w:rsidR="000B2566" w:rsidRPr="00E744CD" w:rsidRDefault="000B2566" w:rsidP="00323611">
      <w:pPr>
        <w:pStyle w:val="Bullet"/>
      </w:pPr>
      <w:r w:rsidRPr="00E744CD">
        <w:t xml:space="preserve">93.1 percent (3,576,000 people in 478 supplies) received an </w:t>
      </w:r>
      <w:r w:rsidRPr="00E744CD">
        <w:rPr>
          <w:b/>
        </w:rPr>
        <w:t>adequate supply of water</w:t>
      </w:r>
      <w:r w:rsidRPr="00E744CD">
        <w:t xml:space="preserve"> with appropriate notification of any interruptions</w:t>
      </w:r>
    </w:p>
    <w:p w:rsidR="000B2566" w:rsidRPr="00E744CD" w:rsidRDefault="000B2566" w:rsidP="00323611">
      <w:pPr>
        <w:pStyle w:val="Bullet"/>
      </w:pPr>
      <w:r w:rsidRPr="00E744CD">
        <w:t xml:space="preserve">99.9 percent (3,834,000 people in 470 supplies) received drinking-water from a supply for which appropriate </w:t>
      </w:r>
      <w:r w:rsidRPr="00E744CD">
        <w:rPr>
          <w:b/>
        </w:rPr>
        <w:t xml:space="preserve">source protection </w:t>
      </w:r>
      <w:r w:rsidRPr="00E744CD">
        <w:t xml:space="preserve">activities </w:t>
      </w:r>
      <w:r>
        <w:t>t</w:t>
      </w:r>
      <w:r w:rsidRPr="00E744CD">
        <w:t>ook place</w:t>
      </w:r>
    </w:p>
    <w:p w:rsidR="000B2566" w:rsidRPr="00E744CD" w:rsidRDefault="000B2566" w:rsidP="00323611">
      <w:pPr>
        <w:pStyle w:val="Bullet"/>
      </w:pPr>
      <w:r w:rsidRPr="00E744CD">
        <w:t xml:space="preserve">92.0 percent (3,531,000 people in 343 supplies) received drinking-water that met all the </w:t>
      </w:r>
      <w:r w:rsidRPr="00E744CD">
        <w:rPr>
          <w:b/>
        </w:rPr>
        <w:t xml:space="preserve">monitoring </w:t>
      </w:r>
      <w:r w:rsidRPr="00E744CD">
        <w:t>requirements in the Standards</w:t>
      </w:r>
    </w:p>
    <w:p w:rsidR="000B2566" w:rsidRPr="00E744CD" w:rsidRDefault="000B2566" w:rsidP="00323611">
      <w:pPr>
        <w:pStyle w:val="Bullet"/>
      </w:pPr>
      <w:r w:rsidRPr="00E744CD">
        <w:t xml:space="preserve">99.9 percent (3,835,000 people in 478 supplies) received drinking-water from a supplier that recorded and investigated all </w:t>
      </w:r>
      <w:r w:rsidRPr="00E744CD">
        <w:rPr>
          <w:b/>
        </w:rPr>
        <w:t>complaints</w:t>
      </w:r>
    </w:p>
    <w:p w:rsidR="000B2566" w:rsidRPr="00E744CD" w:rsidRDefault="000B2566" w:rsidP="00323611">
      <w:pPr>
        <w:pStyle w:val="Bullet"/>
      </w:pPr>
      <w:r w:rsidRPr="00E744CD">
        <w:t xml:space="preserve">99.1 percent (3,803,000 people in 463 supplies) received drinking-water from a supplier that took adequate </w:t>
      </w:r>
      <w:r w:rsidRPr="00E744CD">
        <w:rPr>
          <w:b/>
        </w:rPr>
        <w:t>remedial action</w:t>
      </w:r>
      <w:r w:rsidRPr="00E744CD">
        <w:t xml:space="preserve"> when required.</w:t>
      </w:r>
    </w:p>
    <w:p w:rsidR="00323611" w:rsidRDefault="00323611" w:rsidP="00323611"/>
    <w:p w:rsidR="00943F7F" w:rsidRDefault="000B2566" w:rsidP="00323611">
      <w:r w:rsidRPr="009238B5">
        <w:t xml:space="preserve">While drinking-water suppliers need only take </w:t>
      </w:r>
      <w:r w:rsidR="00943F7F">
        <w:t>‘</w:t>
      </w:r>
      <w:r w:rsidRPr="009238B5">
        <w:t>all practicable</w:t>
      </w:r>
      <w:r w:rsidR="00943F7F">
        <w:t>’</w:t>
      </w:r>
      <w:r w:rsidRPr="009238B5">
        <w:t xml:space="preserve"> steps to comply with the Standards, achievement against the Standards was generally highest for the large supplie</w:t>
      </w:r>
      <w:r>
        <w:t>r</w:t>
      </w:r>
      <w:r w:rsidRPr="009238B5">
        <w:t>s</w:t>
      </w:r>
      <w:r>
        <w:t>,</w:t>
      </w:r>
      <w:r w:rsidRPr="009238B5">
        <w:t xml:space="preserve"> and decreased progressively through </w:t>
      </w:r>
      <w:r>
        <w:t xml:space="preserve">suppliers in </w:t>
      </w:r>
      <w:r w:rsidRPr="009238B5">
        <w:t>medium, minor and small population supply size categories.</w:t>
      </w:r>
    </w:p>
    <w:p w:rsidR="00323611" w:rsidRDefault="00323611" w:rsidP="00323611"/>
    <w:p w:rsidR="000B2566" w:rsidRPr="009238B5" w:rsidRDefault="000B2566" w:rsidP="00323611">
      <w:r w:rsidRPr="009238B5">
        <w:t xml:space="preserve">For overall achievement of the Standards, a supply must meet the bacteriological, protozoal and chemical </w:t>
      </w:r>
      <w:r w:rsidR="006E377C">
        <w:t>requirements, which includes adherence to the prescribed sampling and monitoring schedule</w:t>
      </w:r>
      <w:r w:rsidRPr="009238B5">
        <w:t xml:space="preserve">. </w:t>
      </w:r>
      <w:r>
        <w:t xml:space="preserve">In the reporting period, </w:t>
      </w:r>
      <w:r w:rsidRPr="009238B5">
        <w:t>7</w:t>
      </w:r>
      <w:r>
        <w:t>3.7</w:t>
      </w:r>
      <w:r w:rsidRPr="009238B5">
        <w:t xml:space="preserve"> </w:t>
      </w:r>
      <w:r w:rsidRPr="009238B5">
        <w:rPr>
          <w:noProof/>
        </w:rPr>
        <w:t>percent</w:t>
      </w:r>
      <w:r w:rsidRPr="009238B5">
        <w:t xml:space="preserve"> of the report population (2,</w:t>
      </w:r>
      <w:r>
        <w:t>831</w:t>
      </w:r>
      <w:r w:rsidRPr="009238B5">
        <w:t>,000 people) received drinking-water that achieved all the Standards. This represents a</w:t>
      </w:r>
      <w:r>
        <w:t xml:space="preserve"> 7.4</w:t>
      </w:r>
      <w:r w:rsidRPr="009238B5">
        <w:rPr>
          <w:color w:val="0070C0"/>
        </w:rPr>
        <w:t xml:space="preserve"> </w:t>
      </w:r>
      <w:r w:rsidRPr="009238B5">
        <w:t>percent decrease compared with the previous period.</w:t>
      </w:r>
    </w:p>
    <w:p w:rsidR="00323611" w:rsidRDefault="00323611" w:rsidP="00323611"/>
    <w:p w:rsidR="00943F7F" w:rsidRDefault="000B2566" w:rsidP="00323611">
      <w:r w:rsidRPr="009238B5">
        <w:t>9</w:t>
      </w:r>
      <w:r>
        <w:t>7.7</w:t>
      </w:r>
      <w:r w:rsidR="00323611">
        <w:t> </w:t>
      </w:r>
      <w:r w:rsidRPr="009238B5">
        <w:rPr>
          <w:noProof/>
        </w:rPr>
        <w:t>percent</w:t>
      </w:r>
      <w:r w:rsidRPr="009238B5">
        <w:t xml:space="preserve"> of the report population (3,</w:t>
      </w:r>
      <w:r>
        <w:t>751</w:t>
      </w:r>
      <w:r w:rsidRPr="009238B5">
        <w:t xml:space="preserve">,000 people) </w:t>
      </w:r>
      <w:r>
        <w:t>received d</w:t>
      </w:r>
      <w:r w:rsidRPr="009238B5">
        <w:t xml:space="preserve">rinking-water that achieved the bacteriological </w:t>
      </w:r>
      <w:r>
        <w:t>S</w:t>
      </w:r>
      <w:r w:rsidRPr="009238B5">
        <w:t xml:space="preserve">tandards during the </w:t>
      </w:r>
      <w:r>
        <w:t>reporting</w:t>
      </w:r>
      <w:r w:rsidRPr="009238B5">
        <w:t xml:space="preserve"> period, which is a</w:t>
      </w:r>
      <w:r>
        <w:t>n increase</w:t>
      </w:r>
      <w:r w:rsidRPr="009238B5">
        <w:t xml:space="preserve"> of </w:t>
      </w:r>
      <w:r>
        <w:t>1.5</w:t>
      </w:r>
      <w:r w:rsidRPr="009238B5">
        <w:t xml:space="preserve"> percent compared with the previous period. </w:t>
      </w:r>
      <w:r w:rsidRPr="00084F30">
        <w:t xml:space="preserve">Protozoal achievement fell by 8.3 </w:t>
      </w:r>
      <w:r w:rsidRPr="009238B5">
        <w:t>percent</w:t>
      </w:r>
      <w:r>
        <w:t>,</w:t>
      </w:r>
      <w:r w:rsidRPr="009238B5">
        <w:t xml:space="preserve"> from 83.1 </w:t>
      </w:r>
      <w:r w:rsidRPr="009238B5">
        <w:rPr>
          <w:noProof/>
        </w:rPr>
        <w:t>percent</w:t>
      </w:r>
      <w:r w:rsidRPr="009238B5">
        <w:t xml:space="preserve"> to 74.8 </w:t>
      </w:r>
      <w:r w:rsidRPr="009238B5">
        <w:rPr>
          <w:noProof/>
        </w:rPr>
        <w:t>percent</w:t>
      </w:r>
      <w:r w:rsidRPr="009238B5">
        <w:t xml:space="preserve"> (2,870,000 people</w:t>
      </w:r>
      <w:r>
        <w:t xml:space="preserve"> received drinking-water that achieved the protozoal Standards</w:t>
      </w:r>
      <w:r w:rsidRPr="009238B5">
        <w:t xml:space="preserve">). The fall was driven by a number of large supplies losing their secure bore water status during the </w:t>
      </w:r>
      <w:r>
        <w:t>reporting</w:t>
      </w:r>
      <w:r w:rsidRPr="009238B5">
        <w:t xml:space="preserve"> period and not having appropriate protozoal treatment</w:t>
      </w:r>
      <w:r>
        <w:t xml:space="preserve"> processes</w:t>
      </w:r>
      <w:r w:rsidRPr="009238B5">
        <w:t xml:space="preserve"> in place.</w:t>
      </w:r>
    </w:p>
    <w:p w:rsidR="00323611" w:rsidRDefault="00323611" w:rsidP="00323611"/>
    <w:p w:rsidR="000B2566" w:rsidRPr="009238B5" w:rsidRDefault="000B2566" w:rsidP="00323611">
      <w:r w:rsidRPr="009238B5">
        <w:t>Chemical achievement increased by 1.7 percent</w:t>
      </w:r>
      <w:r>
        <w:t>,</w:t>
      </w:r>
      <w:r w:rsidRPr="009238B5">
        <w:t xml:space="preserve"> from 97.2 </w:t>
      </w:r>
      <w:r w:rsidRPr="009238B5">
        <w:rPr>
          <w:noProof/>
        </w:rPr>
        <w:t>percent</w:t>
      </w:r>
      <w:r w:rsidRPr="009238B5">
        <w:t xml:space="preserve"> to 98.9 </w:t>
      </w:r>
      <w:r w:rsidRPr="009238B5">
        <w:rPr>
          <w:noProof/>
        </w:rPr>
        <w:t>percent</w:t>
      </w:r>
      <w:r w:rsidRPr="009238B5">
        <w:t xml:space="preserve"> (3,796,000 people</w:t>
      </w:r>
      <w:r w:rsidRPr="002D267C">
        <w:t xml:space="preserve"> </w:t>
      </w:r>
      <w:r>
        <w:t>received drinking-water that achieved the chemical Standards</w:t>
      </w:r>
      <w:r w:rsidRPr="009238B5">
        <w:t>).</w:t>
      </w:r>
    </w:p>
    <w:p w:rsidR="002B7BEC" w:rsidRDefault="002B7BEC" w:rsidP="002B7BEC"/>
    <w:p w:rsidR="001D3E4E" w:rsidRDefault="001D3E4E" w:rsidP="003A5FEA">
      <w:pPr>
        <w:sectPr w:rsidR="001D3E4E" w:rsidSect="00925892">
          <w:footerReference w:type="even" r:id="rId19"/>
          <w:pgSz w:w="11907" w:h="16840" w:code="9"/>
          <w:pgMar w:top="1418" w:right="1701" w:bottom="1134" w:left="1843" w:header="284" w:footer="425" w:gutter="284"/>
          <w:pgNumType w:fmt="lowerRoman"/>
          <w:cols w:space="720"/>
        </w:sectPr>
      </w:pPr>
    </w:p>
    <w:p w:rsidR="008C2973" w:rsidRDefault="002B7BEC" w:rsidP="00323611">
      <w:pPr>
        <w:pStyle w:val="Heading1"/>
      </w:pPr>
      <w:bookmarkStart w:id="5" w:name="_Toc10554000"/>
      <w:r>
        <w:lastRenderedPageBreak/>
        <w:t>Introduction</w:t>
      </w:r>
      <w:bookmarkEnd w:id="5"/>
    </w:p>
    <w:p w:rsidR="000B2566" w:rsidRPr="009238B5" w:rsidRDefault="000B2566" w:rsidP="00323611">
      <w:pPr>
        <w:rPr>
          <w:color w:val="333333"/>
          <w:lang w:eastAsia="en-NZ"/>
        </w:rPr>
      </w:pPr>
      <w:r w:rsidRPr="009238B5">
        <w:rPr>
          <w:lang w:eastAsia="en-NZ"/>
        </w:rPr>
        <w:t xml:space="preserve">This report meets the requirement under the Health Act 1956 (the Act) for the Director-General of Health to prepare and publish a report on drinking-water each year, which includes information about </w:t>
      </w:r>
      <w:r w:rsidRPr="009238B5">
        <w:rPr>
          <w:color w:val="333333"/>
          <w:lang w:eastAsia="en-NZ"/>
        </w:rPr>
        <w:t xml:space="preserve">the quality of drinking water, including whether that drinking water is potable; and the compliance or non-compliance of drinking-water suppliers with the Act and the </w:t>
      </w:r>
      <w:r w:rsidRPr="009238B5">
        <w:rPr>
          <w:i/>
          <w:lang w:eastAsia="en-NZ"/>
        </w:rPr>
        <w:t>Drinking-water Standards for New Zealand 2005 (Revised 2008)</w:t>
      </w:r>
      <w:r w:rsidRPr="009238B5">
        <w:rPr>
          <w:lang w:eastAsia="en-NZ"/>
        </w:rPr>
        <w:t xml:space="preserve"> (the Standards)</w:t>
      </w:r>
      <w:r w:rsidRPr="009238B5">
        <w:rPr>
          <w:color w:val="333333"/>
          <w:lang w:eastAsia="en-NZ"/>
        </w:rPr>
        <w:t>.</w:t>
      </w:r>
    </w:p>
    <w:p w:rsidR="00323611" w:rsidRDefault="00323611" w:rsidP="00323611"/>
    <w:p w:rsidR="00943F7F" w:rsidRDefault="000B2566" w:rsidP="00323611">
      <w:r w:rsidRPr="009238B5">
        <w:t xml:space="preserve">This report </w:t>
      </w:r>
      <w:r>
        <w:t>discusses</w:t>
      </w:r>
      <w:r w:rsidRPr="009238B5">
        <w:t xml:space="preserve"> drinking-water quality for all </w:t>
      </w:r>
      <w:r w:rsidRPr="009238B5">
        <w:rPr>
          <w:szCs w:val="24"/>
        </w:rPr>
        <w:t xml:space="preserve">493 </w:t>
      </w:r>
      <w:r w:rsidRPr="009238B5">
        <w:t>registered networked drinking-water supplies that served populations of more than 100 people (the supplies) from 1</w:t>
      </w:r>
      <w:r w:rsidR="00323611">
        <w:t> </w:t>
      </w:r>
      <w:r w:rsidRPr="009238B5">
        <w:t>July 2017 to 30 June 2018 (the reporting period), representing 3,839,000 people (the report population).</w:t>
      </w:r>
    </w:p>
    <w:p w:rsidR="00323611" w:rsidRDefault="00323611" w:rsidP="00323611"/>
    <w:p w:rsidR="00943F7F" w:rsidRDefault="000B2566" w:rsidP="00323611">
      <w:r w:rsidRPr="009238B5">
        <w:t xml:space="preserve">The Act aims to protect public health by ensuring that communities </w:t>
      </w:r>
      <w:r>
        <w:t xml:space="preserve">receive </w:t>
      </w:r>
      <w:r w:rsidRPr="009238B5">
        <w:t>a safe, wholesome and adequate supply of drinking-water. The Act uses risk management concepts to promote proactive measures</w:t>
      </w:r>
      <w:r>
        <w:t>,</w:t>
      </w:r>
      <w:r w:rsidRPr="009238B5">
        <w:t xml:space="preserve"> including water safety plans and appropriate monitoring of drinking-water quality.</w:t>
      </w:r>
    </w:p>
    <w:p w:rsidR="00323611" w:rsidRDefault="00323611" w:rsidP="00323611"/>
    <w:p w:rsidR="000B2566" w:rsidRPr="009238B5" w:rsidRDefault="000B2566" w:rsidP="00323611">
      <w:r w:rsidRPr="009238B5">
        <w:t>The Act groups drinking water supplies into supply size categories according to population served. The four supply size categories used in this report are large (more than 10,000 people), medium (5001 to 10,000</w:t>
      </w:r>
      <w:r>
        <w:t xml:space="preserve"> people</w:t>
      </w:r>
      <w:r w:rsidRPr="009238B5">
        <w:t>), minor (501 to 5000</w:t>
      </w:r>
      <w:r>
        <w:t xml:space="preserve"> people</w:t>
      </w:r>
      <w:r w:rsidRPr="009238B5">
        <w:t>) and small (101 to 500 people).</w:t>
      </w:r>
    </w:p>
    <w:p w:rsidR="00323611" w:rsidRDefault="00323611" w:rsidP="00323611"/>
    <w:p w:rsidR="000B2566" w:rsidRPr="009238B5" w:rsidRDefault="000B2566" w:rsidP="00323611">
      <w:r w:rsidRPr="009238B5">
        <w:t>The report is split into two parts:</w:t>
      </w:r>
    </w:p>
    <w:p w:rsidR="000B2566" w:rsidRPr="009238B5" w:rsidRDefault="000B2566" w:rsidP="00323611">
      <w:pPr>
        <w:pStyle w:val="Bullet"/>
      </w:pPr>
      <w:r w:rsidRPr="009238B5">
        <w:t>compliance with the Act</w:t>
      </w:r>
    </w:p>
    <w:p w:rsidR="000B2566" w:rsidRPr="009238B5" w:rsidRDefault="000B2566" w:rsidP="00323611">
      <w:pPr>
        <w:pStyle w:val="Bullet"/>
      </w:pPr>
      <w:r w:rsidRPr="009238B5">
        <w:t>achievement of the Standards.</w:t>
      </w:r>
    </w:p>
    <w:p w:rsidR="00323611" w:rsidRDefault="00323611" w:rsidP="00323611"/>
    <w:p w:rsidR="000B2566" w:rsidRPr="009238B5" w:rsidRDefault="000B2566" w:rsidP="00323611">
      <w:r w:rsidRPr="009238B5">
        <w:t xml:space="preserve">The Act places requirements on drinking-water suppliers. A drinking-water supplier is a person or organisation with responsibility for the drinking-water supply. </w:t>
      </w:r>
      <w:r>
        <w:t>T</w:t>
      </w:r>
      <w:r w:rsidRPr="009238B5">
        <w:t>his report provides information on 155 suppliers.</w:t>
      </w:r>
    </w:p>
    <w:p w:rsidR="00323611" w:rsidRDefault="00323611" w:rsidP="00323611"/>
    <w:p w:rsidR="000B2566" w:rsidRPr="009238B5" w:rsidRDefault="000B2566" w:rsidP="00323611">
      <w:r w:rsidRPr="009238B5">
        <w:t>The focus of drinking-water safety is risk management. The Act requires all supplies serving 501 or more people to have a water safety plan. A water safety plan is a tool to help suppliers identify, manage and minimise risks.</w:t>
      </w:r>
    </w:p>
    <w:p w:rsidR="00323611" w:rsidRDefault="00323611" w:rsidP="00323611"/>
    <w:p w:rsidR="000B2566" w:rsidRPr="009238B5" w:rsidRDefault="000B2566" w:rsidP="00323611">
      <w:r w:rsidRPr="009238B5">
        <w:t xml:space="preserve">The Standards prescribe the maximum acceptable values of micro-organisms and chemicals that may be present in </w:t>
      </w:r>
      <w:r>
        <w:t>drinking-</w:t>
      </w:r>
      <w:r w:rsidRPr="009238B5">
        <w:t>water.</w:t>
      </w:r>
    </w:p>
    <w:p w:rsidR="00323611" w:rsidRDefault="00323611" w:rsidP="00323611"/>
    <w:p w:rsidR="000B2566" w:rsidRDefault="000B2566" w:rsidP="00323611">
      <w:r>
        <w:t>Appendix 1 provides d</w:t>
      </w:r>
      <w:r w:rsidRPr="009238B5">
        <w:t>etails of each individual suppl</w:t>
      </w:r>
      <w:r>
        <w:t>ier</w:t>
      </w:r>
      <w:r w:rsidRPr="009238B5">
        <w:t xml:space="preserve"> and </w:t>
      </w:r>
      <w:r>
        <w:t xml:space="preserve">its </w:t>
      </w:r>
      <w:r w:rsidRPr="009238B5">
        <w:t>achievement against the Standards and the requirements of the Act.</w:t>
      </w:r>
    </w:p>
    <w:p w:rsidR="00323611" w:rsidRPr="009238B5" w:rsidRDefault="00323611" w:rsidP="00323611"/>
    <w:p w:rsidR="000B2566" w:rsidRPr="009238B5" w:rsidRDefault="000B2566" w:rsidP="00323611">
      <w:pPr>
        <w:pStyle w:val="Heading1"/>
        <w:rPr>
          <w:rFonts w:eastAsiaTheme="majorEastAsia"/>
        </w:rPr>
      </w:pPr>
      <w:bookmarkStart w:id="6" w:name="_Toc5897707"/>
      <w:bookmarkStart w:id="7" w:name="_Toc10554001"/>
      <w:bookmarkEnd w:id="6"/>
      <w:r w:rsidRPr="009238B5">
        <w:rPr>
          <w:rFonts w:eastAsiaTheme="majorEastAsia"/>
        </w:rPr>
        <w:lastRenderedPageBreak/>
        <w:t>Methods</w:t>
      </w:r>
      <w:bookmarkEnd w:id="7"/>
    </w:p>
    <w:p w:rsidR="000B2566" w:rsidRPr="009238B5" w:rsidRDefault="000B2566" w:rsidP="00323611">
      <w:r w:rsidRPr="009238B5">
        <w:t>Information on drinking-water quality was obtained from drinking-water suppliers and drinking-water assessors. Compliance data was extracted from the Ministry of Health</w:t>
      </w:r>
      <w:r w:rsidR="00943F7F">
        <w:t>’</w:t>
      </w:r>
      <w:r w:rsidRPr="009238B5">
        <w:t>s drinking-water database</w:t>
      </w:r>
      <w:r>
        <w:t>, Drinking Water Online (DWO)</w:t>
      </w:r>
      <w:r w:rsidRPr="009238B5">
        <w:t>.</w:t>
      </w:r>
    </w:p>
    <w:p w:rsidR="00323611" w:rsidRDefault="00323611" w:rsidP="00323611"/>
    <w:p w:rsidR="000B2566" w:rsidRPr="009238B5" w:rsidRDefault="000B2566" w:rsidP="00323611">
      <w:r w:rsidRPr="009238B5">
        <w:t>The following caveats apply for the purposes of data interpretation</w:t>
      </w:r>
      <w:r>
        <w:t>.</w:t>
      </w:r>
    </w:p>
    <w:p w:rsidR="00323611" w:rsidRDefault="00323611" w:rsidP="00323611"/>
    <w:p w:rsidR="000B2566" w:rsidRPr="00C21C5A" w:rsidRDefault="000B2566" w:rsidP="00323611">
      <w:r w:rsidRPr="00C21C5A">
        <w:t>The report includes all registered networked drinking-water supplies that served more than 100 people during the reporting period, based on the information contained in DWO as at 30 June 2018.</w:t>
      </w:r>
    </w:p>
    <w:p w:rsidR="00323611" w:rsidRDefault="00323611" w:rsidP="00323611"/>
    <w:p w:rsidR="00943F7F" w:rsidRDefault="000B2566" w:rsidP="00323611">
      <w:r w:rsidRPr="00084F30">
        <w:t xml:space="preserve">A supply may have one or more distribution zones. A distribution zone is part of the drinking-water supply network within which all consumers receive drinking-water of identical quality. It is possible for distribution zones within a single supply to </w:t>
      </w:r>
      <w:r>
        <w:t>exhibit</w:t>
      </w:r>
      <w:r w:rsidRPr="00084F30">
        <w:t xml:space="preserve"> different </w:t>
      </w:r>
      <w:r>
        <w:t xml:space="preserve">rates of </w:t>
      </w:r>
      <w:r w:rsidRPr="00084F30">
        <w:t>achievement against the Standards.</w:t>
      </w:r>
    </w:p>
    <w:p w:rsidR="00323611" w:rsidRDefault="00323611" w:rsidP="00323611"/>
    <w:p w:rsidR="000B2566" w:rsidRPr="00084F30" w:rsidRDefault="000B2566" w:rsidP="00323611">
      <w:r w:rsidRPr="00084F30">
        <w:t xml:space="preserve">The population statistics in this report are calculated from the supply populations as recorded in </w:t>
      </w:r>
      <w:r>
        <w:t>DWO</w:t>
      </w:r>
      <w:r w:rsidRPr="00084F30">
        <w:t xml:space="preserve">. These </w:t>
      </w:r>
      <w:r>
        <w:t>figures</w:t>
      </w:r>
      <w:r w:rsidRPr="00084F30">
        <w:t xml:space="preserve"> are estimates, reassessed from time to time by each supplier.</w:t>
      </w:r>
    </w:p>
    <w:p w:rsidR="00323611" w:rsidRDefault="00323611" w:rsidP="00323611"/>
    <w:p w:rsidR="000B2566" w:rsidRPr="00084F30" w:rsidRDefault="000B2566" w:rsidP="00323611">
      <w:r w:rsidRPr="00084F30">
        <w:t xml:space="preserve">Population figures in this report are rounded to the nearest thousand, except when they are less than 10,000. In </w:t>
      </w:r>
      <w:r>
        <w:t xml:space="preserve">those </w:t>
      </w:r>
      <w:r w:rsidRPr="00084F30">
        <w:t>cases, they are rounded to the nearest hundred.</w:t>
      </w:r>
    </w:p>
    <w:p w:rsidR="00323611" w:rsidRDefault="00323611" w:rsidP="00323611"/>
    <w:p w:rsidR="000B2566" w:rsidRDefault="000B2566" w:rsidP="00323611">
      <w:r w:rsidRPr="00084F30">
        <w:t xml:space="preserve">Compliance </w:t>
      </w:r>
      <w:r>
        <w:t>against</w:t>
      </w:r>
      <w:r w:rsidRPr="00084F30">
        <w:t xml:space="preserve"> the requirements of the Act </w:t>
      </w:r>
      <w:r>
        <w:t xml:space="preserve">is </w:t>
      </w:r>
      <w:r w:rsidRPr="00084F30">
        <w:t xml:space="preserve">assessed for </w:t>
      </w:r>
      <w:r>
        <w:t xml:space="preserve">a </w:t>
      </w:r>
      <w:r w:rsidRPr="00084F30">
        <w:t>whole supply</w:t>
      </w:r>
      <w:r>
        <w:t xml:space="preserve"> based on information collected by questionnaires completed by drinking-water suppliers</w:t>
      </w:r>
      <w:r w:rsidRPr="00084F30">
        <w:t xml:space="preserve">. </w:t>
      </w:r>
      <w:r>
        <w:t>Information about achievement against the</w:t>
      </w:r>
      <w:r w:rsidRPr="00084F30">
        <w:t xml:space="preserve"> Standards</w:t>
      </w:r>
      <w:r>
        <w:t xml:space="preserve"> </w:t>
      </w:r>
      <w:r w:rsidRPr="00084F30">
        <w:t xml:space="preserve">is </w:t>
      </w:r>
      <w:r>
        <w:t>entered into the database by drinking-water suppliers, laboratories and drinking-water assessors.</w:t>
      </w:r>
    </w:p>
    <w:p w:rsidR="00323611" w:rsidRDefault="00323611" w:rsidP="00323611"/>
    <w:p w:rsidR="000B2566" w:rsidRPr="00C21C5A" w:rsidRDefault="000B2566" w:rsidP="00323611">
      <w:r w:rsidRPr="00C21C5A">
        <w:t>Water suppliers and drinking-water assessors were given an opportunity to check the data provided for this report. Information in this report reflects data collected on or before 27 August 2018.</w:t>
      </w:r>
    </w:p>
    <w:p w:rsidR="00323611" w:rsidRDefault="00323611" w:rsidP="00323611"/>
    <w:p w:rsidR="000B2566" w:rsidRPr="009238B5" w:rsidRDefault="000B2566" w:rsidP="00323611">
      <w:r w:rsidRPr="009238B5">
        <w:t xml:space="preserve">Data quality assurance was built into the data collection and analysis stages of report preparation. In addition, drinking-water assessors and water suppliers were given the opportunity to review the assessment of </w:t>
      </w:r>
      <w:r>
        <w:t>individual suppliers</w:t>
      </w:r>
      <w:r w:rsidR="00943F7F">
        <w:t>’</w:t>
      </w:r>
      <w:r>
        <w:t xml:space="preserve"> </w:t>
      </w:r>
      <w:r w:rsidRPr="009238B5">
        <w:t xml:space="preserve">compliance with the Act and achievement </w:t>
      </w:r>
      <w:r>
        <w:t xml:space="preserve">against </w:t>
      </w:r>
      <w:r w:rsidRPr="009238B5">
        <w:t>the Standards, with the exception of the requirements for monitoring and remedial action. Prior to data collection, drinking-water assessors were given training in the use of the annual compliance component of DWO.</w:t>
      </w:r>
    </w:p>
    <w:p w:rsidR="000B2566" w:rsidRPr="009238B5" w:rsidRDefault="000B2566" w:rsidP="00323611"/>
    <w:p w:rsidR="000B2566" w:rsidRPr="009238B5" w:rsidRDefault="000B2566" w:rsidP="00323611">
      <w:pPr>
        <w:pStyle w:val="Heading1"/>
        <w:rPr>
          <w:rFonts w:eastAsiaTheme="majorEastAsia"/>
        </w:rPr>
      </w:pPr>
      <w:bookmarkStart w:id="8" w:name="_Toc366933398"/>
      <w:bookmarkStart w:id="9" w:name="_Toc366934400"/>
      <w:bookmarkStart w:id="10" w:name="_Toc436983836"/>
      <w:bookmarkStart w:id="11" w:name="_Toc468264362"/>
      <w:bookmarkStart w:id="12" w:name="_Toc493860146"/>
      <w:bookmarkStart w:id="13" w:name="_Toc10554002"/>
      <w:r w:rsidRPr="009238B5">
        <w:rPr>
          <w:rFonts w:eastAsiaTheme="majorEastAsia"/>
        </w:rPr>
        <w:lastRenderedPageBreak/>
        <w:t>Compliance with the Health Act 1956</w:t>
      </w:r>
      <w:bookmarkEnd w:id="8"/>
      <w:bookmarkEnd w:id="9"/>
      <w:bookmarkEnd w:id="10"/>
      <w:bookmarkEnd w:id="11"/>
      <w:bookmarkEnd w:id="12"/>
      <w:bookmarkEnd w:id="13"/>
    </w:p>
    <w:p w:rsidR="000B2566" w:rsidRPr="00B44F68" w:rsidRDefault="000B2566" w:rsidP="00323611">
      <w:pPr>
        <w:pStyle w:val="Heading2"/>
      </w:pPr>
      <w:bookmarkStart w:id="14" w:name="_Toc10554003"/>
      <w:r w:rsidRPr="00B44F68">
        <w:t>Introduction</w:t>
      </w:r>
      <w:bookmarkStart w:id="15" w:name="_Toc5897711"/>
      <w:bookmarkStart w:id="16" w:name="_Toc5897712"/>
      <w:bookmarkStart w:id="17" w:name="_Toc5897713"/>
      <w:bookmarkStart w:id="18" w:name="_Toc5897714"/>
      <w:bookmarkStart w:id="19" w:name="_Toc5897715"/>
      <w:bookmarkStart w:id="20" w:name="_Toc5897716"/>
      <w:bookmarkStart w:id="21" w:name="_Toc5897717"/>
      <w:bookmarkStart w:id="22" w:name="_Toc5897718"/>
      <w:bookmarkStart w:id="23" w:name="compliance-with-the-health-act-1956"/>
      <w:bookmarkEnd w:id="14"/>
      <w:bookmarkEnd w:id="15"/>
      <w:bookmarkEnd w:id="16"/>
      <w:bookmarkEnd w:id="17"/>
      <w:bookmarkEnd w:id="18"/>
      <w:bookmarkEnd w:id="19"/>
      <w:bookmarkEnd w:id="20"/>
      <w:bookmarkEnd w:id="21"/>
      <w:bookmarkEnd w:id="22"/>
      <w:bookmarkEnd w:id="23"/>
    </w:p>
    <w:p w:rsidR="00943F7F" w:rsidRDefault="000B2566" w:rsidP="00323611">
      <w:r w:rsidRPr="00B44F68">
        <w:t xml:space="preserve">This section discusses the extent to which </w:t>
      </w:r>
      <w:r>
        <w:t xml:space="preserve">suppliers met </w:t>
      </w:r>
      <w:r w:rsidRPr="00B44F68">
        <w:t xml:space="preserve">the requirements of the </w:t>
      </w:r>
      <w:r>
        <w:t xml:space="preserve">Health </w:t>
      </w:r>
      <w:r w:rsidRPr="00B44F68">
        <w:t xml:space="preserve">Act </w:t>
      </w:r>
      <w:r>
        <w:t xml:space="preserve">1956 (the Act) </w:t>
      </w:r>
      <w:r w:rsidRPr="00B44F68">
        <w:t xml:space="preserve">during the reporting period, including </w:t>
      </w:r>
      <w:r>
        <w:t xml:space="preserve">in regard to </w:t>
      </w:r>
      <w:r w:rsidRPr="00B44F68">
        <w:t xml:space="preserve">water safety plan preparation and use. </w:t>
      </w:r>
      <w:r>
        <w:t>B</w:t>
      </w:r>
      <w:r w:rsidRPr="00B44F68">
        <w:t>rief</w:t>
      </w:r>
      <w:r>
        <w:t xml:space="preserve">ly, the </w:t>
      </w:r>
      <w:r w:rsidRPr="00B44F68">
        <w:t>requirement</w:t>
      </w:r>
      <w:r>
        <w:t>s</w:t>
      </w:r>
      <w:r w:rsidRPr="00B44F68">
        <w:t xml:space="preserve"> </w:t>
      </w:r>
      <w:r>
        <w:t>of the Act are as follows</w:t>
      </w:r>
      <w:r w:rsidRPr="00B44F68">
        <w:t>.</w:t>
      </w:r>
    </w:p>
    <w:p w:rsidR="000B2566" w:rsidRPr="000A3B79" w:rsidRDefault="000B2566" w:rsidP="0096026B">
      <w:pPr>
        <w:pStyle w:val="Bullet"/>
        <w:spacing w:before="120"/>
      </w:pPr>
      <w:r w:rsidRPr="000A3B79">
        <w:rPr>
          <w:b/>
        </w:rPr>
        <w:t>Water safety plans:</w:t>
      </w:r>
      <w:r w:rsidRPr="000A3B79">
        <w:t xml:space="preserve"> Every drinking-water supplier, with the exception of small suppliers, must implement an approved water safety plan for their drinking-water supplies. The supplier must review its water safety plan within five years of approval.</w:t>
      </w:r>
    </w:p>
    <w:p w:rsidR="00943F7F" w:rsidRDefault="000B2566" w:rsidP="0096026B">
      <w:pPr>
        <w:pStyle w:val="Bullet"/>
        <w:spacing w:before="120"/>
      </w:pPr>
      <w:r w:rsidRPr="000A3B79">
        <w:rPr>
          <w:b/>
        </w:rPr>
        <w:t>Compliance with the drinking-water standards:</w:t>
      </w:r>
      <w:r w:rsidRPr="000A3B79">
        <w:t xml:space="preserve"> Every drinking-water supplier has a duty to take all practicable steps to ensure that the drinking-water it supplies complies with the Standards.</w:t>
      </w:r>
    </w:p>
    <w:p w:rsidR="000B2566" w:rsidRPr="000A3B79" w:rsidRDefault="000B2566" w:rsidP="0096026B">
      <w:pPr>
        <w:pStyle w:val="Bullet"/>
        <w:spacing w:before="120"/>
      </w:pPr>
      <w:r w:rsidRPr="000A3B79">
        <w:rPr>
          <w:b/>
        </w:rPr>
        <w:t>Provision of drinking-water:</w:t>
      </w:r>
      <w:r w:rsidRPr="000A3B79">
        <w:t xml:space="preserve"> Every drinking-water supplier must take all practicable steps to ensure </w:t>
      </w:r>
      <w:r>
        <w:t xml:space="preserve">it provides </w:t>
      </w:r>
      <w:r w:rsidRPr="000A3B79">
        <w:t xml:space="preserve">an adequate supply of drinking-water to each point of supply. Interruptions may occur for planned maintenance, </w:t>
      </w:r>
      <w:r>
        <w:t xml:space="preserve">for </w:t>
      </w:r>
      <w:r w:rsidRPr="000A3B79">
        <w:t>improvements or for emergency repairs. However, if the interruptions are likely to exceed eight hours, the supplier must have prior approval from the medical officer of health</w:t>
      </w:r>
      <w:r>
        <w:t>,</w:t>
      </w:r>
      <w:r w:rsidRPr="000A3B79">
        <w:t xml:space="preserve"> and </w:t>
      </w:r>
      <w:r>
        <w:t xml:space="preserve">must </w:t>
      </w:r>
      <w:r w:rsidRPr="000A3B79">
        <w:t>have taken all practicable steps to warn affected people. If the supply is interrupted in an emergency, the supplier has up to 24 hours to inform the medical officer of health.</w:t>
      </w:r>
    </w:p>
    <w:p w:rsidR="000B2566" w:rsidRPr="009E12DC" w:rsidRDefault="000B2566" w:rsidP="0096026B">
      <w:pPr>
        <w:pStyle w:val="Bullet"/>
        <w:spacing w:before="120"/>
      </w:pPr>
      <w:r w:rsidRPr="000A3B79">
        <w:rPr>
          <w:b/>
        </w:rPr>
        <w:t>Source protection:</w:t>
      </w:r>
      <w:r w:rsidRPr="000A3B79">
        <w:t xml:space="preserve"> Every drinking-water supplier must take reasonable steps to protect their water sources from contamination and pollution. These steps may include making submissions on district plans, resource consent applications or sanitary service assessments. </w:t>
      </w:r>
      <w:r>
        <w:t xml:space="preserve">They </w:t>
      </w:r>
      <w:r w:rsidRPr="009E12DC">
        <w:t>may also include contributing to catchment management.</w:t>
      </w:r>
    </w:p>
    <w:p w:rsidR="000B2566" w:rsidRPr="009E12DC" w:rsidRDefault="000B2566" w:rsidP="0096026B">
      <w:pPr>
        <w:pStyle w:val="Bullet"/>
        <w:spacing w:before="120"/>
      </w:pPr>
      <w:r w:rsidRPr="009E12DC">
        <w:rPr>
          <w:b/>
        </w:rPr>
        <w:t>Monitoring:</w:t>
      </w:r>
      <w:r w:rsidRPr="009E12DC">
        <w:t xml:space="preserve"> Every drinking-water supplier must monitor the drinking-water </w:t>
      </w:r>
      <w:r>
        <w:t xml:space="preserve">it </w:t>
      </w:r>
      <w:r w:rsidRPr="009E12DC">
        <w:t>supplie</w:t>
      </w:r>
      <w:r>
        <w:t>s</w:t>
      </w:r>
      <w:r w:rsidRPr="009E12DC">
        <w:t>, to check whether it meets the Standards, or presents a public health risk.</w:t>
      </w:r>
    </w:p>
    <w:p w:rsidR="000B2566" w:rsidRPr="009E12DC" w:rsidRDefault="000B2566" w:rsidP="0096026B">
      <w:pPr>
        <w:pStyle w:val="Bullet"/>
        <w:spacing w:before="120"/>
      </w:pPr>
      <w:r w:rsidRPr="009E12DC">
        <w:rPr>
          <w:b/>
        </w:rPr>
        <w:t>Record</w:t>
      </w:r>
      <w:r>
        <w:rPr>
          <w:b/>
        </w:rPr>
        <w:t>-</w:t>
      </w:r>
      <w:r w:rsidRPr="009E12DC">
        <w:rPr>
          <w:b/>
        </w:rPr>
        <w:t>keeping:</w:t>
      </w:r>
      <w:r w:rsidRPr="009E12DC">
        <w:t xml:space="preserve"> Every drinking-water supplier, with the exception of small suppliers, must keep records of </w:t>
      </w:r>
      <w:r>
        <w:t xml:space="preserve">its </w:t>
      </w:r>
      <w:r w:rsidRPr="009E12DC">
        <w:t>drinking-water supplies</w:t>
      </w:r>
      <w:r>
        <w:t>,</w:t>
      </w:r>
      <w:r w:rsidRPr="009E12DC">
        <w:t xml:space="preserve"> containing sufficient information to enable a drinking-water assessor to ascertain whether the supplier is meeting the requirements of the Act.</w:t>
      </w:r>
    </w:p>
    <w:p w:rsidR="000B2566" w:rsidRPr="009E12DC" w:rsidRDefault="000B2566" w:rsidP="0096026B">
      <w:pPr>
        <w:pStyle w:val="Bullet"/>
        <w:spacing w:before="120"/>
      </w:pPr>
      <w:r w:rsidRPr="009E12DC">
        <w:rPr>
          <w:b/>
        </w:rPr>
        <w:t>Complaints</w:t>
      </w:r>
      <w:r w:rsidRPr="009E12DC">
        <w:t xml:space="preserve">: Every drinking-water supplier must record and investigate complaints about </w:t>
      </w:r>
      <w:r>
        <w:t>its supply</w:t>
      </w:r>
      <w:r w:rsidRPr="009E12DC">
        <w:t>.</w:t>
      </w:r>
    </w:p>
    <w:p w:rsidR="000B2566" w:rsidRPr="009E12DC" w:rsidRDefault="000B2566" w:rsidP="0096026B">
      <w:pPr>
        <w:pStyle w:val="Bullet"/>
        <w:spacing w:before="120"/>
      </w:pPr>
      <w:r w:rsidRPr="009E12DC">
        <w:rPr>
          <w:b/>
        </w:rPr>
        <w:t xml:space="preserve">Remedial </w:t>
      </w:r>
      <w:r>
        <w:rPr>
          <w:b/>
        </w:rPr>
        <w:t>a</w:t>
      </w:r>
      <w:r w:rsidRPr="009E12DC">
        <w:rPr>
          <w:b/>
        </w:rPr>
        <w:t>ctions:</w:t>
      </w:r>
      <w:r w:rsidRPr="009E12DC">
        <w:t xml:space="preserve"> Every drinking-water supplier must take appropriate remedial action to correct problems if </w:t>
      </w:r>
      <w:r>
        <w:t xml:space="preserve">its </w:t>
      </w:r>
      <w:r w:rsidRPr="009E12DC">
        <w:t>supply does not meet the Standards.</w:t>
      </w:r>
    </w:p>
    <w:p w:rsidR="000B2566" w:rsidRDefault="000B2566" w:rsidP="00323611"/>
    <w:p w:rsidR="000B2566" w:rsidRPr="00B44F68" w:rsidRDefault="000B2566" w:rsidP="00323611">
      <w:pPr>
        <w:pStyle w:val="Heading2"/>
      </w:pPr>
      <w:bookmarkStart w:id="24" w:name="_Toc10554004"/>
      <w:r w:rsidRPr="00B44F68">
        <w:lastRenderedPageBreak/>
        <w:t>Overall compliance with the Health Act 1956</w:t>
      </w:r>
      <w:bookmarkEnd w:id="24"/>
    </w:p>
    <w:p w:rsidR="000B2566" w:rsidRPr="009238B5" w:rsidDel="00C21C5A" w:rsidRDefault="000B2566" w:rsidP="00323611">
      <w:r w:rsidRPr="009238B5" w:rsidDel="00C21C5A">
        <w:t xml:space="preserve">The Act places specific duties on drinking-water suppliers that are key to protecting the safety of drinking-water supplies. During the reporting period, 84.7 </w:t>
      </w:r>
      <w:r>
        <w:t>percent</w:t>
      </w:r>
      <w:r w:rsidRPr="009238B5" w:rsidDel="00C21C5A">
        <w:t xml:space="preserve"> of the population received drinking-water from fully</w:t>
      </w:r>
      <w:r>
        <w:t xml:space="preserve"> </w:t>
      </w:r>
      <w:r w:rsidRPr="009238B5" w:rsidDel="00C21C5A">
        <w:t>compliant water supplie</w:t>
      </w:r>
      <w:r>
        <w:t>r</w:t>
      </w:r>
      <w:r w:rsidRPr="009238B5" w:rsidDel="00C21C5A">
        <w:t>s. This is a 2.7</w:t>
      </w:r>
      <w:r w:rsidR="00323611">
        <w:t> </w:t>
      </w:r>
      <w:r>
        <w:t>percent</w:t>
      </w:r>
      <w:r w:rsidRPr="009238B5" w:rsidDel="00C21C5A">
        <w:t xml:space="preserve"> decrease since the previous reporting period (2016/17).</w:t>
      </w:r>
    </w:p>
    <w:p w:rsidR="00323611" w:rsidRDefault="00323611" w:rsidP="00323611"/>
    <w:p w:rsidR="000B2566" w:rsidRDefault="000B2566" w:rsidP="00323611">
      <w:r>
        <w:t>Table 1</w:t>
      </w:r>
      <w:r w:rsidRPr="009238B5">
        <w:t xml:space="preserve"> shows the proportion of population that received drinking-water from fully complying supplie</w:t>
      </w:r>
      <w:r>
        <w:t>r</w:t>
      </w:r>
      <w:r w:rsidRPr="009238B5">
        <w:t>s for each requirement during the current and previous reporting periods.</w:t>
      </w:r>
    </w:p>
    <w:p w:rsidR="00323611" w:rsidRPr="009238B5" w:rsidRDefault="00323611" w:rsidP="00323611"/>
    <w:p w:rsidR="000B2566" w:rsidRPr="009238B5" w:rsidRDefault="000B2566" w:rsidP="00323611">
      <w:pPr>
        <w:pStyle w:val="Table"/>
      </w:pPr>
      <w:bookmarkStart w:id="25" w:name="_Toc9846294"/>
      <w:r w:rsidRPr="009238B5">
        <w:t>Table 1: Compliance with the Act in previous and current reporting periods</w:t>
      </w:r>
      <w:bookmarkEnd w:id="25"/>
    </w:p>
    <w:tbl>
      <w:tblPr>
        <w:tblW w:w="4305" w:type="pct"/>
        <w:tblInd w:w="57" w:type="dxa"/>
        <w:tblBorders>
          <w:bottom w:val="single" w:sz="4" w:space="0" w:color="A6A6A6" w:themeColor="background1" w:themeShade="A6"/>
          <w:insideH w:val="single" w:sz="4" w:space="0" w:color="A6A6A6" w:themeColor="background1" w:themeShade="A6"/>
        </w:tblBorders>
        <w:tblLayout w:type="fixed"/>
        <w:tblCellMar>
          <w:left w:w="57" w:type="dxa"/>
          <w:right w:w="57" w:type="dxa"/>
        </w:tblCellMar>
        <w:tblLook w:val="07E0" w:firstRow="1" w:lastRow="1" w:firstColumn="1" w:lastColumn="1" w:noHBand="1" w:noVBand="1"/>
      </w:tblPr>
      <w:tblGrid>
        <w:gridCol w:w="2517"/>
        <w:gridCol w:w="1479"/>
        <w:gridCol w:w="1480"/>
        <w:gridCol w:w="1480"/>
      </w:tblGrid>
      <w:tr w:rsidR="000B2566" w:rsidRPr="00323611" w:rsidTr="00323611">
        <w:trPr>
          <w:cantSplit/>
        </w:trPr>
        <w:tc>
          <w:tcPr>
            <w:tcW w:w="2552" w:type="dxa"/>
            <w:tcBorders>
              <w:top w:val="nil"/>
              <w:bottom w:val="nil"/>
            </w:tcBorders>
            <w:shd w:val="clear" w:color="auto" w:fill="D9D9D9" w:themeFill="background1" w:themeFillShade="D9"/>
            <w:vAlign w:val="bottom"/>
          </w:tcPr>
          <w:p w:rsidR="000B2566" w:rsidRPr="00323611" w:rsidRDefault="000B2566" w:rsidP="00323611">
            <w:pPr>
              <w:pStyle w:val="TableText"/>
              <w:rPr>
                <w:b/>
              </w:rPr>
            </w:pPr>
            <w:r w:rsidRPr="00323611">
              <w:rPr>
                <w:b/>
              </w:rPr>
              <w:t>Requirement</w:t>
            </w:r>
          </w:p>
        </w:tc>
        <w:tc>
          <w:tcPr>
            <w:tcW w:w="1500" w:type="dxa"/>
            <w:tcBorders>
              <w:top w:val="nil"/>
              <w:bottom w:val="nil"/>
            </w:tcBorders>
            <w:shd w:val="clear" w:color="auto" w:fill="D9D9D9" w:themeFill="background1" w:themeFillShade="D9"/>
            <w:vAlign w:val="bottom"/>
          </w:tcPr>
          <w:p w:rsidR="000B2566" w:rsidRPr="00323611" w:rsidRDefault="000B2566" w:rsidP="00323611">
            <w:pPr>
              <w:pStyle w:val="TableText"/>
              <w:jc w:val="center"/>
              <w:rPr>
                <w:b/>
              </w:rPr>
            </w:pPr>
            <w:r w:rsidRPr="00323611">
              <w:rPr>
                <w:b/>
              </w:rPr>
              <w:t>2016/17</w:t>
            </w:r>
          </w:p>
        </w:tc>
        <w:tc>
          <w:tcPr>
            <w:tcW w:w="1501" w:type="dxa"/>
            <w:tcBorders>
              <w:top w:val="nil"/>
              <w:bottom w:val="nil"/>
            </w:tcBorders>
            <w:shd w:val="clear" w:color="auto" w:fill="D9D9D9" w:themeFill="background1" w:themeFillShade="D9"/>
            <w:vAlign w:val="bottom"/>
          </w:tcPr>
          <w:p w:rsidR="000B2566" w:rsidRPr="00323611" w:rsidRDefault="000B2566" w:rsidP="00323611">
            <w:pPr>
              <w:pStyle w:val="TableText"/>
              <w:jc w:val="center"/>
              <w:rPr>
                <w:b/>
              </w:rPr>
            </w:pPr>
            <w:r w:rsidRPr="00323611">
              <w:rPr>
                <w:b/>
              </w:rPr>
              <w:t>2017/18</w:t>
            </w:r>
          </w:p>
        </w:tc>
        <w:tc>
          <w:tcPr>
            <w:tcW w:w="1501" w:type="dxa"/>
            <w:tcBorders>
              <w:top w:val="nil"/>
              <w:bottom w:val="nil"/>
            </w:tcBorders>
            <w:shd w:val="clear" w:color="auto" w:fill="D9D9D9" w:themeFill="background1" w:themeFillShade="D9"/>
            <w:vAlign w:val="bottom"/>
          </w:tcPr>
          <w:p w:rsidR="000B2566" w:rsidRPr="00323611" w:rsidRDefault="000B2566" w:rsidP="00323611">
            <w:pPr>
              <w:pStyle w:val="TableText"/>
              <w:jc w:val="center"/>
              <w:rPr>
                <w:b/>
              </w:rPr>
            </w:pPr>
            <w:r w:rsidRPr="00323611">
              <w:rPr>
                <w:b/>
              </w:rPr>
              <w:t>difference</w:t>
            </w:r>
          </w:p>
        </w:tc>
      </w:tr>
      <w:tr w:rsidR="000B2566" w:rsidRPr="009238B5" w:rsidTr="00323611">
        <w:trPr>
          <w:cantSplit/>
        </w:trPr>
        <w:tc>
          <w:tcPr>
            <w:tcW w:w="2552" w:type="dxa"/>
            <w:tcBorders>
              <w:top w:val="nil"/>
            </w:tcBorders>
            <w:shd w:val="clear" w:color="auto" w:fill="auto"/>
          </w:tcPr>
          <w:p w:rsidR="000B2566" w:rsidRPr="00943F7F" w:rsidRDefault="000B2566" w:rsidP="00323611">
            <w:pPr>
              <w:pStyle w:val="TableText"/>
              <w:rPr>
                <w:szCs w:val="24"/>
              </w:rPr>
            </w:pPr>
            <w:r w:rsidRPr="00943F7F">
              <w:rPr>
                <w:szCs w:val="24"/>
              </w:rPr>
              <w:t>Monitoring</w:t>
            </w:r>
          </w:p>
        </w:tc>
        <w:tc>
          <w:tcPr>
            <w:tcW w:w="1500" w:type="dxa"/>
            <w:tcBorders>
              <w:top w:val="nil"/>
            </w:tcBorders>
            <w:shd w:val="clear" w:color="auto" w:fill="auto"/>
          </w:tcPr>
          <w:p w:rsidR="000B2566" w:rsidRPr="00943F7F" w:rsidRDefault="000B2566" w:rsidP="00323611">
            <w:pPr>
              <w:pStyle w:val="TableText"/>
              <w:jc w:val="center"/>
              <w:rPr>
                <w:szCs w:val="24"/>
              </w:rPr>
            </w:pPr>
            <w:r w:rsidRPr="00943F7F">
              <w:rPr>
                <w:szCs w:val="24"/>
              </w:rPr>
              <w:t>97.1%</w:t>
            </w:r>
          </w:p>
        </w:tc>
        <w:tc>
          <w:tcPr>
            <w:tcW w:w="1501" w:type="dxa"/>
            <w:tcBorders>
              <w:top w:val="nil"/>
            </w:tcBorders>
            <w:shd w:val="clear" w:color="auto" w:fill="auto"/>
          </w:tcPr>
          <w:p w:rsidR="000B2566" w:rsidRPr="00943F7F" w:rsidRDefault="000B2566" w:rsidP="00323611">
            <w:pPr>
              <w:pStyle w:val="TableText"/>
              <w:jc w:val="center"/>
              <w:rPr>
                <w:szCs w:val="24"/>
              </w:rPr>
            </w:pPr>
            <w:r w:rsidRPr="00943F7F">
              <w:rPr>
                <w:szCs w:val="24"/>
              </w:rPr>
              <w:t>92.0%</w:t>
            </w:r>
          </w:p>
        </w:tc>
        <w:tc>
          <w:tcPr>
            <w:tcW w:w="1501" w:type="dxa"/>
            <w:tcBorders>
              <w:top w:val="nil"/>
            </w:tcBorders>
            <w:shd w:val="clear" w:color="auto" w:fill="auto"/>
          </w:tcPr>
          <w:p w:rsidR="000B2566" w:rsidRPr="00943F7F" w:rsidRDefault="000B2566" w:rsidP="00323611">
            <w:pPr>
              <w:pStyle w:val="TableText"/>
              <w:jc w:val="center"/>
              <w:rPr>
                <w:szCs w:val="24"/>
              </w:rPr>
            </w:pPr>
            <w:r w:rsidRPr="00943F7F">
              <w:rPr>
                <w:szCs w:val="24"/>
              </w:rPr>
              <w:t>-5.1%</w:t>
            </w:r>
          </w:p>
        </w:tc>
      </w:tr>
      <w:tr w:rsidR="000B2566" w:rsidRPr="009238B5" w:rsidTr="00323611">
        <w:trPr>
          <w:cantSplit/>
        </w:trPr>
        <w:tc>
          <w:tcPr>
            <w:tcW w:w="2552" w:type="dxa"/>
            <w:shd w:val="clear" w:color="auto" w:fill="auto"/>
          </w:tcPr>
          <w:p w:rsidR="000B2566" w:rsidRPr="00943F7F" w:rsidRDefault="000B2566" w:rsidP="00323611">
            <w:pPr>
              <w:pStyle w:val="TableText"/>
              <w:rPr>
                <w:szCs w:val="24"/>
              </w:rPr>
            </w:pPr>
            <w:r w:rsidRPr="00943F7F">
              <w:rPr>
                <w:szCs w:val="24"/>
              </w:rPr>
              <w:t>Water safety plans</w:t>
            </w:r>
          </w:p>
        </w:tc>
        <w:tc>
          <w:tcPr>
            <w:tcW w:w="1500" w:type="dxa"/>
            <w:shd w:val="clear" w:color="auto" w:fill="auto"/>
          </w:tcPr>
          <w:p w:rsidR="000B2566" w:rsidRPr="00943F7F" w:rsidRDefault="000B2566" w:rsidP="00323611">
            <w:pPr>
              <w:pStyle w:val="TableText"/>
              <w:jc w:val="center"/>
              <w:rPr>
                <w:szCs w:val="24"/>
              </w:rPr>
            </w:pPr>
            <w:r w:rsidRPr="00943F7F">
              <w:rPr>
                <w:szCs w:val="24"/>
              </w:rPr>
              <w:t>98.5%</w:t>
            </w:r>
          </w:p>
        </w:tc>
        <w:tc>
          <w:tcPr>
            <w:tcW w:w="1501" w:type="dxa"/>
            <w:shd w:val="clear" w:color="auto" w:fill="auto"/>
          </w:tcPr>
          <w:p w:rsidR="000B2566" w:rsidRPr="00943F7F" w:rsidRDefault="000B2566" w:rsidP="00323611">
            <w:pPr>
              <w:pStyle w:val="TableText"/>
              <w:jc w:val="center"/>
              <w:rPr>
                <w:szCs w:val="24"/>
              </w:rPr>
            </w:pPr>
            <w:r w:rsidRPr="00943F7F">
              <w:rPr>
                <w:szCs w:val="24"/>
              </w:rPr>
              <w:t>99.3%</w:t>
            </w:r>
          </w:p>
        </w:tc>
        <w:tc>
          <w:tcPr>
            <w:tcW w:w="1501" w:type="dxa"/>
            <w:shd w:val="clear" w:color="auto" w:fill="auto"/>
          </w:tcPr>
          <w:p w:rsidR="000B2566" w:rsidRPr="00943F7F" w:rsidRDefault="000B2566" w:rsidP="00323611">
            <w:pPr>
              <w:pStyle w:val="TableText"/>
              <w:jc w:val="center"/>
              <w:rPr>
                <w:szCs w:val="24"/>
              </w:rPr>
            </w:pPr>
            <w:r w:rsidRPr="00943F7F">
              <w:rPr>
                <w:szCs w:val="24"/>
              </w:rPr>
              <w:t>0.8%</w:t>
            </w:r>
          </w:p>
        </w:tc>
      </w:tr>
      <w:tr w:rsidR="000B2566" w:rsidRPr="009238B5" w:rsidTr="00323611">
        <w:trPr>
          <w:cantSplit/>
        </w:trPr>
        <w:tc>
          <w:tcPr>
            <w:tcW w:w="2552" w:type="dxa"/>
            <w:shd w:val="clear" w:color="auto" w:fill="auto"/>
          </w:tcPr>
          <w:p w:rsidR="000B2566" w:rsidRPr="00943F7F" w:rsidRDefault="000B2566" w:rsidP="00323611">
            <w:pPr>
              <w:pStyle w:val="TableText"/>
              <w:rPr>
                <w:szCs w:val="24"/>
              </w:rPr>
            </w:pPr>
            <w:r w:rsidRPr="00943F7F">
              <w:rPr>
                <w:szCs w:val="24"/>
              </w:rPr>
              <w:t>Provision of drinking-water</w:t>
            </w:r>
          </w:p>
        </w:tc>
        <w:tc>
          <w:tcPr>
            <w:tcW w:w="1500" w:type="dxa"/>
            <w:shd w:val="clear" w:color="auto" w:fill="auto"/>
          </w:tcPr>
          <w:p w:rsidR="000B2566" w:rsidRPr="00943F7F" w:rsidRDefault="000B2566" w:rsidP="00323611">
            <w:pPr>
              <w:pStyle w:val="TableText"/>
              <w:jc w:val="center"/>
              <w:rPr>
                <w:szCs w:val="24"/>
              </w:rPr>
            </w:pPr>
            <w:r w:rsidRPr="00943F7F">
              <w:rPr>
                <w:szCs w:val="24"/>
              </w:rPr>
              <w:t>91.5%</w:t>
            </w:r>
          </w:p>
        </w:tc>
        <w:tc>
          <w:tcPr>
            <w:tcW w:w="1501" w:type="dxa"/>
            <w:shd w:val="clear" w:color="auto" w:fill="auto"/>
          </w:tcPr>
          <w:p w:rsidR="000B2566" w:rsidRPr="00943F7F" w:rsidRDefault="000B2566" w:rsidP="00323611">
            <w:pPr>
              <w:pStyle w:val="TableText"/>
              <w:jc w:val="center"/>
              <w:rPr>
                <w:szCs w:val="24"/>
              </w:rPr>
            </w:pPr>
            <w:r w:rsidRPr="00943F7F">
              <w:rPr>
                <w:szCs w:val="24"/>
              </w:rPr>
              <w:t>93.1%</w:t>
            </w:r>
          </w:p>
        </w:tc>
        <w:tc>
          <w:tcPr>
            <w:tcW w:w="1501" w:type="dxa"/>
            <w:shd w:val="clear" w:color="auto" w:fill="auto"/>
          </w:tcPr>
          <w:p w:rsidR="000B2566" w:rsidRPr="00943F7F" w:rsidRDefault="000B2566" w:rsidP="00323611">
            <w:pPr>
              <w:pStyle w:val="TableText"/>
              <w:jc w:val="center"/>
              <w:rPr>
                <w:szCs w:val="24"/>
              </w:rPr>
            </w:pPr>
            <w:r w:rsidRPr="00943F7F">
              <w:rPr>
                <w:szCs w:val="24"/>
              </w:rPr>
              <w:t>1.7%</w:t>
            </w:r>
          </w:p>
        </w:tc>
      </w:tr>
      <w:tr w:rsidR="000B2566" w:rsidRPr="009238B5" w:rsidTr="00323611">
        <w:trPr>
          <w:cantSplit/>
        </w:trPr>
        <w:tc>
          <w:tcPr>
            <w:tcW w:w="2552" w:type="dxa"/>
            <w:shd w:val="clear" w:color="auto" w:fill="auto"/>
          </w:tcPr>
          <w:p w:rsidR="000B2566" w:rsidRPr="00943F7F" w:rsidRDefault="000B2566" w:rsidP="00323611">
            <w:pPr>
              <w:pStyle w:val="TableText"/>
              <w:rPr>
                <w:szCs w:val="24"/>
              </w:rPr>
            </w:pPr>
            <w:r w:rsidRPr="00943F7F">
              <w:rPr>
                <w:szCs w:val="24"/>
              </w:rPr>
              <w:t>Source protection</w:t>
            </w:r>
          </w:p>
        </w:tc>
        <w:tc>
          <w:tcPr>
            <w:tcW w:w="1500" w:type="dxa"/>
            <w:shd w:val="clear" w:color="auto" w:fill="auto"/>
          </w:tcPr>
          <w:p w:rsidR="000B2566" w:rsidRPr="00943F7F" w:rsidRDefault="000B2566" w:rsidP="00323611">
            <w:pPr>
              <w:pStyle w:val="TableText"/>
              <w:jc w:val="center"/>
              <w:rPr>
                <w:szCs w:val="24"/>
              </w:rPr>
            </w:pPr>
            <w:r w:rsidRPr="00943F7F">
              <w:rPr>
                <w:szCs w:val="24"/>
              </w:rPr>
              <w:t>99.4%</w:t>
            </w:r>
          </w:p>
        </w:tc>
        <w:tc>
          <w:tcPr>
            <w:tcW w:w="1501" w:type="dxa"/>
            <w:shd w:val="clear" w:color="auto" w:fill="auto"/>
          </w:tcPr>
          <w:p w:rsidR="000B2566" w:rsidRPr="00943F7F" w:rsidRDefault="000B2566" w:rsidP="00323611">
            <w:pPr>
              <w:pStyle w:val="TableText"/>
              <w:jc w:val="center"/>
              <w:rPr>
                <w:szCs w:val="24"/>
              </w:rPr>
            </w:pPr>
            <w:r w:rsidRPr="00943F7F">
              <w:rPr>
                <w:szCs w:val="24"/>
              </w:rPr>
              <w:t>99.9%</w:t>
            </w:r>
          </w:p>
        </w:tc>
        <w:tc>
          <w:tcPr>
            <w:tcW w:w="1501" w:type="dxa"/>
            <w:shd w:val="clear" w:color="auto" w:fill="auto"/>
          </w:tcPr>
          <w:p w:rsidR="000B2566" w:rsidRPr="00943F7F" w:rsidRDefault="000B2566" w:rsidP="00323611">
            <w:pPr>
              <w:pStyle w:val="TableText"/>
              <w:jc w:val="center"/>
              <w:rPr>
                <w:szCs w:val="24"/>
              </w:rPr>
            </w:pPr>
            <w:r w:rsidRPr="00943F7F">
              <w:rPr>
                <w:szCs w:val="24"/>
              </w:rPr>
              <w:t>0.5%</w:t>
            </w:r>
          </w:p>
        </w:tc>
      </w:tr>
      <w:tr w:rsidR="000B2566" w:rsidRPr="009238B5" w:rsidTr="00323611">
        <w:trPr>
          <w:cantSplit/>
        </w:trPr>
        <w:tc>
          <w:tcPr>
            <w:tcW w:w="2552" w:type="dxa"/>
            <w:shd w:val="clear" w:color="auto" w:fill="auto"/>
          </w:tcPr>
          <w:p w:rsidR="000B2566" w:rsidRPr="00943F7F" w:rsidRDefault="000B2566" w:rsidP="00323611">
            <w:pPr>
              <w:pStyle w:val="TableText"/>
              <w:rPr>
                <w:szCs w:val="24"/>
              </w:rPr>
            </w:pPr>
            <w:r w:rsidRPr="00943F7F">
              <w:rPr>
                <w:szCs w:val="24"/>
              </w:rPr>
              <w:t>Records</w:t>
            </w:r>
          </w:p>
        </w:tc>
        <w:tc>
          <w:tcPr>
            <w:tcW w:w="1500" w:type="dxa"/>
            <w:shd w:val="clear" w:color="auto" w:fill="auto"/>
          </w:tcPr>
          <w:p w:rsidR="000B2566" w:rsidRPr="00943F7F" w:rsidRDefault="000B2566" w:rsidP="00323611">
            <w:pPr>
              <w:pStyle w:val="TableText"/>
              <w:jc w:val="center"/>
              <w:rPr>
                <w:szCs w:val="24"/>
              </w:rPr>
            </w:pPr>
            <w:r w:rsidRPr="00943F7F">
              <w:rPr>
                <w:szCs w:val="24"/>
              </w:rPr>
              <w:t>99.9%</w:t>
            </w:r>
          </w:p>
        </w:tc>
        <w:tc>
          <w:tcPr>
            <w:tcW w:w="1501" w:type="dxa"/>
            <w:shd w:val="clear" w:color="auto" w:fill="auto"/>
          </w:tcPr>
          <w:p w:rsidR="000B2566" w:rsidRPr="00943F7F" w:rsidRDefault="000B2566" w:rsidP="00323611">
            <w:pPr>
              <w:pStyle w:val="TableText"/>
              <w:jc w:val="center"/>
              <w:rPr>
                <w:szCs w:val="24"/>
              </w:rPr>
            </w:pPr>
            <w:r w:rsidRPr="00943F7F">
              <w:rPr>
                <w:szCs w:val="24"/>
              </w:rPr>
              <w:t>99.5%</w:t>
            </w:r>
          </w:p>
        </w:tc>
        <w:tc>
          <w:tcPr>
            <w:tcW w:w="1501" w:type="dxa"/>
            <w:shd w:val="clear" w:color="auto" w:fill="auto"/>
          </w:tcPr>
          <w:p w:rsidR="000B2566" w:rsidRPr="00943F7F" w:rsidRDefault="000B2566" w:rsidP="00323611">
            <w:pPr>
              <w:pStyle w:val="TableText"/>
              <w:jc w:val="center"/>
              <w:rPr>
                <w:szCs w:val="24"/>
              </w:rPr>
            </w:pPr>
            <w:r w:rsidRPr="00943F7F">
              <w:rPr>
                <w:szCs w:val="24"/>
              </w:rPr>
              <w:t>-0.4%</w:t>
            </w:r>
          </w:p>
        </w:tc>
      </w:tr>
      <w:tr w:rsidR="000B2566" w:rsidRPr="009238B5" w:rsidTr="00323611">
        <w:trPr>
          <w:cantSplit/>
        </w:trPr>
        <w:tc>
          <w:tcPr>
            <w:tcW w:w="2552" w:type="dxa"/>
            <w:shd w:val="clear" w:color="auto" w:fill="auto"/>
          </w:tcPr>
          <w:p w:rsidR="000B2566" w:rsidRPr="00943F7F" w:rsidRDefault="000B2566" w:rsidP="00323611">
            <w:pPr>
              <w:pStyle w:val="TableText"/>
              <w:rPr>
                <w:szCs w:val="24"/>
              </w:rPr>
            </w:pPr>
            <w:r w:rsidRPr="00943F7F">
              <w:rPr>
                <w:szCs w:val="24"/>
              </w:rPr>
              <w:t>Complaints</w:t>
            </w:r>
          </w:p>
        </w:tc>
        <w:tc>
          <w:tcPr>
            <w:tcW w:w="1500" w:type="dxa"/>
            <w:shd w:val="clear" w:color="auto" w:fill="auto"/>
          </w:tcPr>
          <w:p w:rsidR="000B2566" w:rsidRPr="00943F7F" w:rsidRDefault="000B2566" w:rsidP="00323611">
            <w:pPr>
              <w:pStyle w:val="TableText"/>
              <w:jc w:val="center"/>
              <w:rPr>
                <w:szCs w:val="24"/>
              </w:rPr>
            </w:pPr>
            <w:r w:rsidRPr="00943F7F">
              <w:rPr>
                <w:szCs w:val="24"/>
              </w:rPr>
              <w:t>99.9%</w:t>
            </w:r>
          </w:p>
        </w:tc>
        <w:tc>
          <w:tcPr>
            <w:tcW w:w="1501" w:type="dxa"/>
            <w:shd w:val="clear" w:color="auto" w:fill="auto"/>
          </w:tcPr>
          <w:p w:rsidR="000B2566" w:rsidRPr="00943F7F" w:rsidRDefault="000B2566" w:rsidP="00323611">
            <w:pPr>
              <w:pStyle w:val="TableText"/>
              <w:jc w:val="center"/>
              <w:rPr>
                <w:szCs w:val="24"/>
              </w:rPr>
            </w:pPr>
            <w:r w:rsidRPr="00943F7F">
              <w:rPr>
                <w:szCs w:val="24"/>
              </w:rPr>
              <w:t>99.9%</w:t>
            </w:r>
          </w:p>
        </w:tc>
        <w:tc>
          <w:tcPr>
            <w:tcW w:w="1501" w:type="dxa"/>
            <w:shd w:val="clear" w:color="auto" w:fill="auto"/>
          </w:tcPr>
          <w:p w:rsidR="000B2566" w:rsidRPr="00943F7F" w:rsidRDefault="000B2566" w:rsidP="00323611">
            <w:pPr>
              <w:pStyle w:val="TableText"/>
              <w:jc w:val="center"/>
              <w:rPr>
                <w:szCs w:val="24"/>
              </w:rPr>
            </w:pPr>
            <w:r w:rsidRPr="00943F7F">
              <w:rPr>
                <w:szCs w:val="24"/>
              </w:rPr>
              <w:t>0.1%</w:t>
            </w:r>
          </w:p>
        </w:tc>
      </w:tr>
      <w:tr w:rsidR="000B2566" w:rsidRPr="009238B5" w:rsidTr="00323611">
        <w:trPr>
          <w:cantSplit/>
        </w:trPr>
        <w:tc>
          <w:tcPr>
            <w:tcW w:w="2552" w:type="dxa"/>
            <w:shd w:val="clear" w:color="auto" w:fill="auto"/>
          </w:tcPr>
          <w:p w:rsidR="000B2566" w:rsidRPr="00943F7F" w:rsidRDefault="000B2566" w:rsidP="00323611">
            <w:pPr>
              <w:pStyle w:val="TableText"/>
              <w:rPr>
                <w:szCs w:val="24"/>
              </w:rPr>
            </w:pPr>
            <w:r w:rsidRPr="00943F7F">
              <w:rPr>
                <w:szCs w:val="24"/>
              </w:rPr>
              <w:t>Remedial action</w:t>
            </w:r>
          </w:p>
        </w:tc>
        <w:tc>
          <w:tcPr>
            <w:tcW w:w="1500" w:type="dxa"/>
            <w:shd w:val="clear" w:color="auto" w:fill="auto"/>
          </w:tcPr>
          <w:p w:rsidR="000B2566" w:rsidRPr="00943F7F" w:rsidRDefault="000B2566" w:rsidP="00323611">
            <w:pPr>
              <w:pStyle w:val="TableText"/>
              <w:jc w:val="center"/>
              <w:rPr>
                <w:szCs w:val="24"/>
              </w:rPr>
            </w:pPr>
            <w:r w:rsidRPr="00943F7F">
              <w:rPr>
                <w:szCs w:val="24"/>
              </w:rPr>
              <w:t>99.4%</w:t>
            </w:r>
          </w:p>
        </w:tc>
        <w:tc>
          <w:tcPr>
            <w:tcW w:w="1501" w:type="dxa"/>
            <w:shd w:val="clear" w:color="auto" w:fill="auto"/>
          </w:tcPr>
          <w:p w:rsidR="000B2566" w:rsidRPr="00943F7F" w:rsidRDefault="000B2566" w:rsidP="00323611">
            <w:pPr>
              <w:pStyle w:val="TableText"/>
              <w:jc w:val="center"/>
              <w:rPr>
                <w:szCs w:val="24"/>
              </w:rPr>
            </w:pPr>
            <w:r w:rsidRPr="00943F7F">
              <w:rPr>
                <w:szCs w:val="24"/>
              </w:rPr>
              <w:t>99.1%</w:t>
            </w:r>
          </w:p>
        </w:tc>
        <w:tc>
          <w:tcPr>
            <w:tcW w:w="1501" w:type="dxa"/>
            <w:shd w:val="clear" w:color="auto" w:fill="auto"/>
          </w:tcPr>
          <w:p w:rsidR="000B2566" w:rsidRPr="00943F7F" w:rsidRDefault="000B2566" w:rsidP="00323611">
            <w:pPr>
              <w:pStyle w:val="TableText"/>
              <w:jc w:val="center"/>
              <w:rPr>
                <w:szCs w:val="24"/>
              </w:rPr>
            </w:pPr>
            <w:r w:rsidRPr="00943F7F">
              <w:rPr>
                <w:szCs w:val="24"/>
              </w:rPr>
              <w:t>-0.4%</w:t>
            </w:r>
          </w:p>
        </w:tc>
      </w:tr>
      <w:tr w:rsidR="000B2566" w:rsidRPr="00323611" w:rsidTr="00323611">
        <w:trPr>
          <w:cantSplit/>
        </w:trPr>
        <w:tc>
          <w:tcPr>
            <w:tcW w:w="2552" w:type="dxa"/>
            <w:shd w:val="clear" w:color="auto" w:fill="auto"/>
          </w:tcPr>
          <w:p w:rsidR="000B2566" w:rsidRPr="00323611" w:rsidRDefault="000B2566" w:rsidP="00323611">
            <w:pPr>
              <w:pStyle w:val="TableText"/>
              <w:rPr>
                <w:b/>
                <w:szCs w:val="24"/>
              </w:rPr>
            </w:pPr>
            <w:r w:rsidRPr="00323611">
              <w:rPr>
                <w:b/>
                <w:szCs w:val="24"/>
              </w:rPr>
              <w:t>All requirements</w:t>
            </w:r>
          </w:p>
        </w:tc>
        <w:tc>
          <w:tcPr>
            <w:tcW w:w="1500" w:type="dxa"/>
            <w:shd w:val="clear" w:color="auto" w:fill="auto"/>
          </w:tcPr>
          <w:p w:rsidR="000B2566" w:rsidRPr="00323611" w:rsidRDefault="000B2566" w:rsidP="00323611">
            <w:pPr>
              <w:pStyle w:val="TableText"/>
              <w:jc w:val="center"/>
              <w:rPr>
                <w:b/>
                <w:szCs w:val="24"/>
              </w:rPr>
            </w:pPr>
            <w:r w:rsidRPr="00323611">
              <w:rPr>
                <w:b/>
                <w:szCs w:val="24"/>
              </w:rPr>
              <w:t>87.3%</w:t>
            </w:r>
          </w:p>
        </w:tc>
        <w:tc>
          <w:tcPr>
            <w:tcW w:w="1501" w:type="dxa"/>
            <w:shd w:val="clear" w:color="auto" w:fill="auto"/>
          </w:tcPr>
          <w:p w:rsidR="000B2566" w:rsidRPr="00323611" w:rsidRDefault="000B2566" w:rsidP="00323611">
            <w:pPr>
              <w:pStyle w:val="TableText"/>
              <w:jc w:val="center"/>
              <w:rPr>
                <w:b/>
                <w:szCs w:val="24"/>
              </w:rPr>
            </w:pPr>
            <w:r w:rsidRPr="00323611">
              <w:rPr>
                <w:b/>
                <w:szCs w:val="24"/>
              </w:rPr>
              <w:t>84.7%</w:t>
            </w:r>
          </w:p>
        </w:tc>
        <w:tc>
          <w:tcPr>
            <w:tcW w:w="1501" w:type="dxa"/>
            <w:shd w:val="clear" w:color="auto" w:fill="auto"/>
          </w:tcPr>
          <w:p w:rsidR="000B2566" w:rsidRPr="00323611" w:rsidRDefault="000B2566" w:rsidP="00323611">
            <w:pPr>
              <w:pStyle w:val="TableText"/>
              <w:jc w:val="center"/>
              <w:rPr>
                <w:b/>
                <w:szCs w:val="24"/>
              </w:rPr>
            </w:pPr>
            <w:r w:rsidRPr="00323611">
              <w:rPr>
                <w:b/>
                <w:szCs w:val="24"/>
              </w:rPr>
              <w:t>-2.7%</w:t>
            </w:r>
          </w:p>
        </w:tc>
      </w:tr>
    </w:tbl>
    <w:p w:rsidR="00323611" w:rsidRDefault="00323611" w:rsidP="00323611">
      <w:bookmarkStart w:id="26" w:name="comparison-by-size-catagory"/>
      <w:bookmarkEnd w:id="26"/>
    </w:p>
    <w:p w:rsidR="000B2566" w:rsidRPr="009238B5" w:rsidRDefault="00323611" w:rsidP="00323611">
      <w:pPr>
        <w:pStyle w:val="Heading2"/>
      </w:pPr>
      <w:bookmarkStart w:id="27" w:name="_Toc10554005"/>
      <w:r>
        <w:t>Co</w:t>
      </w:r>
      <w:r w:rsidR="000B2566" w:rsidRPr="009238B5">
        <w:t>mparison by size category</w:t>
      </w:r>
      <w:bookmarkEnd w:id="27"/>
    </w:p>
    <w:p w:rsidR="000B2566" w:rsidRPr="00943F7F" w:rsidRDefault="000B2566" w:rsidP="00323611">
      <w:r w:rsidRPr="00943F7F">
        <w:t>The four supply size categories used in this report are large (more than 10,000 people), medium (5,001 to 10,000 people), minor (501 to 5,000 people) and small (101 to 500</w:t>
      </w:r>
      <w:r w:rsidR="00323611">
        <w:t> </w:t>
      </w:r>
      <w:r w:rsidRPr="00943F7F">
        <w:t>people). Large supplies accounted for 3,221,000 people in 41 supplies. Medium supplies accounted for 174,000 people in 25 supplies. Minor supplies accounted for 386,000 people in 196 supplies. Small supplies accounted for 57,800 people in 231</w:t>
      </w:r>
      <w:r w:rsidR="00323611">
        <w:t> </w:t>
      </w:r>
      <w:r w:rsidRPr="00943F7F">
        <w:t>supplies.</w:t>
      </w:r>
    </w:p>
    <w:p w:rsidR="00323611" w:rsidRDefault="00323611" w:rsidP="00323611"/>
    <w:p w:rsidR="000B2566" w:rsidRPr="00943F7F" w:rsidRDefault="000B2566" w:rsidP="00323611">
      <w:r w:rsidRPr="00943F7F">
        <w:t>Overall, compliance with the Act was highest for large supplies: 86.8 percent of the large-supply population received drinking-water from suppliers that met all their legislative requirements. The equivalent figures were 80.6 percent, 71.9 percent and 61.5</w:t>
      </w:r>
      <w:r w:rsidR="00323611">
        <w:t> </w:t>
      </w:r>
      <w:r w:rsidRPr="00943F7F">
        <w:t>percent of populations served by medium, minor and small supplies, respectively.</w:t>
      </w:r>
    </w:p>
    <w:p w:rsidR="00323611" w:rsidRDefault="00323611" w:rsidP="00323611"/>
    <w:p w:rsidR="000B2566" w:rsidRPr="00943F7F" w:rsidRDefault="000B2566" w:rsidP="00323611">
      <w:r w:rsidRPr="00943F7F">
        <w:t>Generally, the lowest rates of compliance against any individual requirement in each supply band was for monitoring. The exception was large supplies, where provision of an adequate supply of drinking-water had the lowest overall rate of compliance.</w:t>
      </w:r>
    </w:p>
    <w:p w:rsidR="000B2566" w:rsidRPr="00943F7F" w:rsidRDefault="00323611" w:rsidP="00323611">
      <w:pPr>
        <w:pStyle w:val="Table"/>
      </w:pPr>
      <w:bookmarkStart w:id="28" w:name="_Toc9846295"/>
      <w:r>
        <w:lastRenderedPageBreak/>
        <w:t>Table 2: Compliance rates with the Act, by supply size</w:t>
      </w:r>
      <w:bookmarkEnd w:id="28"/>
    </w:p>
    <w:tbl>
      <w:tblPr>
        <w:tblW w:w="4931" w:type="pct"/>
        <w:tblInd w:w="57" w:type="dxa"/>
        <w:tblBorders>
          <w:bottom w:val="single" w:sz="4" w:space="0" w:color="A6A6A6" w:themeColor="background1" w:themeShade="A6"/>
          <w:insideH w:val="single" w:sz="4" w:space="0" w:color="A6A6A6" w:themeColor="background1" w:themeShade="A6"/>
        </w:tblBorders>
        <w:tblLayout w:type="fixed"/>
        <w:tblCellMar>
          <w:left w:w="57" w:type="dxa"/>
          <w:right w:w="57" w:type="dxa"/>
        </w:tblCellMar>
        <w:tblLook w:val="07E0" w:firstRow="1" w:lastRow="1" w:firstColumn="1" w:lastColumn="1" w:noHBand="1" w:noVBand="1"/>
      </w:tblPr>
      <w:tblGrid>
        <w:gridCol w:w="2654"/>
        <w:gridCol w:w="1328"/>
        <w:gridCol w:w="1329"/>
        <w:gridCol w:w="1328"/>
        <w:gridCol w:w="1329"/>
      </w:tblGrid>
      <w:tr w:rsidR="00323611" w:rsidRPr="00323611" w:rsidTr="00323611">
        <w:trPr>
          <w:cantSplit/>
        </w:trPr>
        <w:tc>
          <w:tcPr>
            <w:tcW w:w="2694" w:type="dxa"/>
            <w:tcBorders>
              <w:top w:val="nil"/>
              <w:bottom w:val="nil"/>
            </w:tcBorders>
            <w:shd w:val="clear" w:color="auto" w:fill="D9D9D9" w:themeFill="background1" w:themeFillShade="D9"/>
            <w:vAlign w:val="bottom"/>
          </w:tcPr>
          <w:p w:rsidR="000B2566" w:rsidRPr="00323611" w:rsidRDefault="000B2566" w:rsidP="00323611">
            <w:pPr>
              <w:pStyle w:val="TableText"/>
              <w:rPr>
                <w:b/>
              </w:rPr>
            </w:pPr>
            <w:r w:rsidRPr="00323611">
              <w:rPr>
                <w:b/>
              </w:rPr>
              <w:t>Requirement</w:t>
            </w:r>
          </w:p>
        </w:tc>
        <w:tc>
          <w:tcPr>
            <w:tcW w:w="1346" w:type="dxa"/>
            <w:tcBorders>
              <w:top w:val="nil"/>
              <w:bottom w:val="nil"/>
            </w:tcBorders>
            <w:shd w:val="clear" w:color="auto" w:fill="D9D9D9" w:themeFill="background1" w:themeFillShade="D9"/>
            <w:vAlign w:val="bottom"/>
          </w:tcPr>
          <w:p w:rsidR="000B2566" w:rsidRPr="00323611" w:rsidRDefault="000B2566" w:rsidP="00323611">
            <w:pPr>
              <w:pStyle w:val="TableText"/>
              <w:jc w:val="center"/>
              <w:rPr>
                <w:b/>
              </w:rPr>
            </w:pPr>
            <w:r w:rsidRPr="00323611">
              <w:rPr>
                <w:b/>
              </w:rPr>
              <w:t>Large</w:t>
            </w:r>
          </w:p>
        </w:tc>
        <w:tc>
          <w:tcPr>
            <w:tcW w:w="1347" w:type="dxa"/>
            <w:tcBorders>
              <w:top w:val="nil"/>
              <w:bottom w:val="nil"/>
            </w:tcBorders>
            <w:shd w:val="clear" w:color="auto" w:fill="D9D9D9" w:themeFill="background1" w:themeFillShade="D9"/>
            <w:vAlign w:val="bottom"/>
          </w:tcPr>
          <w:p w:rsidR="000B2566" w:rsidRPr="00323611" w:rsidRDefault="000B2566" w:rsidP="00323611">
            <w:pPr>
              <w:pStyle w:val="TableText"/>
              <w:jc w:val="center"/>
              <w:rPr>
                <w:b/>
              </w:rPr>
            </w:pPr>
            <w:r w:rsidRPr="00323611">
              <w:rPr>
                <w:b/>
              </w:rPr>
              <w:t>Medium</w:t>
            </w:r>
          </w:p>
        </w:tc>
        <w:tc>
          <w:tcPr>
            <w:tcW w:w="1346" w:type="dxa"/>
            <w:tcBorders>
              <w:top w:val="nil"/>
              <w:bottom w:val="nil"/>
            </w:tcBorders>
            <w:shd w:val="clear" w:color="auto" w:fill="D9D9D9" w:themeFill="background1" w:themeFillShade="D9"/>
            <w:vAlign w:val="bottom"/>
          </w:tcPr>
          <w:p w:rsidR="000B2566" w:rsidRPr="00323611" w:rsidRDefault="000B2566" w:rsidP="00323611">
            <w:pPr>
              <w:pStyle w:val="TableText"/>
              <w:jc w:val="center"/>
              <w:rPr>
                <w:b/>
              </w:rPr>
            </w:pPr>
            <w:r w:rsidRPr="00323611">
              <w:rPr>
                <w:b/>
              </w:rPr>
              <w:t>Minor</w:t>
            </w:r>
          </w:p>
        </w:tc>
        <w:tc>
          <w:tcPr>
            <w:tcW w:w="1347" w:type="dxa"/>
            <w:tcBorders>
              <w:top w:val="nil"/>
              <w:bottom w:val="nil"/>
            </w:tcBorders>
            <w:shd w:val="clear" w:color="auto" w:fill="D9D9D9" w:themeFill="background1" w:themeFillShade="D9"/>
            <w:vAlign w:val="bottom"/>
          </w:tcPr>
          <w:p w:rsidR="000B2566" w:rsidRPr="00323611" w:rsidRDefault="000B2566" w:rsidP="00323611">
            <w:pPr>
              <w:pStyle w:val="TableText"/>
              <w:jc w:val="center"/>
              <w:rPr>
                <w:b/>
              </w:rPr>
            </w:pPr>
            <w:r w:rsidRPr="00323611">
              <w:rPr>
                <w:b/>
              </w:rPr>
              <w:t>Small</w:t>
            </w:r>
          </w:p>
        </w:tc>
      </w:tr>
      <w:tr w:rsidR="000B2566" w:rsidRPr="009238B5" w:rsidTr="00323611">
        <w:trPr>
          <w:cantSplit/>
        </w:trPr>
        <w:tc>
          <w:tcPr>
            <w:tcW w:w="2694" w:type="dxa"/>
            <w:tcBorders>
              <w:top w:val="nil"/>
            </w:tcBorders>
            <w:shd w:val="clear" w:color="auto" w:fill="auto"/>
          </w:tcPr>
          <w:p w:rsidR="000B2566" w:rsidRPr="00943F7F" w:rsidRDefault="000B2566" w:rsidP="00323611">
            <w:pPr>
              <w:pStyle w:val="TableText"/>
            </w:pPr>
            <w:r w:rsidRPr="00943F7F">
              <w:t>Monitoring</w:t>
            </w:r>
          </w:p>
        </w:tc>
        <w:tc>
          <w:tcPr>
            <w:tcW w:w="1346" w:type="dxa"/>
            <w:tcBorders>
              <w:top w:val="nil"/>
            </w:tcBorders>
            <w:shd w:val="clear" w:color="auto" w:fill="auto"/>
          </w:tcPr>
          <w:p w:rsidR="000B2566" w:rsidRPr="00943F7F" w:rsidRDefault="000B2566" w:rsidP="00323611">
            <w:pPr>
              <w:pStyle w:val="TableText"/>
              <w:jc w:val="center"/>
            </w:pPr>
            <w:r w:rsidRPr="00943F7F">
              <w:t>94.7</w:t>
            </w:r>
            <w:r w:rsidR="00323611">
              <w:t>%</w:t>
            </w:r>
          </w:p>
        </w:tc>
        <w:tc>
          <w:tcPr>
            <w:tcW w:w="1347" w:type="dxa"/>
            <w:tcBorders>
              <w:top w:val="nil"/>
            </w:tcBorders>
            <w:shd w:val="clear" w:color="auto" w:fill="auto"/>
          </w:tcPr>
          <w:p w:rsidR="000B2566" w:rsidRPr="00943F7F" w:rsidRDefault="000B2566" w:rsidP="00323611">
            <w:pPr>
              <w:pStyle w:val="TableText"/>
              <w:jc w:val="center"/>
            </w:pPr>
            <w:r w:rsidRPr="00943F7F">
              <w:t>80.6</w:t>
            </w:r>
            <w:r w:rsidR="00323611">
              <w:t>%</w:t>
            </w:r>
          </w:p>
        </w:tc>
        <w:tc>
          <w:tcPr>
            <w:tcW w:w="1346" w:type="dxa"/>
            <w:tcBorders>
              <w:top w:val="nil"/>
            </w:tcBorders>
            <w:shd w:val="clear" w:color="auto" w:fill="auto"/>
          </w:tcPr>
          <w:p w:rsidR="000B2566" w:rsidRPr="00943F7F" w:rsidRDefault="000B2566" w:rsidP="00323611">
            <w:pPr>
              <w:pStyle w:val="TableText"/>
              <w:jc w:val="center"/>
            </w:pPr>
            <w:r w:rsidRPr="00943F7F">
              <w:t>78.4</w:t>
            </w:r>
            <w:r w:rsidR="00323611">
              <w:t>%</w:t>
            </w:r>
          </w:p>
        </w:tc>
        <w:tc>
          <w:tcPr>
            <w:tcW w:w="1347" w:type="dxa"/>
            <w:tcBorders>
              <w:top w:val="nil"/>
            </w:tcBorders>
            <w:shd w:val="clear" w:color="auto" w:fill="auto"/>
          </w:tcPr>
          <w:p w:rsidR="000B2566" w:rsidRPr="00943F7F" w:rsidRDefault="000B2566" w:rsidP="00323611">
            <w:pPr>
              <w:pStyle w:val="TableText"/>
              <w:jc w:val="center"/>
            </w:pPr>
            <w:r w:rsidRPr="00943F7F">
              <w:t>62.6</w:t>
            </w:r>
            <w:r w:rsidR="00323611">
              <w:t>%</w:t>
            </w:r>
          </w:p>
        </w:tc>
      </w:tr>
      <w:tr w:rsidR="000B2566" w:rsidRPr="009238B5" w:rsidTr="00323611">
        <w:trPr>
          <w:cantSplit/>
        </w:trPr>
        <w:tc>
          <w:tcPr>
            <w:tcW w:w="2694" w:type="dxa"/>
            <w:shd w:val="clear" w:color="auto" w:fill="auto"/>
          </w:tcPr>
          <w:p w:rsidR="000B2566" w:rsidRPr="00943F7F" w:rsidRDefault="000B2566" w:rsidP="00323611">
            <w:pPr>
              <w:pStyle w:val="TableText"/>
            </w:pPr>
            <w:r w:rsidRPr="00943F7F">
              <w:t>Water safety plans</w:t>
            </w:r>
          </w:p>
        </w:tc>
        <w:tc>
          <w:tcPr>
            <w:tcW w:w="1346" w:type="dxa"/>
            <w:shd w:val="clear" w:color="auto" w:fill="auto"/>
          </w:tcPr>
          <w:p w:rsidR="000B2566" w:rsidRPr="00943F7F" w:rsidRDefault="000B2566" w:rsidP="00323611">
            <w:pPr>
              <w:pStyle w:val="TableText"/>
              <w:jc w:val="center"/>
            </w:pPr>
            <w:r w:rsidRPr="00943F7F">
              <w:t>100</w:t>
            </w:r>
            <w:r w:rsidR="00323611">
              <w:t>%</w:t>
            </w:r>
          </w:p>
        </w:tc>
        <w:tc>
          <w:tcPr>
            <w:tcW w:w="1347" w:type="dxa"/>
            <w:shd w:val="clear" w:color="auto" w:fill="auto"/>
          </w:tcPr>
          <w:p w:rsidR="000B2566" w:rsidRPr="00943F7F" w:rsidRDefault="000B2566" w:rsidP="00323611">
            <w:pPr>
              <w:pStyle w:val="TableText"/>
              <w:jc w:val="center"/>
            </w:pPr>
            <w:r w:rsidRPr="00943F7F">
              <w:t>96.5</w:t>
            </w:r>
            <w:r w:rsidR="00323611">
              <w:t>%</w:t>
            </w:r>
          </w:p>
        </w:tc>
        <w:tc>
          <w:tcPr>
            <w:tcW w:w="1346" w:type="dxa"/>
            <w:shd w:val="clear" w:color="auto" w:fill="auto"/>
          </w:tcPr>
          <w:p w:rsidR="000B2566" w:rsidRPr="00943F7F" w:rsidRDefault="000B2566" w:rsidP="00323611">
            <w:pPr>
              <w:pStyle w:val="TableText"/>
              <w:jc w:val="center"/>
            </w:pPr>
            <w:r w:rsidRPr="00943F7F">
              <w:t>94.1</w:t>
            </w:r>
            <w:r w:rsidR="00323611">
              <w:t>%</w:t>
            </w:r>
          </w:p>
        </w:tc>
        <w:tc>
          <w:tcPr>
            <w:tcW w:w="1347" w:type="dxa"/>
            <w:shd w:val="clear" w:color="auto" w:fill="auto"/>
          </w:tcPr>
          <w:p w:rsidR="000B2566" w:rsidRPr="00943F7F" w:rsidRDefault="000B2566" w:rsidP="00323611">
            <w:pPr>
              <w:pStyle w:val="TableText"/>
              <w:jc w:val="center"/>
            </w:pPr>
            <w:r w:rsidRPr="00943F7F">
              <w:t>N/A</w:t>
            </w:r>
          </w:p>
        </w:tc>
      </w:tr>
      <w:tr w:rsidR="000B2566" w:rsidRPr="009238B5" w:rsidTr="00323611">
        <w:trPr>
          <w:cantSplit/>
        </w:trPr>
        <w:tc>
          <w:tcPr>
            <w:tcW w:w="2694" w:type="dxa"/>
            <w:shd w:val="clear" w:color="auto" w:fill="auto"/>
          </w:tcPr>
          <w:p w:rsidR="000B2566" w:rsidRPr="00943F7F" w:rsidRDefault="000B2566" w:rsidP="00323611">
            <w:pPr>
              <w:pStyle w:val="TableText"/>
            </w:pPr>
            <w:r w:rsidRPr="00943F7F">
              <w:t>Provision of drinking-water</w:t>
            </w:r>
          </w:p>
        </w:tc>
        <w:tc>
          <w:tcPr>
            <w:tcW w:w="1346" w:type="dxa"/>
            <w:shd w:val="clear" w:color="auto" w:fill="auto"/>
          </w:tcPr>
          <w:p w:rsidR="000B2566" w:rsidRPr="00943F7F" w:rsidRDefault="000B2566" w:rsidP="00323611">
            <w:pPr>
              <w:pStyle w:val="TableText"/>
              <w:jc w:val="center"/>
            </w:pPr>
            <w:r w:rsidRPr="00943F7F">
              <w:t>92.1</w:t>
            </w:r>
            <w:r w:rsidR="00323611">
              <w:t>%</w:t>
            </w:r>
          </w:p>
        </w:tc>
        <w:tc>
          <w:tcPr>
            <w:tcW w:w="1347" w:type="dxa"/>
            <w:shd w:val="clear" w:color="auto" w:fill="auto"/>
          </w:tcPr>
          <w:p w:rsidR="000B2566" w:rsidRPr="00943F7F" w:rsidRDefault="000B2566" w:rsidP="00323611">
            <w:pPr>
              <w:pStyle w:val="TableText"/>
              <w:jc w:val="center"/>
            </w:pPr>
            <w:r w:rsidRPr="00943F7F">
              <w:t>100</w:t>
            </w:r>
            <w:r w:rsidR="00323611">
              <w:t>%</w:t>
            </w:r>
          </w:p>
        </w:tc>
        <w:tc>
          <w:tcPr>
            <w:tcW w:w="1346" w:type="dxa"/>
            <w:shd w:val="clear" w:color="auto" w:fill="auto"/>
          </w:tcPr>
          <w:p w:rsidR="000B2566" w:rsidRPr="00943F7F" w:rsidRDefault="000B2566" w:rsidP="00323611">
            <w:pPr>
              <w:pStyle w:val="TableText"/>
              <w:jc w:val="center"/>
            </w:pPr>
            <w:r w:rsidRPr="00943F7F">
              <w:t>98.8</w:t>
            </w:r>
            <w:r w:rsidR="00323611">
              <w:t>%</w:t>
            </w:r>
          </w:p>
        </w:tc>
        <w:tc>
          <w:tcPr>
            <w:tcW w:w="1347" w:type="dxa"/>
            <w:shd w:val="clear" w:color="auto" w:fill="auto"/>
          </w:tcPr>
          <w:p w:rsidR="000B2566" w:rsidRPr="00943F7F" w:rsidRDefault="000B2566" w:rsidP="00323611">
            <w:pPr>
              <w:pStyle w:val="TableText"/>
              <w:jc w:val="center"/>
            </w:pPr>
            <w:r w:rsidRPr="00943F7F">
              <w:t>94.8</w:t>
            </w:r>
            <w:r w:rsidR="00323611">
              <w:t>%</w:t>
            </w:r>
          </w:p>
        </w:tc>
      </w:tr>
      <w:tr w:rsidR="000B2566" w:rsidRPr="009238B5" w:rsidTr="00323611">
        <w:trPr>
          <w:cantSplit/>
        </w:trPr>
        <w:tc>
          <w:tcPr>
            <w:tcW w:w="2694" w:type="dxa"/>
            <w:shd w:val="clear" w:color="auto" w:fill="auto"/>
          </w:tcPr>
          <w:p w:rsidR="000B2566" w:rsidRPr="00943F7F" w:rsidRDefault="000B2566" w:rsidP="00323611">
            <w:pPr>
              <w:pStyle w:val="TableText"/>
            </w:pPr>
            <w:r w:rsidRPr="00943F7F">
              <w:t>Source protection</w:t>
            </w:r>
          </w:p>
        </w:tc>
        <w:tc>
          <w:tcPr>
            <w:tcW w:w="1346" w:type="dxa"/>
            <w:shd w:val="clear" w:color="auto" w:fill="auto"/>
          </w:tcPr>
          <w:p w:rsidR="000B2566" w:rsidRPr="00943F7F" w:rsidRDefault="000B2566" w:rsidP="00323611">
            <w:pPr>
              <w:pStyle w:val="TableText"/>
              <w:jc w:val="center"/>
            </w:pPr>
            <w:r w:rsidRPr="00943F7F">
              <w:t>100</w:t>
            </w:r>
            <w:r w:rsidR="00323611">
              <w:t>%</w:t>
            </w:r>
          </w:p>
        </w:tc>
        <w:tc>
          <w:tcPr>
            <w:tcW w:w="1347" w:type="dxa"/>
            <w:shd w:val="clear" w:color="auto" w:fill="auto"/>
          </w:tcPr>
          <w:p w:rsidR="000B2566" w:rsidRPr="00943F7F" w:rsidRDefault="000B2566" w:rsidP="00323611">
            <w:pPr>
              <w:pStyle w:val="TableText"/>
              <w:jc w:val="center"/>
            </w:pPr>
            <w:r w:rsidRPr="00943F7F">
              <w:t>100</w:t>
            </w:r>
            <w:r w:rsidR="00323611">
              <w:t>%</w:t>
            </w:r>
          </w:p>
        </w:tc>
        <w:tc>
          <w:tcPr>
            <w:tcW w:w="1346" w:type="dxa"/>
            <w:shd w:val="clear" w:color="auto" w:fill="auto"/>
          </w:tcPr>
          <w:p w:rsidR="000B2566" w:rsidRPr="00943F7F" w:rsidRDefault="000B2566" w:rsidP="00323611">
            <w:pPr>
              <w:pStyle w:val="TableText"/>
              <w:jc w:val="center"/>
            </w:pPr>
            <w:r w:rsidRPr="00943F7F">
              <w:t>100</w:t>
            </w:r>
            <w:r w:rsidR="00323611">
              <w:t>%</w:t>
            </w:r>
          </w:p>
        </w:tc>
        <w:tc>
          <w:tcPr>
            <w:tcW w:w="1347" w:type="dxa"/>
            <w:shd w:val="clear" w:color="auto" w:fill="auto"/>
          </w:tcPr>
          <w:p w:rsidR="000B2566" w:rsidRPr="00943F7F" w:rsidRDefault="000B2566" w:rsidP="00323611">
            <w:pPr>
              <w:pStyle w:val="TableText"/>
              <w:jc w:val="center"/>
            </w:pPr>
            <w:r w:rsidRPr="00943F7F">
              <w:t>92.1</w:t>
            </w:r>
            <w:r w:rsidR="00323611">
              <w:t>%</w:t>
            </w:r>
          </w:p>
        </w:tc>
      </w:tr>
      <w:tr w:rsidR="000B2566" w:rsidRPr="009238B5" w:rsidTr="00323611">
        <w:trPr>
          <w:cantSplit/>
        </w:trPr>
        <w:tc>
          <w:tcPr>
            <w:tcW w:w="2694" w:type="dxa"/>
            <w:shd w:val="clear" w:color="auto" w:fill="auto"/>
          </w:tcPr>
          <w:p w:rsidR="000B2566" w:rsidRPr="00943F7F" w:rsidRDefault="000B2566" w:rsidP="00323611">
            <w:pPr>
              <w:pStyle w:val="TableText"/>
            </w:pPr>
            <w:r w:rsidRPr="00943F7F">
              <w:t>Records</w:t>
            </w:r>
          </w:p>
        </w:tc>
        <w:tc>
          <w:tcPr>
            <w:tcW w:w="1346" w:type="dxa"/>
            <w:shd w:val="clear" w:color="auto" w:fill="auto"/>
          </w:tcPr>
          <w:p w:rsidR="000B2566" w:rsidRPr="00943F7F" w:rsidRDefault="000B2566" w:rsidP="00323611">
            <w:pPr>
              <w:pStyle w:val="TableText"/>
              <w:jc w:val="center"/>
            </w:pPr>
            <w:r w:rsidRPr="00943F7F">
              <w:t>100</w:t>
            </w:r>
            <w:r w:rsidR="00323611">
              <w:t>%</w:t>
            </w:r>
          </w:p>
        </w:tc>
        <w:tc>
          <w:tcPr>
            <w:tcW w:w="1347" w:type="dxa"/>
            <w:shd w:val="clear" w:color="auto" w:fill="auto"/>
          </w:tcPr>
          <w:p w:rsidR="000B2566" w:rsidRPr="00943F7F" w:rsidRDefault="000B2566" w:rsidP="00323611">
            <w:pPr>
              <w:pStyle w:val="TableText"/>
              <w:jc w:val="center"/>
            </w:pPr>
            <w:r w:rsidRPr="00943F7F">
              <w:t>96.5</w:t>
            </w:r>
            <w:r w:rsidR="00323611">
              <w:t>%</w:t>
            </w:r>
          </w:p>
        </w:tc>
        <w:tc>
          <w:tcPr>
            <w:tcW w:w="1346" w:type="dxa"/>
            <w:shd w:val="clear" w:color="auto" w:fill="auto"/>
          </w:tcPr>
          <w:p w:rsidR="000B2566" w:rsidRPr="00943F7F" w:rsidRDefault="000B2566" w:rsidP="00323611">
            <w:pPr>
              <w:pStyle w:val="TableText"/>
              <w:jc w:val="center"/>
            </w:pPr>
            <w:r w:rsidRPr="00943F7F">
              <w:t>97.0</w:t>
            </w:r>
            <w:r w:rsidR="00323611">
              <w:t>%</w:t>
            </w:r>
          </w:p>
        </w:tc>
        <w:tc>
          <w:tcPr>
            <w:tcW w:w="1347" w:type="dxa"/>
            <w:shd w:val="clear" w:color="auto" w:fill="auto"/>
          </w:tcPr>
          <w:p w:rsidR="000B2566" w:rsidRPr="00943F7F" w:rsidRDefault="000B2566" w:rsidP="00323611">
            <w:pPr>
              <w:pStyle w:val="TableText"/>
              <w:jc w:val="center"/>
            </w:pPr>
            <w:r w:rsidRPr="00943F7F">
              <w:t>100</w:t>
            </w:r>
            <w:r w:rsidR="00323611">
              <w:t>%</w:t>
            </w:r>
          </w:p>
        </w:tc>
      </w:tr>
      <w:tr w:rsidR="000B2566" w:rsidRPr="009238B5" w:rsidTr="00323611">
        <w:trPr>
          <w:cantSplit/>
        </w:trPr>
        <w:tc>
          <w:tcPr>
            <w:tcW w:w="2694" w:type="dxa"/>
            <w:shd w:val="clear" w:color="auto" w:fill="auto"/>
          </w:tcPr>
          <w:p w:rsidR="000B2566" w:rsidRPr="00943F7F" w:rsidRDefault="000B2566" w:rsidP="00323611">
            <w:pPr>
              <w:pStyle w:val="TableText"/>
            </w:pPr>
            <w:r w:rsidRPr="00943F7F">
              <w:t>Complaints</w:t>
            </w:r>
          </w:p>
        </w:tc>
        <w:tc>
          <w:tcPr>
            <w:tcW w:w="1346" w:type="dxa"/>
            <w:shd w:val="clear" w:color="auto" w:fill="auto"/>
          </w:tcPr>
          <w:p w:rsidR="000B2566" w:rsidRPr="00943F7F" w:rsidRDefault="000B2566" w:rsidP="00323611">
            <w:pPr>
              <w:pStyle w:val="TableText"/>
              <w:jc w:val="center"/>
            </w:pPr>
            <w:r w:rsidRPr="00943F7F">
              <w:t>100</w:t>
            </w:r>
            <w:r w:rsidR="00323611">
              <w:t>%</w:t>
            </w:r>
          </w:p>
        </w:tc>
        <w:tc>
          <w:tcPr>
            <w:tcW w:w="1347" w:type="dxa"/>
            <w:shd w:val="clear" w:color="auto" w:fill="auto"/>
          </w:tcPr>
          <w:p w:rsidR="000B2566" w:rsidRPr="00943F7F" w:rsidRDefault="000B2566" w:rsidP="00323611">
            <w:pPr>
              <w:pStyle w:val="TableText"/>
              <w:jc w:val="center"/>
            </w:pPr>
            <w:r w:rsidRPr="00943F7F">
              <w:t>100</w:t>
            </w:r>
            <w:r w:rsidR="00323611">
              <w:t>%</w:t>
            </w:r>
          </w:p>
        </w:tc>
        <w:tc>
          <w:tcPr>
            <w:tcW w:w="1346" w:type="dxa"/>
            <w:shd w:val="clear" w:color="auto" w:fill="auto"/>
          </w:tcPr>
          <w:p w:rsidR="000B2566" w:rsidRPr="00943F7F" w:rsidRDefault="000B2566" w:rsidP="00323611">
            <w:pPr>
              <w:pStyle w:val="TableText"/>
              <w:jc w:val="center"/>
            </w:pPr>
            <w:r w:rsidRPr="00943F7F">
              <w:t>100</w:t>
            </w:r>
            <w:r w:rsidR="00323611">
              <w:t>%</w:t>
            </w:r>
          </w:p>
        </w:tc>
        <w:tc>
          <w:tcPr>
            <w:tcW w:w="1347" w:type="dxa"/>
            <w:shd w:val="clear" w:color="auto" w:fill="auto"/>
          </w:tcPr>
          <w:p w:rsidR="000B2566" w:rsidRPr="00943F7F" w:rsidRDefault="000B2566" w:rsidP="00323611">
            <w:pPr>
              <w:pStyle w:val="TableText"/>
              <w:jc w:val="center"/>
            </w:pPr>
            <w:r w:rsidRPr="00943F7F">
              <w:t>94.0</w:t>
            </w:r>
            <w:r w:rsidR="00323611">
              <w:t>%</w:t>
            </w:r>
          </w:p>
        </w:tc>
      </w:tr>
      <w:tr w:rsidR="000B2566" w:rsidRPr="009238B5" w:rsidTr="00323611">
        <w:trPr>
          <w:cantSplit/>
        </w:trPr>
        <w:tc>
          <w:tcPr>
            <w:tcW w:w="2694" w:type="dxa"/>
            <w:shd w:val="clear" w:color="auto" w:fill="auto"/>
          </w:tcPr>
          <w:p w:rsidR="000B2566" w:rsidRPr="00943F7F" w:rsidRDefault="000B2566" w:rsidP="00323611">
            <w:pPr>
              <w:pStyle w:val="TableText"/>
            </w:pPr>
            <w:r w:rsidRPr="00943F7F">
              <w:t>Remedial action</w:t>
            </w:r>
          </w:p>
        </w:tc>
        <w:tc>
          <w:tcPr>
            <w:tcW w:w="1346" w:type="dxa"/>
            <w:shd w:val="clear" w:color="auto" w:fill="auto"/>
          </w:tcPr>
          <w:p w:rsidR="000B2566" w:rsidRPr="00943F7F" w:rsidRDefault="000B2566" w:rsidP="00323611">
            <w:pPr>
              <w:pStyle w:val="TableText"/>
              <w:jc w:val="center"/>
            </w:pPr>
            <w:r w:rsidRPr="00943F7F">
              <w:t>100</w:t>
            </w:r>
            <w:r w:rsidR="00323611">
              <w:t>%</w:t>
            </w:r>
          </w:p>
        </w:tc>
        <w:tc>
          <w:tcPr>
            <w:tcW w:w="1347" w:type="dxa"/>
            <w:shd w:val="clear" w:color="auto" w:fill="auto"/>
          </w:tcPr>
          <w:p w:rsidR="000B2566" w:rsidRPr="00943F7F" w:rsidRDefault="000B2566" w:rsidP="00323611">
            <w:pPr>
              <w:pStyle w:val="TableText"/>
              <w:jc w:val="center"/>
            </w:pPr>
            <w:r w:rsidRPr="00943F7F">
              <w:t>100</w:t>
            </w:r>
            <w:r w:rsidR="00323611">
              <w:t>%</w:t>
            </w:r>
          </w:p>
        </w:tc>
        <w:tc>
          <w:tcPr>
            <w:tcW w:w="1346" w:type="dxa"/>
            <w:shd w:val="clear" w:color="auto" w:fill="auto"/>
          </w:tcPr>
          <w:p w:rsidR="000B2566" w:rsidRPr="00943F7F" w:rsidRDefault="000B2566" w:rsidP="00323611">
            <w:pPr>
              <w:pStyle w:val="TableText"/>
              <w:jc w:val="center"/>
            </w:pPr>
            <w:r w:rsidRPr="00943F7F">
              <w:t>91.6</w:t>
            </w:r>
            <w:r w:rsidR="00323611">
              <w:t>%</w:t>
            </w:r>
          </w:p>
        </w:tc>
        <w:tc>
          <w:tcPr>
            <w:tcW w:w="1347" w:type="dxa"/>
            <w:shd w:val="clear" w:color="auto" w:fill="auto"/>
          </w:tcPr>
          <w:p w:rsidR="000B2566" w:rsidRPr="00943F7F" w:rsidRDefault="000B2566" w:rsidP="00323611">
            <w:pPr>
              <w:pStyle w:val="TableText"/>
              <w:jc w:val="center"/>
            </w:pPr>
            <w:r w:rsidRPr="00943F7F">
              <w:t>93.8</w:t>
            </w:r>
            <w:r w:rsidR="00323611">
              <w:t>%</w:t>
            </w:r>
          </w:p>
        </w:tc>
      </w:tr>
      <w:tr w:rsidR="000B2566" w:rsidRPr="004A2CD2" w:rsidTr="00323611">
        <w:trPr>
          <w:cantSplit/>
        </w:trPr>
        <w:tc>
          <w:tcPr>
            <w:tcW w:w="2694" w:type="dxa"/>
            <w:shd w:val="clear" w:color="auto" w:fill="auto"/>
          </w:tcPr>
          <w:p w:rsidR="000B2566" w:rsidRPr="004A2CD2" w:rsidRDefault="000B2566" w:rsidP="00323611">
            <w:pPr>
              <w:pStyle w:val="TableText"/>
              <w:rPr>
                <w:b/>
                <w:color w:val="000000" w:themeColor="text1"/>
              </w:rPr>
            </w:pPr>
            <w:r w:rsidRPr="004A2CD2">
              <w:rPr>
                <w:b/>
                <w:color w:val="000000" w:themeColor="text1"/>
              </w:rPr>
              <w:t>All requirements</w:t>
            </w:r>
          </w:p>
        </w:tc>
        <w:tc>
          <w:tcPr>
            <w:tcW w:w="1346" w:type="dxa"/>
            <w:shd w:val="clear" w:color="auto" w:fill="auto"/>
          </w:tcPr>
          <w:p w:rsidR="000B2566" w:rsidRPr="004A2CD2" w:rsidRDefault="000B2566" w:rsidP="00323611">
            <w:pPr>
              <w:pStyle w:val="TableText"/>
              <w:jc w:val="center"/>
              <w:rPr>
                <w:b/>
                <w:color w:val="000000" w:themeColor="text1"/>
              </w:rPr>
            </w:pPr>
            <w:r w:rsidRPr="004A2CD2">
              <w:rPr>
                <w:b/>
                <w:color w:val="000000" w:themeColor="text1"/>
              </w:rPr>
              <w:t>86.8</w:t>
            </w:r>
            <w:r w:rsidR="00323611" w:rsidRPr="004A2CD2">
              <w:rPr>
                <w:b/>
                <w:color w:val="000000" w:themeColor="text1"/>
              </w:rPr>
              <w:t>%</w:t>
            </w:r>
          </w:p>
        </w:tc>
        <w:tc>
          <w:tcPr>
            <w:tcW w:w="1347" w:type="dxa"/>
            <w:shd w:val="clear" w:color="auto" w:fill="auto"/>
          </w:tcPr>
          <w:p w:rsidR="000B2566" w:rsidRPr="004A2CD2" w:rsidRDefault="000B2566" w:rsidP="00323611">
            <w:pPr>
              <w:pStyle w:val="TableText"/>
              <w:jc w:val="center"/>
              <w:rPr>
                <w:b/>
                <w:color w:val="000000" w:themeColor="text1"/>
              </w:rPr>
            </w:pPr>
            <w:r w:rsidRPr="004A2CD2">
              <w:rPr>
                <w:b/>
                <w:color w:val="000000" w:themeColor="text1"/>
              </w:rPr>
              <w:t>80.6</w:t>
            </w:r>
            <w:r w:rsidR="00323611" w:rsidRPr="004A2CD2">
              <w:rPr>
                <w:b/>
                <w:color w:val="000000" w:themeColor="text1"/>
              </w:rPr>
              <w:t>%</w:t>
            </w:r>
          </w:p>
        </w:tc>
        <w:tc>
          <w:tcPr>
            <w:tcW w:w="1346" w:type="dxa"/>
            <w:shd w:val="clear" w:color="auto" w:fill="auto"/>
          </w:tcPr>
          <w:p w:rsidR="000B2566" w:rsidRPr="004A2CD2" w:rsidRDefault="000B2566" w:rsidP="00323611">
            <w:pPr>
              <w:pStyle w:val="TableText"/>
              <w:jc w:val="center"/>
              <w:rPr>
                <w:b/>
                <w:color w:val="000000" w:themeColor="text1"/>
              </w:rPr>
            </w:pPr>
            <w:r w:rsidRPr="004A2CD2">
              <w:rPr>
                <w:b/>
                <w:color w:val="000000" w:themeColor="text1"/>
              </w:rPr>
              <w:t>71.9</w:t>
            </w:r>
            <w:r w:rsidR="00323611" w:rsidRPr="004A2CD2">
              <w:rPr>
                <w:b/>
                <w:color w:val="000000" w:themeColor="text1"/>
              </w:rPr>
              <w:t>%</w:t>
            </w:r>
          </w:p>
        </w:tc>
        <w:tc>
          <w:tcPr>
            <w:tcW w:w="1347" w:type="dxa"/>
            <w:shd w:val="clear" w:color="auto" w:fill="auto"/>
          </w:tcPr>
          <w:p w:rsidR="000B2566" w:rsidRPr="004A2CD2" w:rsidRDefault="000B2566" w:rsidP="00323611">
            <w:pPr>
              <w:pStyle w:val="TableText"/>
              <w:jc w:val="center"/>
              <w:rPr>
                <w:b/>
                <w:color w:val="000000" w:themeColor="text1"/>
              </w:rPr>
            </w:pPr>
            <w:r w:rsidRPr="004A2CD2">
              <w:rPr>
                <w:b/>
                <w:color w:val="000000" w:themeColor="text1"/>
              </w:rPr>
              <w:t>61.5</w:t>
            </w:r>
            <w:r w:rsidR="00323611" w:rsidRPr="004A2CD2">
              <w:rPr>
                <w:b/>
                <w:color w:val="000000" w:themeColor="text1"/>
              </w:rPr>
              <w:t>%</w:t>
            </w:r>
          </w:p>
        </w:tc>
      </w:tr>
    </w:tbl>
    <w:p w:rsidR="000B2566" w:rsidRPr="009238B5" w:rsidRDefault="000B2566" w:rsidP="00323611">
      <w:bookmarkStart w:id="29" w:name="complaince-with-the-act---all-supplies"/>
      <w:bookmarkStart w:id="30" w:name="compliance-with-the-standards"/>
      <w:bookmarkStart w:id="31" w:name="compliance-with-the-act---large-supplies"/>
      <w:bookmarkStart w:id="32" w:name="compliance-with-the-act---medium-supplie"/>
      <w:bookmarkStart w:id="33" w:name="compliance-with-the-act---minor-supplies"/>
      <w:bookmarkStart w:id="34" w:name="compliance-with-the-act---small-supplies"/>
      <w:bookmarkStart w:id="35" w:name="water-safety-plans"/>
      <w:bookmarkEnd w:id="29"/>
      <w:bookmarkEnd w:id="30"/>
      <w:bookmarkEnd w:id="31"/>
      <w:bookmarkEnd w:id="32"/>
      <w:bookmarkEnd w:id="33"/>
      <w:bookmarkEnd w:id="34"/>
      <w:bookmarkEnd w:id="35"/>
    </w:p>
    <w:p w:rsidR="000B2566" w:rsidRPr="00B44F68" w:rsidRDefault="000B2566" w:rsidP="00323611">
      <w:pPr>
        <w:pStyle w:val="Heading2"/>
      </w:pPr>
      <w:bookmarkStart w:id="36" w:name="_Toc10554006"/>
      <w:r w:rsidRPr="00B44F68">
        <w:t>Water safety plans</w:t>
      </w:r>
      <w:bookmarkEnd w:id="36"/>
    </w:p>
    <w:p w:rsidR="000B2566" w:rsidRPr="00943F7F" w:rsidRDefault="000B2566" w:rsidP="00323611">
      <w:r w:rsidRPr="00943F7F">
        <w:t>Water safety plans are a key part of the drinking-water safety system: they are fundamental to a supplier being able to produce safe drinking-water and having confidence that the drinking-water is safe. Preparing a water safety plan requires a drinking-water supplier to review the whole of its water supply chain, from raw water through the treatment processes to the pipe network that carries the drinking-water out into the community. During this review process, a supplier must identify possible causes and risks of contamination</w:t>
      </w:r>
      <w:r>
        <w:t>,</w:t>
      </w:r>
      <w:r w:rsidRPr="00943F7F">
        <w:t xml:space="preserve"> and put measures in place to manage those risks. The plan should also state what remedial action the supplier needs to take should a contamination event occur, despite the preventive measures.</w:t>
      </w:r>
    </w:p>
    <w:p w:rsidR="00323611" w:rsidRDefault="00323611" w:rsidP="00323611"/>
    <w:p w:rsidR="00943F7F" w:rsidRPr="00943F7F" w:rsidRDefault="000B2566" w:rsidP="00323611">
      <w:r w:rsidRPr="00943F7F">
        <w:t>All large, medium and minor supplies must have a water safety plan. In the current period, a total of 12 supplies, serving 28,600 people, were not implementing their water safety plans as required by the Act.</w:t>
      </w:r>
    </w:p>
    <w:p w:rsidR="00323611" w:rsidRDefault="00323611" w:rsidP="00323611"/>
    <w:p w:rsidR="000B2566" w:rsidRPr="00943F7F" w:rsidRDefault="000B2566" w:rsidP="00323611">
      <w:r w:rsidRPr="00943F7F">
        <w:t>Small supplies are not required to have a water safety plan unless a medical officer of health requires them to do so. They may elect to comply with section 10 of the Standards by having a water safety plan. It is encouraging to see that, in the current period, 34,300 people received drinking-water from 136 small supplies with an implemented water safety plan.</w:t>
      </w:r>
    </w:p>
    <w:p w:rsidR="00323611" w:rsidRDefault="00323611" w:rsidP="00323611">
      <w:bookmarkStart w:id="37" w:name="figure"/>
      <w:bookmarkStart w:id="38" w:name="placeholder-chemical"/>
      <w:bookmarkStart w:id="39" w:name="achevement-all-supplies"/>
      <w:bookmarkStart w:id="40" w:name="achevement-of-standards---large-supplies"/>
      <w:bookmarkStart w:id="41" w:name="achevement-of-standards---medium-supplie"/>
      <w:bookmarkStart w:id="42" w:name="achevement-of-standards---minor-supplies"/>
      <w:bookmarkStart w:id="43" w:name="achevement-of-standards---small-supplies"/>
      <w:bookmarkStart w:id="44" w:name="interpretation-and-discussion"/>
      <w:bookmarkEnd w:id="37"/>
      <w:bookmarkEnd w:id="38"/>
      <w:bookmarkEnd w:id="39"/>
      <w:bookmarkEnd w:id="40"/>
      <w:bookmarkEnd w:id="41"/>
      <w:bookmarkEnd w:id="42"/>
      <w:bookmarkEnd w:id="43"/>
      <w:bookmarkEnd w:id="44"/>
    </w:p>
    <w:p w:rsidR="00943F7F" w:rsidRDefault="000B2566" w:rsidP="00323611">
      <w:r w:rsidRPr="009238B5">
        <w:t>Overall, water safety plans for supplies serving 98.6 percent of the report population (80.2</w:t>
      </w:r>
      <w:r w:rsidR="00323611">
        <w:t> </w:t>
      </w:r>
      <w:r w:rsidRPr="009238B5">
        <w:t>percent of supplies) were being implemented</w:t>
      </w:r>
      <w:r>
        <w:t xml:space="preserve"> in the current period</w:t>
      </w:r>
      <w:r w:rsidRPr="009238B5">
        <w:t>.</w:t>
      </w:r>
    </w:p>
    <w:p w:rsidR="00323611" w:rsidRDefault="00323611" w:rsidP="00323611"/>
    <w:p w:rsidR="000B2566" w:rsidRPr="009238B5" w:rsidRDefault="000B2566" w:rsidP="00323611">
      <w:r w:rsidRPr="009238B5">
        <w:t>The rate of development and implementation of water safety plans decreased with reducing supply size. All large supplies now meet th</w:t>
      </w:r>
      <w:r>
        <w:t>e</w:t>
      </w:r>
      <w:r w:rsidRPr="009238B5">
        <w:t xml:space="preserve"> requirement. 24 of the 25</w:t>
      </w:r>
      <w:r w:rsidR="00323611">
        <w:t> </w:t>
      </w:r>
      <w:r w:rsidRPr="009238B5">
        <w:t xml:space="preserve">medium </w:t>
      </w:r>
      <w:r>
        <w:t>supplies</w:t>
      </w:r>
      <w:r w:rsidRPr="009238B5">
        <w:t xml:space="preserve"> are implement</w:t>
      </w:r>
      <w:r>
        <w:t>ing a water safety plan;</w:t>
      </w:r>
      <w:r w:rsidRPr="009238B5">
        <w:t xml:space="preserve"> one </w:t>
      </w:r>
      <w:r>
        <w:t xml:space="preserve">medium </w:t>
      </w:r>
      <w:r w:rsidRPr="009238B5">
        <w:t>supply, serving 6,000 people, has an expired plan. 185 of the 196 minor supplies are implement</w:t>
      </w:r>
      <w:r>
        <w:t>ing a plan</w:t>
      </w:r>
      <w:r w:rsidRPr="009238B5">
        <w:t xml:space="preserve">. </w:t>
      </w:r>
      <w:r>
        <w:t xml:space="preserve">Of the </w:t>
      </w:r>
      <w:r w:rsidRPr="009238B5">
        <w:t xml:space="preserve">11 minor supplies </w:t>
      </w:r>
      <w:r>
        <w:t xml:space="preserve">that are not implementing a plan (collectively </w:t>
      </w:r>
      <w:r w:rsidRPr="009238B5">
        <w:t>serving 24,000 people</w:t>
      </w:r>
      <w:r>
        <w:t>)</w:t>
      </w:r>
      <w:r w:rsidRPr="009238B5">
        <w:t xml:space="preserve">, one has an approved plan </w:t>
      </w:r>
      <w:r>
        <w:t xml:space="preserve">that it </w:t>
      </w:r>
      <w:r w:rsidRPr="009238B5">
        <w:t xml:space="preserve">is yet to implement, five are </w:t>
      </w:r>
      <w:r>
        <w:t xml:space="preserve">currently </w:t>
      </w:r>
      <w:r w:rsidRPr="009238B5">
        <w:t xml:space="preserve">drafting plans, four have expired plans and one has not started </w:t>
      </w:r>
      <w:r>
        <w:t xml:space="preserve">a </w:t>
      </w:r>
      <w:r w:rsidRPr="009238B5">
        <w:t>plan.</w:t>
      </w:r>
    </w:p>
    <w:p w:rsidR="000B2566" w:rsidRDefault="000B2566" w:rsidP="00323611"/>
    <w:p w:rsidR="00943F7F" w:rsidRDefault="000B2566" w:rsidP="00323611">
      <w:pPr>
        <w:pStyle w:val="Heading2"/>
      </w:pPr>
      <w:bookmarkStart w:id="45" w:name="duties-section"/>
      <w:bookmarkStart w:id="46" w:name="_Toc10554007"/>
      <w:bookmarkEnd w:id="45"/>
      <w:r w:rsidRPr="00B44F68">
        <w:lastRenderedPageBreak/>
        <w:t>Duties</w:t>
      </w:r>
      <w:bookmarkEnd w:id="46"/>
    </w:p>
    <w:p w:rsidR="000B2566" w:rsidRDefault="000B2566" w:rsidP="00323611">
      <w:r w:rsidRPr="009238B5">
        <w:t>This part of the report covers the remaining legislative requirements under the Act.</w:t>
      </w:r>
    </w:p>
    <w:p w:rsidR="00323611" w:rsidRPr="009238B5" w:rsidRDefault="00323611" w:rsidP="00323611"/>
    <w:p w:rsidR="000B2566" w:rsidRPr="00B44F68" w:rsidRDefault="000B2566" w:rsidP="00323611">
      <w:pPr>
        <w:pStyle w:val="Heading3"/>
      </w:pPr>
      <w:bookmarkStart w:id="47" w:name="version-contol"/>
      <w:bookmarkStart w:id="48" w:name="monitoring-requirements-section-69y"/>
      <w:bookmarkEnd w:id="47"/>
      <w:bookmarkEnd w:id="48"/>
      <w:r w:rsidRPr="00B44F68">
        <w:t>Monitoring</w:t>
      </w:r>
    </w:p>
    <w:p w:rsidR="000B2566" w:rsidRPr="009238B5" w:rsidRDefault="000B2566" w:rsidP="00323611">
      <w:r w:rsidRPr="009238B5">
        <w:t xml:space="preserve">The Act requires all drinking-water supplies covered by this report to </w:t>
      </w:r>
      <w:r>
        <w:t xml:space="preserve">monitor </w:t>
      </w:r>
      <w:r w:rsidRPr="009238B5">
        <w:t xml:space="preserve">their drinking-water quality in accordance with the requirements of the Standards, since monitoring is a key verification component in managing drinking-water supplies. Monitoring allows </w:t>
      </w:r>
      <w:r>
        <w:t xml:space="preserve">a </w:t>
      </w:r>
      <w:r w:rsidRPr="009238B5">
        <w:t>drinking-water supplier to determine whether drinking-water quality meets that specified by the Standards</w:t>
      </w:r>
      <w:r>
        <w:t>,</w:t>
      </w:r>
      <w:r w:rsidRPr="009238B5">
        <w:t xml:space="preserve"> and can indicate when remedial action is required.</w:t>
      </w:r>
    </w:p>
    <w:p w:rsidR="00323611" w:rsidRDefault="00323611" w:rsidP="00323611"/>
    <w:p w:rsidR="00943F7F" w:rsidRDefault="000B2566" w:rsidP="00323611">
      <w:r w:rsidRPr="009238B5">
        <w:t>Overall, supplies serving 92.0 percent of the report population, or 3,531,000 people, met the monitoring requirements during the reporting period. This was a drop of 5.1</w:t>
      </w:r>
      <w:r w:rsidR="00323611">
        <w:t> </w:t>
      </w:r>
      <w:r w:rsidRPr="009238B5">
        <w:t>percent from 97.1 percent in the previous reporting period.</w:t>
      </w:r>
    </w:p>
    <w:p w:rsidR="00323611" w:rsidRDefault="00323611" w:rsidP="00323611"/>
    <w:p w:rsidR="000B2566" w:rsidRDefault="000B2566" w:rsidP="00323611">
      <w:r w:rsidRPr="009238B5">
        <w:t xml:space="preserve">Compliance increased with the size of the population served by a supply. Monitoring requirements in the reporting period were met for 94.7 percent of the population served by large supplies, 80.6 percent served by medium supplies, 78.4 percent </w:t>
      </w:r>
      <w:r>
        <w:t xml:space="preserve">served </w:t>
      </w:r>
      <w:r w:rsidRPr="009238B5">
        <w:t xml:space="preserve">by minor supplies and 62.6 percent </w:t>
      </w:r>
      <w:r>
        <w:t xml:space="preserve">served </w:t>
      </w:r>
      <w:r w:rsidRPr="009238B5">
        <w:t xml:space="preserve">by small supplies. Seven large supplies (Blenheim, Cambridge, Feilding, Napier, Oamaru, Rotorua East and Wanganui), serving a total of 169,000 people, did not meet </w:t>
      </w:r>
      <w:r>
        <w:t xml:space="preserve">the </w:t>
      </w:r>
      <w:r w:rsidRPr="009238B5">
        <w:t>requirement.</w:t>
      </w:r>
    </w:p>
    <w:p w:rsidR="00323611" w:rsidRPr="009238B5" w:rsidRDefault="00323611" w:rsidP="00323611"/>
    <w:p w:rsidR="000B2566" w:rsidRPr="00B44F68" w:rsidRDefault="000B2566" w:rsidP="00323611">
      <w:pPr>
        <w:pStyle w:val="Heading3"/>
      </w:pPr>
      <w:bookmarkStart w:id="49" w:name="provision-of-drinking-water-section-69s"/>
      <w:bookmarkEnd w:id="49"/>
      <w:r w:rsidRPr="00B44F68">
        <w:t>Provision of drinking-water</w:t>
      </w:r>
    </w:p>
    <w:p w:rsidR="000B2566" w:rsidRPr="009238B5" w:rsidRDefault="000B2566" w:rsidP="00323611">
      <w:r w:rsidRPr="009238B5">
        <w:t>Unsanitary conditions can arise when a community is without drinking-water</w:t>
      </w:r>
      <w:r>
        <w:t>;</w:t>
      </w:r>
      <w:r w:rsidRPr="009238B5">
        <w:t xml:space="preserve"> consumers may seek other, possibly unsafe, sources of water. To avoid such eventualities, drinking-water suppliers are required to take all practicable steps to ensure an adequate supply of drinking-water and</w:t>
      </w:r>
      <w:r>
        <w:t>,</w:t>
      </w:r>
      <w:r w:rsidRPr="009238B5">
        <w:t xml:space="preserve"> in the event of an interruption, planned or otherwise, to take appropriate action.</w:t>
      </w:r>
    </w:p>
    <w:p w:rsidR="00323611" w:rsidRDefault="00323611" w:rsidP="00323611"/>
    <w:p w:rsidR="000B2566" w:rsidRPr="009238B5" w:rsidRDefault="000B2566" w:rsidP="00323611">
      <w:r w:rsidRPr="009238B5">
        <w:t>Overall, supplies serving 93.1 percent of the report population, or 3,576,000 people, met this requirement during the reporting period. This was an improvement of 1.7</w:t>
      </w:r>
      <w:r w:rsidR="00323611">
        <w:t> </w:t>
      </w:r>
      <w:r w:rsidRPr="009238B5">
        <w:t>percent from the previous reporting period.</w:t>
      </w:r>
    </w:p>
    <w:p w:rsidR="00323611" w:rsidRDefault="00323611" w:rsidP="00323611"/>
    <w:p w:rsidR="000B2566" w:rsidRDefault="000B2566" w:rsidP="00323611">
      <w:r w:rsidRPr="009238B5">
        <w:t xml:space="preserve">One large, one minor and 13 small supplies failed to meet the provision of drinking-water requirements. Christchurch Central, serving 256,000 people, was the only large supply that failed to comply with the requirement during the current reporting period, as </w:t>
      </w:r>
      <w:r>
        <w:t xml:space="preserve">it </w:t>
      </w:r>
      <w:r w:rsidRPr="009238B5">
        <w:t>failed to provide appropriate notification of interruptions.</w:t>
      </w:r>
    </w:p>
    <w:p w:rsidR="00323611" w:rsidRPr="009238B5" w:rsidRDefault="00323611" w:rsidP="00323611"/>
    <w:p w:rsidR="000B2566" w:rsidRPr="00B44F68" w:rsidRDefault="000B2566" w:rsidP="00323611">
      <w:pPr>
        <w:pStyle w:val="Heading3"/>
      </w:pPr>
      <w:bookmarkStart w:id="50" w:name="source-protection-section-69u"/>
      <w:bookmarkEnd w:id="50"/>
      <w:r w:rsidRPr="00B44F68">
        <w:lastRenderedPageBreak/>
        <w:t>Source protection</w:t>
      </w:r>
    </w:p>
    <w:p w:rsidR="000B2566" w:rsidRPr="009238B5" w:rsidRDefault="000B2566" w:rsidP="00323611">
      <w:pPr>
        <w:keepLines/>
      </w:pPr>
      <w:r w:rsidRPr="009238B5">
        <w:t xml:space="preserve">Protecting the quality of source waters is one of the most important components of the multi-barrier approach to drinking-water supply management. Protection of source waters reduces the contaminants that </w:t>
      </w:r>
      <w:r>
        <w:t>a</w:t>
      </w:r>
      <w:r w:rsidRPr="009238B5">
        <w:t xml:space="preserve"> water treatment system has to deal with, reducing the consequences for public health in the event of treatment failure.</w:t>
      </w:r>
    </w:p>
    <w:p w:rsidR="00323611" w:rsidRDefault="00323611" w:rsidP="00323611"/>
    <w:p w:rsidR="000B2566" w:rsidRDefault="000B2566" w:rsidP="00323611">
      <w:r w:rsidRPr="009238B5">
        <w:t>Overall, supplies serving 99.9 percent of the report population</w:t>
      </w:r>
      <w:r>
        <w:t>,</w:t>
      </w:r>
      <w:r w:rsidRPr="009238B5">
        <w:t xml:space="preserve"> or 3,834,000 people, met the requirement to take reasonable steps to contribute to the protection of their water sources</w:t>
      </w:r>
      <w:r>
        <w:t xml:space="preserve"> during the reporting period</w:t>
      </w:r>
      <w:r w:rsidRPr="009238B5">
        <w:t xml:space="preserve">. This was an improvement of 0.5 percent from the previous reporting period. Twenty-three small supplies, </w:t>
      </w:r>
      <w:r>
        <w:t xml:space="preserve">collectively </w:t>
      </w:r>
      <w:r w:rsidRPr="009238B5">
        <w:t>serving 4,500 people, failed to meet the source protection requirements.</w:t>
      </w:r>
    </w:p>
    <w:p w:rsidR="00323611" w:rsidRPr="009238B5" w:rsidRDefault="00323611" w:rsidP="00323611"/>
    <w:p w:rsidR="000B2566" w:rsidRPr="00B44F68" w:rsidRDefault="000B2566" w:rsidP="00323611">
      <w:pPr>
        <w:pStyle w:val="Heading3"/>
      </w:pPr>
      <w:bookmarkStart w:id="51" w:name="records-section-69zd"/>
      <w:bookmarkEnd w:id="51"/>
      <w:r w:rsidRPr="00B44F68">
        <w:t>Records</w:t>
      </w:r>
    </w:p>
    <w:p w:rsidR="000B2566" w:rsidRDefault="000B2566" w:rsidP="00323611">
      <w:r w:rsidRPr="009238B5">
        <w:t xml:space="preserve">The keeping of records assists drinking-water suppliers and drinking-water assessors </w:t>
      </w:r>
      <w:r>
        <w:t xml:space="preserve">to </w:t>
      </w:r>
      <w:r w:rsidRPr="009238B5">
        <w:t>determin</w:t>
      </w:r>
      <w:r>
        <w:t>e</w:t>
      </w:r>
      <w:r w:rsidRPr="009238B5">
        <w:t xml:space="preserve"> whether a supply meets the requirements of the Act and achieves the Standards. It also </w:t>
      </w:r>
      <w:r>
        <w:t>helps</w:t>
      </w:r>
      <w:r w:rsidRPr="009238B5">
        <w:t xml:space="preserve"> people unfamiliar with a supply </w:t>
      </w:r>
      <w:r>
        <w:t xml:space="preserve">understand the </w:t>
      </w:r>
      <w:r w:rsidRPr="009238B5">
        <w:t xml:space="preserve">way the supply should be operated and what operational parameters are typical. In the event of a waterborne disease outbreak or any other incident resulting from system failure, well-kept records may assist </w:t>
      </w:r>
      <w:r>
        <w:t xml:space="preserve">authorities to </w:t>
      </w:r>
      <w:r w:rsidRPr="009238B5">
        <w:t xml:space="preserve">understand what has gone wrong and how </w:t>
      </w:r>
      <w:r>
        <w:t xml:space="preserve">the problem </w:t>
      </w:r>
      <w:r w:rsidRPr="009238B5">
        <w:t>could be prevented in the future.</w:t>
      </w:r>
    </w:p>
    <w:p w:rsidR="00323611" w:rsidRPr="009238B5" w:rsidRDefault="00323611" w:rsidP="00323611"/>
    <w:p w:rsidR="000B2566" w:rsidRDefault="000B2566" w:rsidP="00323611">
      <w:r w:rsidRPr="009238B5">
        <w:t xml:space="preserve">Overall, supplies supplying 99.5 percent of the report population </w:t>
      </w:r>
      <w:r>
        <w:t>(</w:t>
      </w:r>
      <w:r w:rsidRPr="009238B5">
        <w:t>3,821,000 people</w:t>
      </w:r>
      <w:r>
        <w:t>) maintained records with sufficient information during the reporting period</w:t>
      </w:r>
      <w:r w:rsidRPr="009238B5">
        <w:t>. This was a drop of 0.4 percent since the previous reporting period.</w:t>
      </w:r>
    </w:p>
    <w:p w:rsidR="00323611" w:rsidRPr="009238B5" w:rsidRDefault="00323611" w:rsidP="00323611"/>
    <w:p w:rsidR="000B2566" w:rsidRDefault="000B2566" w:rsidP="00323611">
      <w:r w:rsidRPr="009238B5">
        <w:t xml:space="preserve">All large supplies met the </w:t>
      </w:r>
      <w:r>
        <w:t xml:space="preserve">record-keeping </w:t>
      </w:r>
      <w:r w:rsidRPr="009238B5">
        <w:t xml:space="preserve">requirements. One medium and five minor supplies did not meet the requirement. Although small supplies are not required by the Act to keep records, the majority </w:t>
      </w:r>
      <w:r>
        <w:t>(</w:t>
      </w:r>
      <w:r w:rsidRPr="009238B5">
        <w:t>205 out of 231</w:t>
      </w:r>
      <w:r>
        <w:t>)</w:t>
      </w:r>
      <w:r w:rsidRPr="009238B5">
        <w:t xml:space="preserve"> did </w:t>
      </w:r>
      <w:r>
        <w:t>so</w:t>
      </w:r>
      <w:r w:rsidRPr="009238B5">
        <w:t>.</w:t>
      </w:r>
    </w:p>
    <w:p w:rsidR="00323611" w:rsidRPr="009238B5" w:rsidRDefault="00323611" w:rsidP="00323611"/>
    <w:p w:rsidR="000B2566" w:rsidRPr="00B44F68" w:rsidRDefault="000B2566" w:rsidP="00323611">
      <w:pPr>
        <w:pStyle w:val="Heading3"/>
      </w:pPr>
      <w:bookmarkStart w:id="52" w:name="complaints-section-69ze"/>
      <w:bookmarkEnd w:id="52"/>
      <w:r w:rsidRPr="00B44F68">
        <w:t>Complaints</w:t>
      </w:r>
    </w:p>
    <w:p w:rsidR="000B2566" w:rsidRDefault="000B2566" w:rsidP="00323611">
      <w:r w:rsidRPr="009238B5">
        <w:t xml:space="preserve">Complaints about drinking-water quality most often relate to the aesthetic properties of the water (taste, odour and appearance). </w:t>
      </w:r>
      <w:r>
        <w:t>Drinking-water suppliers need to investigate c</w:t>
      </w:r>
      <w:r w:rsidRPr="009238B5">
        <w:t xml:space="preserve">omplaints, because they may inform the supplier of a problem about which they may not otherwise be aware. Consumer concerns about the </w:t>
      </w:r>
      <w:r>
        <w:t xml:space="preserve">aesthetic properties </w:t>
      </w:r>
      <w:r w:rsidRPr="009238B5">
        <w:t>of water, if sufficiently severe, may lead to the consumer seeking another source of drinking-water. While the alternative source may not have the aesthetic problems associated with the original drinking-water supply, it may contain health-significant contaminants that cannot be detected by human senses.</w:t>
      </w:r>
    </w:p>
    <w:p w:rsidR="00B80746" w:rsidRPr="009238B5" w:rsidRDefault="00B80746" w:rsidP="00323611"/>
    <w:p w:rsidR="000B2566" w:rsidRDefault="000B2566" w:rsidP="00B80746">
      <w:r w:rsidRPr="009238B5">
        <w:t>Overall,</w:t>
      </w:r>
      <w:r>
        <w:t xml:space="preserve"> in the reporting period,</w:t>
      </w:r>
      <w:r w:rsidRPr="009238B5">
        <w:t xml:space="preserve"> drinking-water suppliers investigated complaints they received about the drinking-water supplied to 99.9 percent of the report population, 3,835,000 people. This was an improvement of about 0.1 percent since the previous reporting period.</w:t>
      </w:r>
    </w:p>
    <w:p w:rsidR="00B80746" w:rsidRPr="009238B5" w:rsidRDefault="00B80746" w:rsidP="00B80746"/>
    <w:p w:rsidR="000B2566" w:rsidRDefault="000B2566" w:rsidP="00B80746">
      <w:r w:rsidRPr="009238B5">
        <w:lastRenderedPageBreak/>
        <w:t xml:space="preserve">All large, medium and minor supplies met this requirement. Fifteen small supplies, </w:t>
      </w:r>
      <w:r>
        <w:t xml:space="preserve">collectively </w:t>
      </w:r>
      <w:r w:rsidRPr="009238B5">
        <w:t>serving 3,500 people, did not.</w:t>
      </w:r>
    </w:p>
    <w:p w:rsidR="00B80746" w:rsidRPr="009238B5" w:rsidRDefault="00B80746" w:rsidP="00B80746"/>
    <w:p w:rsidR="000B2566" w:rsidRPr="00B44F68" w:rsidRDefault="000B2566" w:rsidP="00B80746">
      <w:pPr>
        <w:pStyle w:val="Heading3"/>
      </w:pPr>
      <w:bookmarkStart w:id="53" w:name="remedial-action-section-69zf-needs-to-be"/>
      <w:bookmarkEnd w:id="53"/>
      <w:r w:rsidRPr="00B44F68">
        <w:t>Remedial action</w:t>
      </w:r>
    </w:p>
    <w:p w:rsidR="000B2566" w:rsidRPr="009238B5" w:rsidRDefault="000B2566" w:rsidP="00B80746">
      <w:r w:rsidRPr="009238B5">
        <w:t>The Act requires drinking-water suppliers to take all practicable steps to carry out appropriate remedial action if drinking-water is contaminated. Prompt action is required when the contaminants are microbiological, because pathogens can cause acute illness. Drinking-water suppliers must seek to remedy any faults they have identified in their system</w:t>
      </w:r>
      <w:r>
        <w:t xml:space="preserve"> that</w:t>
      </w:r>
      <w:r w:rsidRPr="009238B5">
        <w:t xml:space="preserve"> may adversely affect the safety of the supply.</w:t>
      </w:r>
    </w:p>
    <w:p w:rsidR="00B80746" w:rsidRDefault="00B80746" w:rsidP="00B80746"/>
    <w:p w:rsidR="000B2566" w:rsidRPr="009238B5" w:rsidRDefault="000B2566" w:rsidP="00B80746">
      <w:r w:rsidRPr="009238B5">
        <w:t xml:space="preserve">Remedial action in response to transgressions was taken, when necessary, in supplies serving 99.1 percent of the report population </w:t>
      </w:r>
      <w:r>
        <w:t>(</w:t>
      </w:r>
      <w:r w:rsidRPr="009238B5">
        <w:t>3,803,000 people</w:t>
      </w:r>
      <w:r>
        <w:t>) in the reporting period</w:t>
      </w:r>
      <w:r w:rsidRPr="009238B5">
        <w:t>.</w:t>
      </w:r>
    </w:p>
    <w:p w:rsidR="00B80746" w:rsidRDefault="00B80746" w:rsidP="00B80746"/>
    <w:p w:rsidR="000B2566" w:rsidRDefault="000B2566" w:rsidP="00B80746">
      <w:r w:rsidRPr="009238B5">
        <w:t>Water suppliers did not take prompt remedial action in 30 supplies</w:t>
      </w:r>
      <w:r>
        <w:t>,</w:t>
      </w:r>
      <w:r w:rsidRPr="009238B5">
        <w:t xml:space="preserve"> consist</w:t>
      </w:r>
      <w:r>
        <w:t>ing</w:t>
      </w:r>
      <w:r w:rsidRPr="009238B5">
        <w:t xml:space="preserve"> of 16</w:t>
      </w:r>
      <w:r w:rsidR="00B80746">
        <w:t> </w:t>
      </w:r>
      <w:r w:rsidRPr="009238B5">
        <w:t xml:space="preserve">minor </w:t>
      </w:r>
      <w:r>
        <w:t xml:space="preserve">supplies </w:t>
      </w:r>
      <w:r w:rsidRPr="009238B5">
        <w:t>(</w:t>
      </w:r>
      <w:r>
        <w:t xml:space="preserve">collectively serving </w:t>
      </w:r>
      <w:r w:rsidRPr="009238B5">
        <w:t xml:space="preserve">32,400 people) and 14 small </w:t>
      </w:r>
      <w:r>
        <w:t xml:space="preserve">supplies </w:t>
      </w:r>
      <w:r w:rsidRPr="009238B5">
        <w:t>(</w:t>
      </w:r>
      <w:r>
        <w:t xml:space="preserve">collectively serving </w:t>
      </w:r>
      <w:r w:rsidRPr="009238B5">
        <w:t>3,600 people).</w:t>
      </w:r>
    </w:p>
    <w:p w:rsidR="00B80746" w:rsidRDefault="00B80746" w:rsidP="00B80746"/>
    <w:p w:rsidR="00695303" w:rsidRPr="00695303" w:rsidRDefault="00695303" w:rsidP="00F92C7D">
      <w:pPr>
        <w:pStyle w:val="Heading2"/>
      </w:pPr>
      <w:bookmarkStart w:id="54" w:name="_Toc10554008"/>
      <w:r w:rsidRPr="00695303">
        <w:t>Public health significance of not meeting the requirements of the Health Act</w:t>
      </w:r>
      <w:bookmarkEnd w:id="54"/>
    </w:p>
    <w:p w:rsidR="00695303" w:rsidRDefault="00695303" w:rsidP="00695303">
      <w:r>
        <w:t xml:space="preserve">The significance on public health varies between the different requirements of the Health Act, and also how the water supplier failed to meet the requirements. </w:t>
      </w:r>
    </w:p>
    <w:p w:rsidR="00695303" w:rsidRDefault="00695303" w:rsidP="00695303">
      <w:r>
        <w:t xml:space="preserve">The requirement to prepare and implement water safety plans is of the highest public health significance as this is the document where the water supplier identifies all of the risks to their supply, and how they are managing those risks, as well as other important aspects of their water supply. </w:t>
      </w:r>
    </w:p>
    <w:p w:rsidR="00695303" w:rsidRDefault="00695303" w:rsidP="00695303"/>
    <w:p w:rsidR="00695303" w:rsidRDefault="00695303" w:rsidP="00695303">
      <w:r>
        <w:t>The requirement to protect source water ensures that the highest quality source water is being used to provide drinking water. Any subsequent failure in treatment is less likely to cause illness if the source water is of the highest quality.</w:t>
      </w:r>
    </w:p>
    <w:p w:rsidR="00695303" w:rsidRDefault="00695303" w:rsidP="00695303"/>
    <w:p w:rsidR="00695303" w:rsidRDefault="00695303" w:rsidP="00695303">
      <w:r>
        <w:t xml:space="preserve">Of immediate public health significance is the requirement on the water supplier to take adequate remedial action once a problem has been identified. </w:t>
      </w:r>
    </w:p>
    <w:p w:rsidR="00695303" w:rsidRDefault="00695303" w:rsidP="00695303"/>
    <w:p w:rsidR="00695303" w:rsidRDefault="00695303" w:rsidP="00695303">
      <w:r>
        <w:t>A failure to meet the monitoring requirements may have minor public health significance, such as a water supplier who fails to monitor on sufficient days of the week, or who misses the collection of a single water sample. However a water supplier who fails to monitor their water supply at all could result in major public health consequences.</w:t>
      </w:r>
    </w:p>
    <w:p w:rsidR="00695303" w:rsidRDefault="00695303" w:rsidP="00695303"/>
    <w:p w:rsidR="00695303" w:rsidRDefault="00695303" w:rsidP="00695303">
      <w:r>
        <w:lastRenderedPageBreak/>
        <w:t xml:space="preserve">Failure to provide an adequate supply of drinking water may have minor public health significance such as where planned repairs take longer than expected but affected consumers are well informed. However if interruptions to supply are protracted or not well communicated and there are vulnerable consumers on the supply this may have a significant impact. </w:t>
      </w:r>
    </w:p>
    <w:p w:rsidR="00E014C4" w:rsidRDefault="00E014C4" w:rsidP="00695303"/>
    <w:p w:rsidR="00695303" w:rsidRDefault="00695303" w:rsidP="00695303">
      <w:r>
        <w:t>Failing to keep good records, including complaint management may not have a direct public health impact however it is an indication the water supplier does not have good historical knowledge of their supply, quality systems in place and may miss picking up on important changes in the supply through customer complaints.</w:t>
      </w:r>
    </w:p>
    <w:p w:rsidR="00695303" w:rsidRPr="009238B5" w:rsidRDefault="00695303" w:rsidP="00B80746"/>
    <w:p w:rsidR="000B2566" w:rsidRPr="009238B5" w:rsidRDefault="000B2566" w:rsidP="00B80746">
      <w:pPr>
        <w:pStyle w:val="Heading1"/>
        <w:ind w:right="-425"/>
        <w:rPr>
          <w:rFonts w:eastAsiaTheme="majorEastAsia"/>
        </w:rPr>
      </w:pPr>
      <w:bookmarkStart w:id="55" w:name="overall-achievement-against-the-standard"/>
      <w:bookmarkStart w:id="56" w:name="_Toc10554009"/>
      <w:bookmarkEnd w:id="55"/>
      <w:r w:rsidRPr="009238B5">
        <w:rPr>
          <w:rFonts w:eastAsiaTheme="majorEastAsia"/>
        </w:rPr>
        <w:lastRenderedPageBreak/>
        <w:t xml:space="preserve">Meeting the </w:t>
      </w:r>
      <w:r w:rsidRPr="00B80746">
        <w:rPr>
          <w:rFonts w:eastAsiaTheme="majorEastAsia"/>
          <w:i/>
        </w:rPr>
        <w:t>Drinking-Water Standards for New Zealand 2005</w:t>
      </w:r>
      <w:r w:rsidRPr="00B80746" w:rsidDel="00D85BBD">
        <w:rPr>
          <w:rFonts w:eastAsiaTheme="majorEastAsia"/>
          <w:i/>
        </w:rPr>
        <w:t xml:space="preserve"> </w:t>
      </w:r>
      <w:r w:rsidRPr="00B80746">
        <w:rPr>
          <w:rFonts w:eastAsiaTheme="majorEastAsia"/>
          <w:i/>
        </w:rPr>
        <w:t>(revised 2008)</w:t>
      </w:r>
      <w:bookmarkEnd w:id="56"/>
    </w:p>
    <w:p w:rsidR="000B2566" w:rsidRPr="00084F30" w:rsidRDefault="00B80746" w:rsidP="00B80746">
      <w:pPr>
        <w:pStyle w:val="Heading2"/>
      </w:pPr>
      <w:bookmarkStart w:id="57" w:name="_Toc8111276"/>
      <w:bookmarkStart w:id="58" w:name="_Toc10554010"/>
      <w:r>
        <w:t>In</w:t>
      </w:r>
      <w:r w:rsidR="000B2566" w:rsidRPr="00084F30">
        <w:t>troduction</w:t>
      </w:r>
      <w:bookmarkEnd w:id="57"/>
      <w:bookmarkEnd w:id="58"/>
    </w:p>
    <w:p w:rsidR="000B2566" w:rsidRPr="00943F7F" w:rsidRDefault="000B2566" w:rsidP="00B80746">
      <w:r w:rsidRPr="00943F7F">
        <w:t xml:space="preserve">Drinking water suppliers must take all practicable steps to meet the </w:t>
      </w:r>
      <w:r w:rsidRPr="009238B5">
        <w:rPr>
          <w:i/>
          <w:lang w:eastAsia="en-NZ"/>
        </w:rPr>
        <w:t>Drinking-water Standards for New Zealand 2005 (Revised 2008)</w:t>
      </w:r>
      <w:r w:rsidRPr="009238B5">
        <w:rPr>
          <w:lang w:eastAsia="en-NZ"/>
        </w:rPr>
        <w:t xml:space="preserve"> (</w:t>
      </w:r>
      <w:r w:rsidRPr="00943F7F">
        <w:t>the Standards). The Standards have three main components:</w:t>
      </w:r>
    </w:p>
    <w:p w:rsidR="000B2566" w:rsidRPr="00943F7F" w:rsidRDefault="000B2566" w:rsidP="00B80746">
      <w:pPr>
        <w:pStyle w:val="Bullet"/>
      </w:pPr>
      <w:r w:rsidRPr="00943F7F">
        <w:t xml:space="preserve">the water </w:t>
      </w:r>
      <w:r w:rsidRPr="00943F7F">
        <w:rPr>
          <w:b/>
        </w:rPr>
        <w:t>quality standards</w:t>
      </w:r>
      <w:r w:rsidRPr="00943F7F">
        <w:t>, which specify the maximum acceptable values (MAVs) of a range of microbiological, chemical and radiological properties of drinking-water (determinands). The MAVs are set at a level below which there is no significant risk to a consumer over a lifetime of drinking-water consumption</w:t>
      </w:r>
    </w:p>
    <w:p w:rsidR="000B2566" w:rsidRPr="00943F7F" w:rsidRDefault="000B2566" w:rsidP="00B80746">
      <w:pPr>
        <w:pStyle w:val="Bullet"/>
      </w:pPr>
      <w:r w:rsidRPr="00943F7F">
        <w:t xml:space="preserve">the </w:t>
      </w:r>
      <w:r w:rsidRPr="00943F7F">
        <w:rPr>
          <w:b/>
        </w:rPr>
        <w:t>compliance criteria</w:t>
      </w:r>
      <w:r w:rsidRPr="00943F7F">
        <w:t xml:space="preserve"> and </w:t>
      </w:r>
      <w:r w:rsidRPr="00943F7F">
        <w:rPr>
          <w:b/>
        </w:rPr>
        <w:t>reporting requirements</w:t>
      </w:r>
      <w:r w:rsidRPr="00943F7F">
        <w:t>, which define the checks needed to demonstrate a drinking-water supply is not exceeding the drinking-water quality standards. The stringency of these checks reflects the level of risk that the drinking-water supply poses</w:t>
      </w:r>
    </w:p>
    <w:p w:rsidR="000B2566" w:rsidRPr="00943F7F" w:rsidRDefault="000B2566" w:rsidP="00B80746">
      <w:pPr>
        <w:pStyle w:val="Bullet"/>
      </w:pPr>
      <w:r w:rsidRPr="00943F7F">
        <w:t xml:space="preserve">the </w:t>
      </w:r>
      <w:r w:rsidRPr="00943F7F">
        <w:rPr>
          <w:b/>
        </w:rPr>
        <w:t>remedial actions</w:t>
      </w:r>
      <w:r w:rsidRPr="00943F7F">
        <w:t>, which a supplier must take in the event of a transgression. A</w:t>
      </w:r>
      <w:r w:rsidR="00B80746">
        <w:t> </w:t>
      </w:r>
      <w:r w:rsidRPr="00943F7F">
        <w:t>transgression occurs when the MAV or some operational requirement of the drinking-water supply is exceeded.</w:t>
      </w:r>
    </w:p>
    <w:p w:rsidR="00B80746" w:rsidRDefault="00B80746" w:rsidP="00B80746"/>
    <w:p w:rsidR="000B2566" w:rsidRPr="00943F7F" w:rsidRDefault="000B2566" w:rsidP="00B80746">
      <w:r w:rsidRPr="00943F7F">
        <w:t>In order to meet the Standards, over a 12-month period a supplier must:</w:t>
      </w:r>
    </w:p>
    <w:p w:rsidR="000B2566" w:rsidRPr="00943F7F" w:rsidRDefault="000B2566" w:rsidP="00B80746">
      <w:pPr>
        <w:pStyle w:val="Bullet"/>
      </w:pPr>
      <w:r w:rsidRPr="00943F7F">
        <w:t>achieve the quality standards over 95 percent of the time, and</w:t>
      </w:r>
    </w:p>
    <w:p w:rsidR="000B2566" w:rsidRPr="00943F7F" w:rsidRDefault="000B2566" w:rsidP="00B80746">
      <w:pPr>
        <w:pStyle w:val="Bullet"/>
      </w:pPr>
      <w:r w:rsidRPr="00943F7F">
        <w:t>monitor the drinking-water in accordance with the compliance criteria, and</w:t>
      </w:r>
    </w:p>
    <w:p w:rsidR="000B2566" w:rsidRPr="00943F7F" w:rsidRDefault="000B2566" w:rsidP="00B80746">
      <w:pPr>
        <w:pStyle w:val="Bullet"/>
      </w:pPr>
      <w:r w:rsidRPr="00943F7F">
        <w:t>in the event of a transgression, take remedial actions to protect public health, and to prevent the reoccurrence of the transgression.</w:t>
      </w:r>
    </w:p>
    <w:p w:rsidR="00B80746" w:rsidRDefault="00B80746" w:rsidP="00B80746"/>
    <w:p w:rsidR="000B2566" w:rsidRPr="00943F7F" w:rsidRDefault="000B2566" w:rsidP="00B80746">
      <w:r w:rsidRPr="00943F7F">
        <w:t>The Standards are the same for all supplies, because their purpose is to protect people</w:t>
      </w:r>
      <w:r w:rsidR="00943F7F" w:rsidRPr="00943F7F">
        <w:t>’</w:t>
      </w:r>
      <w:r w:rsidRPr="00943F7F">
        <w:t>s health. The compliance criteria depend on a number of factors; primarily the size of the population served by a supply and the nature of the determinand. The criteria balance risks to public health and costs. To manage public health risks, the more people served by a supply the more monitoring is required, to provide greater certainty that the drinking-water meets the quality standards.</w:t>
      </w:r>
    </w:p>
    <w:p w:rsidR="00B80746" w:rsidRDefault="00B80746" w:rsidP="00B80746"/>
    <w:p w:rsidR="00943F7F" w:rsidRDefault="000B2566" w:rsidP="00B80746">
      <w:pPr>
        <w:keepNext/>
        <w:rPr>
          <w:szCs w:val="24"/>
        </w:rPr>
      </w:pPr>
      <w:r w:rsidRPr="009238B5">
        <w:lastRenderedPageBreak/>
        <w:t xml:space="preserve">In this report, the quality of drinking-water is assessed in terms of </w:t>
      </w:r>
      <w:r>
        <w:t>suppliers</w:t>
      </w:r>
      <w:r w:rsidR="00943F7F">
        <w:t>’</w:t>
      </w:r>
      <w:r>
        <w:t xml:space="preserve"> </w:t>
      </w:r>
      <w:r w:rsidRPr="009238B5">
        <w:t>achievement of the microbiological and chemical Standards.</w:t>
      </w:r>
    </w:p>
    <w:p w:rsidR="00B80746" w:rsidRDefault="00B80746" w:rsidP="00B80746"/>
    <w:p w:rsidR="000B2566" w:rsidRPr="009238B5" w:rsidRDefault="000B2566" w:rsidP="00B80746">
      <w:r w:rsidRPr="0069107F">
        <w:t>Microbiological achievement</w:t>
      </w:r>
      <w:r w:rsidRPr="009238B5">
        <w:t xml:space="preserve"> </w:t>
      </w:r>
      <w:r>
        <w:t xml:space="preserve">of a Standard </w:t>
      </w:r>
      <w:r w:rsidRPr="009238B5">
        <w:t xml:space="preserve">is based on the detection of indicator organisms, combined with </w:t>
      </w:r>
      <w:r>
        <w:t xml:space="preserve">assessment of </w:t>
      </w:r>
      <w:r w:rsidRPr="009238B5">
        <w:t xml:space="preserve">barriers to contamination, rather than </w:t>
      </w:r>
      <w:r>
        <w:t xml:space="preserve">measurement of </w:t>
      </w:r>
      <w:r w:rsidRPr="009238B5">
        <w:t>the concentrations of microorganisms in the drinking-water.</w:t>
      </w:r>
      <w:r>
        <w:t xml:space="preserve"> </w:t>
      </w:r>
      <w:r w:rsidRPr="009238B5">
        <w:t xml:space="preserve">Microbiological achievement is based on two main microbiological reference organisms, </w:t>
      </w:r>
      <w:r w:rsidRPr="009238B5">
        <w:rPr>
          <w:i/>
        </w:rPr>
        <w:t>Escherichia coli</w:t>
      </w:r>
      <w:r w:rsidRPr="009238B5">
        <w:t xml:space="preserve"> (</w:t>
      </w:r>
      <w:r w:rsidRPr="009238B5">
        <w:rPr>
          <w:i/>
        </w:rPr>
        <w:t>E. coli</w:t>
      </w:r>
      <w:r w:rsidRPr="009238B5">
        <w:t xml:space="preserve">) and </w:t>
      </w:r>
      <w:r w:rsidRPr="009238B5">
        <w:rPr>
          <w:i/>
        </w:rPr>
        <w:t>Cryptosporidium</w:t>
      </w:r>
      <w:r w:rsidRPr="009238B5">
        <w:t xml:space="preserve">. </w:t>
      </w:r>
      <w:r w:rsidRPr="009238B5">
        <w:rPr>
          <w:b/>
        </w:rPr>
        <w:t>Bacteriological achievement</w:t>
      </w:r>
      <w:r w:rsidRPr="009238B5">
        <w:t xml:space="preserve"> is determined primarily using </w:t>
      </w:r>
      <w:r w:rsidRPr="009238B5">
        <w:rPr>
          <w:i/>
        </w:rPr>
        <w:t>E. coli</w:t>
      </w:r>
      <w:r w:rsidRPr="009238B5">
        <w:t xml:space="preserve"> monitoring</w:t>
      </w:r>
      <w:r>
        <w:t>;</w:t>
      </w:r>
      <w:r w:rsidRPr="009238B5">
        <w:t xml:space="preserve"> </w:t>
      </w:r>
      <w:r>
        <w:t xml:space="preserve">no </w:t>
      </w:r>
      <w:r w:rsidRPr="009238B5">
        <w:rPr>
          <w:i/>
        </w:rPr>
        <w:t>E. coli</w:t>
      </w:r>
      <w:r w:rsidRPr="009238B5">
        <w:t xml:space="preserve"> </w:t>
      </w:r>
      <w:r>
        <w:t xml:space="preserve">should be detected in the drinking-water distribution zones. </w:t>
      </w:r>
      <w:r>
        <w:rPr>
          <w:b/>
        </w:rPr>
        <w:t>P</w:t>
      </w:r>
      <w:r w:rsidRPr="009238B5">
        <w:rPr>
          <w:b/>
        </w:rPr>
        <w:t>rotozoal achievement</w:t>
      </w:r>
      <w:r w:rsidRPr="009238B5">
        <w:t xml:space="preserve"> is based on monitoring the effectiveness of the treatment processes used to remove or inactivate </w:t>
      </w:r>
      <w:r w:rsidRPr="009238B5">
        <w:rPr>
          <w:i/>
        </w:rPr>
        <w:t>Cryptosporidium</w:t>
      </w:r>
      <w:r w:rsidRPr="009238B5">
        <w:t>.</w:t>
      </w:r>
    </w:p>
    <w:p w:rsidR="00B80746" w:rsidRDefault="00B80746" w:rsidP="00B80746"/>
    <w:p w:rsidR="000B2566" w:rsidRDefault="000B2566" w:rsidP="00B80746">
      <w:r>
        <w:t xml:space="preserve">The chemical Standards define water that, based on current knowledge, is able to be drunk over a lifetime with no adverse health effects. For most chemical determinands an occasional exceedance of the MAV in the Standards is not a significant risk to public health. </w:t>
      </w:r>
      <w:r w:rsidRPr="009238B5">
        <w:rPr>
          <w:b/>
        </w:rPr>
        <w:t>Chemical achievement</w:t>
      </w:r>
      <w:r w:rsidRPr="009238B5">
        <w:t xml:space="preserve"> is assessed for those supplies that have been identified as containing chemicals that require monitoring (known as Priority 2 determinands). A drinking-water supply achieves the chemical requirements of the Standards if it has no Priority 2 determinands, or if it has been adequately monitored and any Priority 2 determinands present are shown to be within acceptable levels.</w:t>
      </w:r>
    </w:p>
    <w:p w:rsidR="00B80746" w:rsidRPr="009238B5" w:rsidRDefault="00B80746" w:rsidP="00B80746"/>
    <w:p w:rsidR="000B2566" w:rsidRPr="009238B5" w:rsidRDefault="000B2566" w:rsidP="00B80746">
      <w:pPr>
        <w:pStyle w:val="Heading2"/>
      </w:pPr>
      <w:bookmarkStart w:id="59" w:name="_Toc8111277"/>
      <w:bookmarkStart w:id="60" w:name="_Toc10554011"/>
      <w:r w:rsidRPr="009238B5">
        <w:t xml:space="preserve">Overall achievement of the </w:t>
      </w:r>
      <w:r>
        <w:t>S</w:t>
      </w:r>
      <w:r w:rsidRPr="009238B5">
        <w:t>tandards</w:t>
      </w:r>
      <w:bookmarkEnd w:id="59"/>
      <w:bookmarkEnd w:id="60"/>
    </w:p>
    <w:p w:rsidR="000B2566" w:rsidRDefault="000B2566" w:rsidP="00B80746">
      <w:pPr>
        <w:rPr>
          <w:bCs/>
          <w:szCs w:val="24"/>
        </w:rPr>
      </w:pPr>
      <w:r w:rsidRPr="009238B5">
        <w:t xml:space="preserve">Every drinking-water supplier has a duty to take all practicable steps to ensure that the drinking-water </w:t>
      </w:r>
      <w:r>
        <w:t xml:space="preserve">it </w:t>
      </w:r>
      <w:r w:rsidRPr="009238B5">
        <w:t>supplie</w:t>
      </w:r>
      <w:r>
        <w:t>s</w:t>
      </w:r>
      <w:r w:rsidRPr="009238B5">
        <w:t xml:space="preserve"> </w:t>
      </w:r>
      <w:r>
        <w:t>meets</w:t>
      </w:r>
      <w:r w:rsidRPr="009238B5">
        <w:t xml:space="preserve"> the Standards. </w:t>
      </w:r>
      <w:r w:rsidRPr="009238B5">
        <w:rPr>
          <w:bCs/>
          <w:szCs w:val="24"/>
        </w:rPr>
        <w:t xml:space="preserve">Overall achievement against the Standards requires a drinking-water supply to achieve the bacteriological, protozoal and chemical Standards. The Standards specify the drinking-water quality standards that all drinking-water supplies must achieve. It is possible to fail to meet the Standards for technical reasons, such as inadequate sampling, or for reasons that are a public health concern, such as exceeding the </w:t>
      </w:r>
      <w:r>
        <w:rPr>
          <w:bCs/>
          <w:szCs w:val="24"/>
        </w:rPr>
        <w:t xml:space="preserve">MAV </w:t>
      </w:r>
      <w:r w:rsidRPr="009238B5">
        <w:rPr>
          <w:bCs/>
          <w:szCs w:val="24"/>
        </w:rPr>
        <w:t>for bacteria in the drinking-water supply.</w:t>
      </w:r>
    </w:p>
    <w:p w:rsidR="00B80746" w:rsidRDefault="00B80746" w:rsidP="00B80746">
      <w:pPr>
        <w:rPr>
          <w:bCs/>
          <w:szCs w:val="24"/>
        </w:rPr>
      </w:pPr>
    </w:p>
    <w:p w:rsidR="000B2566" w:rsidRPr="009238B5" w:rsidRDefault="000B2566" w:rsidP="00B80746">
      <w:r>
        <w:t>In the reporting period:</w:t>
      </w:r>
    </w:p>
    <w:p w:rsidR="00943F7F" w:rsidRDefault="000B2566" w:rsidP="00B80746">
      <w:pPr>
        <w:pStyle w:val="Bullet"/>
      </w:pPr>
      <w:r>
        <w:t>o</w:t>
      </w:r>
      <w:r w:rsidRPr="009238B5">
        <w:t>f the 3,839,000 people receiving drinking-water from 493 supplies serving 101 or more people</w:t>
      </w:r>
      <w:r>
        <w:t>,</w:t>
      </w:r>
      <w:r w:rsidRPr="009238B5">
        <w:t xml:space="preserve"> </w:t>
      </w:r>
      <w:r>
        <w:t>73.7</w:t>
      </w:r>
      <w:r w:rsidRPr="009238B5">
        <w:t xml:space="preserve"> </w:t>
      </w:r>
      <w:r>
        <w:t>percent</w:t>
      </w:r>
      <w:r w:rsidRPr="009238B5">
        <w:t xml:space="preserve"> (2,</w:t>
      </w:r>
      <w:r>
        <w:t>831</w:t>
      </w:r>
      <w:r w:rsidRPr="009238B5">
        <w:t xml:space="preserve">,000 people) received drinking-water that fully met </w:t>
      </w:r>
      <w:r w:rsidRPr="009238B5">
        <w:rPr>
          <w:b/>
        </w:rPr>
        <w:t>all Standards</w:t>
      </w:r>
    </w:p>
    <w:p w:rsidR="00943F7F" w:rsidRDefault="000B2566" w:rsidP="00B80746">
      <w:pPr>
        <w:pStyle w:val="Bullet"/>
      </w:pPr>
      <w:r w:rsidRPr="009238B5">
        <w:t>9</w:t>
      </w:r>
      <w:r>
        <w:t>7.7</w:t>
      </w:r>
      <w:r w:rsidRPr="009238B5">
        <w:t xml:space="preserve"> </w:t>
      </w:r>
      <w:r>
        <w:t>percent</w:t>
      </w:r>
      <w:r w:rsidRPr="009238B5">
        <w:t xml:space="preserve"> (3,</w:t>
      </w:r>
      <w:r>
        <w:t>751</w:t>
      </w:r>
      <w:r w:rsidRPr="009238B5">
        <w:t xml:space="preserve">,000 people) received drinking-water that fully met the </w:t>
      </w:r>
      <w:r w:rsidRPr="009238B5">
        <w:rPr>
          <w:b/>
        </w:rPr>
        <w:t>bacteriological Standards</w:t>
      </w:r>
    </w:p>
    <w:p w:rsidR="00943F7F" w:rsidRDefault="000B2566" w:rsidP="00B80746">
      <w:pPr>
        <w:pStyle w:val="Bullet"/>
      </w:pPr>
      <w:r w:rsidRPr="00157144">
        <w:t xml:space="preserve">74.8 percent (2,870,000 people) received drinking-water that fully met the </w:t>
      </w:r>
      <w:r w:rsidRPr="00157144">
        <w:rPr>
          <w:b/>
        </w:rPr>
        <w:t>protozoal Standard</w:t>
      </w:r>
      <w:r w:rsidRPr="008C57FB">
        <w:rPr>
          <w:b/>
        </w:rPr>
        <w:t>s</w:t>
      </w:r>
    </w:p>
    <w:p w:rsidR="000B2566" w:rsidRPr="009238B5" w:rsidRDefault="000B2566" w:rsidP="00B80746">
      <w:pPr>
        <w:pStyle w:val="Bullet"/>
      </w:pPr>
      <w:r w:rsidRPr="009238B5">
        <w:t xml:space="preserve">98.9 </w:t>
      </w:r>
      <w:r>
        <w:t>percent</w:t>
      </w:r>
      <w:r w:rsidRPr="009238B5">
        <w:t xml:space="preserve"> (3,796,000 people) received water that fully met the </w:t>
      </w:r>
      <w:r w:rsidRPr="009238B5">
        <w:rPr>
          <w:b/>
        </w:rPr>
        <w:t>chemical Standard</w:t>
      </w:r>
      <w:r>
        <w:rPr>
          <w:b/>
        </w:rPr>
        <w:t>s</w:t>
      </w:r>
      <w:r w:rsidRPr="009238B5">
        <w:t>.</w:t>
      </w:r>
    </w:p>
    <w:p w:rsidR="000B2566" w:rsidRPr="009238B5" w:rsidRDefault="000B2566" w:rsidP="00B80746"/>
    <w:p w:rsidR="000B2566" w:rsidRDefault="00F621CE" w:rsidP="00B80746">
      <w:r>
        <w:lastRenderedPageBreak/>
        <w:t xml:space="preserve">Table 3 </w:t>
      </w:r>
      <w:r w:rsidR="000B2566" w:rsidRPr="009238B5">
        <w:t xml:space="preserve">shows the proportion of </w:t>
      </w:r>
      <w:r w:rsidR="000B2566">
        <w:t xml:space="preserve">the </w:t>
      </w:r>
      <w:r w:rsidR="000B2566" w:rsidRPr="009238B5">
        <w:t>population that received drinking-water that achieved the Standards during the current and previous reporting periods.</w:t>
      </w:r>
    </w:p>
    <w:p w:rsidR="00B80746" w:rsidRPr="009238B5" w:rsidRDefault="00B80746" w:rsidP="00B80746"/>
    <w:p w:rsidR="000B2566" w:rsidRPr="004A2CD2" w:rsidRDefault="000B2566" w:rsidP="00B80746">
      <w:pPr>
        <w:pStyle w:val="Table"/>
      </w:pPr>
      <w:bookmarkStart w:id="61" w:name="_Toc9846296"/>
      <w:r w:rsidRPr="009238B5">
        <w:t xml:space="preserve">Table </w:t>
      </w:r>
      <w:r>
        <w:t>3</w:t>
      </w:r>
      <w:r w:rsidRPr="009238B5">
        <w:t>: Achievement of the Standards between previous and current reporting periods</w:t>
      </w:r>
      <w:bookmarkEnd w:id="61"/>
    </w:p>
    <w:tbl>
      <w:tblPr>
        <w:tblW w:w="3472" w:type="pct"/>
        <w:tblInd w:w="57" w:type="dxa"/>
        <w:tblBorders>
          <w:bottom w:val="single" w:sz="4" w:space="0" w:color="A6A6A6" w:themeColor="background1" w:themeShade="A6"/>
          <w:insideH w:val="single" w:sz="4" w:space="0" w:color="A6A6A6" w:themeColor="background1" w:themeShade="A6"/>
        </w:tblBorders>
        <w:tblLayout w:type="fixed"/>
        <w:tblCellMar>
          <w:left w:w="57" w:type="dxa"/>
          <w:right w:w="57" w:type="dxa"/>
        </w:tblCellMar>
        <w:tblLook w:val="07E0" w:firstRow="1" w:lastRow="1" w:firstColumn="1" w:lastColumn="1" w:noHBand="1" w:noVBand="1"/>
      </w:tblPr>
      <w:tblGrid>
        <w:gridCol w:w="1863"/>
        <w:gridCol w:w="1249"/>
        <w:gridCol w:w="1249"/>
        <w:gridCol w:w="1249"/>
      </w:tblGrid>
      <w:tr w:rsidR="000B2566" w:rsidRPr="0096026B" w:rsidTr="0096026B">
        <w:trPr>
          <w:cantSplit/>
        </w:trPr>
        <w:tc>
          <w:tcPr>
            <w:tcW w:w="1891" w:type="dxa"/>
            <w:tcBorders>
              <w:top w:val="nil"/>
              <w:bottom w:val="nil"/>
            </w:tcBorders>
            <w:shd w:val="clear" w:color="auto" w:fill="D9D9D9" w:themeFill="background1" w:themeFillShade="D9"/>
          </w:tcPr>
          <w:p w:rsidR="000B2566" w:rsidRPr="0096026B" w:rsidRDefault="000B2566" w:rsidP="0096026B">
            <w:pPr>
              <w:pStyle w:val="TableText"/>
              <w:rPr>
                <w:b/>
              </w:rPr>
            </w:pPr>
            <w:r w:rsidRPr="0096026B">
              <w:rPr>
                <w:b/>
              </w:rPr>
              <w:t>Standards</w:t>
            </w:r>
          </w:p>
        </w:tc>
        <w:tc>
          <w:tcPr>
            <w:tcW w:w="1266" w:type="dxa"/>
            <w:tcBorders>
              <w:top w:val="nil"/>
              <w:bottom w:val="nil"/>
            </w:tcBorders>
            <w:shd w:val="clear" w:color="auto" w:fill="D9D9D9" w:themeFill="background1" w:themeFillShade="D9"/>
          </w:tcPr>
          <w:p w:rsidR="000B2566" w:rsidRPr="0096026B" w:rsidRDefault="000B2566" w:rsidP="0096026B">
            <w:pPr>
              <w:pStyle w:val="TableText"/>
              <w:jc w:val="center"/>
              <w:rPr>
                <w:b/>
              </w:rPr>
            </w:pPr>
            <w:r w:rsidRPr="0096026B">
              <w:rPr>
                <w:b/>
              </w:rPr>
              <w:t>2016/17</w:t>
            </w:r>
          </w:p>
        </w:tc>
        <w:tc>
          <w:tcPr>
            <w:tcW w:w="1266" w:type="dxa"/>
            <w:tcBorders>
              <w:top w:val="nil"/>
              <w:bottom w:val="nil"/>
            </w:tcBorders>
            <w:shd w:val="clear" w:color="auto" w:fill="D9D9D9" w:themeFill="background1" w:themeFillShade="D9"/>
          </w:tcPr>
          <w:p w:rsidR="000B2566" w:rsidRPr="0096026B" w:rsidRDefault="000B2566" w:rsidP="0096026B">
            <w:pPr>
              <w:pStyle w:val="TableText"/>
              <w:jc w:val="center"/>
              <w:rPr>
                <w:b/>
              </w:rPr>
            </w:pPr>
            <w:r w:rsidRPr="0096026B">
              <w:rPr>
                <w:b/>
              </w:rPr>
              <w:t>2017/18</w:t>
            </w:r>
          </w:p>
        </w:tc>
        <w:tc>
          <w:tcPr>
            <w:tcW w:w="1266" w:type="dxa"/>
            <w:tcBorders>
              <w:top w:val="nil"/>
              <w:bottom w:val="nil"/>
            </w:tcBorders>
            <w:shd w:val="clear" w:color="auto" w:fill="D9D9D9" w:themeFill="background1" w:themeFillShade="D9"/>
          </w:tcPr>
          <w:p w:rsidR="000B2566" w:rsidRPr="0096026B" w:rsidRDefault="000B2566" w:rsidP="0096026B">
            <w:pPr>
              <w:pStyle w:val="TableText"/>
              <w:jc w:val="center"/>
              <w:rPr>
                <w:b/>
              </w:rPr>
            </w:pPr>
            <w:r w:rsidRPr="0096026B">
              <w:rPr>
                <w:b/>
              </w:rPr>
              <w:t>Difference</w:t>
            </w:r>
          </w:p>
        </w:tc>
      </w:tr>
      <w:tr w:rsidR="000B2566" w:rsidRPr="009238B5" w:rsidTr="0096026B">
        <w:trPr>
          <w:cantSplit/>
        </w:trPr>
        <w:tc>
          <w:tcPr>
            <w:tcW w:w="1891" w:type="dxa"/>
            <w:tcBorders>
              <w:top w:val="nil"/>
            </w:tcBorders>
            <w:shd w:val="clear" w:color="auto" w:fill="auto"/>
          </w:tcPr>
          <w:p w:rsidR="000B2566" w:rsidRPr="00943F7F" w:rsidRDefault="000B2566" w:rsidP="0096026B">
            <w:pPr>
              <w:pStyle w:val="TableText"/>
            </w:pPr>
            <w:r w:rsidRPr="00943F7F">
              <w:t>Bacteriological</w:t>
            </w:r>
          </w:p>
        </w:tc>
        <w:tc>
          <w:tcPr>
            <w:tcW w:w="1266" w:type="dxa"/>
            <w:tcBorders>
              <w:top w:val="nil"/>
            </w:tcBorders>
            <w:shd w:val="clear" w:color="auto" w:fill="auto"/>
          </w:tcPr>
          <w:p w:rsidR="000B2566" w:rsidRPr="00943F7F" w:rsidRDefault="000B2566" w:rsidP="0096026B">
            <w:pPr>
              <w:pStyle w:val="TableText"/>
              <w:jc w:val="center"/>
            </w:pPr>
            <w:r w:rsidRPr="00943F7F">
              <w:t>96.2</w:t>
            </w:r>
            <w:r w:rsidR="0096026B">
              <w:t>%</w:t>
            </w:r>
          </w:p>
        </w:tc>
        <w:tc>
          <w:tcPr>
            <w:tcW w:w="1266" w:type="dxa"/>
            <w:tcBorders>
              <w:top w:val="nil"/>
            </w:tcBorders>
            <w:shd w:val="clear" w:color="auto" w:fill="auto"/>
          </w:tcPr>
          <w:p w:rsidR="000B2566" w:rsidRPr="00943F7F" w:rsidRDefault="000B2566" w:rsidP="0096026B">
            <w:pPr>
              <w:pStyle w:val="TableText"/>
              <w:jc w:val="center"/>
            </w:pPr>
            <w:r w:rsidRPr="00943F7F">
              <w:t>97.7</w:t>
            </w:r>
            <w:r w:rsidR="0096026B">
              <w:t>%</w:t>
            </w:r>
          </w:p>
        </w:tc>
        <w:tc>
          <w:tcPr>
            <w:tcW w:w="1266" w:type="dxa"/>
            <w:tcBorders>
              <w:top w:val="nil"/>
            </w:tcBorders>
            <w:shd w:val="clear" w:color="auto" w:fill="auto"/>
          </w:tcPr>
          <w:p w:rsidR="000B2566" w:rsidRPr="00943F7F" w:rsidRDefault="000B2566" w:rsidP="0096026B">
            <w:pPr>
              <w:pStyle w:val="TableText"/>
              <w:jc w:val="center"/>
            </w:pPr>
            <w:r w:rsidRPr="00943F7F">
              <w:t>+1.5</w:t>
            </w:r>
            <w:r w:rsidR="0096026B">
              <w:t>%</w:t>
            </w:r>
          </w:p>
        </w:tc>
      </w:tr>
      <w:tr w:rsidR="000B2566" w:rsidRPr="009238B5" w:rsidTr="0096026B">
        <w:trPr>
          <w:cantSplit/>
        </w:trPr>
        <w:tc>
          <w:tcPr>
            <w:tcW w:w="1891" w:type="dxa"/>
            <w:shd w:val="clear" w:color="auto" w:fill="auto"/>
          </w:tcPr>
          <w:p w:rsidR="000B2566" w:rsidRPr="00943F7F" w:rsidRDefault="000B2566" w:rsidP="0096026B">
            <w:pPr>
              <w:pStyle w:val="TableText"/>
            </w:pPr>
            <w:r w:rsidRPr="00943F7F">
              <w:t>Protozoal</w:t>
            </w:r>
          </w:p>
        </w:tc>
        <w:tc>
          <w:tcPr>
            <w:tcW w:w="1266" w:type="dxa"/>
            <w:shd w:val="clear" w:color="auto" w:fill="auto"/>
          </w:tcPr>
          <w:p w:rsidR="000B2566" w:rsidRPr="00943F7F" w:rsidRDefault="000B2566" w:rsidP="0096026B">
            <w:pPr>
              <w:pStyle w:val="TableText"/>
              <w:jc w:val="center"/>
            </w:pPr>
            <w:r w:rsidRPr="00943F7F">
              <w:t>83.1</w:t>
            </w:r>
            <w:r w:rsidR="0096026B">
              <w:t>%</w:t>
            </w:r>
          </w:p>
        </w:tc>
        <w:tc>
          <w:tcPr>
            <w:tcW w:w="1266" w:type="dxa"/>
            <w:shd w:val="clear" w:color="auto" w:fill="auto"/>
          </w:tcPr>
          <w:p w:rsidR="000B2566" w:rsidRPr="00943F7F" w:rsidRDefault="000B2566" w:rsidP="0096026B">
            <w:pPr>
              <w:pStyle w:val="TableText"/>
              <w:jc w:val="center"/>
            </w:pPr>
            <w:r w:rsidRPr="00943F7F">
              <w:t>74.8</w:t>
            </w:r>
            <w:r w:rsidR="0096026B">
              <w:t>%</w:t>
            </w:r>
          </w:p>
        </w:tc>
        <w:tc>
          <w:tcPr>
            <w:tcW w:w="1266" w:type="dxa"/>
            <w:shd w:val="clear" w:color="auto" w:fill="auto"/>
          </w:tcPr>
          <w:p w:rsidR="000B2566" w:rsidRPr="00943F7F" w:rsidRDefault="000B2566" w:rsidP="0096026B">
            <w:pPr>
              <w:pStyle w:val="TableText"/>
              <w:jc w:val="center"/>
            </w:pPr>
            <w:r w:rsidRPr="00943F7F">
              <w:t>-8.3</w:t>
            </w:r>
            <w:r w:rsidR="0096026B">
              <w:t>%</w:t>
            </w:r>
          </w:p>
        </w:tc>
      </w:tr>
      <w:tr w:rsidR="000B2566" w:rsidRPr="009238B5" w:rsidTr="0096026B">
        <w:trPr>
          <w:cantSplit/>
        </w:trPr>
        <w:tc>
          <w:tcPr>
            <w:tcW w:w="1891" w:type="dxa"/>
            <w:shd w:val="clear" w:color="auto" w:fill="auto"/>
          </w:tcPr>
          <w:p w:rsidR="000B2566" w:rsidRPr="00943F7F" w:rsidRDefault="000B2566" w:rsidP="0096026B">
            <w:pPr>
              <w:pStyle w:val="TableText"/>
            </w:pPr>
            <w:r w:rsidRPr="00943F7F">
              <w:t>Chemical</w:t>
            </w:r>
          </w:p>
        </w:tc>
        <w:tc>
          <w:tcPr>
            <w:tcW w:w="1266" w:type="dxa"/>
            <w:shd w:val="clear" w:color="auto" w:fill="auto"/>
          </w:tcPr>
          <w:p w:rsidR="000B2566" w:rsidRPr="00943F7F" w:rsidRDefault="000B2566" w:rsidP="0096026B">
            <w:pPr>
              <w:pStyle w:val="TableText"/>
              <w:jc w:val="center"/>
            </w:pPr>
            <w:r w:rsidRPr="00943F7F">
              <w:t>97.2</w:t>
            </w:r>
            <w:r w:rsidR="0096026B">
              <w:t>%</w:t>
            </w:r>
          </w:p>
        </w:tc>
        <w:tc>
          <w:tcPr>
            <w:tcW w:w="1266" w:type="dxa"/>
            <w:shd w:val="clear" w:color="auto" w:fill="auto"/>
          </w:tcPr>
          <w:p w:rsidR="000B2566" w:rsidRPr="00943F7F" w:rsidRDefault="000B2566" w:rsidP="0096026B">
            <w:pPr>
              <w:pStyle w:val="TableText"/>
              <w:jc w:val="center"/>
            </w:pPr>
            <w:r w:rsidRPr="00943F7F">
              <w:t>98.9</w:t>
            </w:r>
            <w:r w:rsidR="0096026B">
              <w:t>%</w:t>
            </w:r>
          </w:p>
        </w:tc>
        <w:tc>
          <w:tcPr>
            <w:tcW w:w="1266" w:type="dxa"/>
            <w:shd w:val="clear" w:color="auto" w:fill="auto"/>
          </w:tcPr>
          <w:p w:rsidR="000B2566" w:rsidRPr="00943F7F" w:rsidRDefault="000B2566" w:rsidP="0096026B">
            <w:pPr>
              <w:pStyle w:val="TableText"/>
              <w:jc w:val="center"/>
            </w:pPr>
            <w:r w:rsidRPr="00943F7F">
              <w:t>1.7</w:t>
            </w:r>
            <w:r w:rsidR="0096026B">
              <w:t>%</w:t>
            </w:r>
          </w:p>
        </w:tc>
      </w:tr>
      <w:tr w:rsidR="000B2566" w:rsidRPr="008716F0" w:rsidTr="0096026B">
        <w:trPr>
          <w:cantSplit/>
        </w:trPr>
        <w:tc>
          <w:tcPr>
            <w:tcW w:w="1891" w:type="dxa"/>
            <w:shd w:val="clear" w:color="auto" w:fill="auto"/>
          </w:tcPr>
          <w:p w:rsidR="000B2566" w:rsidRPr="008716F0" w:rsidRDefault="000B2566" w:rsidP="0096026B">
            <w:pPr>
              <w:pStyle w:val="TableText"/>
              <w:rPr>
                <w:b/>
              </w:rPr>
            </w:pPr>
            <w:r w:rsidRPr="008716F0">
              <w:rPr>
                <w:b/>
              </w:rPr>
              <w:t>Overall</w:t>
            </w:r>
          </w:p>
        </w:tc>
        <w:tc>
          <w:tcPr>
            <w:tcW w:w="1266" w:type="dxa"/>
            <w:shd w:val="clear" w:color="auto" w:fill="auto"/>
          </w:tcPr>
          <w:p w:rsidR="000B2566" w:rsidRPr="008716F0" w:rsidRDefault="000B2566" w:rsidP="0096026B">
            <w:pPr>
              <w:pStyle w:val="TableText"/>
              <w:jc w:val="center"/>
              <w:rPr>
                <w:b/>
              </w:rPr>
            </w:pPr>
            <w:r w:rsidRPr="008716F0">
              <w:rPr>
                <w:b/>
              </w:rPr>
              <w:t>81.1</w:t>
            </w:r>
            <w:r w:rsidR="0096026B" w:rsidRPr="008716F0">
              <w:rPr>
                <w:b/>
              </w:rPr>
              <w:t>%</w:t>
            </w:r>
          </w:p>
        </w:tc>
        <w:tc>
          <w:tcPr>
            <w:tcW w:w="1266" w:type="dxa"/>
            <w:shd w:val="clear" w:color="auto" w:fill="auto"/>
          </w:tcPr>
          <w:p w:rsidR="000B2566" w:rsidRPr="008716F0" w:rsidRDefault="000B2566" w:rsidP="0096026B">
            <w:pPr>
              <w:pStyle w:val="TableText"/>
              <w:jc w:val="center"/>
              <w:rPr>
                <w:b/>
              </w:rPr>
            </w:pPr>
            <w:r w:rsidRPr="008716F0">
              <w:rPr>
                <w:b/>
              </w:rPr>
              <w:t>73.7</w:t>
            </w:r>
            <w:r w:rsidR="0096026B" w:rsidRPr="008716F0">
              <w:rPr>
                <w:b/>
              </w:rPr>
              <w:t>%</w:t>
            </w:r>
          </w:p>
        </w:tc>
        <w:tc>
          <w:tcPr>
            <w:tcW w:w="1266" w:type="dxa"/>
            <w:shd w:val="clear" w:color="auto" w:fill="auto"/>
          </w:tcPr>
          <w:p w:rsidR="000B2566" w:rsidRPr="008716F0" w:rsidRDefault="000B2566" w:rsidP="0096026B">
            <w:pPr>
              <w:pStyle w:val="TableText"/>
              <w:jc w:val="center"/>
              <w:rPr>
                <w:b/>
              </w:rPr>
            </w:pPr>
            <w:r w:rsidRPr="008716F0">
              <w:rPr>
                <w:b/>
              </w:rPr>
              <w:t>-7.4</w:t>
            </w:r>
            <w:r w:rsidR="0096026B" w:rsidRPr="008716F0">
              <w:rPr>
                <w:b/>
              </w:rPr>
              <w:t>%</w:t>
            </w:r>
          </w:p>
        </w:tc>
      </w:tr>
    </w:tbl>
    <w:p w:rsidR="000B2566" w:rsidRPr="009238B5" w:rsidRDefault="000B2566" w:rsidP="00B80746"/>
    <w:p w:rsidR="000B2566" w:rsidRPr="008716F0" w:rsidRDefault="000B2566" w:rsidP="00B80746">
      <w:pPr>
        <w:rPr>
          <w:spacing w:val="-2"/>
        </w:rPr>
      </w:pPr>
      <w:r w:rsidRPr="008716F0">
        <w:rPr>
          <w:spacing w:val="-2"/>
        </w:rPr>
        <w:t>Compared with the previous reporting period, bacteriological achievement increased by 1.5</w:t>
      </w:r>
      <w:r w:rsidR="008716F0">
        <w:rPr>
          <w:spacing w:val="-2"/>
        </w:rPr>
        <w:t> </w:t>
      </w:r>
      <w:r w:rsidRPr="008716F0">
        <w:rPr>
          <w:spacing w:val="-2"/>
        </w:rPr>
        <w:t>percent, protozoal achievement decreased by 8.3 percent and chemical achievement increased by 1.7 percent. The population receiving drinking-water with bacteriological achievement has increased by 44,000 people, the population receiving drinking-water with protozoal achievement has decreased by 301,000 people, and the population receiving drinking-water with chemical achievement has increased by 86,600 people.</w:t>
      </w:r>
    </w:p>
    <w:p w:rsidR="00B80746" w:rsidRPr="009238B5" w:rsidRDefault="00B80746" w:rsidP="00B80746"/>
    <w:p w:rsidR="000B2566" w:rsidRPr="00084F30" w:rsidRDefault="000B2566" w:rsidP="00B80746">
      <w:pPr>
        <w:pStyle w:val="Heading2"/>
      </w:pPr>
      <w:bookmarkStart w:id="62" w:name="_Toc8111278"/>
      <w:bookmarkStart w:id="63" w:name="_Toc10554012"/>
      <w:r w:rsidRPr="00084F30">
        <w:t>Comparison by size category</w:t>
      </w:r>
      <w:bookmarkEnd w:id="62"/>
      <w:bookmarkEnd w:id="63"/>
    </w:p>
    <w:p w:rsidR="000B2566" w:rsidRDefault="000B2566" w:rsidP="00B80746">
      <w:r w:rsidRPr="009238B5">
        <w:t xml:space="preserve">On average, large supplies </w:t>
      </w:r>
      <w:r>
        <w:t>demonstrated</w:t>
      </w:r>
      <w:r w:rsidRPr="009238B5">
        <w:t xml:space="preserve"> a higher level of achievement than smaller supplies. Until the current reporting period, there had been a slight year-on-year increase in the proportion of the report population that received water that fully achieved the Standards.</w:t>
      </w:r>
    </w:p>
    <w:p w:rsidR="00B80746" w:rsidRPr="009238B5" w:rsidRDefault="00B80746" w:rsidP="00B80746"/>
    <w:p w:rsidR="000B2566" w:rsidRPr="009238B5" w:rsidRDefault="000B2566" w:rsidP="00B80746">
      <w:pPr>
        <w:pStyle w:val="Table"/>
      </w:pPr>
      <w:bookmarkStart w:id="64" w:name="_Toc9846297"/>
      <w:r w:rsidRPr="009238B5">
        <w:t xml:space="preserve">Table </w:t>
      </w:r>
      <w:r>
        <w:rPr>
          <w:noProof/>
        </w:rPr>
        <w:t>4</w:t>
      </w:r>
      <w:r w:rsidRPr="009238B5">
        <w:t>: Achievement of Standards</w:t>
      </w:r>
      <w:r>
        <w:t>:</w:t>
      </w:r>
      <w:r w:rsidRPr="009238B5">
        <w:t xml:space="preserve"> large supplies</w:t>
      </w:r>
      <w:bookmarkEnd w:id="64"/>
    </w:p>
    <w:p w:rsidR="000B2566" w:rsidRPr="00943F7F" w:rsidRDefault="000B2566" w:rsidP="008716F0">
      <w:pPr>
        <w:pStyle w:val="TableText"/>
      </w:pPr>
      <w:r w:rsidRPr="00943F7F">
        <w:t>3,221,000 people in 41 supplies</w:t>
      </w:r>
    </w:p>
    <w:tbl>
      <w:tblPr>
        <w:tblW w:w="4931" w:type="pct"/>
        <w:tblInd w:w="57" w:type="dxa"/>
        <w:tblBorders>
          <w:bottom w:val="single" w:sz="4" w:space="0" w:color="A6A6A6" w:themeColor="background1" w:themeShade="A6"/>
          <w:insideH w:val="single" w:sz="4" w:space="0" w:color="A6A6A6" w:themeColor="background1" w:themeShade="A6"/>
        </w:tblBorders>
        <w:tblLayout w:type="fixed"/>
        <w:tblCellMar>
          <w:left w:w="57" w:type="dxa"/>
          <w:right w:w="57" w:type="dxa"/>
        </w:tblCellMar>
        <w:tblLook w:val="07E0" w:firstRow="1" w:lastRow="1" w:firstColumn="1" w:lastColumn="1" w:noHBand="1" w:noVBand="1"/>
      </w:tblPr>
      <w:tblGrid>
        <w:gridCol w:w="3275"/>
        <w:gridCol w:w="1564"/>
        <w:gridCol w:w="1564"/>
        <w:gridCol w:w="1565"/>
      </w:tblGrid>
      <w:tr w:rsidR="000B2566" w:rsidRPr="008716F0" w:rsidTr="008716F0">
        <w:trPr>
          <w:cantSplit/>
        </w:trPr>
        <w:tc>
          <w:tcPr>
            <w:tcW w:w="3321" w:type="dxa"/>
            <w:tcBorders>
              <w:top w:val="nil"/>
              <w:bottom w:val="nil"/>
            </w:tcBorders>
            <w:shd w:val="clear" w:color="auto" w:fill="D9D9D9" w:themeFill="background1" w:themeFillShade="D9"/>
            <w:vAlign w:val="bottom"/>
          </w:tcPr>
          <w:p w:rsidR="000B2566" w:rsidRPr="008716F0" w:rsidRDefault="000B2566" w:rsidP="008716F0">
            <w:pPr>
              <w:pStyle w:val="TableText"/>
              <w:rPr>
                <w:b/>
              </w:rPr>
            </w:pPr>
            <w:r w:rsidRPr="008716F0">
              <w:rPr>
                <w:b/>
              </w:rPr>
              <w:t>Description</w:t>
            </w:r>
          </w:p>
        </w:tc>
        <w:tc>
          <w:tcPr>
            <w:tcW w:w="1586" w:type="dxa"/>
            <w:tcBorders>
              <w:top w:val="nil"/>
              <w:bottom w:val="nil"/>
            </w:tcBorders>
            <w:shd w:val="clear" w:color="auto" w:fill="D9D9D9" w:themeFill="background1" w:themeFillShade="D9"/>
            <w:vAlign w:val="bottom"/>
          </w:tcPr>
          <w:p w:rsidR="000B2566" w:rsidRPr="008716F0" w:rsidRDefault="000B2566" w:rsidP="008716F0">
            <w:pPr>
              <w:pStyle w:val="TableText"/>
              <w:jc w:val="center"/>
              <w:rPr>
                <w:b/>
              </w:rPr>
            </w:pPr>
            <w:r w:rsidRPr="008716F0">
              <w:rPr>
                <w:b/>
              </w:rPr>
              <w:t>Population</w:t>
            </w:r>
          </w:p>
        </w:tc>
        <w:tc>
          <w:tcPr>
            <w:tcW w:w="1586" w:type="dxa"/>
            <w:tcBorders>
              <w:top w:val="nil"/>
              <w:bottom w:val="nil"/>
            </w:tcBorders>
            <w:shd w:val="clear" w:color="auto" w:fill="D9D9D9" w:themeFill="background1" w:themeFillShade="D9"/>
            <w:vAlign w:val="bottom"/>
          </w:tcPr>
          <w:p w:rsidR="000B2566" w:rsidRPr="008716F0" w:rsidRDefault="000B2566" w:rsidP="008716F0">
            <w:pPr>
              <w:pStyle w:val="TableText"/>
              <w:jc w:val="center"/>
              <w:rPr>
                <w:b/>
              </w:rPr>
            </w:pPr>
            <w:r w:rsidRPr="008716F0">
              <w:rPr>
                <w:b/>
              </w:rPr>
              <w:t>Percentage</w:t>
            </w:r>
          </w:p>
        </w:tc>
        <w:tc>
          <w:tcPr>
            <w:tcW w:w="1587" w:type="dxa"/>
            <w:tcBorders>
              <w:top w:val="nil"/>
              <w:bottom w:val="nil"/>
            </w:tcBorders>
            <w:shd w:val="clear" w:color="auto" w:fill="D9D9D9" w:themeFill="background1" w:themeFillShade="D9"/>
            <w:vAlign w:val="bottom"/>
          </w:tcPr>
          <w:p w:rsidR="000B2566" w:rsidRPr="008716F0" w:rsidRDefault="000B2566" w:rsidP="008716F0">
            <w:pPr>
              <w:pStyle w:val="TableText"/>
              <w:jc w:val="center"/>
              <w:rPr>
                <w:b/>
              </w:rPr>
            </w:pPr>
            <w:r w:rsidRPr="008716F0">
              <w:rPr>
                <w:b/>
              </w:rPr>
              <w:t>Supplies</w:t>
            </w:r>
          </w:p>
        </w:tc>
      </w:tr>
      <w:tr w:rsidR="000B2566" w:rsidRPr="009238B5" w:rsidTr="008716F0">
        <w:trPr>
          <w:cantSplit/>
        </w:trPr>
        <w:tc>
          <w:tcPr>
            <w:tcW w:w="3321" w:type="dxa"/>
            <w:tcBorders>
              <w:top w:val="nil"/>
            </w:tcBorders>
          </w:tcPr>
          <w:p w:rsidR="000B2566" w:rsidRPr="00943F7F" w:rsidRDefault="000B2566" w:rsidP="008716F0">
            <w:pPr>
              <w:pStyle w:val="TableText"/>
              <w:rPr>
                <w:szCs w:val="24"/>
              </w:rPr>
            </w:pPr>
            <w:r w:rsidRPr="00943F7F">
              <w:rPr>
                <w:szCs w:val="24"/>
              </w:rPr>
              <w:t>Bacteriological achievement</w:t>
            </w:r>
          </w:p>
        </w:tc>
        <w:tc>
          <w:tcPr>
            <w:tcW w:w="1586" w:type="dxa"/>
            <w:tcBorders>
              <w:top w:val="nil"/>
            </w:tcBorders>
          </w:tcPr>
          <w:p w:rsidR="000B2566" w:rsidRPr="00943F7F" w:rsidRDefault="000B2566" w:rsidP="008716F0">
            <w:pPr>
              <w:pStyle w:val="TableText"/>
              <w:jc w:val="center"/>
              <w:rPr>
                <w:szCs w:val="24"/>
              </w:rPr>
            </w:pPr>
            <w:r w:rsidRPr="00943F7F">
              <w:rPr>
                <w:szCs w:val="24"/>
              </w:rPr>
              <w:t>3,060,000</w:t>
            </w:r>
          </w:p>
        </w:tc>
        <w:tc>
          <w:tcPr>
            <w:tcW w:w="1586" w:type="dxa"/>
            <w:tcBorders>
              <w:top w:val="nil"/>
            </w:tcBorders>
          </w:tcPr>
          <w:p w:rsidR="000B2566" w:rsidRPr="00943F7F" w:rsidRDefault="000B2566" w:rsidP="008716F0">
            <w:pPr>
              <w:pStyle w:val="TableText"/>
              <w:jc w:val="center"/>
              <w:rPr>
                <w:szCs w:val="24"/>
              </w:rPr>
            </w:pPr>
            <w:r w:rsidRPr="00943F7F">
              <w:rPr>
                <w:szCs w:val="24"/>
              </w:rPr>
              <w:t>95.0</w:t>
            </w:r>
            <w:r w:rsidR="008716F0">
              <w:rPr>
                <w:szCs w:val="24"/>
              </w:rPr>
              <w:t>%</w:t>
            </w:r>
          </w:p>
        </w:tc>
        <w:tc>
          <w:tcPr>
            <w:tcW w:w="1587" w:type="dxa"/>
            <w:tcBorders>
              <w:top w:val="nil"/>
            </w:tcBorders>
          </w:tcPr>
          <w:p w:rsidR="000B2566" w:rsidRPr="00943F7F" w:rsidRDefault="000B2566" w:rsidP="008716F0">
            <w:pPr>
              <w:pStyle w:val="TableText"/>
              <w:jc w:val="center"/>
              <w:rPr>
                <w:szCs w:val="24"/>
              </w:rPr>
            </w:pPr>
            <w:r w:rsidRPr="00943F7F">
              <w:rPr>
                <w:szCs w:val="24"/>
              </w:rPr>
              <w:t>32</w:t>
            </w:r>
          </w:p>
        </w:tc>
      </w:tr>
      <w:tr w:rsidR="000B2566" w:rsidRPr="009238B5" w:rsidTr="008716F0">
        <w:trPr>
          <w:cantSplit/>
        </w:trPr>
        <w:tc>
          <w:tcPr>
            <w:tcW w:w="3321" w:type="dxa"/>
          </w:tcPr>
          <w:p w:rsidR="000B2566" w:rsidRPr="00943F7F" w:rsidRDefault="000B2566" w:rsidP="008716F0">
            <w:pPr>
              <w:pStyle w:val="TableText"/>
              <w:rPr>
                <w:szCs w:val="24"/>
              </w:rPr>
            </w:pPr>
            <w:r w:rsidRPr="00943F7F">
              <w:rPr>
                <w:szCs w:val="24"/>
              </w:rPr>
              <w:t>Protozoal achievement</w:t>
            </w:r>
          </w:p>
        </w:tc>
        <w:tc>
          <w:tcPr>
            <w:tcW w:w="1586" w:type="dxa"/>
          </w:tcPr>
          <w:p w:rsidR="000B2566" w:rsidRPr="00943F7F" w:rsidRDefault="000B2566" w:rsidP="008716F0">
            <w:pPr>
              <w:pStyle w:val="TableText"/>
              <w:jc w:val="center"/>
              <w:rPr>
                <w:szCs w:val="24"/>
              </w:rPr>
            </w:pPr>
            <w:r w:rsidRPr="00943F7F">
              <w:rPr>
                <w:szCs w:val="24"/>
              </w:rPr>
              <w:t>2,570,000</w:t>
            </w:r>
          </w:p>
        </w:tc>
        <w:tc>
          <w:tcPr>
            <w:tcW w:w="1586" w:type="dxa"/>
          </w:tcPr>
          <w:p w:rsidR="000B2566" w:rsidRPr="00943F7F" w:rsidRDefault="000B2566" w:rsidP="008716F0">
            <w:pPr>
              <w:pStyle w:val="TableText"/>
              <w:jc w:val="center"/>
              <w:rPr>
                <w:szCs w:val="24"/>
              </w:rPr>
            </w:pPr>
            <w:r w:rsidRPr="00943F7F">
              <w:rPr>
                <w:szCs w:val="24"/>
              </w:rPr>
              <w:t>79.8</w:t>
            </w:r>
            <w:r w:rsidR="008716F0">
              <w:rPr>
                <w:szCs w:val="24"/>
              </w:rPr>
              <w:t>%</w:t>
            </w:r>
          </w:p>
        </w:tc>
        <w:tc>
          <w:tcPr>
            <w:tcW w:w="1587" w:type="dxa"/>
          </w:tcPr>
          <w:p w:rsidR="000B2566" w:rsidRPr="00943F7F" w:rsidRDefault="000B2566" w:rsidP="008716F0">
            <w:pPr>
              <w:pStyle w:val="TableText"/>
              <w:jc w:val="center"/>
              <w:rPr>
                <w:szCs w:val="24"/>
              </w:rPr>
            </w:pPr>
            <w:r w:rsidRPr="00943F7F">
              <w:rPr>
                <w:szCs w:val="24"/>
              </w:rPr>
              <w:t>27</w:t>
            </w:r>
          </w:p>
        </w:tc>
      </w:tr>
      <w:tr w:rsidR="000B2566" w:rsidRPr="009238B5" w:rsidTr="008716F0">
        <w:trPr>
          <w:cantSplit/>
        </w:trPr>
        <w:tc>
          <w:tcPr>
            <w:tcW w:w="3321" w:type="dxa"/>
          </w:tcPr>
          <w:p w:rsidR="000B2566" w:rsidRPr="00943F7F" w:rsidRDefault="000B2566" w:rsidP="008716F0">
            <w:pPr>
              <w:pStyle w:val="TableText"/>
              <w:rPr>
                <w:szCs w:val="24"/>
              </w:rPr>
            </w:pPr>
            <w:r w:rsidRPr="00943F7F">
              <w:rPr>
                <w:szCs w:val="24"/>
              </w:rPr>
              <w:t>Chemical achievement</w:t>
            </w:r>
          </w:p>
        </w:tc>
        <w:tc>
          <w:tcPr>
            <w:tcW w:w="1586" w:type="dxa"/>
          </w:tcPr>
          <w:p w:rsidR="000B2566" w:rsidRPr="00943F7F" w:rsidRDefault="000B2566" w:rsidP="008716F0">
            <w:pPr>
              <w:pStyle w:val="TableText"/>
              <w:jc w:val="center"/>
              <w:rPr>
                <w:szCs w:val="24"/>
              </w:rPr>
            </w:pPr>
            <w:r w:rsidRPr="00943F7F">
              <w:rPr>
                <w:szCs w:val="24"/>
              </w:rPr>
              <w:t>3,221,000</w:t>
            </w:r>
          </w:p>
        </w:tc>
        <w:tc>
          <w:tcPr>
            <w:tcW w:w="1586" w:type="dxa"/>
          </w:tcPr>
          <w:p w:rsidR="000B2566" w:rsidRPr="00943F7F" w:rsidRDefault="000B2566" w:rsidP="008716F0">
            <w:pPr>
              <w:pStyle w:val="TableText"/>
              <w:jc w:val="center"/>
              <w:rPr>
                <w:szCs w:val="24"/>
              </w:rPr>
            </w:pPr>
            <w:r w:rsidRPr="00943F7F">
              <w:rPr>
                <w:szCs w:val="24"/>
              </w:rPr>
              <w:t>100</w:t>
            </w:r>
            <w:r w:rsidR="008716F0">
              <w:rPr>
                <w:szCs w:val="24"/>
              </w:rPr>
              <w:t>%</w:t>
            </w:r>
          </w:p>
        </w:tc>
        <w:tc>
          <w:tcPr>
            <w:tcW w:w="1587" w:type="dxa"/>
          </w:tcPr>
          <w:p w:rsidR="000B2566" w:rsidRPr="00943F7F" w:rsidRDefault="000B2566" w:rsidP="008716F0">
            <w:pPr>
              <w:pStyle w:val="TableText"/>
              <w:jc w:val="center"/>
              <w:rPr>
                <w:szCs w:val="24"/>
              </w:rPr>
            </w:pPr>
            <w:r w:rsidRPr="00943F7F">
              <w:rPr>
                <w:szCs w:val="24"/>
              </w:rPr>
              <w:t>41</w:t>
            </w:r>
          </w:p>
        </w:tc>
      </w:tr>
      <w:tr w:rsidR="000B2566" w:rsidRPr="008716F0" w:rsidTr="008716F0">
        <w:trPr>
          <w:cantSplit/>
        </w:trPr>
        <w:tc>
          <w:tcPr>
            <w:tcW w:w="3321" w:type="dxa"/>
          </w:tcPr>
          <w:p w:rsidR="000B2566" w:rsidRPr="008716F0" w:rsidRDefault="000B2566" w:rsidP="008716F0">
            <w:pPr>
              <w:pStyle w:val="TableText"/>
              <w:rPr>
                <w:b/>
                <w:szCs w:val="24"/>
              </w:rPr>
            </w:pPr>
            <w:r w:rsidRPr="008716F0">
              <w:rPr>
                <w:b/>
                <w:szCs w:val="24"/>
              </w:rPr>
              <w:t>Overall achievement</w:t>
            </w:r>
          </w:p>
        </w:tc>
        <w:tc>
          <w:tcPr>
            <w:tcW w:w="1586" w:type="dxa"/>
          </w:tcPr>
          <w:p w:rsidR="000B2566" w:rsidRPr="008716F0" w:rsidRDefault="000B2566" w:rsidP="008716F0">
            <w:pPr>
              <w:pStyle w:val="TableText"/>
              <w:jc w:val="center"/>
              <w:rPr>
                <w:b/>
                <w:szCs w:val="24"/>
              </w:rPr>
            </w:pPr>
            <w:r w:rsidRPr="008716F0">
              <w:rPr>
                <w:b/>
                <w:szCs w:val="24"/>
              </w:rPr>
              <w:t>2,515,000</w:t>
            </w:r>
          </w:p>
        </w:tc>
        <w:tc>
          <w:tcPr>
            <w:tcW w:w="1586" w:type="dxa"/>
          </w:tcPr>
          <w:p w:rsidR="000B2566" w:rsidRPr="008716F0" w:rsidRDefault="000B2566" w:rsidP="008716F0">
            <w:pPr>
              <w:pStyle w:val="TableText"/>
              <w:jc w:val="center"/>
              <w:rPr>
                <w:b/>
                <w:szCs w:val="24"/>
              </w:rPr>
            </w:pPr>
            <w:r w:rsidRPr="008716F0">
              <w:rPr>
                <w:b/>
                <w:szCs w:val="24"/>
              </w:rPr>
              <w:t>78.1</w:t>
            </w:r>
            <w:r w:rsidR="008716F0">
              <w:rPr>
                <w:b/>
                <w:szCs w:val="24"/>
              </w:rPr>
              <w:t>%</w:t>
            </w:r>
          </w:p>
        </w:tc>
        <w:tc>
          <w:tcPr>
            <w:tcW w:w="1587" w:type="dxa"/>
          </w:tcPr>
          <w:p w:rsidR="000B2566" w:rsidRPr="008716F0" w:rsidRDefault="000B2566" w:rsidP="008716F0">
            <w:pPr>
              <w:pStyle w:val="TableText"/>
              <w:jc w:val="center"/>
              <w:rPr>
                <w:b/>
                <w:szCs w:val="24"/>
              </w:rPr>
            </w:pPr>
            <w:r w:rsidRPr="008716F0">
              <w:rPr>
                <w:b/>
                <w:szCs w:val="24"/>
              </w:rPr>
              <w:t>22</w:t>
            </w:r>
          </w:p>
        </w:tc>
      </w:tr>
    </w:tbl>
    <w:p w:rsidR="000B2566" w:rsidRPr="009238B5" w:rsidRDefault="000B2566" w:rsidP="008716F0"/>
    <w:p w:rsidR="000B2566" w:rsidRPr="009238B5" w:rsidRDefault="000B2566" w:rsidP="00B80746">
      <w:pPr>
        <w:pStyle w:val="Table"/>
      </w:pPr>
      <w:bookmarkStart w:id="65" w:name="_Toc9846298"/>
      <w:r w:rsidRPr="009238B5">
        <w:t xml:space="preserve">Table </w:t>
      </w:r>
      <w:r>
        <w:rPr>
          <w:noProof/>
        </w:rPr>
        <w:t>5</w:t>
      </w:r>
      <w:r w:rsidRPr="009238B5">
        <w:t>: Achievement of Standards</w:t>
      </w:r>
      <w:r>
        <w:t>:</w:t>
      </w:r>
      <w:r w:rsidRPr="009238B5">
        <w:t xml:space="preserve"> medium supplies</w:t>
      </w:r>
      <w:bookmarkEnd w:id="65"/>
    </w:p>
    <w:p w:rsidR="000B2566" w:rsidRPr="00943F7F" w:rsidRDefault="000B2566" w:rsidP="008716F0">
      <w:pPr>
        <w:pStyle w:val="TableText"/>
      </w:pPr>
      <w:r w:rsidRPr="00943F7F">
        <w:t>174,000 people in 25 supplies</w:t>
      </w:r>
    </w:p>
    <w:tbl>
      <w:tblPr>
        <w:tblW w:w="4931" w:type="pct"/>
        <w:tblInd w:w="57" w:type="dxa"/>
        <w:tblBorders>
          <w:bottom w:val="single" w:sz="4" w:space="0" w:color="A6A6A6" w:themeColor="background1" w:themeShade="A6"/>
          <w:insideH w:val="single" w:sz="4" w:space="0" w:color="A6A6A6" w:themeColor="background1" w:themeShade="A6"/>
        </w:tblBorders>
        <w:tblLayout w:type="fixed"/>
        <w:tblCellMar>
          <w:left w:w="57" w:type="dxa"/>
          <w:right w:w="57" w:type="dxa"/>
        </w:tblCellMar>
        <w:tblLook w:val="07E0" w:firstRow="1" w:lastRow="1" w:firstColumn="1" w:lastColumn="1" w:noHBand="1" w:noVBand="1"/>
      </w:tblPr>
      <w:tblGrid>
        <w:gridCol w:w="3275"/>
        <w:gridCol w:w="1564"/>
        <w:gridCol w:w="1564"/>
        <w:gridCol w:w="1565"/>
      </w:tblGrid>
      <w:tr w:rsidR="000B2566" w:rsidRPr="008716F0" w:rsidTr="008716F0">
        <w:trPr>
          <w:cantSplit/>
        </w:trPr>
        <w:tc>
          <w:tcPr>
            <w:tcW w:w="3321" w:type="dxa"/>
            <w:tcBorders>
              <w:top w:val="nil"/>
              <w:bottom w:val="nil"/>
            </w:tcBorders>
            <w:shd w:val="clear" w:color="auto" w:fill="D9D9D9" w:themeFill="background1" w:themeFillShade="D9"/>
          </w:tcPr>
          <w:p w:rsidR="000B2566" w:rsidRPr="008716F0" w:rsidRDefault="000B2566" w:rsidP="008716F0">
            <w:pPr>
              <w:pStyle w:val="TableText"/>
              <w:rPr>
                <w:b/>
              </w:rPr>
            </w:pPr>
            <w:r w:rsidRPr="008716F0">
              <w:rPr>
                <w:b/>
              </w:rPr>
              <w:t>Description</w:t>
            </w:r>
          </w:p>
        </w:tc>
        <w:tc>
          <w:tcPr>
            <w:tcW w:w="1586" w:type="dxa"/>
            <w:tcBorders>
              <w:top w:val="nil"/>
              <w:bottom w:val="nil"/>
            </w:tcBorders>
            <w:shd w:val="clear" w:color="auto" w:fill="D9D9D9" w:themeFill="background1" w:themeFillShade="D9"/>
          </w:tcPr>
          <w:p w:rsidR="000B2566" w:rsidRPr="008716F0" w:rsidRDefault="000B2566" w:rsidP="008716F0">
            <w:pPr>
              <w:pStyle w:val="TableText"/>
              <w:jc w:val="center"/>
              <w:rPr>
                <w:b/>
              </w:rPr>
            </w:pPr>
            <w:r w:rsidRPr="008716F0">
              <w:rPr>
                <w:b/>
              </w:rPr>
              <w:t>Population</w:t>
            </w:r>
          </w:p>
        </w:tc>
        <w:tc>
          <w:tcPr>
            <w:tcW w:w="1586" w:type="dxa"/>
            <w:tcBorders>
              <w:top w:val="nil"/>
              <w:bottom w:val="nil"/>
            </w:tcBorders>
            <w:shd w:val="clear" w:color="auto" w:fill="D9D9D9" w:themeFill="background1" w:themeFillShade="D9"/>
          </w:tcPr>
          <w:p w:rsidR="000B2566" w:rsidRPr="008716F0" w:rsidRDefault="000B2566" w:rsidP="008716F0">
            <w:pPr>
              <w:pStyle w:val="TableText"/>
              <w:jc w:val="center"/>
              <w:rPr>
                <w:b/>
              </w:rPr>
            </w:pPr>
            <w:r w:rsidRPr="008716F0">
              <w:rPr>
                <w:b/>
              </w:rPr>
              <w:t>Percentage</w:t>
            </w:r>
          </w:p>
        </w:tc>
        <w:tc>
          <w:tcPr>
            <w:tcW w:w="1587" w:type="dxa"/>
            <w:tcBorders>
              <w:top w:val="nil"/>
              <w:bottom w:val="nil"/>
            </w:tcBorders>
            <w:shd w:val="clear" w:color="auto" w:fill="D9D9D9" w:themeFill="background1" w:themeFillShade="D9"/>
          </w:tcPr>
          <w:p w:rsidR="000B2566" w:rsidRPr="008716F0" w:rsidRDefault="000B2566" w:rsidP="008716F0">
            <w:pPr>
              <w:pStyle w:val="TableText"/>
              <w:jc w:val="center"/>
              <w:rPr>
                <w:b/>
              </w:rPr>
            </w:pPr>
            <w:r w:rsidRPr="008716F0">
              <w:rPr>
                <w:b/>
              </w:rPr>
              <w:t>Supplies</w:t>
            </w:r>
          </w:p>
        </w:tc>
      </w:tr>
      <w:tr w:rsidR="000B2566" w:rsidRPr="009238B5" w:rsidTr="008716F0">
        <w:trPr>
          <w:cantSplit/>
        </w:trPr>
        <w:tc>
          <w:tcPr>
            <w:tcW w:w="3321" w:type="dxa"/>
            <w:tcBorders>
              <w:top w:val="nil"/>
            </w:tcBorders>
            <w:shd w:val="clear" w:color="auto" w:fill="auto"/>
          </w:tcPr>
          <w:p w:rsidR="000B2566" w:rsidRPr="00943F7F" w:rsidRDefault="000B2566" w:rsidP="008716F0">
            <w:pPr>
              <w:pStyle w:val="TableText"/>
              <w:rPr>
                <w:szCs w:val="24"/>
              </w:rPr>
            </w:pPr>
            <w:r w:rsidRPr="00943F7F">
              <w:rPr>
                <w:szCs w:val="24"/>
              </w:rPr>
              <w:t>Bacteriological achievement</w:t>
            </w:r>
          </w:p>
        </w:tc>
        <w:tc>
          <w:tcPr>
            <w:tcW w:w="1586" w:type="dxa"/>
            <w:tcBorders>
              <w:top w:val="nil"/>
            </w:tcBorders>
            <w:shd w:val="clear" w:color="auto" w:fill="auto"/>
          </w:tcPr>
          <w:p w:rsidR="000B2566" w:rsidRPr="00943F7F" w:rsidRDefault="000B2566" w:rsidP="008716F0">
            <w:pPr>
              <w:pStyle w:val="TableText"/>
              <w:jc w:val="center"/>
              <w:rPr>
                <w:szCs w:val="24"/>
              </w:rPr>
            </w:pPr>
            <w:r w:rsidRPr="00943F7F">
              <w:rPr>
                <w:szCs w:val="24"/>
              </w:rPr>
              <w:t>133,500</w:t>
            </w:r>
          </w:p>
        </w:tc>
        <w:tc>
          <w:tcPr>
            <w:tcW w:w="1586" w:type="dxa"/>
            <w:tcBorders>
              <w:top w:val="nil"/>
            </w:tcBorders>
            <w:shd w:val="clear" w:color="auto" w:fill="auto"/>
          </w:tcPr>
          <w:p w:rsidR="000B2566" w:rsidRPr="00943F7F" w:rsidRDefault="000B2566" w:rsidP="008716F0">
            <w:pPr>
              <w:pStyle w:val="TableText"/>
              <w:jc w:val="center"/>
              <w:rPr>
                <w:szCs w:val="24"/>
              </w:rPr>
            </w:pPr>
            <w:r w:rsidRPr="00943F7F">
              <w:rPr>
                <w:szCs w:val="24"/>
              </w:rPr>
              <w:t>76.8</w:t>
            </w:r>
            <w:r w:rsidR="008716F0">
              <w:rPr>
                <w:szCs w:val="24"/>
              </w:rPr>
              <w:t>%</w:t>
            </w:r>
          </w:p>
        </w:tc>
        <w:tc>
          <w:tcPr>
            <w:tcW w:w="1587" w:type="dxa"/>
            <w:tcBorders>
              <w:top w:val="nil"/>
            </w:tcBorders>
            <w:shd w:val="clear" w:color="auto" w:fill="auto"/>
          </w:tcPr>
          <w:p w:rsidR="000B2566" w:rsidRPr="00943F7F" w:rsidRDefault="000B2566" w:rsidP="008716F0">
            <w:pPr>
              <w:pStyle w:val="TableText"/>
              <w:jc w:val="center"/>
              <w:rPr>
                <w:szCs w:val="24"/>
              </w:rPr>
            </w:pPr>
            <w:r w:rsidRPr="00943F7F">
              <w:rPr>
                <w:szCs w:val="24"/>
              </w:rPr>
              <w:t>18</w:t>
            </w:r>
          </w:p>
        </w:tc>
      </w:tr>
      <w:tr w:rsidR="000B2566" w:rsidRPr="009238B5" w:rsidTr="008716F0">
        <w:trPr>
          <w:cantSplit/>
        </w:trPr>
        <w:tc>
          <w:tcPr>
            <w:tcW w:w="3321" w:type="dxa"/>
            <w:shd w:val="clear" w:color="auto" w:fill="auto"/>
          </w:tcPr>
          <w:p w:rsidR="000B2566" w:rsidRPr="00943F7F" w:rsidRDefault="000B2566" w:rsidP="008716F0">
            <w:pPr>
              <w:pStyle w:val="TableText"/>
              <w:rPr>
                <w:szCs w:val="24"/>
              </w:rPr>
            </w:pPr>
            <w:r w:rsidRPr="00943F7F">
              <w:rPr>
                <w:szCs w:val="24"/>
              </w:rPr>
              <w:t>Protozoal achievement</w:t>
            </w:r>
          </w:p>
        </w:tc>
        <w:tc>
          <w:tcPr>
            <w:tcW w:w="1586" w:type="dxa"/>
            <w:shd w:val="clear" w:color="auto" w:fill="auto"/>
          </w:tcPr>
          <w:p w:rsidR="000B2566" w:rsidRPr="00943F7F" w:rsidRDefault="000B2566" w:rsidP="008716F0">
            <w:pPr>
              <w:pStyle w:val="TableText"/>
              <w:jc w:val="center"/>
              <w:rPr>
                <w:szCs w:val="24"/>
              </w:rPr>
            </w:pPr>
            <w:r w:rsidRPr="00943F7F">
              <w:rPr>
                <w:szCs w:val="24"/>
              </w:rPr>
              <w:t>114,100</w:t>
            </w:r>
          </w:p>
        </w:tc>
        <w:tc>
          <w:tcPr>
            <w:tcW w:w="1586" w:type="dxa"/>
            <w:shd w:val="clear" w:color="auto" w:fill="auto"/>
          </w:tcPr>
          <w:p w:rsidR="000B2566" w:rsidRPr="00943F7F" w:rsidRDefault="000B2566" w:rsidP="008716F0">
            <w:pPr>
              <w:pStyle w:val="TableText"/>
              <w:jc w:val="center"/>
              <w:rPr>
                <w:szCs w:val="24"/>
              </w:rPr>
            </w:pPr>
            <w:r w:rsidRPr="00943F7F">
              <w:rPr>
                <w:szCs w:val="24"/>
              </w:rPr>
              <w:t>65.7</w:t>
            </w:r>
            <w:r w:rsidR="008716F0">
              <w:rPr>
                <w:szCs w:val="24"/>
              </w:rPr>
              <w:t>%</w:t>
            </w:r>
          </w:p>
        </w:tc>
        <w:tc>
          <w:tcPr>
            <w:tcW w:w="1587" w:type="dxa"/>
            <w:shd w:val="clear" w:color="auto" w:fill="auto"/>
          </w:tcPr>
          <w:p w:rsidR="000B2566" w:rsidRPr="00943F7F" w:rsidRDefault="000B2566" w:rsidP="008716F0">
            <w:pPr>
              <w:pStyle w:val="TableText"/>
              <w:jc w:val="center"/>
              <w:rPr>
                <w:szCs w:val="24"/>
              </w:rPr>
            </w:pPr>
            <w:r w:rsidRPr="00943F7F">
              <w:rPr>
                <w:szCs w:val="24"/>
              </w:rPr>
              <w:t>16</w:t>
            </w:r>
          </w:p>
        </w:tc>
      </w:tr>
      <w:tr w:rsidR="000B2566" w:rsidRPr="009238B5" w:rsidTr="008716F0">
        <w:trPr>
          <w:cantSplit/>
        </w:trPr>
        <w:tc>
          <w:tcPr>
            <w:tcW w:w="3321" w:type="dxa"/>
            <w:shd w:val="clear" w:color="auto" w:fill="auto"/>
          </w:tcPr>
          <w:p w:rsidR="000B2566" w:rsidRPr="00943F7F" w:rsidRDefault="000B2566" w:rsidP="008716F0">
            <w:pPr>
              <w:pStyle w:val="TableText"/>
              <w:rPr>
                <w:szCs w:val="24"/>
              </w:rPr>
            </w:pPr>
            <w:r w:rsidRPr="00943F7F">
              <w:rPr>
                <w:szCs w:val="24"/>
              </w:rPr>
              <w:t>Chemical achievement</w:t>
            </w:r>
          </w:p>
        </w:tc>
        <w:tc>
          <w:tcPr>
            <w:tcW w:w="1586" w:type="dxa"/>
            <w:shd w:val="clear" w:color="auto" w:fill="auto"/>
          </w:tcPr>
          <w:p w:rsidR="000B2566" w:rsidRPr="00943F7F" w:rsidRDefault="000B2566" w:rsidP="008716F0">
            <w:pPr>
              <w:pStyle w:val="TableText"/>
              <w:jc w:val="center"/>
              <w:rPr>
                <w:szCs w:val="24"/>
              </w:rPr>
            </w:pPr>
            <w:r w:rsidRPr="00943F7F">
              <w:rPr>
                <w:szCs w:val="24"/>
              </w:rPr>
              <w:t>165,300</w:t>
            </w:r>
          </w:p>
        </w:tc>
        <w:tc>
          <w:tcPr>
            <w:tcW w:w="1586" w:type="dxa"/>
            <w:shd w:val="clear" w:color="auto" w:fill="auto"/>
          </w:tcPr>
          <w:p w:rsidR="000B2566" w:rsidRPr="00943F7F" w:rsidRDefault="000B2566" w:rsidP="008716F0">
            <w:pPr>
              <w:pStyle w:val="TableText"/>
              <w:jc w:val="center"/>
              <w:rPr>
                <w:szCs w:val="24"/>
              </w:rPr>
            </w:pPr>
            <w:r w:rsidRPr="00943F7F">
              <w:rPr>
                <w:szCs w:val="24"/>
              </w:rPr>
              <w:t>95.1</w:t>
            </w:r>
            <w:r w:rsidR="008716F0">
              <w:rPr>
                <w:szCs w:val="24"/>
              </w:rPr>
              <w:t>%</w:t>
            </w:r>
          </w:p>
        </w:tc>
        <w:tc>
          <w:tcPr>
            <w:tcW w:w="1587" w:type="dxa"/>
            <w:shd w:val="clear" w:color="auto" w:fill="auto"/>
          </w:tcPr>
          <w:p w:rsidR="000B2566" w:rsidRPr="00943F7F" w:rsidRDefault="000B2566" w:rsidP="008716F0">
            <w:pPr>
              <w:pStyle w:val="TableText"/>
              <w:jc w:val="center"/>
              <w:rPr>
                <w:szCs w:val="24"/>
              </w:rPr>
            </w:pPr>
            <w:r w:rsidRPr="00943F7F">
              <w:rPr>
                <w:szCs w:val="24"/>
              </w:rPr>
              <w:t>24</w:t>
            </w:r>
          </w:p>
        </w:tc>
      </w:tr>
      <w:tr w:rsidR="000B2566" w:rsidRPr="008716F0" w:rsidTr="008716F0">
        <w:trPr>
          <w:cantSplit/>
        </w:trPr>
        <w:tc>
          <w:tcPr>
            <w:tcW w:w="3321" w:type="dxa"/>
            <w:shd w:val="clear" w:color="auto" w:fill="auto"/>
          </w:tcPr>
          <w:p w:rsidR="000B2566" w:rsidRPr="008716F0" w:rsidRDefault="000B2566" w:rsidP="008716F0">
            <w:pPr>
              <w:pStyle w:val="TableText"/>
              <w:rPr>
                <w:b/>
                <w:szCs w:val="24"/>
              </w:rPr>
            </w:pPr>
            <w:r w:rsidRPr="008716F0">
              <w:rPr>
                <w:b/>
                <w:szCs w:val="24"/>
              </w:rPr>
              <w:t>Overall achievement</w:t>
            </w:r>
          </w:p>
        </w:tc>
        <w:tc>
          <w:tcPr>
            <w:tcW w:w="1586" w:type="dxa"/>
            <w:shd w:val="clear" w:color="auto" w:fill="auto"/>
          </w:tcPr>
          <w:p w:rsidR="000B2566" w:rsidRPr="008716F0" w:rsidRDefault="000B2566" w:rsidP="008716F0">
            <w:pPr>
              <w:pStyle w:val="TableText"/>
              <w:jc w:val="center"/>
              <w:rPr>
                <w:b/>
                <w:szCs w:val="24"/>
              </w:rPr>
            </w:pPr>
            <w:r w:rsidRPr="008716F0">
              <w:rPr>
                <w:b/>
                <w:szCs w:val="24"/>
              </w:rPr>
              <w:t>99,900</w:t>
            </w:r>
          </w:p>
        </w:tc>
        <w:tc>
          <w:tcPr>
            <w:tcW w:w="1586" w:type="dxa"/>
            <w:shd w:val="clear" w:color="auto" w:fill="auto"/>
          </w:tcPr>
          <w:p w:rsidR="000B2566" w:rsidRPr="008716F0" w:rsidRDefault="000B2566" w:rsidP="008716F0">
            <w:pPr>
              <w:pStyle w:val="TableText"/>
              <w:jc w:val="center"/>
              <w:rPr>
                <w:b/>
                <w:szCs w:val="24"/>
              </w:rPr>
            </w:pPr>
            <w:r w:rsidRPr="008716F0">
              <w:rPr>
                <w:b/>
                <w:szCs w:val="24"/>
              </w:rPr>
              <w:t>57.5</w:t>
            </w:r>
            <w:r w:rsidR="008716F0">
              <w:rPr>
                <w:b/>
                <w:szCs w:val="24"/>
              </w:rPr>
              <w:t>%</w:t>
            </w:r>
          </w:p>
        </w:tc>
        <w:tc>
          <w:tcPr>
            <w:tcW w:w="1587" w:type="dxa"/>
            <w:shd w:val="clear" w:color="auto" w:fill="auto"/>
          </w:tcPr>
          <w:p w:rsidR="000B2566" w:rsidRPr="008716F0" w:rsidRDefault="000B2566" w:rsidP="008716F0">
            <w:pPr>
              <w:pStyle w:val="TableText"/>
              <w:jc w:val="center"/>
              <w:rPr>
                <w:b/>
                <w:szCs w:val="24"/>
              </w:rPr>
            </w:pPr>
            <w:r w:rsidRPr="008716F0">
              <w:rPr>
                <w:b/>
                <w:szCs w:val="24"/>
              </w:rPr>
              <w:t>14</w:t>
            </w:r>
          </w:p>
        </w:tc>
      </w:tr>
    </w:tbl>
    <w:p w:rsidR="000B2566" w:rsidRPr="009238B5" w:rsidRDefault="000B2566" w:rsidP="00B80746"/>
    <w:p w:rsidR="000B2566" w:rsidRPr="009238B5" w:rsidRDefault="000B2566" w:rsidP="00B80746">
      <w:pPr>
        <w:pStyle w:val="Table"/>
      </w:pPr>
      <w:bookmarkStart w:id="66" w:name="_Toc8111297"/>
      <w:bookmarkStart w:id="67" w:name="_Toc9846299"/>
      <w:r w:rsidRPr="009238B5">
        <w:lastRenderedPageBreak/>
        <w:t xml:space="preserve">Table </w:t>
      </w:r>
      <w:r>
        <w:rPr>
          <w:noProof/>
        </w:rPr>
        <w:t>6</w:t>
      </w:r>
      <w:r w:rsidRPr="009238B5">
        <w:t>: Achievement of Standards</w:t>
      </w:r>
      <w:r>
        <w:t>:</w:t>
      </w:r>
      <w:r w:rsidRPr="009238B5">
        <w:t xml:space="preserve"> minor supplies</w:t>
      </w:r>
      <w:bookmarkEnd w:id="66"/>
      <w:bookmarkEnd w:id="67"/>
    </w:p>
    <w:p w:rsidR="000B2566" w:rsidRPr="00943F7F" w:rsidRDefault="000B2566" w:rsidP="008716F0">
      <w:pPr>
        <w:pStyle w:val="TableText"/>
      </w:pPr>
      <w:r w:rsidRPr="00943F7F">
        <w:t>386,000 people in 196 supplies</w:t>
      </w:r>
    </w:p>
    <w:tbl>
      <w:tblPr>
        <w:tblW w:w="4931" w:type="pct"/>
        <w:tblInd w:w="57" w:type="dxa"/>
        <w:tblBorders>
          <w:bottom w:val="single" w:sz="4" w:space="0" w:color="A6A6A6" w:themeColor="background1" w:themeShade="A6"/>
          <w:insideH w:val="single" w:sz="4" w:space="0" w:color="A6A6A6" w:themeColor="background1" w:themeShade="A6"/>
        </w:tblBorders>
        <w:tblLayout w:type="fixed"/>
        <w:tblCellMar>
          <w:left w:w="57" w:type="dxa"/>
          <w:right w:w="57" w:type="dxa"/>
        </w:tblCellMar>
        <w:tblLook w:val="07E0" w:firstRow="1" w:lastRow="1" w:firstColumn="1" w:lastColumn="1" w:noHBand="1" w:noVBand="1"/>
      </w:tblPr>
      <w:tblGrid>
        <w:gridCol w:w="3275"/>
        <w:gridCol w:w="1564"/>
        <w:gridCol w:w="1564"/>
        <w:gridCol w:w="1565"/>
      </w:tblGrid>
      <w:tr w:rsidR="000B2566" w:rsidRPr="008716F0" w:rsidTr="008716F0">
        <w:trPr>
          <w:cantSplit/>
        </w:trPr>
        <w:tc>
          <w:tcPr>
            <w:tcW w:w="3321" w:type="dxa"/>
            <w:tcBorders>
              <w:top w:val="nil"/>
              <w:bottom w:val="nil"/>
            </w:tcBorders>
            <w:shd w:val="clear" w:color="auto" w:fill="D9D9D9" w:themeFill="background1" w:themeFillShade="D9"/>
          </w:tcPr>
          <w:p w:rsidR="000B2566" w:rsidRPr="008716F0" w:rsidRDefault="000B2566" w:rsidP="008716F0">
            <w:pPr>
              <w:pStyle w:val="TableText"/>
              <w:rPr>
                <w:b/>
              </w:rPr>
            </w:pPr>
            <w:r w:rsidRPr="008716F0">
              <w:rPr>
                <w:b/>
              </w:rPr>
              <w:t>Description</w:t>
            </w:r>
          </w:p>
        </w:tc>
        <w:tc>
          <w:tcPr>
            <w:tcW w:w="1586" w:type="dxa"/>
            <w:tcBorders>
              <w:top w:val="nil"/>
              <w:bottom w:val="nil"/>
            </w:tcBorders>
            <w:shd w:val="clear" w:color="auto" w:fill="D9D9D9" w:themeFill="background1" w:themeFillShade="D9"/>
          </w:tcPr>
          <w:p w:rsidR="000B2566" w:rsidRPr="008716F0" w:rsidRDefault="000B2566" w:rsidP="008716F0">
            <w:pPr>
              <w:pStyle w:val="TableText"/>
              <w:jc w:val="center"/>
              <w:rPr>
                <w:b/>
              </w:rPr>
            </w:pPr>
            <w:r w:rsidRPr="008716F0">
              <w:rPr>
                <w:b/>
              </w:rPr>
              <w:t>Population</w:t>
            </w:r>
          </w:p>
        </w:tc>
        <w:tc>
          <w:tcPr>
            <w:tcW w:w="1586" w:type="dxa"/>
            <w:tcBorders>
              <w:top w:val="nil"/>
              <w:bottom w:val="nil"/>
            </w:tcBorders>
            <w:shd w:val="clear" w:color="auto" w:fill="D9D9D9" w:themeFill="background1" w:themeFillShade="D9"/>
          </w:tcPr>
          <w:p w:rsidR="000B2566" w:rsidRPr="008716F0" w:rsidRDefault="000B2566" w:rsidP="008716F0">
            <w:pPr>
              <w:pStyle w:val="TableText"/>
              <w:jc w:val="center"/>
              <w:rPr>
                <w:b/>
              </w:rPr>
            </w:pPr>
            <w:r w:rsidRPr="008716F0">
              <w:rPr>
                <w:b/>
              </w:rPr>
              <w:t>Percentage</w:t>
            </w:r>
          </w:p>
        </w:tc>
        <w:tc>
          <w:tcPr>
            <w:tcW w:w="1587" w:type="dxa"/>
            <w:tcBorders>
              <w:top w:val="nil"/>
              <w:bottom w:val="nil"/>
            </w:tcBorders>
            <w:shd w:val="clear" w:color="auto" w:fill="D9D9D9" w:themeFill="background1" w:themeFillShade="D9"/>
          </w:tcPr>
          <w:p w:rsidR="000B2566" w:rsidRPr="008716F0" w:rsidRDefault="000B2566" w:rsidP="008716F0">
            <w:pPr>
              <w:pStyle w:val="TableText"/>
              <w:jc w:val="center"/>
              <w:rPr>
                <w:b/>
              </w:rPr>
            </w:pPr>
            <w:r w:rsidRPr="008716F0">
              <w:rPr>
                <w:b/>
              </w:rPr>
              <w:t>Supplies</w:t>
            </w:r>
          </w:p>
        </w:tc>
      </w:tr>
      <w:tr w:rsidR="000B2566" w:rsidRPr="009238B5" w:rsidTr="008716F0">
        <w:trPr>
          <w:cantSplit/>
        </w:trPr>
        <w:tc>
          <w:tcPr>
            <w:tcW w:w="3321" w:type="dxa"/>
            <w:tcBorders>
              <w:top w:val="nil"/>
            </w:tcBorders>
            <w:shd w:val="clear" w:color="auto" w:fill="auto"/>
          </w:tcPr>
          <w:p w:rsidR="000B2566" w:rsidRPr="00943F7F" w:rsidRDefault="000B2566" w:rsidP="008716F0">
            <w:pPr>
              <w:pStyle w:val="TableText"/>
              <w:rPr>
                <w:szCs w:val="24"/>
              </w:rPr>
            </w:pPr>
            <w:r w:rsidRPr="00943F7F">
              <w:rPr>
                <w:szCs w:val="24"/>
              </w:rPr>
              <w:t>Bacteriological achievement</w:t>
            </w:r>
          </w:p>
        </w:tc>
        <w:tc>
          <w:tcPr>
            <w:tcW w:w="1586" w:type="dxa"/>
            <w:tcBorders>
              <w:top w:val="nil"/>
            </w:tcBorders>
            <w:shd w:val="clear" w:color="auto" w:fill="auto"/>
          </w:tcPr>
          <w:p w:rsidR="000B2566" w:rsidRPr="00943F7F" w:rsidRDefault="000B2566" w:rsidP="008716F0">
            <w:pPr>
              <w:pStyle w:val="TableText"/>
              <w:jc w:val="center"/>
              <w:rPr>
                <w:szCs w:val="24"/>
              </w:rPr>
            </w:pPr>
            <w:r w:rsidRPr="00943F7F">
              <w:rPr>
                <w:szCs w:val="24"/>
              </w:rPr>
              <w:t>290,000</w:t>
            </w:r>
          </w:p>
        </w:tc>
        <w:tc>
          <w:tcPr>
            <w:tcW w:w="1586" w:type="dxa"/>
            <w:tcBorders>
              <w:top w:val="nil"/>
            </w:tcBorders>
            <w:shd w:val="clear" w:color="auto" w:fill="auto"/>
          </w:tcPr>
          <w:p w:rsidR="000B2566" w:rsidRPr="00943F7F" w:rsidRDefault="000B2566" w:rsidP="008716F0">
            <w:pPr>
              <w:pStyle w:val="TableText"/>
              <w:jc w:val="center"/>
              <w:rPr>
                <w:szCs w:val="24"/>
              </w:rPr>
            </w:pPr>
            <w:r w:rsidRPr="00943F7F">
              <w:rPr>
                <w:szCs w:val="24"/>
              </w:rPr>
              <w:t>75.1</w:t>
            </w:r>
            <w:r w:rsidR="008716F0">
              <w:rPr>
                <w:szCs w:val="24"/>
              </w:rPr>
              <w:t>%</w:t>
            </w:r>
          </w:p>
        </w:tc>
        <w:tc>
          <w:tcPr>
            <w:tcW w:w="1587" w:type="dxa"/>
            <w:tcBorders>
              <w:top w:val="nil"/>
            </w:tcBorders>
            <w:shd w:val="clear" w:color="auto" w:fill="auto"/>
          </w:tcPr>
          <w:p w:rsidR="000B2566" w:rsidRPr="00943F7F" w:rsidRDefault="000B2566" w:rsidP="008716F0">
            <w:pPr>
              <w:pStyle w:val="TableText"/>
              <w:jc w:val="center"/>
              <w:rPr>
                <w:szCs w:val="24"/>
              </w:rPr>
            </w:pPr>
            <w:r w:rsidRPr="00943F7F">
              <w:rPr>
                <w:szCs w:val="24"/>
              </w:rPr>
              <w:t>141</w:t>
            </w:r>
          </w:p>
        </w:tc>
      </w:tr>
      <w:tr w:rsidR="000B2566" w:rsidRPr="009238B5" w:rsidTr="008716F0">
        <w:trPr>
          <w:cantSplit/>
        </w:trPr>
        <w:tc>
          <w:tcPr>
            <w:tcW w:w="3321" w:type="dxa"/>
            <w:shd w:val="clear" w:color="auto" w:fill="auto"/>
          </w:tcPr>
          <w:p w:rsidR="000B2566" w:rsidRPr="00943F7F" w:rsidRDefault="000B2566" w:rsidP="008716F0">
            <w:pPr>
              <w:pStyle w:val="TableText"/>
              <w:rPr>
                <w:szCs w:val="24"/>
              </w:rPr>
            </w:pPr>
            <w:r w:rsidRPr="00943F7F">
              <w:rPr>
                <w:szCs w:val="24"/>
              </w:rPr>
              <w:t>Protozoal achievement</w:t>
            </w:r>
          </w:p>
        </w:tc>
        <w:tc>
          <w:tcPr>
            <w:tcW w:w="1586" w:type="dxa"/>
            <w:shd w:val="clear" w:color="auto" w:fill="auto"/>
          </w:tcPr>
          <w:p w:rsidR="000B2566" w:rsidRPr="00943F7F" w:rsidRDefault="000B2566" w:rsidP="008716F0">
            <w:pPr>
              <w:pStyle w:val="TableText"/>
              <w:jc w:val="center"/>
              <w:rPr>
                <w:szCs w:val="24"/>
              </w:rPr>
            </w:pPr>
            <w:r w:rsidRPr="00943F7F">
              <w:rPr>
                <w:szCs w:val="24"/>
              </w:rPr>
              <w:t>168,000</w:t>
            </w:r>
          </w:p>
        </w:tc>
        <w:tc>
          <w:tcPr>
            <w:tcW w:w="1586" w:type="dxa"/>
            <w:shd w:val="clear" w:color="auto" w:fill="auto"/>
          </w:tcPr>
          <w:p w:rsidR="000B2566" w:rsidRPr="00943F7F" w:rsidRDefault="000B2566" w:rsidP="008716F0">
            <w:pPr>
              <w:pStyle w:val="TableText"/>
              <w:jc w:val="center"/>
              <w:rPr>
                <w:szCs w:val="24"/>
              </w:rPr>
            </w:pPr>
            <w:r w:rsidRPr="00943F7F">
              <w:rPr>
                <w:szCs w:val="24"/>
              </w:rPr>
              <w:t>43.4</w:t>
            </w:r>
            <w:r w:rsidR="008716F0">
              <w:rPr>
                <w:szCs w:val="24"/>
              </w:rPr>
              <w:t>%</w:t>
            </w:r>
          </w:p>
        </w:tc>
        <w:tc>
          <w:tcPr>
            <w:tcW w:w="1587" w:type="dxa"/>
            <w:shd w:val="clear" w:color="auto" w:fill="auto"/>
          </w:tcPr>
          <w:p w:rsidR="000B2566" w:rsidRPr="00943F7F" w:rsidRDefault="000B2566" w:rsidP="008716F0">
            <w:pPr>
              <w:pStyle w:val="TableText"/>
              <w:jc w:val="center"/>
              <w:rPr>
                <w:szCs w:val="24"/>
              </w:rPr>
            </w:pPr>
            <w:r w:rsidRPr="00943F7F">
              <w:rPr>
                <w:szCs w:val="24"/>
              </w:rPr>
              <w:t>74</w:t>
            </w:r>
          </w:p>
        </w:tc>
      </w:tr>
      <w:tr w:rsidR="000B2566" w:rsidRPr="009238B5" w:rsidTr="008716F0">
        <w:trPr>
          <w:cantSplit/>
        </w:trPr>
        <w:tc>
          <w:tcPr>
            <w:tcW w:w="3321" w:type="dxa"/>
            <w:shd w:val="clear" w:color="auto" w:fill="auto"/>
          </w:tcPr>
          <w:p w:rsidR="000B2566" w:rsidRPr="00943F7F" w:rsidRDefault="000B2566" w:rsidP="008716F0">
            <w:pPr>
              <w:pStyle w:val="TableText"/>
              <w:rPr>
                <w:szCs w:val="24"/>
              </w:rPr>
            </w:pPr>
            <w:r w:rsidRPr="00943F7F">
              <w:rPr>
                <w:szCs w:val="24"/>
              </w:rPr>
              <w:t>Chemical achievement</w:t>
            </w:r>
          </w:p>
        </w:tc>
        <w:tc>
          <w:tcPr>
            <w:tcW w:w="1586" w:type="dxa"/>
            <w:shd w:val="clear" w:color="auto" w:fill="auto"/>
          </w:tcPr>
          <w:p w:rsidR="000B2566" w:rsidRPr="00943F7F" w:rsidRDefault="000B2566" w:rsidP="008716F0">
            <w:pPr>
              <w:pStyle w:val="TableText"/>
              <w:jc w:val="center"/>
              <w:rPr>
                <w:szCs w:val="24"/>
              </w:rPr>
            </w:pPr>
            <w:r w:rsidRPr="00943F7F">
              <w:rPr>
                <w:szCs w:val="24"/>
              </w:rPr>
              <w:t>352,000</w:t>
            </w:r>
          </w:p>
        </w:tc>
        <w:tc>
          <w:tcPr>
            <w:tcW w:w="1586" w:type="dxa"/>
            <w:shd w:val="clear" w:color="auto" w:fill="auto"/>
          </w:tcPr>
          <w:p w:rsidR="000B2566" w:rsidRPr="00943F7F" w:rsidRDefault="000B2566" w:rsidP="008716F0">
            <w:pPr>
              <w:pStyle w:val="TableText"/>
              <w:jc w:val="center"/>
              <w:rPr>
                <w:szCs w:val="24"/>
              </w:rPr>
            </w:pPr>
            <w:r w:rsidRPr="00943F7F">
              <w:rPr>
                <w:szCs w:val="24"/>
              </w:rPr>
              <w:t>91.3</w:t>
            </w:r>
            <w:r w:rsidR="008716F0">
              <w:rPr>
                <w:szCs w:val="24"/>
              </w:rPr>
              <w:t>%</w:t>
            </w:r>
          </w:p>
        </w:tc>
        <w:tc>
          <w:tcPr>
            <w:tcW w:w="1587" w:type="dxa"/>
            <w:shd w:val="clear" w:color="auto" w:fill="auto"/>
          </w:tcPr>
          <w:p w:rsidR="000B2566" w:rsidRPr="00943F7F" w:rsidRDefault="000B2566" w:rsidP="008716F0">
            <w:pPr>
              <w:pStyle w:val="TableText"/>
              <w:jc w:val="center"/>
              <w:rPr>
                <w:szCs w:val="24"/>
              </w:rPr>
            </w:pPr>
            <w:r w:rsidRPr="00943F7F">
              <w:rPr>
                <w:szCs w:val="24"/>
              </w:rPr>
              <w:t>179</w:t>
            </w:r>
          </w:p>
        </w:tc>
      </w:tr>
      <w:tr w:rsidR="000B2566" w:rsidRPr="008716F0" w:rsidTr="008716F0">
        <w:trPr>
          <w:cantSplit/>
        </w:trPr>
        <w:tc>
          <w:tcPr>
            <w:tcW w:w="3321" w:type="dxa"/>
            <w:shd w:val="clear" w:color="auto" w:fill="auto"/>
          </w:tcPr>
          <w:p w:rsidR="000B2566" w:rsidRPr="008716F0" w:rsidRDefault="000B2566" w:rsidP="008716F0">
            <w:pPr>
              <w:pStyle w:val="TableText"/>
              <w:rPr>
                <w:b/>
                <w:szCs w:val="24"/>
              </w:rPr>
            </w:pPr>
            <w:r w:rsidRPr="008716F0">
              <w:rPr>
                <w:b/>
                <w:szCs w:val="24"/>
              </w:rPr>
              <w:t>Overall achievement</w:t>
            </w:r>
          </w:p>
        </w:tc>
        <w:tc>
          <w:tcPr>
            <w:tcW w:w="1586" w:type="dxa"/>
            <w:shd w:val="clear" w:color="auto" w:fill="auto"/>
          </w:tcPr>
          <w:p w:rsidR="000B2566" w:rsidRPr="008716F0" w:rsidRDefault="000B2566" w:rsidP="008716F0">
            <w:pPr>
              <w:pStyle w:val="TableText"/>
              <w:jc w:val="center"/>
              <w:rPr>
                <w:b/>
                <w:szCs w:val="24"/>
              </w:rPr>
            </w:pPr>
            <w:r w:rsidRPr="008716F0">
              <w:rPr>
                <w:b/>
                <w:szCs w:val="24"/>
              </w:rPr>
              <w:t>157,000</w:t>
            </w:r>
          </w:p>
        </w:tc>
        <w:tc>
          <w:tcPr>
            <w:tcW w:w="1586" w:type="dxa"/>
            <w:shd w:val="clear" w:color="auto" w:fill="auto"/>
          </w:tcPr>
          <w:p w:rsidR="000B2566" w:rsidRPr="008716F0" w:rsidRDefault="000B2566" w:rsidP="008716F0">
            <w:pPr>
              <w:pStyle w:val="TableText"/>
              <w:jc w:val="center"/>
              <w:rPr>
                <w:b/>
                <w:szCs w:val="24"/>
              </w:rPr>
            </w:pPr>
            <w:r w:rsidRPr="008716F0">
              <w:rPr>
                <w:b/>
                <w:szCs w:val="24"/>
              </w:rPr>
              <w:t>40.8</w:t>
            </w:r>
            <w:r w:rsidR="008716F0">
              <w:rPr>
                <w:b/>
                <w:szCs w:val="24"/>
              </w:rPr>
              <w:t>%</w:t>
            </w:r>
          </w:p>
        </w:tc>
        <w:tc>
          <w:tcPr>
            <w:tcW w:w="1587" w:type="dxa"/>
            <w:shd w:val="clear" w:color="auto" w:fill="auto"/>
          </w:tcPr>
          <w:p w:rsidR="000B2566" w:rsidRPr="008716F0" w:rsidRDefault="000B2566" w:rsidP="008716F0">
            <w:pPr>
              <w:pStyle w:val="TableText"/>
              <w:jc w:val="center"/>
              <w:rPr>
                <w:b/>
                <w:szCs w:val="24"/>
              </w:rPr>
            </w:pPr>
            <w:r w:rsidRPr="008716F0">
              <w:rPr>
                <w:b/>
                <w:szCs w:val="24"/>
              </w:rPr>
              <w:t>70</w:t>
            </w:r>
          </w:p>
        </w:tc>
      </w:tr>
    </w:tbl>
    <w:p w:rsidR="000B2566" w:rsidRPr="009238B5" w:rsidRDefault="000B2566" w:rsidP="008716F0"/>
    <w:p w:rsidR="000B2566" w:rsidRPr="009238B5" w:rsidRDefault="000B2566" w:rsidP="00B80746">
      <w:pPr>
        <w:pStyle w:val="Table"/>
      </w:pPr>
      <w:bookmarkStart w:id="68" w:name="_Toc8111298"/>
      <w:bookmarkStart w:id="69" w:name="_Toc9846300"/>
      <w:r w:rsidRPr="009238B5">
        <w:t xml:space="preserve">Table </w:t>
      </w:r>
      <w:r>
        <w:rPr>
          <w:noProof/>
        </w:rPr>
        <w:t>7</w:t>
      </w:r>
      <w:r w:rsidRPr="009238B5">
        <w:t>: Achievement of Standards</w:t>
      </w:r>
      <w:r>
        <w:t>:</w:t>
      </w:r>
      <w:r w:rsidRPr="009238B5">
        <w:t xml:space="preserve"> small supplies</w:t>
      </w:r>
      <w:bookmarkEnd w:id="68"/>
      <w:bookmarkEnd w:id="69"/>
    </w:p>
    <w:p w:rsidR="000B2566" w:rsidRPr="00943F7F" w:rsidRDefault="000B2566" w:rsidP="008716F0">
      <w:pPr>
        <w:pStyle w:val="TableText"/>
      </w:pPr>
      <w:r w:rsidRPr="00943F7F">
        <w:t>57,800 people in 231 supplies</w:t>
      </w:r>
    </w:p>
    <w:tbl>
      <w:tblPr>
        <w:tblW w:w="4931" w:type="pct"/>
        <w:tblInd w:w="57" w:type="dxa"/>
        <w:tblBorders>
          <w:bottom w:val="single" w:sz="4" w:space="0" w:color="A6A6A6" w:themeColor="background1" w:themeShade="A6"/>
          <w:insideH w:val="single" w:sz="4" w:space="0" w:color="A6A6A6" w:themeColor="background1" w:themeShade="A6"/>
        </w:tblBorders>
        <w:tblLayout w:type="fixed"/>
        <w:tblCellMar>
          <w:left w:w="57" w:type="dxa"/>
          <w:right w:w="57" w:type="dxa"/>
        </w:tblCellMar>
        <w:tblLook w:val="07E0" w:firstRow="1" w:lastRow="1" w:firstColumn="1" w:lastColumn="1" w:noHBand="1" w:noVBand="1"/>
      </w:tblPr>
      <w:tblGrid>
        <w:gridCol w:w="3275"/>
        <w:gridCol w:w="1564"/>
        <w:gridCol w:w="1564"/>
        <w:gridCol w:w="1565"/>
      </w:tblGrid>
      <w:tr w:rsidR="000B2566" w:rsidRPr="008716F0" w:rsidTr="008716F0">
        <w:trPr>
          <w:cantSplit/>
        </w:trPr>
        <w:tc>
          <w:tcPr>
            <w:tcW w:w="3321" w:type="dxa"/>
            <w:tcBorders>
              <w:top w:val="nil"/>
              <w:bottom w:val="nil"/>
            </w:tcBorders>
            <w:shd w:val="clear" w:color="auto" w:fill="D9D9D9" w:themeFill="background1" w:themeFillShade="D9"/>
          </w:tcPr>
          <w:p w:rsidR="000B2566" w:rsidRPr="008716F0" w:rsidRDefault="000B2566" w:rsidP="008716F0">
            <w:pPr>
              <w:pStyle w:val="TableText"/>
              <w:rPr>
                <w:b/>
              </w:rPr>
            </w:pPr>
            <w:r w:rsidRPr="008716F0">
              <w:rPr>
                <w:b/>
              </w:rPr>
              <w:t>Description</w:t>
            </w:r>
          </w:p>
        </w:tc>
        <w:tc>
          <w:tcPr>
            <w:tcW w:w="1586" w:type="dxa"/>
            <w:tcBorders>
              <w:top w:val="nil"/>
              <w:bottom w:val="nil"/>
            </w:tcBorders>
            <w:shd w:val="clear" w:color="auto" w:fill="D9D9D9" w:themeFill="background1" w:themeFillShade="D9"/>
          </w:tcPr>
          <w:p w:rsidR="000B2566" w:rsidRPr="008716F0" w:rsidRDefault="000B2566" w:rsidP="008716F0">
            <w:pPr>
              <w:pStyle w:val="TableText"/>
              <w:jc w:val="center"/>
              <w:rPr>
                <w:b/>
              </w:rPr>
            </w:pPr>
            <w:r w:rsidRPr="008716F0">
              <w:rPr>
                <w:b/>
              </w:rPr>
              <w:t>Population</w:t>
            </w:r>
          </w:p>
        </w:tc>
        <w:tc>
          <w:tcPr>
            <w:tcW w:w="1586" w:type="dxa"/>
            <w:tcBorders>
              <w:top w:val="nil"/>
              <w:bottom w:val="nil"/>
            </w:tcBorders>
            <w:shd w:val="clear" w:color="auto" w:fill="D9D9D9" w:themeFill="background1" w:themeFillShade="D9"/>
          </w:tcPr>
          <w:p w:rsidR="000B2566" w:rsidRPr="008716F0" w:rsidRDefault="000B2566" w:rsidP="008716F0">
            <w:pPr>
              <w:pStyle w:val="TableText"/>
              <w:jc w:val="center"/>
              <w:rPr>
                <w:b/>
              </w:rPr>
            </w:pPr>
            <w:r w:rsidRPr="008716F0">
              <w:rPr>
                <w:b/>
              </w:rPr>
              <w:t>Percentage</w:t>
            </w:r>
          </w:p>
        </w:tc>
        <w:tc>
          <w:tcPr>
            <w:tcW w:w="1587" w:type="dxa"/>
            <w:tcBorders>
              <w:top w:val="nil"/>
              <w:bottom w:val="nil"/>
            </w:tcBorders>
            <w:shd w:val="clear" w:color="auto" w:fill="D9D9D9" w:themeFill="background1" w:themeFillShade="D9"/>
          </w:tcPr>
          <w:p w:rsidR="000B2566" w:rsidRPr="008716F0" w:rsidRDefault="000B2566" w:rsidP="008716F0">
            <w:pPr>
              <w:pStyle w:val="TableText"/>
              <w:jc w:val="center"/>
              <w:rPr>
                <w:b/>
              </w:rPr>
            </w:pPr>
            <w:r w:rsidRPr="008716F0">
              <w:rPr>
                <w:b/>
              </w:rPr>
              <w:t>Supplies</w:t>
            </w:r>
          </w:p>
        </w:tc>
      </w:tr>
      <w:tr w:rsidR="000B2566" w:rsidRPr="009238B5" w:rsidTr="008716F0">
        <w:trPr>
          <w:cantSplit/>
        </w:trPr>
        <w:tc>
          <w:tcPr>
            <w:tcW w:w="3321" w:type="dxa"/>
            <w:tcBorders>
              <w:top w:val="nil"/>
            </w:tcBorders>
            <w:shd w:val="clear" w:color="auto" w:fill="auto"/>
          </w:tcPr>
          <w:p w:rsidR="000B2566" w:rsidRPr="00943F7F" w:rsidRDefault="000B2566" w:rsidP="008716F0">
            <w:pPr>
              <w:pStyle w:val="TableText"/>
              <w:rPr>
                <w:szCs w:val="24"/>
              </w:rPr>
            </w:pPr>
            <w:r w:rsidRPr="00943F7F">
              <w:rPr>
                <w:szCs w:val="24"/>
              </w:rPr>
              <w:t>Bacteriological achievement</w:t>
            </w:r>
          </w:p>
        </w:tc>
        <w:tc>
          <w:tcPr>
            <w:tcW w:w="1586" w:type="dxa"/>
            <w:tcBorders>
              <w:top w:val="nil"/>
            </w:tcBorders>
            <w:shd w:val="clear" w:color="auto" w:fill="auto"/>
          </w:tcPr>
          <w:p w:rsidR="000B2566" w:rsidRPr="00943F7F" w:rsidRDefault="000B2566" w:rsidP="008716F0">
            <w:pPr>
              <w:pStyle w:val="TableText"/>
              <w:jc w:val="center"/>
              <w:rPr>
                <w:szCs w:val="24"/>
              </w:rPr>
            </w:pPr>
            <w:r w:rsidRPr="00943F7F">
              <w:rPr>
                <w:szCs w:val="24"/>
              </w:rPr>
              <w:t>33,300</w:t>
            </w:r>
          </w:p>
        </w:tc>
        <w:tc>
          <w:tcPr>
            <w:tcW w:w="1586" w:type="dxa"/>
            <w:tcBorders>
              <w:top w:val="nil"/>
            </w:tcBorders>
            <w:shd w:val="clear" w:color="auto" w:fill="auto"/>
          </w:tcPr>
          <w:p w:rsidR="000B2566" w:rsidRPr="00943F7F" w:rsidRDefault="000B2566" w:rsidP="008716F0">
            <w:pPr>
              <w:pStyle w:val="TableText"/>
              <w:jc w:val="center"/>
              <w:rPr>
                <w:szCs w:val="24"/>
              </w:rPr>
            </w:pPr>
            <w:r w:rsidRPr="00943F7F">
              <w:rPr>
                <w:szCs w:val="24"/>
              </w:rPr>
              <w:t>57.5</w:t>
            </w:r>
            <w:r w:rsidR="008716F0">
              <w:rPr>
                <w:szCs w:val="24"/>
              </w:rPr>
              <w:t>%</w:t>
            </w:r>
          </w:p>
        </w:tc>
        <w:tc>
          <w:tcPr>
            <w:tcW w:w="1587" w:type="dxa"/>
            <w:tcBorders>
              <w:top w:val="nil"/>
            </w:tcBorders>
            <w:shd w:val="clear" w:color="auto" w:fill="auto"/>
          </w:tcPr>
          <w:p w:rsidR="000B2566" w:rsidRPr="00943F7F" w:rsidRDefault="000B2566" w:rsidP="008716F0">
            <w:pPr>
              <w:pStyle w:val="TableText"/>
              <w:jc w:val="center"/>
              <w:rPr>
                <w:szCs w:val="24"/>
              </w:rPr>
            </w:pPr>
            <w:r w:rsidRPr="00943F7F">
              <w:rPr>
                <w:szCs w:val="24"/>
              </w:rPr>
              <w:t>126</w:t>
            </w:r>
          </w:p>
        </w:tc>
      </w:tr>
      <w:tr w:rsidR="000B2566" w:rsidRPr="009238B5" w:rsidTr="008716F0">
        <w:trPr>
          <w:cantSplit/>
        </w:trPr>
        <w:tc>
          <w:tcPr>
            <w:tcW w:w="3321" w:type="dxa"/>
            <w:shd w:val="clear" w:color="auto" w:fill="auto"/>
          </w:tcPr>
          <w:p w:rsidR="000B2566" w:rsidRPr="00943F7F" w:rsidRDefault="000B2566" w:rsidP="008716F0">
            <w:pPr>
              <w:pStyle w:val="TableText"/>
              <w:rPr>
                <w:szCs w:val="24"/>
              </w:rPr>
            </w:pPr>
            <w:r w:rsidRPr="00943F7F">
              <w:rPr>
                <w:szCs w:val="24"/>
              </w:rPr>
              <w:t>Protozoal achievement</w:t>
            </w:r>
          </w:p>
        </w:tc>
        <w:tc>
          <w:tcPr>
            <w:tcW w:w="1586" w:type="dxa"/>
            <w:shd w:val="clear" w:color="auto" w:fill="auto"/>
          </w:tcPr>
          <w:p w:rsidR="000B2566" w:rsidRPr="00943F7F" w:rsidRDefault="000B2566" w:rsidP="008716F0">
            <w:pPr>
              <w:pStyle w:val="TableText"/>
              <w:jc w:val="center"/>
              <w:rPr>
                <w:szCs w:val="24"/>
              </w:rPr>
            </w:pPr>
            <w:r w:rsidRPr="00943F7F">
              <w:rPr>
                <w:szCs w:val="24"/>
              </w:rPr>
              <w:t>17,600</w:t>
            </w:r>
          </w:p>
        </w:tc>
        <w:tc>
          <w:tcPr>
            <w:tcW w:w="1586" w:type="dxa"/>
            <w:shd w:val="clear" w:color="auto" w:fill="auto"/>
          </w:tcPr>
          <w:p w:rsidR="000B2566" w:rsidRPr="00943F7F" w:rsidRDefault="000B2566" w:rsidP="008716F0">
            <w:pPr>
              <w:pStyle w:val="TableText"/>
              <w:jc w:val="center"/>
              <w:rPr>
                <w:szCs w:val="24"/>
              </w:rPr>
            </w:pPr>
            <w:r w:rsidRPr="00943F7F">
              <w:rPr>
                <w:szCs w:val="24"/>
              </w:rPr>
              <w:t>30.5</w:t>
            </w:r>
            <w:r w:rsidR="008716F0">
              <w:rPr>
                <w:szCs w:val="24"/>
              </w:rPr>
              <w:t>%</w:t>
            </w:r>
          </w:p>
        </w:tc>
        <w:tc>
          <w:tcPr>
            <w:tcW w:w="1587" w:type="dxa"/>
            <w:shd w:val="clear" w:color="auto" w:fill="auto"/>
          </w:tcPr>
          <w:p w:rsidR="000B2566" w:rsidRPr="00943F7F" w:rsidRDefault="000B2566" w:rsidP="008716F0">
            <w:pPr>
              <w:pStyle w:val="TableText"/>
              <w:jc w:val="center"/>
              <w:rPr>
                <w:szCs w:val="24"/>
              </w:rPr>
            </w:pPr>
            <w:r w:rsidRPr="00943F7F">
              <w:rPr>
                <w:szCs w:val="24"/>
              </w:rPr>
              <w:t>68</w:t>
            </w:r>
          </w:p>
        </w:tc>
      </w:tr>
      <w:tr w:rsidR="000B2566" w:rsidRPr="009238B5" w:rsidTr="008716F0">
        <w:trPr>
          <w:cantSplit/>
        </w:trPr>
        <w:tc>
          <w:tcPr>
            <w:tcW w:w="3321" w:type="dxa"/>
            <w:shd w:val="clear" w:color="auto" w:fill="auto"/>
          </w:tcPr>
          <w:p w:rsidR="000B2566" w:rsidRPr="00943F7F" w:rsidRDefault="000B2566" w:rsidP="008716F0">
            <w:pPr>
              <w:pStyle w:val="TableText"/>
              <w:rPr>
                <w:szCs w:val="24"/>
              </w:rPr>
            </w:pPr>
            <w:r w:rsidRPr="00943F7F">
              <w:rPr>
                <w:szCs w:val="24"/>
              </w:rPr>
              <w:t>Chemical achievement</w:t>
            </w:r>
          </w:p>
        </w:tc>
        <w:tc>
          <w:tcPr>
            <w:tcW w:w="1586" w:type="dxa"/>
            <w:shd w:val="clear" w:color="auto" w:fill="auto"/>
          </w:tcPr>
          <w:p w:rsidR="000B2566" w:rsidRPr="00943F7F" w:rsidRDefault="000B2566" w:rsidP="008716F0">
            <w:pPr>
              <w:pStyle w:val="TableText"/>
              <w:jc w:val="center"/>
              <w:rPr>
                <w:szCs w:val="24"/>
              </w:rPr>
            </w:pPr>
            <w:r w:rsidRPr="00943F7F">
              <w:rPr>
                <w:szCs w:val="24"/>
              </w:rPr>
              <w:t>56,600</w:t>
            </w:r>
          </w:p>
        </w:tc>
        <w:tc>
          <w:tcPr>
            <w:tcW w:w="1586" w:type="dxa"/>
            <w:shd w:val="clear" w:color="auto" w:fill="auto"/>
          </w:tcPr>
          <w:p w:rsidR="000B2566" w:rsidRPr="00943F7F" w:rsidRDefault="000B2566" w:rsidP="008716F0">
            <w:pPr>
              <w:pStyle w:val="TableText"/>
              <w:jc w:val="center"/>
              <w:rPr>
                <w:szCs w:val="24"/>
              </w:rPr>
            </w:pPr>
            <w:r w:rsidRPr="00943F7F">
              <w:rPr>
                <w:szCs w:val="24"/>
              </w:rPr>
              <w:t>97.8</w:t>
            </w:r>
            <w:r w:rsidR="008716F0">
              <w:rPr>
                <w:szCs w:val="24"/>
              </w:rPr>
              <w:t>%</w:t>
            </w:r>
          </w:p>
        </w:tc>
        <w:tc>
          <w:tcPr>
            <w:tcW w:w="1587" w:type="dxa"/>
            <w:shd w:val="clear" w:color="auto" w:fill="auto"/>
          </w:tcPr>
          <w:p w:rsidR="000B2566" w:rsidRPr="00943F7F" w:rsidRDefault="000B2566" w:rsidP="008716F0">
            <w:pPr>
              <w:pStyle w:val="TableText"/>
              <w:jc w:val="center"/>
              <w:rPr>
                <w:szCs w:val="24"/>
              </w:rPr>
            </w:pPr>
            <w:r w:rsidRPr="00943F7F">
              <w:rPr>
                <w:szCs w:val="24"/>
              </w:rPr>
              <w:t>226</w:t>
            </w:r>
          </w:p>
        </w:tc>
      </w:tr>
      <w:tr w:rsidR="000B2566" w:rsidRPr="008716F0" w:rsidTr="008716F0">
        <w:trPr>
          <w:cantSplit/>
        </w:trPr>
        <w:tc>
          <w:tcPr>
            <w:tcW w:w="3321" w:type="dxa"/>
            <w:shd w:val="clear" w:color="auto" w:fill="auto"/>
          </w:tcPr>
          <w:p w:rsidR="000B2566" w:rsidRPr="008716F0" w:rsidRDefault="000B2566" w:rsidP="008716F0">
            <w:pPr>
              <w:pStyle w:val="TableText"/>
              <w:rPr>
                <w:b/>
                <w:szCs w:val="24"/>
              </w:rPr>
            </w:pPr>
            <w:r w:rsidRPr="008716F0">
              <w:rPr>
                <w:b/>
                <w:szCs w:val="24"/>
              </w:rPr>
              <w:t>Overall achievement</w:t>
            </w:r>
          </w:p>
        </w:tc>
        <w:tc>
          <w:tcPr>
            <w:tcW w:w="1586" w:type="dxa"/>
            <w:shd w:val="clear" w:color="auto" w:fill="auto"/>
          </w:tcPr>
          <w:p w:rsidR="000B2566" w:rsidRPr="008716F0" w:rsidRDefault="000B2566" w:rsidP="008716F0">
            <w:pPr>
              <w:pStyle w:val="TableText"/>
              <w:jc w:val="center"/>
              <w:rPr>
                <w:b/>
                <w:szCs w:val="24"/>
              </w:rPr>
            </w:pPr>
            <w:r w:rsidRPr="008716F0">
              <w:rPr>
                <w:b/>
                <w:szCs w:val="24"/>
              </w:rPr>
              <w:t>15,300</w:t>
            </w:r>
          </w:p>
        </w:tc>
        <w:tc>
          <w:tcPr>
            <w:tcW w:w="1586" w:type="dxa"/>
            <w:shd w:val="clear" w:color="auto" w:fill="auto"/>
          </w:tcPr>
          <w:p w:rsidR="000B2566" w:rsidRPr="008716F0" w:rsidRDefault="000B2566" w:rsidP="008716F0">
            <w:pPr>
              <w:pStyle w:val="TableText"/>
              <w:jc w:val="center"/>
              <w:rPr>
                <w:b/>
                <w:szCs w:val="24"/>
              </w:rPr>
            </w:pPr>
            <w:r w:rsidRPr="008716F0">
              <w:rPr>
                <w:b/>
                <w:szCs w:val="24"/>
              </w:rPr>
              <w:t>26.4</w:t>
            </w:r>
            <w:r w:rsidR="008716F0">
              <w:rPr>
                <w:b/>
                <w:szCs w:val="24"/>
              </w:rPr>
              <w:t>%</w:t>
            </w:r>
          </w:p>
        </w:tc>
        <w:tc>
          <w:tcPr>
            <w:tcW w:w="1587" w:type="dxa"/>
            <w:shd w:val="clear" w:color="auto" w:fill="auto"/>
          </w:tcPr>
          <w:p w:rsidR="000B2566" w:rsidRPr="008716F0" w:rsidRDefault="000B2566" w:rsidP="008716F0">
            <w:pPr>
              <w:pStyle w:val="TableText"/>
              <w:jc w:val="center"/>
              <w:rPr>
                <w:b/>
                <w:szCs w:val="24"/>
              </w:rPr>
            </w:pPr>
            <w:r w:rsidRPr="008716F0">
              <w:rPr>
                <w:b/>
                <w:szCs w:val="24"/>
              </w:rPr>
              <w:t>58</w:t>
            </w:r>
          </w:p>
        </w:tc>
      </w:tr>
    </w:tbl>
    <w:p w:rsidR="000B2566" w:rsidRPr="009238B5" w:rsidRDefault="000B2566" w:rsidP="00B80746"/>
    <w:p w:rsidR="000B2566" w:rsidRPr="00084F30" w:rsidRDefault="000B2566" w:rsidP="00B80746">
      <w:pPr>
        <w:pStyle w:val="Heading2"/>
      </w:pPr>
      <w:bookmarkStart w:id="70" w:name="maximum-acceptable-value-exceedences"/>
      <w:bookmarkStart w:id="71" w:name="bacteriological-achievement-against-the-"/>
      <w:bookmarkStart w:id="72" w:name="_Toc8111279"/>
      <w:bookmarkStart w:id="73" w:name="_Toc10554013"/>
      <w:bookmarkEnd w:id="70"/>
      <w:bookmarkEnd w:id="71"/>
      <w:r w:rsidRPr="00084F30">
        <w:t>Meeting the bacteriological Standards</w:t>
      </w:r>
      <w:bookmarkEnd w:id="72"/>
      <w:bookmarkEnd w:id="73"/>
    </w:p>
    <w:p w:rsidR="000B2566" w:rsidRPr="009238B5" w:rsidRDefault="000B2566" w:rsidP="00B80746">
      <w:r w:rsidRPr="009238B5">
        <w:t>Exceedance of a microbiological MAV is of greater immediate concern than exceedance of a chemical MAV, because of the timescales over which their adverse effects are likely to be experienced. Pathogens can cause acute illness following a single contamination event</w:t>
      </w:r>
      <w:r>
        <w:t xml:space="preserve">. Those most at risk of infection are infants and young children, the immune suppressed, the sick and the elderly. </w:t>
      </w:r>
      <w:r w:rsidRPr="009238B5">
        <w:t xml:space="preserve">For this reason, immediate remedial action is </w:t>
      </w:r>
      <w:r>
        <w:t>of paramount importance</w:t>
      </w:r>
      <w:r w:rsidRPr="009238B5">
        <w:t xml:space="preserve"> in response to microbiological exceedances</w:t>
      </w:r>
      <w:r>
        <w:t>.</w:t>
      </w:r>
    </w:p>
    <w:p w:rsidR="00B80746" w:rsidRDefault="00B80746" w:rsidP="00B80746"/>
    <w:p w:rsidR="00943F7F" w:rsidRDefault="000B2566" w:rsidP="00B80746">
      <w:r w:rsidRPr="009238B5">
        <w:t>During the reporting period, 9</w:t>
      </w:r>
      <w:r>
        <w:t>7.7 percent</w:t>
      </w:r>
      <w:r w:rsidRPr="009238B5">
        <w:t xml:space="preserve"> (3,</w:t>
      </w:r>
      <w:r>
        <w:t>751,</w:t>
      </w:r>
      <w:r w:rsidRPr="009238B5">
        <w:t>000 people) of the report population were supplied with drinking-water that met the bacteriological Standards</w:t>
      </w:r>
      <w:r>
        <w:t>.</w:t>
      </w:r>
    </w:p>
    <w:p w:rsidR="00B80746" w:rsidRDefault="00B80746" w:rsidP="00B80746"/>
    <w:p w:rsidR="000B2566" w:rsidRPr="009238B5" w:rsidRDefault="000B2566" w:rsidP="00B80746">
      <w:r w:rsidRPr="009238B5">
        <w:t xml:space="preserve">Bacteriological Standards were achieved for supplies providing water to 95.0 </w:t>
      </w:r>
      <w:r>
        <w:t>percent</w:t>
      </w:r>
      <w:r w:rsidRPr="009238B5">
        <w:t xml:space="preserve"> of people in large </w:t>
      </w:r>
      <w:r>
        <w:t>supplies</w:t>
      </w:r>
      <w:r w:rsidRPr="009238B5">
        <w:t xml:space="preserve">, 76.8 </w:t>
      </w:r>
      <w:r>
        <w:t>percent</w:t>
      </w:r>
      <w:r w:rsidRPr="009238B5">
        <w:t xml:space="preserve"> in medium </w:t>
      </w:r>
      <w:r>
        <w:t>supplie</w:t>
      </w:r>
      <w:r w:rsidRPr="009238B5">
        <w:t xml:space="preserve">s, 75.1 </w:t>
      </w:r>
      <w:r>
        <w:t>percent</w:t>
      </w:r>
      <w:r w:rsidRPr="009238B5">
        <w:t xml:space="preserve"> in minor </w:t>
      </w:r>
      <w:r>
        <w:t>supplie</w:t>
      </w:r>
      <w:r w:rsidRPr="009238B5">
        <w:t xml:space="preserve">s and 57.5 percent in small </w:t>
      </w:r>
      <w:r>
        <w:t>supplie</w:t>
      </w:r>
      <w:r w:rsidRPr="009238B5">
        <w:t xml:space="preserve">s. This may reflect the increasing </w:t>
      </w:r>
      <w:r>
        <w:t xml:space="preserve">cost </w:t>
      </w:r>
      <w:r w:rsidRPr="009238B5">
        <w:t>per capita of effective bacteriological treatment as supply population size decreases.</w:t>
      </w:r>
    </w:p>
    <w:p w:rsidR="00B80746" w:rsidRDefault="00B80746" w:rsidP="00B80746"/>
    <w:p w:rsidR="00943F7F" w:rsidRDefault="000B2566" w:rsidP="00B80746">
      <w:r>
        <w:t>Overall, t</w:t>
      </w:r>
      <w:r w:rsidRPr="009238B5">
        <w:t xml:space="preserve">he reported bacteriological achievement rate was </w:t>
      </w:r>
      <w:r>
        <w:t>1.5</w:t>
      </w:r>
      <w:r w:rsidRPr="009238B5">
        <w:t xml:space="preserve"> percent </w:t>
      </w:r>
      <w:r>
        <w:t>highe</w:t>
      </w:r>
      <w:r w:rsidRPr="009238B5">
        <w:t xml:space="preserve">r than </w:t>
      </w:r>
      <w:r>
        <w:t xml:space="preserve">the rate for </w:t>
      </w:r>
      <w:r w:rsidRPr="009238B5">
        <w:t>the previous reporting period.</w:t>
      </w:r>
    </w:p>
    <w:p w:rsidR="00B80746" w:rsidRDefault="00B80746" w:rsidP="00B80746"/>
    <w:p w:rsidR="000B2566" w:rsidRDefault="000B2566" w:rsidP="00B80746">
      <w:r w:rsidRPr="009238B5">
        <w:t xml:space="preserve">A total of nine large supplies </w:t>
      </w:r>
      <w:r>
        <w:t>(</w:t>
      </w:r>
      <w:r w:rsidRPr="009238B5">
        <w:t>Cambridge, Napier, Rotorua East, Wanganui, Feilding, Richmond/Waimea Industrial, Blenheim, Oamaru and Dunedin City</w:t>
      </w:r>
      <w:r>
        <w:t>)</w:t>
      </w:r>
      <w:r w:rsidRPr="009238B5">
        <w:t xml:space="preserve"> failed to meet the bacteriological Standards during the current reporting period.</w:t>
      </w:r>
    </w:p>
    <w:p w:rsidR="00B80746" w:rsidRPr="009238B5" w:rsidRDefault="00B80746" w:rsidP="00B80746"/>
    <w:p w:rsidR="000B2566" w:rsidRPr="009238B5" w:rsidRDefault="000B2566" w:rsidP="00B80746">
      <w:r>
        <w:lastRenderedPageBreak/>
        <w:t>In the reporting period:</w:t>
      </w:r>
    </w:p>
    <w:p w:rsidR="000B2566" w:rsidRPr="009238B5" w:rsidRDefault="000B2566" w:rsidP="00B80746">
      <w:pPr>
        <w:pStyle w:val="Bullet"/>
      </w:pPr>
      <w:r w:rsidRPr="009238B5">
        <w:t>7.5 percent (288,000 people) of the report population received drinking-water that was inadequately monitored</w:t>
      </w:r>
    </w:p>
    <w:p w:rsidR="000B2566" w:rsidRPr="009238B5" w:rsidRDefault="000B2566" w:rsidP="00B80746">
      <w:pPr>
        <w:pStyle w:val="Bullet"/>
      </w:pPr>
      <w:r w:rsidRPr="009238B5">
        <w:t>0.2 percent (8,700 people) of the report population received drinking-water that was not monitored</w:t>
      </w:r>
    </w:p>
    <w:p w:rsidR="000B2566" w:rsidRPr="009238B5" w:rsidRDefault="000B2566" w:rsidP="00B80746">
      <w:pPr>
        <w:pStyle w:val="Bullet"/>
      </w:pPr>
      <w:r w:rsidRPr="009238B5">
        <w:t xml:space="preserve">0.9 percent (34,300 people) of the report population received drinking-water with an excessive number of </w:t>
      </w:r>
      <w:r w:rsidRPr="009238B5">
        <w:rPr>
          <w:i/>
        </w:rPr>
        <w:t>E. coli</w:t>
      </w:r>
      <w:r w:rsidRPr="009238B5">
        <w:t xml:space="preserve"> transgressions</w:t>
      </w:r>
    </w:p>
    <w:p w:rsidR="000B2566" w:rsidRPr="009238B5" w:rsidRDefault="000B2566" w:rsidP="00B80746">
      <w:pPr>
        <w:pStyle w:val="Bullet"/>
      </w:pPr>
      <w:r w:rsidRPr="009238B5">
        <w:t>0.3 percent (11,800 people) of the report population received drinking-water from a supply in which transgressions occurred that were not followed up by immediate corrective actions.</w:t>
      </w:r>
    </w:p>
    <w:p w:rsidR="00B80746" w:rsidRDefault="00B80746" w:rsidP="00B80746"/>
    <w:p w:rsidR="00943F7F" w:rsidRDefault="000B2566" w:rsidP="00B80746">
      <w:r>
        <w:t xml:space="preserve">Where monitoring is inadequate or absence, the population will lack </w:t>
      </w:r>
      <w:r w:rsidRPr="009238B5">
        <w:t>confidence that the drinking-water supplier understands the quality of the drinking-water, is aware of any changes in water quality, and knows the water supply is safe to drink.</w:t>
      </w:r>
    </w:p>
    <w:p w:rsidR="00B80746" w:rsidRDefault="00B80746" w:rsidP="00B80746"/>
    <w:p w:rsidR="000B2566" w:rsidRPr="00B44F68" w:rsidRDefault="000B2566" w:rsidP="00B80746">
      <w:pPr>
        <w:pStyle w:val="Heading2"/>
      </w:pPr>
      <w:bookmarkStart w:id="74" w:name="public-health-significance-of-exceedence"/>
      <w:bookmarkStart w:id="75" w:name="_Toc8111280"/>
      <w:bookmarkStart w:id="76" w:name="_Toc10554014"/>
      <w:bookmarkEnd w:id="74"/>
      <w:r w:rsidRPr="00B44F68">
        <w:t xml:space="preserve">Public health significance of </w:t>
      </w:r>
      <w:r>
        <w:t xml:space="preserve">bacteriological </w:t>
      </w:r>
      <w:r w:rsidRPr="00B44F68">
        <w:t>transgressions</w:t>
      </w:r>
      <w:bookmarkEnd w:id="75"/>
      <w:bookmarkEnd w:id="76"/>
    </w:p>
    <w:p w:rsidR="000B2566" w:rsidRPr="009238B5" w:rsidRDefault="000B2566" w:rsidP="00B80746">
      <w:r w:rsidRPr="009238B5">
        <w:t xml:space="preserve">Excessive transgressions, and/or </w:t>
      </w:r>
      <w:r>
        <w:t xml:space="preserve">a failure to </w:t>
      </w:r>
      <w:r w:rsidRPr="009238B5">
        <w:t xml:space="preserve">follow up </w:t>
      </w:r>
      <w:r>
        <w:t xml:space="preserve">on </w:t>
      </w:r>
      <w:r w:rsidRPr="009238B5">
        <w:t>transgressions with immediate corrective action</w:t>
      </w:r>
      <w:r>
        <w:t>,</w:t>
      </w:r>
      <w:r w:rsidRPr="009238B5">
        <w:t xml:space="preserve"> can put public health at risk.</w:t>
      </w:r>
    </w:p>
    <w:p w:rsidR="00B80746" w:rsidRDefault="00B80746" w:rsidP="00B80746"/>
    <w:p w:rsidR="000B2566" w:rsidRPr="009238B5" w:rsidRDefault="000B2566" w:rsidP="00B80746">
      <w:r w:rsidRPr="009238B5">
        <w:t xml:space="preserve">The presence of </w:t>
      </w:r>
      <w:r w:rsidRPr="009238B5">
        <w:rPr>
          <w:i/>
        </w:rPr>
        <w:t>E. coli</w:t>
      </w:r>
      <w:r w:rsidRPr="009238B5">
        <w:t xml:space="preserve"> in water indicates that the water has been contaminated with faeces and inadequately treated, or may result from contamination of the water during post-treatment distribution to the community. In either case, </w:t>
      </w:r>
      <w:r>
        <w:t>the presence of</w:t>
      </w:r>
      <w:r w:rsidRPr="009238B5">
        <w:t xml:space="preserve"> </w:t>
      </w:r>
      <w:r w:rsidRPr="009238B5">
        <w:rPr>
          <w:i/>
        </w:rPr>
        <w:t>E. coli</w:t>
      </w:r>
      <w:r w:rsidRPr="009238B5">
        <w:t xml:space="preserve"> means that other faecal pathogens could be present in the water</w:t>
      </w:r>
      <w:r>
        <w:t xml:space="preserve"> that pose a threat to public health</w:t>
      </w:r>
      <w:r w:rsidRPr="009238B5">
        <w:t>. Although the presence of these pathogenic organisms is not monitored, their presence must be assumed</w:t>
      </w:r>
      <w:r>
        <w:t>;</w:t>
      </w:r>
      <w:r w:rsidRPr="009238B5">
        <w:t xml:space="preserve"> consequently</w:t>
      </w:r>
      <w:r>
        <w:t>,</w:t>
      </w:r>
      <w:r w:rsidRPr="009238B5">
        <w:t xml:space="preserve"> any detection of </w:t>
      </w:r>
      <w:r w:rsidRPr="009238B5">
        <w:rPr>
          <w:i/>
        </w:rPr>
        <w:t>E. coli</w:t>
      </w:r>
      <w:r w:rsidRPr="009238B5">
        <w:t xml:space="preserve"> in the water must be regarded as a </w:t>
      </w:r>
      <w:r>
        <w:t xml:space="preserve">potential </w:t>
      </w:r>
      <w:r w:rsidRPr="009238B5">
        <w:t>risk to public health.</w:t>
      </w:r>
    </w:p>
    <w:p w:rsidR="00B80746" w:rsidRDefault="00B80746" w:rsidP="00B80746"/>
    <w:p w:rsidR="000B2566" w:rsidRPr="009238B5" w:rsidRDefault="000B2566" w:rsidP="00B80746">
      <w:r>
        <w:t>In addition</w:t>
      </w:r>
      <w:r w:rsidRPr="009238B5">
        <w:t xml:space="preserve">, detection of </w:t>
      </w:r>
      <w:r w:rsidRPr="009238B5">
        <w:rPr>
          <w:i/>
        </w:rPr>
        <w:t>E. coli</w:t>
      </w:r>
      <w:r w:rsidRPr="009238B5">
        <w:t xml:space="preserve"> shows that there has been a failure in the barriers between contaminants and the community. Consequently, </w:t>
      </w:r>
      <w:r>
        <w:t xml:space="preserve">suppliers must immediately investigate </w:t>
      </w:r>
      <w:r w:rsidRPr="009238B5">
        <w:t xml:space="preserve">all </w:t>
      </w:r>
      <w:r w:rsidRPr="009238B5">
        <w:rPr>
          <w:i/>
        </w:rPr>
        <w:t>E. coli</w:t>
      </w:r>
      <w:r w:rsidRPr="009238B5">
        <w:t xml:space="preserve"> transgressions and </w:t>
      </w:r>
      <w:r>
        <w:t xml:space="preserve">implement </w:t>
      </w:r>
      <w:r w:rsidRPr="009238B5">
        <w:t xml:space="preserve">remedial action. Depending on the result of the investigation, </w:t>
      </w:r>
      <w:r>
        <w:t xml:space="preserve">they may need to </w:t>
      </w:r>
      <w:r w:rsidRPr="009238B5">
        <w:t>modif</w:t>
      </w:r>
      <w:r>
        <w:t>y</w:t>
      </w:r>
      <w:r w:rsidRPr="009238B5">
        <w:t xml:space="preserve"> the supply</w:t>
      </w:r>
      <w:r w:rsidR="00943F7F">
        <w:t>’</w:t>
      </w:r>
      <w:r w:rsidRPr="009238B5">
        <w:t>s water safety plan.</w:t>
      </w:r>
    </w:p>
    <w:p w:rsidR="00B80746" w:rsidRDefault="00B80746" w:rsidP="00B80746"/>
    <w:p w:rsidR="000B2566" w:rsidRDefault="000B2566" w:rsidP="00B80746">
      <w:r w:rsidRPr="009238B5">
        <w:t xml:space="preserve">During the reporting period, water suppliers carried out analysis of approximately 48,100 </w:t>
      </w:r>
      <w:r w:rsidRPr="009238B5">
        <w:rPr>
          <w:i/>
        </w:rPr>
        <w:t>E. coli</w:t>
      </w:r>
      <w:r w:rsidRPr="009238B5">
        <w:t xml:space="preserve"> monitoring samples</w:t>
      </w:r>
      <w:r>
        <w:t>,</w:t>
      </w:r>
      <w:r w:rsidRPr="009238B5">
        <w:t xml:space="preserve"> and 137 </w:t>
      </w:r>
      <w:r>
        <w:t>(</w:t>
      </w:r>
      <w:r w:rsidRPr="009238B5">
        <w:t>0.3 percent of samples</w:t>
      </w:r>
      <w:r>
        <w:t>)</w:t>
      </w:r>
      <w:r w:rsidRPr="009238B5">
        <w:t xml:space="preserve"> tested positive for </w:t>
      </w:r>
      <w:r w:rsidRPr="009238B5">
        <w:rPr>
          <w:i/>
        </w:rPr>
        <w:t>E. coli</w:t>
      </w:r>
      <w:r w:rsidRPr="009238B5">
        <w:t>. During the previous reporting period, water suppliers carried out analysis of approximately 48,500 monitoring samples</w:t>
      </w:r>
      <w:r>
        <w:t>,</w:t>
      </w:r>
      <w:r w:rsidRPr="009238B5">
        <w:t xml:space="preserve"> and 151 (0.3 percent)</w:t>
      </w:r>
      <w:r>
        <w:t xml:space="preserve"> </w:t>
      </w:r>
      <w:r w:rsidRPr="009238B5">
        <w:t xml:space="preserve">tested positive for </w:t>
      </w:r>
      <w:r w:rsidRPr="009238B5">
        <w:rPr>
          <w:i/>
        </w:rPr>
        <w:t>E. coli</w:t>
      </w:r>
      <w:r w:rsidRPr="009238B5">
        <w:t>.</w:t>
      </w:r>
    </w:p>
    <w:p w:rsidR="00B80746" w:rsidRPr="009238B5" w:rsidRDefault="00B80746" w:rsidP="00B80746">
      <w:pPr>
        <w:rPr>
          <w:i/>
        </w:rPr>
      </w:pPr>
    </w:p>
    <w:p w:rsidR="000B2566" w:rsidRPr="00084F30" w:rsidRDefault="000B2566" w:rsidP="00B80746">
      <w:pPr>
        <w:pStyle w:val="Heading2"/>
      </w:pPr>
      <w:bookmarkStart w:id="77" w:name="_Toc8111281"/>
      <w:bookmarkStart w:id="78" w:name="_Toc10554015"/>
      <w:r w:rsidRPr="00084F30">
        <w:lastRenderedPageBreak/>
        <w:t>Meeting the protozoal Standards</w:t>
      </w:r>
      <w:bookmarkEnd w:id="77"/>
      <w:bookmarkEnd w:id="78"/>
    </w:p>
    <w:p w:rsidR="000B2566" w:rsidRDefault="000B2566" w:rsidP="00B80746">
      <w:r w:rsidRPr="009238B5">
        <w:t xml:space="preserve">During the reporting period, 74.8 </w:t>
      </w:r>
      <w:r>
        <w:t>percent</w:t>
      </w:r>
      <w:r w:rsidRPr="009238B5">
        <w:t xml:space="preserve"> (2,870,000) of the report population were supplied with drinking-water that </w:t>
      </w:r>
      <w:r>
        <w:t xml:space="preserve">fully </w:t>
      </w:r>
      <w:r w:rsidRPr="009238B5">
        <w:t>achieved the protozoal Standards (Table 8). This is a decline of 8.3 percent on the achievement rate for the previous reporting period, when 83.0 percent of people received water that fully achieved the protozoal Standards: a difference of 300,000 people.</w:t>
      </w:r>
    </w:p>
    <w:p w:rsidR="00B80746" w:rsidRPr="009238B5" w:rsidRDefault="00B80746" w:rsidP="00B80746"/>
    <w:p w:rsidR="000B2566" w:rsidRPr="009238B5" w:rsidRDefault="000B2566" w:rsidP="00B80746">
      <w:pPr>
        <w:pStyle w:val="Table"/>
        <w:rPr>
          <w:rFonts w:ascii="Georgia" w:hAnsi="Georgia"/>
          <w:bCs/>
          <w:sz w:val="22"/>
        </w:rPr>
      </w:pPr>
      <w:bookmarkStart w:id="79" w:name="_Ref529442047"/>
      <w:bookmarkStart w:id="80" w:name="_Toc9846301"/>
      <w:r w:rsidRPr="009238B5">
        <w:t xml:space="preserve">Table </w:t>
      </w:r>
      <w:bookmarkEnd w:id="79"/>
      <w:r w:rsidRPr="009238B5">
        <w:rPr>
          <w:noProof/>
        </w:rPr>
        <w:t>8</w:t>
      </w:r>
      <w:r w:rsidRPr="009238B5">
        <w:t>: Protozoal achievement against the Standards between reporting periods</w:t>
      </w:r>
      <w:bookmarkEnd w:id="80"/>
    </w:p>
    <w:tbl>
      <w:tblPr>
        <w:tblW w:w="3541" w:type="pct"/>
        <w:tblInd w:w="57" w:type="dxa"/>
        <w:tblBorders>
          <w:bottom w:val="single" w:sz="4" w:space="0" w:color="A6A6A6" w:themeColor="background1" w:themeShade="A6"/>
          <w:insideH w:val="single" w:sz="4" w:space="0" w:color="A6A6A6" w:themeColor="background1" w:themeShade="A6"/>
        </w:tblBorders>
        <w:tblLayout w:type="fixed"/>
        <w:tblCellMar>
          <w:left w:w="57" w:type="dxa"/>
          <w:right w:w="57" w:type="dxa"/>
        </w:tblCellMar>
        <w:tblLook w:val="07E0" w:firstRow="1" w:lastRow="1" w:firstColumn="1" w:lastColumn="1" w:noHBand="1" w:noVBand="1"/>
      </w:tblPr>
      <w:tblGrid>
        <w:gridCol w:w="2004"/>
        <w:gridCol w:w="1239"/>
        <w:gridCol w:w="1239"/>
        <w:gridCol w:w="1240"/>
      </w:tblGrid>
      <w:tr w:rsidR="000B2566" w:rsidRPr="008716F0" w:rsidTr="008716F0">
        <w:trPr>
          <w:cantSplit/>
        </w:trPr>
        <w:tc>
          <w:tcPr>
            <w:tcW w:w="2033" w:type="dxa"/>
            <w:tcBorders>
              <w:top w:val="nil"/>
              <w:bottom w:val="nil"/>
            </w:tcBorders>
            <w:shd w:val="clear" w:color="auto" w:fill="D9D9D9" w:themeFill="background1" w:themeFillShade="D9"/>
          </w:tcPr>
          <w:p w:rsidR="000B2566" w:rsidRPr="008716F0" w:rsidRDefault="000B2566" w:rsidP="008716F0">
            <w:pPr>
              <w:pStyle w:val="TableText"/>
              <w:rPr>
                <w:b/>
              </w:rPr>
            </w:pPr>
            <w:r w:rsidRPr="008716F0">
              <w:rPr>
                <w:b/>
              </w:rPr>
              <w:t>Type of supplier</w:t>
            </w:r>
          </w:p>
        </w:tc>
        <w:tc>
          <w:tcPr>
            <w:tcW w:w="1256" w:type="dxa"/>
            <w:tcBorders>
              <w:top w:val="nil"/>
              <w:bottom w:val="nil"/>
            </w:tcBorders>
            <w:shd w:val="clear" w:color="auto" w:fill="D9D9D9" w:themeFill="background1" w:themeFillShade="D9"/>
          </w:tcPr>
          <w:p w:rsidR="000B2566" w:rsidRPr="008716F0" w:rsidRDefault="000B2566" w:rsidP="008716F0">
            <w:pPr>
              <w:pStyle w:val="TableText"/>
              <w:jc w:val="center"/>
              <w:rPr>
                <w:b/>
              </w:rPr>
            </w:pPr>
            <w:r w:rsidRPr="008716F0">
              <w:rPr>
                <w:b/>
              </w:rPr>
              <w:t>2016/17</w:t>
            </w:r>
          </w:p>
        </w:tc>
        <w:tc>
          <w:tcPr>
            <w:tcW w:w="1256" w:type="dxa"/>
            <w:tcBorders>
              <w:top w:val="nil"/>
              <w:bottom w:val="nil"/>
            </w:tcBorders>
            <w:shd w:val="clear" w:color="auto" w:fill="D9D9D9" w:themeFill="background1" w:themeFillShade="D9"/>
          </w:tcPr>
          <w:p w:rsidR="000B2566" w:rsidRPr="008716F0" w:rsidRDefault="000B2566" w:rsidP="008716F0">
            <w:pPr>
              <w:pStyle w:val="TableText"/>
              <w:jc w:val="center"/>
              <w:rPr>
                <w:b/>
              </w:rPr>
            </w:pPr>
            <w:r w:rsidRPr="008716F0">
              <w:rPr>
                <w:b/>
              </w:rPr>
              <w:t>2017/18</w:t>
            </w:r>
          </w:p>
        </w:tc>
        <w:tc>
          <w:tcPr>
            <w:tcW w:w="1257" w:type="dxa"/>
            <w:tcBorders>
              <w:top w:val="nil"/>
              <w:bottom w:val="nil"/>
            </w:tcBorders>
            <w:shd w:val="clear" w:color="auto" w:fill="D9D9D9" w:themeFill="background1" w:themeFillShade="D9"/>
          </w:tcPr>
          <w:p w:rsidR="000B2566" w:rsidRPr="008716F0" w:rsidRDefault="000B2566" w:rsidP="008716F0">
            <w:pPr>
              <w:pStyle w:val="TableText"/>
              <w:jc w:val="center"/>
              <w:rPr>
                <w:b/>
              </w:rPr>
            </w:pPr>
            <w:r w:rsidRPr="008716F0">
              <w:rPr>
                <w:b/>
              </w:rPr>
              <w:t>Difference</w:t>
            </w:r>
          </w:p>
        </w:tc>
      </w:tr>
      <w:tr w:rsidR="000B2566" w:rsidRPr="009238B5" w:rsidTr="008716F0">
        <w:trPr>
          <w:cantSplit/>
        </w:trPr>
        <w:tc>
          <w:tcPr>
            <w:tcW w:w="2033" w:type="dxa"/>
            <w:tcBorders>
              <w:top w:val="nil"/>
            </w:tcBorders>
            <w:shd w:val="clear" w:color="auto" w:fill="auto"/>
          </w:tcPr>
          <w:p w:rsidR="000B2566" w:rsidRPr="00943F7F" w:rsidRDefault="000B2566" w:rsidP="008716F0">
            <w:pPr>
              <w:pStyle w:val="TableText"/>
            </w:pPr>
            <w:r w:rsidRPr="00943F7F">
              <w:t>Large</w:t>
            </w:r>
          </w:p>
        </w:tc>
        <w:tc>
          <w:tcPr>
            <w:tcW w:w="1256" w:type="dxa"/>
            <w:tcBorders>
              <w:top w:val="nil"/>
            </w:tcBorders>
            <w:shd w:val="clear" w:color="auto" w:fill="auto"/>
          </w:tcPr>
          <w:p w:rsidR="000B2566" w:rsidRPr="00943F7F" w:rsidRDefault="000B2566" w:rsidP="008716F0">
            <w:pPr>
              <w:pStyle w:val="TableText"/>
              <w:jc w:val="center"/>
            </w:pPr>
            <w:r w:rsidRPr="00943F7F">
              <w:t>90.1</w:t>
            </w:r>
            <w:r w:rsidR="008716F0">
              <w:t>%</w:t>
            </w:r>
          </w:p>
        </w:tc>
        <w:tc>
          <w:tcPr>
            <w:tcW w:w="1256" w:type="dxa"/>
            <w:tcBorders>
              <w:top w:val="nil"/>
            </w:tcBorders>
            <w:shd w:val="clear" w:color="auto" w:fill="auto"/>
          </w:tcPr>
          <w:p w:rsidR="000B2566" w:rsidRPr="00943F7F" w:rsidRDefault="000B2566" w:rsidP="008716F0">
            <w:pPr>
              <w:pStyle w:val="TableText"/>
              <w:jc w:val="center"/>
            </w:pPr>
            <w:r w:rsidRPr="00943F7F">
              <w:t>79.8</w:t>
            </w:r>
            <w:r w:rsidR="008716F0">
              <w:t>%</w:t>
            </w:r>
          </w:p>
        </w:tc>
        <w:tc>
          <w:tcPr>
            <w:tcW w:w="1257" w:type="dxa"/>
            <w:tcBorders>
              <w:top w:val="nil"/>
            </w:tcBorders>
            <w:shd w:val="clear" w:color="auto" w:fill="auto"/>
          </w:tcPr>
          <w:p w:rsidR="000B2566" w:rsidRPr="00943F7F" w:rsidRDefault="000B2566" w:rsidP="008716F0">
            <w:pPr>
              <w:pStyle w:val="TableText"/>
              <w:jc w:val="center"/>
            </w:pPr>
            <w:r w:rsidRPr="00943F7F">
              <w:t>-10.3</w:t>
            </w:r>
            <w:r w:rsidR="008716F0">
              <w:t>%</w:t>
            </w:r>
          </w:p>
        </w:tc>
      </w:tr>
      <w:tr w:rsidR="000B2566" w:rsidRPr="009238B5" w:rsidTr="008716F0">
        <w:trPr>
          <w:cantSplit/>
        </w:trPr>
        <w:tc>
          <w:tcPr>
            <w:tcW w:w="2033" w:type="dxa"/>
            <w:shd w:val="clear" w:color="auto" w:fill="auto"/>
          </w:tcPr>
          <w:p w:rsidR="000B2566" w:rsidRPr="00943F7F" w:rsidRDefault="000B2566" w:rsidP="008716F0">
            <w:pPr>
              <w:pStyle w:val="TableText"/>
            </w:pPr>
            <w:r w:rsidRPr="00943F7F">
              <w:t>Medium</w:t>
            </w:r>
          </w:p>
        </w:tc>
        <w:tc>
          <w:tcPr>
            <w:tcW w:w="1256" w:type="dxa"/>
            <w:shd w:val="clear" w:color="auto" w:fill="auto"/>
          </w:tcPr>
          <w:p w:rsidR="000B2566" w:rsidRPr="00943F7F" w:rsidRDefault="000B2566" w:rsidP="008716F0">
            <w:pPr>
              <w:pStyle w:val="TableText"/>
              <w:jc w:val="center"/>
            </w:pPr>
            <w:r w:rsidRPr="00943F7F">
              <w:t>61.2</w:t>
            </w:r>
            <w:r w:rsidR="008716F0">
              <w:t>%</w:t>
            </w:r>
          </w:p>
        </w:tc>
        <w:tc>
          <w:tcPr>
            <w:tcW w:w="1256" w:type="dxa"/>
            <w:shd w:val="clear" w:color="auto" w:fill="auto"/>
          </w:tcPr>
          <w:p w:rsidR="000B2566" w:rsidRPr="00943F7F" w:rsidRDefault="000B2566" w:rsidP="008716F0">
            <w:pPr>
              <w:pStyle w:val="TableText"/>
              <w:jc w:val="center"/>
            </w:pPr>
            <w:r w:rsidRPr="00943F7F">
              <w:t>65.7</w:t>
            </w:r>
            <w:r w:rsidR="008716F0">
              <w:t>%</w:t>
            </w:r>
          </w:p>
        </w:tc>
        <w:tc>
          <w:tcPr>
            <w:tcW w:w="1257" w:type="dxa"/>
            <w:shd w:val="clear" w:color="auto" w:fill="auto"/>
          </w:tcPr>
          <w:p w:rsidR="000B2566" w:rsidRPr="00943F7F" w:rsidRDefault="000B2566" w:rsidP="008716F0">
            <w:pPr>
              <w:pStyle w:val="TableText"/>
              <w:jc w:val="center"/>
            </w:pPr>
            <w:r w:rsidRPr="00943F7F">
              <w:t>4.4</w:t>
            </w:r>
            <w:r w:rsidR="008716F0">
              <w:t>%</w:t>
            </w:r>
          </w:p>
        </w:tc>
      </w:tr>
      <w:tr w:rsidR="000B2566" w:rsidRPr="009238B5" w:rsidTr="008716F0">
        <w:trPr>
          <w:cantSplit/>
        </w:trPr>
        <w:tc>
          <w:tcPr>
            <w:tcW w:w="2033" w:type="dxa"/>
            <w:shd w:val="clear" w:color="auto" w:fill="auto"/>
          </w:tcPr>
          <w:p w:rsidR="000B2566" w:rsidRPr="00943F7F" w:rsidRDefault="000B2566" w:rsidP="008716F0">
            <w:pPr>
              <w:pStyle w:val="TableText"/>
            </w:pPr>
            <w:r w:rsidRPr="00943F7F">
              <w:t>Minor</w:t>
            </w:r>
          </w:p>
        </w:tc>
        <w:tc>
          <w:tcPr>
            <w:tcW w:w="1256" w:type="dxa"/>
            <w:shd w:val="clear" w:color="auto" w:fill="auto"/>
          </w:tcPr>
          <w:p w:rsidR="000B2566" w:rsidRPr="00943F7F" w:rsidRDefault="000B2566" w:rsidP="008716F0">
            <w:pPr>
              <w:pStyle w:val="TableText"/>
              <w:jc w:val="center"/>
            </w:pPr>
            <w:r w:rsidRPr="00943F7F">
              <w:t>42.4</w:t>
            </w:r>
            <w:r w:rsidR="008716F0">
              <w:t>%</w:t>
            </w:r>
          </w:p>
        </w:tc>
        <w:tc>
          <w:tcPr>
            <w:tcW w:w="1256" w:type="dxa"/>
            <w:shd w:val="clear" w:color="auto" w:fill="auto"/>
          </w:tcPr>
          <w:p w:rsidR="000B2566" w:rsidRPr="00943F7F" w:rsidRDefault="000B2566" w:rsidP="008716F0">
            <w:pPr>
              <w:pStyle w:val="TableText"/>
              <w:jc w:val="center"/>
            </w:pPr>
            <w:r w:rsidRPr="00943F7F">
              <w:t>43.4</w:t>
            </w:r>
            <w:r w:rsidR="008716F0">
              <w:t>%</w:t>
            </w:r>
          </w:p>
        </w:tc>
        <w:tc>
          <w:tcPr>
            <w:tcW w:w="1257" w:type="dxa"/>
            <w:shd w:val="clear" w:color="auto" w:fill="auto"/>
          </w:tcPr>
          <w:p w:rsidR="000B2566" w:rsidRPr="00943F7F" w:rsidRDefault="000B2566" w:rsidP="008716F0">
            <w:pPr>
              <w:pStyle w:val="TableText"/>
              <w:jc w:val="center"/>
            </w:pPr>
            <w:r w:rsidRPr="00943F7F">
              <w:t>1.0</w:t>
            </w:r>
            <w:r w:rsidR="008716F0">
              <w:t>%</w:t>
            </w:r>
          </w:p>
        </w:tc>
      </w:tr>
      <w:tr w:rsidR="000B2566" w:rsidRPr="009238B5" w:rsidTr="008716F0">
        <w:trPr>
          <w:cantSplit/>
        </w:trPr>
        <w:tc>
          <w:tcPr>
            <w:tcW w:w="2033" w:type="dxa"/>
            <w:shd w:val="clear" w:color="auto" w:fill="auto"/>
          </w:tcPr>
          <w:p w:rsidR="000B2566" w:rsidRPr="00943F7F" w:rsidRDefault="000B2566" w:rsidP="008716F0">
            <w:pPr>
              <w:pStyle w:val="TableText"/>
            </w:pPr>
            <w:r w:rsidRPr="00943F7F">
              <w:t>Small</w:t>
            </w:r>
          </w:p>
        </w:tc>
        <w:tc>
          <w:tcPr>
            <w:tcW w:w="1256" w:type="dxa"/>
            <w:shd w:val="clear" w:color="auto" w:fill="auto"/>
          </w:tcPr>
          <w:p w:rsidR="000B2566" w:rsidRPr="00943F7F" w:rsidRDefault="000B2566" w:rsidP="008716F0">
            <w:pPr>
              <w:pStyle w:val="TableText"/>
              <w:jc w:val="center"/>
            </w:pPr>
            <w:r w:rsidRPr="00943F7F">
              <w:t>27.2</w:t>
            </w:r>
            <w:r w:rsidR="008716F0">
              <w:t>%</w:t>
            </w:r>
          </w:p>
        </w:tc>
        <w:tc>
          <w:tcPr>
            <w:tcW w:w="1256" w:type="dxa"/>
            <w:shd w:val="clear" w:color="auto" w:fill="auto"/>
          </w:tcPr>
          <w:p w:rsidR="000B2566" w:rsidRPr="00943F7F" w:rsidRDefault="000B2566" w:rsidP="008716F0">
            <w:pPr>
              <w:pStyle w:val="TableText"/>
              <w:jc w:val="center"/>
            </w:pPr>
            <w:r w:rsidRPr="00943F7F">
              <w:t>30.5</w:t>
            </w:r>
            <w:r w:rsidR="008716F0">
              <w:t>%</w:t>
            </w:r>
          </w:p>
        </w:tc>
        <w:tc>
          <w:tcPr>
            <w:tcW w:w="1257" w:type="dxa"/>
            <w:shd w:val="clear" w:color="auto" w:fill="auto"/>
          </w:tcPr>
          <w:p w:rsidR="000B2566" w:rsidRPr="00943F7F" w:rsidRDefault="000B2566" w:rsidP="008716F0">
            <w:pPr>
              <w:pStyle w:val="TableText"/>
              <w:jc w:val="center"/>
            </w:pPr>
            <w:r w:rsidRPr="00943F7F">
              <w:t>3.2</w:t>
            </w:r>
            <w:r w:rsidR="008716F0">
              <w:t>%</w:t>
            </w:r>
          </w:p>
        </w:tc>
      </w:tr>
      <w:tr w:rsidR="000B2566" w:rsidRPr="008716F0" w:rsidTr="008716F0">
        <w:trPr>
          <w:cantSplit/>
        </w:trPr>
        <w:tc>
          <w:tcPr>
            <w:tcW w:w="2033" w:type="dxa"/>
            <w:shd w:val="clear" w:color="auto" w:fill="auto"/>
          </w:tcPr>
          <w:p w:rsidR="000B2566" w:rsidRPr="008716F0" w:rsidRDefault="000B2566" w:rsidP="008716F0">
            <w:pPr>
              <w:pStyle w:val="TableText"/>
              <w:rPr>
                <w:b/>
              </w:rPr>
            </w:pPr>
            <w:r w:rsidRPr="008716F0">
              <w:rPr>
                <w:b/>
              </w:rPr>
              <w:t>Overall</w:t>
            </w:r>
          </w:p>
        </w:tc>
        <w:tc>
          <w:tcPr>
            <w:tcW w:w="1256" w:type="dxa"/>
            <w:shd w:val="clear" w:color="auto" w:fill="auto"/>
          </w:tcPr>
          <w:p w:rsidR="000B2566" w:rsidRPr="008716F0" w:rsidRDefault="000B2566" w:rsidP="008716F0">
            <w:pPr>
              <w:pStyle w:val="TableText"/>
              <w:jc w:val="center"/>
              <w:rPr>
                <w:b/>
              </w:rPr>
            </w:pPr>
            <w:r w:rsidRPr="008716F0">
              <w:rPr>
                <w:b/>
              </w:rPr>
              <w:t>83.1</w:t>
            </w:r>
            <w:r w:rsidR="008716F0" w:rsidRPr="008716F0">
              <w:rPr>
                <w:b/>
              </w:rPr>
              <w:t>%</w:t>
            </w:r>
          </w:p>
        </w:tc>
        <w:tc>
          <w:tcPr>
            <w:tcW w:w="1256" w:type="dxa"/>
            <w:shd w:val="clear" w:color="auto" w:fill="auto"/>
          </w:tcPr>
          <w:p w:rsidR="000B2566" w:rsidRPr="008716F0" w:rsidRDefault="000B2566" w:rsidP="008716F0">
            <w:pPr>
              <w:pStyle w:val="TableText"/>
              <w:jc w:val="center"/>
              <w:rPr>
                <w:b/>
              </w:rPr>
            </w:pPr>
            <w:r w:rsidRPr="008716F0">
              <w:rPr>
                <w:b/>
              </w:rPr>
              <w:t>74.8</w:t>
            </w:r>
            <w:r w:rsidR="008716F0" w:rsidRPr="008716F0">
              <w:rPr>
                <w:b/>
              </w:rPr>
              <w:t>%</w:t>
            </w:r>
          </w:p>
        </w:tc>
        <w:tc>
          <w:tcPr>
            <w:tcW w:w="1257" w:type="dxa"/>
            <w:shd w:val="clear" w:color="auto" w:fill="auto"/>
          </w:tcPr>
          <w:p w:rsidR="000B2566" w:rsidRPr="008716F0" w:rsidRDefault="000B2566" w:rsidP="008716F0">
            <w:pPr>
              <w:pStyle w:val="TableText"/>
              <w:jc w:val="center"/>
              <w:rPr>
                <w:b/>
              </w:rPr>
            </w:pPr>
            <w:r w:rsidRPr="008716F0">
              <w:rPr>
                <w:b/>
              </w:rPr>
              <w:t>-8.3</w:t>
            </w:r>
            <w:r w:rsidR="008716F0" w:rsidRPr="008716F0">
              <w:rPr>
                <w:b/>
              </w:rPr>
              <w:t>%</w:t>
            </w:r>
          </w:p>
        </w:tc>
      </w:tr>
    </w:tbl>
    <w:p w:rsidR="000B2566" w:rsidRDefault="000B2566" w:rsidP="00B80746"/>
    <w:p w:rsidR="00943F7F" w:rsidRDefault="000B2566" w:rsidP="00B80746">
      <w:r w:rsidRPr="009238B5">
        <w:t>In</w:t>
      </w:r>
      <w:r>
        <w:t xml:space="preserve"> interpreting the data</w:t>
      </w:r>
      <w:r w:rsidRPr="009238B5">
        <w:t xml:space="preserve"> </w:t>
      </w:r>
      <w:r w:rsidRPr="009238B5">
        <w:fldChar w:fldCharType="begin"/>
      </w:r>
      <w:r w:rsidRPr="00FB2D9F">
        <w:instrText xml:space="preserve"> REF _Ref529442047 \h </w:instrText>
      </w:r>
      <w:r w:rsidRPr="0061528C">
        <w:instrText xml:space="preserve"> \* MERGEFORMAT </w:instrText>
      </w:r>
      <w:r w:rsidRPr="009238B5">
        <w:fldChar w:fldCharType="separate"/>
      </w:r>
      <w:r w:rsidR="00A041DA" w:rsidRPr="00E214EA">
        <w:t xml:space="preserve">Table </w:t>
      </w:r>
      <w:r w:rsidRPr="009238B5">
        <w:fldChar w:fldCharType="end"/>
      </w:r>
      <w:r w:rsidRPr="009238B5">
        <w:t xml:space="preserve">8 </w:t>
      </w:r>
      <w:r>
        <w:t>shows, readers should take note of the fact that, in the previous year supply sizes were based on the size of zones in a supply. For this reporting period population bands are assigned for the whole supply</w:t>
      </w:r>
      <w:r w:rsidRPr="009238B5">
        <w:t>.</w:t>
      </w:r>
    </w:p>
    <w:p w:rsidR="00B80746" w:rsidRDefault="00B80746" w:rsidP="00B80746"/>
    <w:p w:rsidR="00943F7F" w:rsidRDefault="000B2566" w:rsidP="00B80746">
      <w:r w:rsidRPr="009238B5">
        <w:t xml:space="preserve">The greatest change was </w:t>
      </w:r>
      <w:r w:rsidRPr="00C0269A">
        <w:t>in the large suppliers</w:t>
      </w:r>
      <w:r>
        <w:t>, where there was</w:t>
      </w:r>
      <w:r w:rsidRPr="009238B5">
        <w:t xml:space="preserve"> a 10.3 percent decrease</w:t>
      </w:r>
      <w:r>
        <w:t xml:space="preserve"> in </w:t>
      </w:r>
      <w:r w:rsidRPr="009238B5">
        <w:t xml:space="preserve">the proportion of the population served </w:t>
      </w:r>
      <w:r>
        <w:t>for which suppliers met the protozoal Standards</w:t>
      </w:r>
      <w:r w:rsidRPr="009238B5">
        <w:t>. All other size bands saw an increase. The 14 large supplies that failed to achieve the protozoal Standard were: Cambridge, Te Awamutu and Pirongia, Hastings Urban, Napier, Gisborne City, Feilding, Levin, Blenheim, Ashburton, Christchurch Central, Northwest Christchurch, Timaru City, Queenstown and Wanaka. In the previous reporting period, 11 large supplies failed: Cambridge, Feilding, Hastings Urban, Invercargill, Levin, Northwest Christchurch, Queenstown, Richmond/Waimea Industrial, Tokoroa, Wanaka and Whakatane.</w:t>
      </w:r>
    </w:p>
    <w:p w:rsidR="00B80746" w:rsidRDefault="00B80746" w:rsidP="00B80746"/>
    <w:p w:rsidR="000B2566" w:rsidRDefault="000B2566" w:rsidP="00B80746">
      <w:r w:rsidRPr="009238B5">
        <w:t>All failures to achieve the protozoal standards</w:t>
      </w:r>
      <w:r>
        <w:t xml:space="preserve"> </w:t>
      </w:r>
      <w:r w:rsidRPr="009238B5">
        <w:t>arose from failures in providing or monitoring appropriate plant processes, since protozoa are not monitored directly.</w:t>
      </w:r>
    </w:p>
    <w:p w:rsidR="00B80746" w:rsidRPr="009238B5" w:rsidRDefault="00B80746" w:rsidP="00B80746"/>
    <w:p w:rsidR="000B2566" w:rsidRPr="009238B5" w:rsidRDefault="000B2566" w:rsidP="00B80746">
      <w:r w:rsidRPr="009238B5">
        <w:t>Protozoal non-achievement does not necessarily mean that pathogenic protozoa (</w:t>
      </w:r>
      <w:r w:rsidRPr="009238B5">
        <w:rPr>
          <w:i/>
        </w:rPr>
        <w:t>Giardia</w:t>
      </w:r>
      <w:r w:rsidRPr="009238B5">
        <w:t xml:space="preserve"> spp. and </w:t>
      </w:r>
      <w:r w:rsidRPr="009238B5">
        <w:rPr>
          <w:i/>
        </w:rPr>
        <w:t>Cryptosporidium</w:t>
      </w:r>
      <w:r w:rsidRPr="009238B5">
        <w:t xml:space="preserve"> spp.) were present in the drinking-water. Protozoal achievement is based on the likelihood that the treatment processes in operation will adequately protect the community if pathogenic protozoa are present in the source water. To achieve this, the drinking-water supplier must meet two requirements. </w:t>
      </w:r>
      <w:r>
        <w:t>T</w:t>
      </w:r>
      <w:r w:rsidRPr="009238B5">
        <w:t>hey must either use groundwater meeting the secure bore water criteria of the Standards, or have treatment processes in operation that can remove or inactivate an adequate percentage of any protozoa present in the raw source water. The drinking-water supplier must be able to show that they are operating the treatment processes sufficiently well to meet the target percentage protozoal removal or inactivation.</w:t>
      </w:r>
    </w:p>
    <w:p w:rsidR="00B80746" w:rsidRDefault="00B80746" w:rsidP="00B80746"/>
    <w:p w:rsidR="00943F7F" w:rsidRDefault="000B2566" w:rsidP="00B80746">
      <w:r w:rsidRPr="009238B5">
        <w:lastRenderedPageBreak/>
        <w:t xml:space="preserve">The reason </w:t>
      </w:r>
      <w:r>
        <w:t>that</w:t>
      </w:r>
      <w:r w:rsidRPr="009238B5">
        <w:t xml:space="preserve"> a number of large supplies, including Christchurch Central and Nap</w:t>
      </w:r>
      <w:r>
        <w:t>i</w:t>
      </w:r>
      <w:r w:rsidRPr="009238B5">
        <w:t xml:space="preserve">er, failed to comply with the protozoal standard this year when they had </w:t>
      </w:r>
      <w:r>
        <w:t xml:space="preserve">done so </w:t>
      </w:r>
      <w:r w:rsidRPr="009238B5">
        <w:t>previously was the loss of secure bore water status.</w:t>
      </w:r>
    </w:p>
    <w:p w:rsidR="00B80746" w:rsidRDefault="00B80746" w:rsidP="00B80746"/>
    <w:p w:rsidR="00943F7F" w:rsidRDefault="000B2566" w:rsidP="00B80746">
      <w:r w:rsidRPr="009238B5">
        <w:t xml:space="preserve">The trend of decreasing protozoal achievement with decreasing supply size is possibly a reflection of the higher cost of effective protozoal treatment, which </w:t>
      </w:r>
      <w:r>
        <w:t xml:space="preserve">smaller communities are </w:t>
      </w:r>
      <w:r w:rsidRPr="009238B5">
        <w:t xml:space="preserve">less able to </w:t>
      </w:r>
      <w:r>
        <w:t>bear</w:t>
      </w:r>
      <w:r w:rsidRPr="009238B5">
        <w:t>. It is also possible that the operators of treatment plants supplying smaller communities do not have the same level of expertise as those operating larger systems.</w:t>
      </w:r>
    </w:p>
    <w:p w:rsidR="00F83517" w:rsidRDefault="00F83517" w:rsidP="00B80746"/>
    <w:p w:rsidR="00F83517" w:rsidRPr="00F83517" w:rsidRDefault="00F83517" w:rsidP="00F83517">
      <w:pPr>
        <w:pStyle w:val="Heading2"/>
      </w:pPr>
      <w:r w:rsidRPr="00F83517">
        <w:t>Public Health Significance of Protozoal Compliance</w:t>
      </w:r>
    </w:p>
    <w:p w:rsidR="00F83517" w:rsidRDefault="00F83517" w:rsidP="00F83517"/>
    <w:p w:rsidR="00F83517" w:rsidRDefault="00F83517" w:rsidP="00F83517">
      <w:r>
        <w:t>The majority of protozoa are fresh water organisms of no public health significance. There are however two groups of protozoa which can cause adverse health reactions</w:t>
      </w:r>
      <w:r w:rsidR="00C92C85">
        <w:t>.</w:t>
      </w:r>
    </w:p>
    <w:p w:rsidR="00F83517" w:rsidRDefault="00F83517" w:rsidP="00F83517"/>
    <w:p w:rsidR="00F83517" w:rsidRPr="00F83517" w:rsidRDefault="00F83517" w:rsidP="00F83517">
      <w:pPr>
        <w:pStyle w:val="Bullet"/>
        <w:tabs>
          <w:tab w:val="clear" w:pos="284"/>
        </w:tabs>
      </w:pPr>
      <w:r w:rsidRPr="00F83517">
        <w:t xml:space="preserve">Enteric protozoa that live in the gut of humans and other animals such as some species </w:t>
      </w:r>
      <w:r w:rsidR="00C92C85">
        <w:t>of Cryptosporidium  and Giardia</w:t>
      </w:r>
    </w:p>
    <w:p w:rsidR="00F83517" w:rsidRDefault="00F83517" w:rsidP="00F83517">
      <w:pPr>
        <w:pStyle w:val="Bullet"/>
        <w:tabs>
          <w:tab w:val="clear" w:pos="284"/>
        </w:tabs>
      </w:pPr>
      <w:r w:rsidRPr="00F83517">
        <w:t>Free living organisms that are opportunistic pathogens in humans and may cause serious illness such as Naegleria fowlerii and some species of Acanthamoeba</w:t>
      </w:r>
      <w:r w:rsidR="00C92C85">
        <w:t>.</w:t>
      </w:r>
    </w:p>
    <w:p w:rsidR="00F83517" w:rsidRPr="00F83517" w:rsidRDefault="00F83517" w:rsidP="00F83517">
      <w:pPr>
        <w:pStyle w:val="Bullet"/>
        <w:numPr>
          <w:ilvl w:val="0"/>
          <w:numId w:val="0"/>
        </w:numPr>
        <w:ind w:left="284"/>
      </w:pPr>
    </w:p>
    <w:p w:rsidR="00F83517" w:rsidRDefault="00F83517" w:rsidP="00F83517">
      <w:r w:rsidRPr="00FB6078">
        <w:rPr>
          <w:i/>
        </w:rPr>
        <w:t>Cryptosporidium</w:t>
      </w:r>
      <w:r w:rsidRPr="00FB6078">
        <w:t xml:space="preserve"> has </w:t>
      </w:r>
      <w:r>
        <w:t>recently been identified</w:t>
      </w:r>
      <w:r w:rsidRPr="00FB6078">
        <w:t xml:space="preserve"> as one of the most important waterborne</w:t>
      </w:r>
      <w:r>
        <w:t xml:space="preserve"> </w:t>
      </w:r>
      <w:r w:rsidRPr="00FB6078">
        <w:t>human pathogens in developed countries</w:t>
      </w:r>
      <w:r>
        <w:t xml:space="preserve"> responsible for a large number of outbreaks</w:t>
      </w:r>
      <w:r w:rsidRPr="00FB6078">
        <w:t>.</w:t>
      </w:r>
    </w:p>
    <w:p w:rsidR="00F83517" w:rsidRDefault="00F83517" w:rsidP="00F83517">
      <w:r>
        <w:t>Protozoa can cause illness in people when present in very low numbers therefore any presence of any of these organisms in the drinking water supply can put public health at risk.</w:t>
      </w:r>
    </w:p>
    <w:p w:rsidR="00B80746" w:rsidRPr="00943F7F" w:rsidRDefault="00B80746" w:rsidP="00B80746"/>
    <w:p w:rsidR="000B2566" w:rsidRPr="009238B5" w:rsidRDefault="000B2566" w:rsidP="00B80746">
      <w:pPr>
        <w:pStyle w:val="Heading2"/>
      </w:pPr>
      <w:bookmarkStart w:id="81" w:name="chemical-achievement-against-the-standar"/>
      <w:bookmarkStart w:id="82" w:name="_Toc10554016"/>
      <w:bookmarkEnd w:id="81"/>
      <w:r w:rsidRPr="009238B5">
        <w:t>Meeting the chemical Standards</w:t>
      </w:r>
      <w:bookmarkEnd w:id="82"/>
    </w:p>
    <w:p w:rsidR="000B2566" w:rsidRPr="009238B5" w:rsidRDefault="000B2566" w:rsidP="00B80746">
      <w:r w:rsidRPr="009238B5">
        <w:t>During the reporting period, 98.9 percent (3,796,000 people) of the report population was supplied with drinking-water that met the chemical Standards (</w:t>
      </w:r>
      <w:r w:rsidRPr="00B80746">
        <w:fldChar w:fldCharType="begin"/>
      </w:r>
      <w:r w:rsidRPr="00B80746">
        <w:instrText xml:space="preserve"> REF _Ref529464396 \h  \* MERGEFORMAT </w:instrText>
      </w:r>
      <w:r w:rsidRPr="00B80746">
        <w:fldChar w:fldCharType="separate"/>
      </w:r>
      <w:r w:rsidR="00A041DA" w:rsidRPr="00A041DA">
        <w:t xml:space="preserve">Table </w:t>
      </w:r>
      <w:r w:rsidRPr="00B80746">
        <w:fldChar w:fldCharType="end"/>
      </w:r>
      <w:r w:rsidRPr="00B80746">
        <w:t xml:space="preserve">9); </w:t>
      </w:r>
      <w:r w:rsidRPr="009238B5">
        <w:t>1.1</w:t>
      </w:r>
      <w:r w:rsidR="00B80746">
        <w:t> </w:t>
      </w:r>
      <w:r w:rsidRPr="009238B5">
        <w:t>percent (43,200 people) received water that did not meet the Standards.</w:t>
      </w:r>
    </w:p>
    <w:p w:rsidR="00B80746" w:rsidRDefault="00B80746" w:rsidP="00B80746"/>
    <w:p w:rsidR="000B2566" w:rsidRDefault="000B2566" w:rsidP="00B80746">
      <w:r w:rsidRPr="009238B5">
        <w:t xml:space="preserve">Chemical determinands </w:t>
      </w:r>
      <w:r>
        <w:t>do not have to be</w:t>
      </w:r>
      <w:r w:rsidRPr="009238B5">
        <w:t xml:space="preserve"> monitored in all supplies, but are assigned as Priority 2 determinands to specific supply components (treatment plants or distribution zones) where treatment or water characteristics indicate levels </w:t>
      </w:r>
      <w:r>
        <w:t xml:space="preserve">of chemicals </w:t>
      </w:r>
      <w:r w:rsidRPr="009238B5">
        <w:t xml:space="preserve">may approach MAVs. Chemicals used for disinfection or other treatment processes are not usually assigned as Priority 2 determinands, because resultant water concentrations of those chemicals generally do not approach MAVs. Nevertheless, they may require monitoring as part of assessing bacteriological or protozoal achievement. That </w:t>
      </w:r>
      <w:r>
        <w:t xml:space="preserve">type of </w:t>
      </w:r>
      <w:r w:rsidRPr="009238B5">
        <w:lastRenderedPageBreak/>
        <w:t>monitoring is external to the assessment of Priority 2 determinands in this chemical achievement section of the report.</w:t>
      </w:r>
    </w:p>
    <w:p w:rsidR="00B80746" w:rsidRPr="009238B5" w:rsidRDefault="00B80746" w:rsidP="00B80746"/>
    <w:p w:rsidR="000B2566" w:rsidRDefault="000B2566" w:rsidP="00B80746">
      <w:r w:rsidRPr="009238B5">
        <w:t xml:space="preserve">For a supply to achieve the chemical Standards, it needs to achieve </w:t>
      </w:r>
      <w:r>
        <w:t xml:space="preserve">the Standard </w:t>
      </w:r>
      <w:r w:rsidRPr="009238B5">
        <w:t>for all chemical determinands assigned to the supply</w:t>
      </w:r>
      <w:r w:rsidR="00943F7F">
        <w:t>’</w:t>
      </w:r>
      <w:r w:rsidRPr="009238B5">
        <w:t>s distribution zones, as well as for all chemical determinands assigned to any treatment plant supplying water to those zones.</w:t>
      </w:r>
      <w:r w:rsidRPr="00943F7F">
        <w:rPr>
          <w:rFonts w:asciiTheme="minorHAnsi" w:hAnsiTheme="minorHAnsi"/>
        </w:rPr>
        <w:t xml:space="preserve"> (</w:t>
      </w:r>
      <w:r w:rsidRPr="009238B5">
        <w:t>Distribution zones are parts of the drinking-water supply network within which all consumers receive drinking-water of identical quality.</w:t>
      </w:r>
      <w:r>
        <w:t>)</w:t>
      </w:r>
    </w:p>
    <w:p w:rsidR="00B80746" w:rsidRPr="009238B5" w:rsidRDefault="00B80746" w:rsidP="00B80746"/>
    <w:p w:rsidR="000B2566" w:rsidRDefault="000B2566" w:rsidP="00B80746">
      <w:r>
        <w:t>Table 9 summarises c</w:t>
      </w:r>
      <w:r w:rsidRPr="009238B5">
        <w:t>omparison of chemical achievement between reporting periods</w:t>
      </w:r>
      <w:r>
        <w:t>.</w:t>
      </w:r>
      <w:r w:rsidRPr="009238B5">
        <w:t xml:space="preserve"> Adjustments have been made to take into account changes in the </w:t>
      </w:r>
      <w:r>
        <w:t>definition</w:t>
      </w:r>
      <w:r w:rsidRPr="009238B5">
        <w:t xml:space="preserve"> of supply sizes. Compared with the previous reporting period, all supply sizes, with the exception of minor supplies, showed improved achievement. Overall</w:t>
      </w:r>
      <w:r>
        <w:t>,</w:t>
      </w:r>
      <w:r w:rsidRPr="009238B5">
        <w:t xml:space="preserve"> there was a 1.7 percentage point increase in the population receiving drinking-water from chemically achieving supplies: a difference of 86,600 people between reporting periods.</w:t>
      </w:r>
    </w:p>
    <w:p w:rsidR="00B80746" w:rsidRPr="009238B5" w:rsidRDefault="00B80746" w:rsidP="00B80746"/>
    <w:p w:rsidR="000B2566" w:rsidRPr="009238B5" w:rsidRDefault="000B2566" w:rsidP="00B80746">
      <w:pPr>
        <w:pStyle w:val="Table"/>
        <w:rPr>
          <w:rFonts w:ascii="Georgia" w:hAnsi="Georgia"/>
          <w:bCs/>
          <w:sz w:val="22"/>
        </w:rPr>
      </w:pPr>
      <w:bookmarkStart w:id="83" w:name="_Ref529464396"/>
      <w:bookmarkStart w:id="84" w:name="_Toc9846302"/>
      <w:r w:rsidRPr="009238B5">
        <w:t xml:space="preserve">Table </w:t>
      </w:r>
      <w:bookmarkEnd w:id="83"/>
      <w:r w:rsidRPr="009238B5">
        <w:rPr>
          <w:noProof/>
        </w:rPr>
        <w:t>9</w:t>
      </w:r>
      <w:r w:rsidRPr="009238B5">
        <w:t>: Chemical achievement against the Standards between reporting periods</w:t>
      </w:r>
      <w:bookmarkEnd w:id="84"/>
    </w:p>
    <w:tbl>
      <w:tblPr>
        <w:tblW w:w="3541" w:type="pct"/>
        <w:tblInd w:w="57" w:type="dxa"/>
        <w:tblBorders>
          <w:bottom w:val="single" w:sz="4" w:space="0" w:color="A6A6A6" w:themeColor="background1" w:themeShade="A6"/>
          <w:insideH w:val="single" w:sz="4" w:space="0" w:color="A6A6A6" w:themeColor="background1" w:themeShade="A6"/>
        </w:tblBorders>
        <w:tblLayout w:type="fixed"/>
        <w:tblCellMar>
          <w:left w:w="57" w:type="dxa"/>
          <w:right w:w="57" w:type="dxa"/>
        </w:tblCellMar>
        <w:tblLook w:val="07E0" w:firstRow="1" w:lastRow="1" w:firstColumn="1" w:lastColumn="1" w:noHBand="1" w:noVBand="1"/>
      </w:tblPr>
      <w:tblGrid>
        <w:gridCol w:w="2004"/>
        <w:gridCol w:w="1239"/>
        <w:gridCol w:w="1239"/>
        <w:gridCol w:w="1240"/>
      </w:tblGrid>
      <w:tr w:rsidR="000B2566" w:rsidRPr="008716F0" w:rsidTr="008716F0">
        <w:trPr>
          <w:cantSplit/>
        </w:trPr>
        <w:tc>
          <w:tcPr>
            <w:tcW w:w="2033" w:type="dxa"/>
            <w:tcBorders>
              <w:top w:val="nil"/>
              <w:bottom w:val="nil"/>
            </w:tcBorders>
            <w:shd w:val="clear" w:color="auto" w:fill="D9D9D9" w:themeFill="background1" w:themeFillShade="D9"/>
          </w:tcPr>
          <w:p w:rsidR="000B2566" w:rsidRPr="008716F0" w:rsidRDefault="000B2566" w:rsidP="008716F0">
            <w:pPr>
              <w:pStyle w:val="TableText"/>
              <w:keepNext/>
              <w:rPr>
                <w:b/>
              </w:rPr>
            </w:pPr>
            <w:r w:rsidRPr="008716F0">
              <w:rPr>
                <w:b/>
              </w:rPr>
              <w:t>Type of supplier</w:t>
            </w:r>
          </w:p>
        </w:tc>
        <w:tc>
          <w:tcPr>
            <w:tcW w:w="1256" w:type="dxa"/>
            <w:tcBorders>
              <w:top w:val="nil"/>
              <w:bottom w:val="nil"/>
            </w:tcBorders>
            <w:shd w:val="clear" w:color="auto" w:fill="D9D9D9" w:themeFill="background1" w:themeFillShade="D9"/>
          </w:tcPr>
          <w:p w:rsidR="000B2566" w:rsidRPr="008716F0" w:rsidRDefault="000B2566" w:rsidP="008716F0">
            <w:pPr>
              <w:pStyle w:val="TableText"/>
              <w:keepNext/>
              <w:jc w:val="center"/>
              <w:rPr>
                <w:b/>
              </w:rPr>
            </w:pPr>
            <w:r w:rsidRPr="008716F0">
              <w:rPr>
                <w:b/>
              </w:rPr>
              <w:t>2016/17</w:t>
            </w:r>
          </w:p>
        </w:tc>
        <w:tc>
          <w:tcPr>
            <w:tcW w:w="1256" w:type="dxa"/>
            <w:tcBorders>
              <w:top w:val="nil"/>
              <w:bottom w:val="nil"/>
            </w:tcBorders>
            <w:shd w:val="clear" w:color="auto" w:fill="D9D9D9" w:themeFill="background1" w:themeFillShade="D9"/>
          </w:tcPr>
          <w:p w:rsidR="000B2566" w:rsidRPr="008716F0" w:rsidRDefault="000B2566" w:rsidP="008716F0">
            <w:pPr>
              <w:pStyle w:val="TableText"/>
              <w:keepNext/>
              <w:jc w:val="center"/>
              <w:rPr>
                <w:b/>
              </w:rPr>
            </w:pPr>
            <w:r w:rsidRPr="008716F0">
              <w:rPr>
                <w:b/>
              </w:rPr>
              <w:t>2017/18</w:t>
            </w:r>
          </w:p>
        </w:tc>
        <w:tc>
          <w:tcPr>
            <w:tcW w:w="1257" w:type="dxa"/>
            <w:tcBorders>
              <w:top w:val="nil"/>
              <w:bottom w:val="nil"/>
            </w:tcBorders>
            <w:shd w:val="clear" w:color="auto" w:fill="D9D9D9" w:themeFill="background1" w:themeFillShade="D9"/>
          </w:tcPr>
          <w:p w:rsidR="000B2566" w:rsidRPr="008716F0" w:rsidRDefault="000B2566" w:rsidP="008716F0">
            <w:pPr>
              <w:pStyle w:val="TableText"/>
              <w:keepNext/>
              <w:jc w:val="center"/>
              <w:rPr>
                <w:b/>
              </w:rPr>
            </w:pPr>
            <w:r w:rsidRPr="008716F0">
              <w:rPr>
                <w:b/>
              </w:rPr>
              <w:t>Difference</w:t>
            </w:r>
          </w:p>
        </w:tc>
      </w:tr>
      <w:tr w:rsidR="000B2566" w:rsidRPr="009238B5" w:rsidTr="008716F0">
        <w:trPr>
          <w:cantSplit/>
        </w:trPr>
        <w:tc>
          <w:tcPr>
            <w:tcW w:w="2033" w:type="dxa"/>
            <w:tcBorders>
              <w:top w:val="nil"/>
            </w:tcBorders>
            <w:shd w:val="clear" w:color="auto" w:fill="auto"/>
          </w:tcPr>
          <w:p w:rsidR="000B2566" w:rsidRPr="00943F7F" w:rsidRDefault="000B2566" w:rsidP="008716F0">
            <w:pPr>
              <w:pStyle w:val="TableText"/>
              <w:keepNext/>
            </w:pPr>
            <w:r w:rsidRPr="00943F7F">
              <w:t>Large</w:t>
            </w:r>
          </w:p>
        </w:tc>
        <w:tc>
          <w:tcPr>
            <w:tcW w:w="1256" w:type="dxa"/>
            <w:tcBorders>
              <w:top w:val="nil"/>
            </w:tcBorders>
            <w:shd w:val="clear" w:color="auto" w:fill="auto"/>
          </w:tcPr>
          <w:p w:rsidR="000B2566" w:rsidRPr="00943F7F" w:rsidRDefault="000B2566" w:rsidP="008716F0">
            <w:pPr>
              <w:pStyle w:val="TableText"/>
              <w:keepNext/>
              <w:jc w:val="center"/>
            </w:pPr>
            <w:r w:rsidRPr="00943F7F">
              <w:t>98.0</w:t>
            </w:r>
            <w:r w:rsidR="008716F0">
              <w:t>%</w:t>
            </w:r>
          </w:p>
        </w:tc>
        <w:tc>
          <w:tcPr>
            <w:tcW w:w="1256" w:type="dxa"/>
            <w:tcBorders>
              <w:top w:val="nil"/>
            </w:tcBorders>
            <w:shd w:val="clear" w:color="auto" w:fill="auto"/>
          </w:tcPr>
          <w:p w:rsidR="000B2566" w:rsidRPr="00943F7F" w:rsidRDefault="000B2566" w:rsidP="008716F0">
            <w:pPr>
              <w:pStyle w:val="TableText"/>
              <w:keepNext/>
              <w:jc w:val="center"/>
            </w:pPr>
            <w:r w:rsidRPr="00943F7F">
              <w:t>100</w:t>
            </w:r>
            <w:r w:rsidR="008716F0">
              <w:t>%</w:t>
            </w:r>
          </w:p>
        </w:tc>
        <w:tc>
          <w:tcPr>
            <w:tcW w:w="1257" w:type="dxa"/>
            <w:tcBorders>
              <w:top w:val="nil"/>
            </w:tcBorders>
            <w:shd w:val="clear" w:color="auto" w:fill="auto"/>
          </w:tcPr>
          <w:p w:rsidR="000B2566" w:rsidRPr="00943F7F" w:rsidRDefault="000B2566" w:rsidP="008716F0">
            <w:pPr>
              <w:pStyle w:val="TableText"/>
              <w:keepNext/>
              <w:jc w:val="center"/>
            </w:pPr>
            <w:r w:rsidRPr="00943F7F">
              <w:t>2.0</w:t>
            </w:r>
            <w:r w:rsidR="008716F0">
              <w:t>%</w:t>
            </w:r>
          </w:p>
        </w:tc>
      </w:tr>
      <w:tr w:rsidR="000B2566" w:rsidRPr="009238B5" w:rsidTr="008716F0">
        <w:trPr>
          <w:cantSplit/>
        </w:trPr>
        <w:tc>
          <w:tcPr>
            <w:tcW w:w="2033" w:type="dxa"/>
            <w:shd w:val="clear" w:color="auto" w:fill="auto"/>
          </w:tcPr>
          <w:p w:rsidR="000B2566" w:rsidRPr="00943F7F" w:rsidRDefault="000B2566" w:rsidP="008716F0">
            <w:pPr>
              <w:pStyle w:val="TableText"/>
              <w:keepNext/>
            </w:pPr>
            <w:r w:rsidRPr="00943F7F">
              <w:t>Medium</w:t>
            </w:r>
          </w:p>
        </w:tc>
        <w:tc>
          <w:tcPr>
            <w:tcW w:w="1256" w:type="dxa"/>
            <w:shd w:val="clear" w:color="auto" w:fill="auto"/>
          </w:tcPr>
          <w:p w:rsidR="000B2566" w:rsidRPr="00943F7F" w:rsidRDefault="000B2566" w:rsidP="008716F0">
            <w:pPr>
              <w:pStyle w:val="TableText"/>
              <w:keepNext/>
              <w:jc w:val="center"/>
            </w:pPr>
            <w:r w:rsidRPr="00943F7F">
              <w:t>92.0</w:t>
            </w:r>
            <w:r w:rsidR="008716F0">
              <w:t>%</w:t>
            </w:r>
          </w:p>
        </w:tc>
        <w:tc>
          <w:tcPr>
            <w:tcW w:w="1256" w:type="dxa"/>
            <w:shd w:val="clear" w:color="auto" w:fill="auto"/>
          </w:tcPr>
          <w:p w:rsidR="000B2566" w:rsidRPr="00943F7F" w:rsidRDefault="000B2566" w:rsidP="008716F0">
            <w:pPr>
              <w:pStyle w:val="TableText"/>
              <w:keepNext/>
              <w:jc w:val="center"/>
            </w:pPr>
            <w:r w:rsidRPr="00943F7F">
              <w:t>95.1</w:t>
            </w:r>
            <w:r w:rsidR="008716F0">
              <w:t>%</w:t>
            </w:r>
          </w:p>
        </w:tc>
        <w:tc>
          <w:tcPr>
            <w:tcW w:w="1257" w:type="dxa"/>
            <w:shd w:val="clear" w:color="auto" w:fill="auto"/>
          </w:tcPr>
          <w:p w:rsidR="000B2566" w:rsidRPr="00943F7F" w:rsidRDefault="000B2566" w:rsidP="008716F0">
            <w:pPr>
              <w:pStyle w:val="TableText"/>
              <w:keepNext/>
              <w:jc w:val="center"/>
            </w:pPr>
            <w:r w:rsidRPr="00943F7F">
              <w:t>3.1</w:t>
            </w:r>
            <w:r w:rsidR="008716F0">
              <w:t>%</w:t>
            </w:r>
          </w:p>
        </w:tc>
      </w:tr>
      <w:tr w:rsidR="000B2566" w:rsidRPr="009238B5" w:rsidTr="008716F0">
        <w:trPr>
          <w:cantSplit/>
        </w:trPr>
        <w:tc>
          <w:tcPr>
            <w:tcW w:w="2033" w:type="dxa"/>
            <w:shd w:val="clear" w:color="auto" w:fill="auto"/>
          </w:tcPr>
          <w:p w:rsidR="000B2566" w:rsidRPr="00943F7F" w:rsidRDefault="000B2566" w:rsidP="008716F0">
            <w:pPr>
              <w:pStyle w:val="TableText"/>
              <w:keepNext/>
            </w:pPr>
            <w:r w:rsidRPr="00943F7F">
              <w:t>Minor</w:t>
            </w:r>
          </w:p>
        </w:tc>
        <w:tc>
          <w:tcPr>
            <w:tcW w:w="1256" w:type="dxa"/>
            <w:shd w:val="clear" w:color="auto" w:fill="auto"/>
          </w:tcPr>
          <w:p w:rsidR="000B2566" w:rsidRPr="00943F7F" w:rsidRDefault="000B2566" w:rsidP="008716F0">
            <w:pPr>
              <w:pStyle w:val="TableText"/>
              <w:keepNext/>
              <w:jc w:val="center"/>
            </w:pPr>
            <w:r w:rsidRPr="00943F7F">
              <w:t>92.6</w:t>
            </w:r>
            <w:r w:rsidR="008716F0">
              <w:t>%</w:t>
            </w:r>
          </w:p>
        </w:tc>
        <w:tc>
          <w:tcPr>
            <w:tcW w:w="1256" w:type="dxa"/>
            <w:shd w:val="clear" w:color="auto" w:fill="auto"/>
          </w:tcPr>
          <w:p w:rsidR="000B2566" w:rsidRPr="00943F7F" w:rsidRDefault="000B2566" w:rsidP="008716F0">
            <w:pPr>
              <w:pStyle w:val="TableText"/>
              <w:keepNext/>
              <w:jc w:val="center"/>
            </w:pPr>
            <w:r w:rsidRPr="00943F7F">
              <w:t>91.3</w:t>
            </w:r>
            <w:r w:rsidR="008716F0">
              <w:t>%</w:t>
            </w:r>
          </w:p>
        </w:tc>
        <w:tc>
          <w:tcPr>
            <w:tcW w:w="1257" w:type="dxa"/>
            <w:shd w:val="clear" w:color="auto" w:fill="auto"/>
          </w:tcPr>
          <w:p w:rsidR="000B2566" w:rsidRPr="00943F7F" w:rsidRDefault="000B2566" w:rsidP="008716F0">
            <w:pPr>
              <w:pStyle w:val="TableText"/>
              <w:keepNext/>
              <w:jc w:val="center"/>
            </w:pPr>
            <w:r w:rsidRPr="00943F7F">
              <w:t>-1.2</w:t>
            </w:r>
            <w:r w:rsidR="008716F0">
              <w:t>%</w:t>
            </w:r>
          </w:p>
        </w:tc>
      </w:tr>
      <w:tr w:rsidR="000B2566" w:rsidRPr="009238B5" w:rsidTr="008716F0">
        <w:trPr>
          <w:cantSplit/>
        </w:trPr>
        <w:tc>
          <w:tcPr>
            <w:tcW w:w="2033" w:type="dxa"/>
            <w:shd w:val="clear" w:color="auto" w:fill="auto"/>
          </w:tcPr>
          <w:p w:rsidR="000B2566" w:rsidRPr="00943F7F" w:rsidRDefault="000B2566" w:rsidP="008716F0">
            <w:pPr>
              <w:pStyle w:val="TableText"/>
            </w:pPr>
            <w:r w:rsidRPr="00943F7F">
              <w:t>Small</w:t>
            </w:r>
          </w:p>
        </w:tc>
        <w:tc>
          <w:tcPr>
            <w:tcW w:w="1256" w:type="dxa"/>
            <w:shd w:val="clear" w:color="auto" w:fill="auto"/>
          </w:tcPr>
          <w:p w:rsidR="000B2566" w:rsidRPr="00943F7F" w:rsidRDefault="000B2566" w:rsidP="008716F0">
            <w:pPr>
              <w:pStyle w:val="TableText"/>
              <w:jc w:val="center"/>
            </w:pPr>
            <w:r w:rsidRPr="00943F7F">
              <w:t>97.5</w:t>
            </w:r>
            <w:r w:rsidR="008716F0">
              <w:t>%</w:t>
            </w:r>
          </w:p>
        </w:tc>
        <w:tc>
          <w:tcPr>
            <w:tcW w:w="1256" w:type="dxa"/>
            <w:shd w:val="clear" w:color="auto" w:fill="auto"/>
          </w:tcPr>
          <w:p w:rsidR="000B2566" w:rsidRPr="00943F7F" w:rsidRDefault="000B2566" w:rsidP="008716F0">
            <w:pPr>
              <w:pStyle w:val="TableText"/>
              <w:jc w:val="center"/>
            </w:pPr>
            <w:r w:rsidRPr="00943F7F">
              <w:t>97.8</w:t>
            </w:r>
            <w:r w:rsidR="008716F0">
              <w:t>%</w:t>
            </w:r>
          </w:p>
        </w:tc>
        <w:tc>
          <w:tcPr>
            <w:tcW w:w="1257" w:type="dxa"/>
            <w:shd w:val="clear" w:color="auto" w:fill="auto"/>
          </w:tcPr>
          <w:p w:rsidR="000B2566" w:rsidRPr="00943F7F" w:rsidRDefault="000B2566" w:rsidP="008716F0">
            <w:pPr>
              <w:pStyle w:val="TableText"/>
              <w:jc w:val="center"/>
            </w:pPr>
            <w:r w:rsidRPr="00943F7F">
              <w:t>0.3</w:t>
            </w:r>
            <w:r w:rsidR="008716F0">
              <w:t>%</w:t>
            </w:r>
          </w:p>
        </w:tc>
      </w:tr>
      <w:tr w:rsidR="000B2566" w:rsidRPr="008716F0" w:rsidTr="008716F0">
        <w:trPr>
          <w:cantSplit/>
        </w:trPr>
        <w:tc>
          <w:tcPr>
            <w:tcW w:w="2033" w:type="dxa"/>
            <w:shd w:val="clear" w:color="auto" w:fill="auto"/>
          </w:tcPr>
          <w:p w:rsidR="000B2566" w:rsidRPr="008716F0" w:rsidRDefault="000B2566" w:rsidP="008716F0">
            <w:pPr>
              <w:pStyle w:val="TableText"/>
              <w:rPr>
                <w:b/>
              </w:rPr>
            </w:pPr>
            <w:r w:rsidRPr="008716F0">
              <w:rPr>
                <w:b/>
              </w:rPr>
              <w:t>Overall</w:t>
            </w:r>
          </w:p>
        </w:tc>
        <w:tc>
          <w:tcPr>
            <w:tcW w:w="1256" w:type="dxa"/>
            <w:shd w:val="clear" w:color="auto" w:fill="auto"/>
          </w:tcPr>
          <w:p w:rsidR="000B2566" w:rsidRPr="008716F0" w:rsidRDefault="000B2566" w:rsidP="008716F0">
            <w:pPr>
              <w:pStyle w:val="TableText"/>
              <w:jc w:val="center"/>
              <w:rPr>
                <w:b/>
              </w:rPr>
            </w:pPr>
            <w:r w:rsidRPr="008716F0">
              <w:rPr>
                <w:b/>
              </w:rPr>
              <w:t>97.2</w:t>
            </w:r>
            <w:r w:rsidR="008716F0">
              <w:rPr>
                <w:b/>
              </w:rPr>
              <w:t>%</w:t>
            </w:r>
          </w:p>
        </w:tc>
        <w:tc>
          <w:tcPr>
            <w:tcW w:w="1256" w:type="dxa"/>
            <w:shd w:val="clear" w:color="auto" w:fill="auto"/>
          </w:tcPr>
          <w:p w:rsidR="000B2566" w:rsidRPr="008716F0" w:rsidRDefault="000B2566" w:rsidP="008716F0">
            <w:pPr>
              <w:pStyle w:val="TableText"/>
              <w:jc w:val="center"/>
              <w:rPr>
                <w:b/>
              </w:rPr>
            </w:pPr>
            <w:r w:rsidRPr="008716F0">
              <w:rPr>
                <w:b/>
              </w:rPr>
              <w:t>98.9</w:t>
            </w:r>
            <w:r w:rsidR="008716F0">
              <w:rPr>
                <w:b/>
              </w:rPr>
              <w:t>%</w:t>
            </w:r>
          </w:p>
        </w:tc>
        <w:tc>
          <w:tcPr>
            <w:tcW w:w="1257" w:type="dxa"/>
            <w:shd w:val="clear" w:color="auto" w:fill="auto"/>
          </w:tcPr>
          <w:p w:rsidR="000B2566" w:rsidRPr="008716F0" w:rsidRDefault="000B2566" w:rsidP="008716F0">
            <w:pPr>
              <w:pStyle w:val="TableText"/>
              <w:jc w:val="center"/>
              <w:rPr>
                <w:b/>
              </w:rPr>
            </w:pPr>
            <w:r w:rsidRPr="008716F0">
              <w:rPr>
                <w:b/>
              </w:rPr>
              <w:t>1.7</w:t>
            </w:r>
            <w:r w:rsidR="008716F0">
              <w:rPr>
                <w:b/>
              </w:rPr>
              <w:t>%</w:t>
            </w:r>
          </w:p>
        </w:tc>
      </w:tr>
    </w:tbl>
    <w:p w:rsidR="000B2566" w:rsidRDefault="000B2566" w:rsidP="00B80746"/>
    <w:p w:rsidR="000B2566" w:rsidRPr="009238B5" w:rsidRDefault="000B2566" w:rsidP="00B80746">
      <w:r w:rsidRPr="009238B5">
        <w:t>Note that the high level of chemical achievement for small supplies arises by default, because Priority 2 determinands are usually assigned only to zones with populations exceeding 500.</w:t>
      </w:r>
    </w:p>
    <w:p w:rsidR="00B80746" w:rsidRDefault="00B80746" w:rsidP="00B80746"/>
    <w:p w:rsidR="000B2566" w:rsidRPr="009238B5" w:rsidRDefault="000B2566" w:rsidP="00B80746">
      <w:r w:rsidRPr="009238B5">
        <w:t>During the reporting period, 94 supplies, supplying 67.3 percent (2,585,000 people) of the report population</w:t>
      </w:r>
      <w:r>
        <w:t>,</w:t>
      </w:r>
      <w:r w:rsidRPr="009238B5">
        <w:t xml:space="preserve"> were assigned one or more chemical determinands. The chemical Standards were achieved for water supplied to 98.1 percent (2,535,000) of </w:t>
      </w:r>
      <w:r>
        <w:t xml:space="preserve">that population, </w:t>
      </w:r>
      <w:r w:rsidRPr="009238B5">
        <w:t>and not achieved for 1.9 percent (50,400 people).</w:t>
      </w:r>
    </w:p>
    <w:p w:rsidR="00B80746" w:rsidRDefault="00B80746" w:rsidP="00B80746"/>
    <w:p w:rsidR="000B2566" w:rsidRDefault="000B2566" w:rsidP="00B80746">
      <w:r w:rsidRPr="009238B5">
        <w:t>Fluoride was the most commonly assigned chemical, in terms of population served. Fluoride was assigned to supplies for 2,232,000 people</w:t>
      </w:r>
      <w:r>
        <w:t>;</w:t>
      </w:r>
      <w:r w:rsidRPr="009238B5">
        <w:t xml:space="preserve"> </w:t>
      </w:r>
      <w:r>
        <w:t xml:space="preserve">there was </w:t>
      </w:r>
      <w:r w:rsidRPr="009238B5">
        <w:t xml:space="preserve">a 99.8 percent achievement of the chemical Standards for this determinand. </w:t>
      </w:r>
      <w:r>
        <w:t>The concentration of naturally occurring fluoride in drinking water sources is low in New Zealand, and does not need to be monitored; however,</w:t>
      </w:r>
      <w:r w:rsidRPr="008601CB">
        <w:t xml:space="preserve"> </w:t>
      </w:r>
      <w:r>
        <w:t>all fluoridated water supplies must monitor and control the level of fluoride added to the drinking water.</w:t>
      </w:r>
    </w:p>
    <w:p w:rsidR="00B80746" w:rsidRDefault="00B80746" w:rsidP="00B80746"/>
    <w:p w:rsidR="000B2566" w:rsidRDefault="000B2566" w:rsidP="00B80746">
      <w:r w:rsidRPr="009238B5">
        <w:t>The next most commonly assigned chemical determinand was</w:t>
      </w:r>
      <w:r>
        <w:t xml:space="preserve"> </w:t>
      </w:r>
      <w:r w:rsidRPr="009238B5">
        <w:t>trihalomethanes, assigned to supplies for 120,000 people (</w:t>
      </w:r>
      <w:r>
        <w:t xml:space="preserve">with </w:t>
      </w:r>
      <w:r w:rsidRPr="009238B5">
        <w:t>96 percent achievement),</w:t>
      </w:r>
      <w:r>
        <w:t xml:space="preserve"> and </w:t>
      </w:r>
      <w:r w:rsidRPr="009238B5">
        <w:t>haloacetic acids</w:t>
      </w:r>
      <w:r>
        <w:t>, assigned to supplies</w:t>
      </w:r>
      <w:r w:rsidRPr="009238B5">
        <w:t xml:space="preserve"> for 82,100 people (</w:t>
      </w:r>
      <w:r>
        <w:t xml:space="preserve">with </w:t>
      </w:r>
      <w:r w:rsidRPr="009238B5">
        <w:t>74.3 percent achievement)</w:t>
      </w:r>
      <w:r>
        <w:t xml:space="preserve">. Both of these are disinfection </w:t>
      </w:r>
      <w:r w:rsidR="0077235B">
        <w:t>by-products</w:t>
      </w:r>
      <w:r>
        <w:t>.</w:t>
      </w:r>
    </w:p>
    <w:p w:rsidR="00B80746" w:rsidRDefault="00B80746" w:rsidP="00B80746"/>
    <w:p w:rsidR="000B2566" w:rsidRDefault="000B2566" w:rsidP="00B80746">
      <w:r>
        <w:t>N</w:t>
      </w:r>
      <w:r w:rsidRPr="009238B5">
        <w:t xml:space="preserve">itrate </w:t>
      </w:r>
      <w:r>
        <w:t xml:space="preserve">was assigned to supplies </w:t>
      </w:r>
      <w:r w:rsidRPr="009238B5">
        <w:t>for 53,900 people (</w:t>
      </w:r>
      <w:r>
        <w:t xml:space="preserve">with </w:t>
      </w:r>
      <w:r w:rsidRPr="009238B5">
        <w:t xml:space="preserve">98.2 percent achievement), arsenic </w:t>
      </w:r>
      <w:r>
        <w:t xml:space="preserve">to supplies </w:t>
      </w:r>
      <w:r w:rsidRPr="009238B5">
        <w:t>for 36,300 people (</w:t>
      </w:r>
      <w:r>
        <w:t xml:space="preserve">with </w:t>
      </w:r>
      <w:r w:rsidRPr="009238B5">
        <w:t xml:space="preserve">72.1 percent achievement) and lead </w:t>
      </w:r>
      <w:r>
        <w:t xml:space="preserve">to supplies </w:t>
      </w:r>
      <w:r w:rsidRPr="009238B5">
        <w:t>for 25,200 people (</w:t>
      </w:r>
      <w:r>
        <w:t xml:space="preserve">with </w:t>
      </w:r>
      <w:r w:rsidRPr="009238B5">
        <w:t>96 percent achievement).</w:t>
      </w:r>
    </w:p>
    <w:p w:rsidR="00B80746" w:rsidRPr="009238B5" w:rsidRDefault="00B80746" w:rsidP="00B80746"/>
    <w:p w:rsidR="000B2566" w:rsidRPr="00A60FB9" w:rsidRDefault="000B2566" w:rsidP="00B80746">
      <w:pPr>
        <w:pStyle w:val="Heading2"/>
      </w:pPr>
      <w:bookmarkStart w:id="85" w:name="maximum-acceptable-value-exceedaences"/>
      <w:bookmarkStart w:id="86" w:name="_Toc10554017"/>
      <w:bookmarkEnd w:id="85"/>
      <w:r w:rsidRPr="00A60FB9">
        <w:t>Public health significance of chemical transgressions</w:t>
      </w:r>
      <w:bookmarkEnd w:id="86"/>
    </w:p>
    <w:p w:rsidR="000B2566" w:rsidRDefault="000B2566" w:rsidP="00B80746">
      <w:r>
        <w:t>The chemical Standards define water that, based on current knowledge, is able to be drunk over a lifetime with no adverse health effects. In New Zealand, an adult body weight of 70 kilograms and a consumption of two litres of water per day over a lifetime is used to calculate the MAV. Short-term exceedances of the MAV rarely pose a public health risk.</w:t>
      </w:r>
    </w:p>
    <w:p w:rsidR="00B80746" w:rsidRDefault="00B80746" w:rsidP="00B80746"/>
    <w:p w:rsidR="000B2566" w:rsidRDefault="000B2566" w:rsidP="004A2CD2">
      <w:pPr>
        <w:keepLines/>
      </w:pPr>
      <w:r w:rsidRPr="009238B5">
        <w:t>Drinking-water supplied to 35,800 people (</w:t>
      </w:r>
      <w:r>
        <w:t xml:space="preserve">from </w:t>
      </w:r>
      <w:r w:rsidRPr="009238B5">
        <w:t>17 supplies)</w:t>
      </w:r>
      <w:r>
        <w:t>,</w:t>
      </w:r>
      <w:r w:rsidRPr="009238B5">
        <w:t xml:space="preserve"> or 0.9 </w:t>
      </w:r>
      <w:r>
        <w:t>percent</w:t>
      </w:r>
      <w:r w:rsidRPr="009238B5">
        <w:t xml:space="preserve"> of the report population, exceeded the MAV for one </w:t>
      </w:r>
      <w:r>
        <w:t xml:space="preserve">or more </w:t>
      </w:r>
      <w:r w:rsidRPr="009238B5">
        <w:t>chemical determinand</w:t>
      </w:r>
      <w:r>
        <w:t>s</w:t>
      </w:r>
      <w:r w:rsidRPr="009238B5">
        <w:t xml:space="preserve"> during the report period. Chemicals exceeding their MAVs were trihalomethanes </w:t>
      </w:r>
      <w:r>
        <w:t xml:space="preserve">and </w:t>
      </w:r>
      <w:r w:rsidRPr="009238B5">
        <w:t xml:space="preserve">haloacetic acids, fluoride and arsenic. Specifically, seven supplies </w:t>
      </w:r>
      <w:r>
        <w:t xml:space="preserve">had </w:t>
      </w:r>
      <w:r w:rsidRPr="009238B5">
        <w:t>exceed</w:t>
      </w:r>
      <w:r>
        <w:t>a</w:t>
      </w:r>
      <w:r w:rsidRPr="009238B5">
        <w:t xml:space="preserve">nces for arsenic; two supplies </w:t>
      </w:r>
      <w:r>
        <w:t xml:space="preserve">had </w:t>
      </w:r>
      <w:r w:rsidRPr="009238B5">
        <w:t>exceed</w:t>
      </w:r>
      <w:r>
        <w:t>a</w:t>
      </w:r>
      <w:r w:rsidRPr="009238B5">
        <w:t>nces for dichloroacetic acid</w:t>
      </w:r>
      <w:r>
        <w:t xml:space="preserve"> (also a disinfection </w:t>
      </w:r>
      <w:r w:rsidR="0077235B">
        <w:t>by-product</w:t>
      </w:r>
      <w:r>
        <w:t>)</w:t>
      </w:r>
      <w:r w:rsidRPr="009238B5">
        <w:t xml:space="preserve">; three supplies </w:t>
      </w:r>
      <w:r>
        <w:t xml:space="preserve">had </w:t>
      </w:r>
      <w:r w:rsidRPr="009238B5">
        <w:t>exceed</w:t>
      </w:r>
      <w:r>
        <w:t>a</w:t>
      </w:r>
      <w:r w:rsidRPr="009238B5">
        <w:t xml:space="preserve">nces for fluoride; six supplies </w:t>
      </w:r>
      <w:r>
        <w:t xml:space="preserve">had </w:t>
      </w:r>
      <w:r w:rsidRPr="009238B5">
        <w:t xml:space="preserve">exceedances for the MAV sum ratio for haloacetic acids; and one supply </w:t>
      </w:r>
      <w:r>
        <w:t>had</w:t>
      </w:r>
      <w:r w:rsidRPr="009238B5">
        <w:t xml:space="preserve"> exceed</w:t>
      </w:r>
      <w:r>
        <w:t>a</w:t>
      </w:r>
      <w:r w:rsidRPr="009238B5">
        <w:t>nces for the MAV sum ratio for trihalomethanes</w:t>
      </w:r>
      <w:r>
        <w:t>.</w:t>
      </w:r>
    </w:p>
    <w:p w:rsidR="00B80746" w:rsidRPr="009238B5" w:rsidRDefault="00B80746" w:rsidP="00B80746"/>
    <w:p w:rsidR="000B2566" w:rsidRPr="009238B5" w:rsidRDefault="000B2566" w:rsidP="00B80746">
      <w:bookmarkStart w:id="87" w:name="frequency-and-extent-of-maximum-acceptab"/>
      <w:bookmarkEnd w:id="87"/>
      <w:r>
        <w:t xml:space="preserve">Action to reduce the concentration of disinfection </w:t>
      </w:r>
      <w:r w:rsidR="0077235B">
        <w:t>by-products</w:t>
      </w:r>
      <w:r>
        <w:t xml:space="preserve"> is encouraged, but disinfection itself must not be compromised. The risk posed by a disinfection </w:t>
      </w:r>
      <w:r w:rsidR="0077235B">
        <w:t>by-product</w:t>
      </w:r>
      <w:r>
        <w:t xml:space="preserve"> is considerably less than the risk posed by a pathogenic microorganism in water that has not been disinfected. </w:t>
      </w:r>
      <w:r w:rsidRPr="009238B5">
        <w:t>Frequency of excee</w:t>
      </w:r>
      <w:r>
        <w:t>da</w:t>
      </w:r>
      <w:r w:rsidRPr="009238B5">
        <w:t xml:space="preserve">nces </w:t>
      </w:r>
      <w:r>
        <w:t xml:space="preserve">of disinfection </w:t>
      </w:r>
      <w:r w:rsidR="0077235B">
        <w:t>by-products</w:t>
      </w:r>
      <w:r>
        <w:t xml:space="preserve"> </w:t>
      </w:r>
      <w:r w:rsidRPr="009238B5">
        <w:t xml:space="preserve">ranged from </w:t>
      </w:r>
      <w:r>
        <w:t>8</w:t>
      </w:r>
      <w:r w:rsidRPr="009238B5">
        <w:t xml:space="preserve"> to 100 percent of monitoring samples. The maximum exceed</w:t>
      </w:r>
      <w:r>
        <w:t>a</w:t>
      </w:r>
      <w:r w:rsidRPr="009238B5">
        <w:t>nce was 3.5 times the MAV. The frequency of trihalomethane exceed</w:t>
      </w:r>
      <w:r>
        <w:t>a</w:t>
      </w:r>
      <w:r w:rsidRPr="009238B5">
        <w:t>nces was 17</w:t>
      </w:r>
      <w:r w:rsidR="00B80746">
        <w:t> </w:t>
      </w:r>
      <w:r w:rsidRPr="009238B5">
        <w:t>percent of samples</w:t>
      </w:r>
      <w:r>
        <w:t>,</w:t>
      </w:r>
      <w:r w:rsidRPr="009238B5">
        <w:t xml:space="preserve"> and the highest concentration measured was 1.2 times the MAV. The frequency of dichloroacetic acid exceed</w:t>
      </w:r>
      <w:r>
        <w:t>a</w:t>
      </w:r>
      <w:r w:rsidRPr="009238B5">
        <w:t xml:space="preserve">nces was </w:t>
      </w:r>
      <w:r>
        <w:t>8</w:t>
      </w:r>
      <w:r w:rsidRPr="009238B5">
        <w:t xml:space="preserve"> to 25 percent of monitoring samples</w:t>
      </w:r>
      <w:r>
        <w:t>,</w:t>
      </w:r>
      <w:r w:rsidRPr="009238B5">
        <w:t xml:space="preserve"> and the </w:t>
      </w:r>
      <w:r>
        <w:t xml:space="preserve">highest </w:t>
      </w:r>
      <w:r w:rsidRPr="009238B5">
        <w:t xml:space="preserve">concentration </w:t>
      </w:r>
      <w:r>
        <w:t xml:space="preserve">measured </w:t>
      </w:r>
      <w:r w:rsidRPr="009238B5">
        <w:t>was 1.8 times the MAV.</w:t>
      </w:r>
    </w:p>
    <w:p w:rsidR="00B80746" w:rsidRDefault="00B80746" w:rsidP="00B80746"/>
    <w:p w:rsidR="000B2566" w:rsidRDefault="000B2566" w:rsidP="00B80746">
      <w:r w:rsidRPr="009238B5">
        <w:t>The MAV for arsenic was exceeded in seven supplies (</w:t>
      </w:r>
      <w:r>
        <w:t xml:space="preserve">serving </w:t>
      </w:r>
      <w:r w:rsidRPr="009238B5">
        <w:t>11,300 people). The frequencies of exceedance reported for arsenic ranged from 16 to 100 percent of samples. The maximum arsenic concentration measured was twice the MAV.</w:t>
      </w:r>
      <w:r>
        <w:t xml:space="preserve"> Arsenic is a naturally occurring chemical found more frequently in source waters from geothermal areas of New Z</w:t>
      </w:r>
      <w:r w:rsidRPr="00B44F68">
        <w:t>ealand.</w:t>
      </w:r>
      <w:r>
        <w:t xml:space="preserve"> Food is also an important source of arsenic, particularly from fish and shellfish.</w:t>
      </w:r>
    </w:p>
    <w:p w:rsidR="00B80746" w:rsidRDefault="00B80746" w:rsidP="00B80746"/>
    <w:p w:rsidR="000B2566" w:rsidRDefault="000B2566" w:rsidP="00B80746">
      <w:r>
        <w:t>The MAV for fluoride was exceeded in three supplies (serving 3800 people). Fluoride has been shown to prevent dental caries very effectively; however, concentrations above 1.5 mg/L may cause mottling of the teeth enamel in young children.</w:t>
      </w:r>
    </w:p>
    <w:p w:rsidR="000B2566" w:rsidRPr="00B44F68" w:rsidRDefault="000B2566" w:rsidP="00B80746"/>
    <w:p w:rsidR="000B2566" w:rsidRPr="00A60FB9" w:rsidRDefault="000B2566" w:rsidP="00B80746">
      <w:pPr>
        <w:pStyle w:val="Heading2"/>
      </w:pPr>
      <w:bookmarkStart w:id="88" w:name="remedial-action"/>
      <w:bookmarkStart w:id="89" w:name="monitoring"/>
      <w:bookmarkStart w:id="90" w:name="_Toc10554018"/>
      <w:bookmarkEnd w:id="88"/>
      <w:bookmarkEnd w:id="89"/>
      <w:r w:rsidRPr="00A60FB9">
        <w:t>Monitoring</w:t>
      </w:r>
      <w:bookmarkEnd w:id="90"/>
    </w:p>
    <w:p w:rsidR="000B2566" w:rsidRDefault="000B2566" w:rsidP="00B80746">
      <w:r>
        <w:t xml:space="preserve">Ten </w:t>
      </w:r>
      <w:r w:rsidRPr="009238B5">
        <w:t>supplies, serving 14,500 people, failed to meet the chemical Standards due to inadequate monitoring. Without monitoring information, water supplier</w:t>
      </w:r>
      <w:r>
        <w:t>s</w:t>
      </w:r>
      <w:r w:rsidRPr="009238B5">
        <w:t xml:space="preserve"> cannot make </w:t>
      </w:r>
      <w:r w:rsidRPr="009238B5">
        <w:lastRenderedPageBreak/>
        <w:t xml:space="preserve">well-informed decisions about actions </w:t>
      </w:r>
      <w:r>
        <w:t xml:space="preserve">they can </w:t>
      </w:r>
      <w:r w:rsidRPr="009238B5">
        <w:t>take to meet the Standards, and the health significance of concentrations of chemicals assigned to a distribution zone cannot be readily assessed.</w:t>
      </w:r>
    </w:p>
    <w:p w:rsidR="00B80746" w:rsidRPr="009238B5" w:rsidRDefault="00B80746" w:rsidP="00B80746"/>
    <w:p w:rsidR="000B2566" w:rsidRPr="00B80746" w:rsidRDefault="000B2566" w:rsidP="00B80746">
      <w:pPr>
        <w:pStyle w:val="Heading1"/>
      </w:pPr>
      <w:bookmarkStart w:id="91" w:name="_Toc529465663"/>
      <w:bookmarkStart w:id="92" w:name="_Toc529465814"/>
      <w:bookmarkStart w:id="93" w:name="_Toc529465896"/>
      <w:bookmarkStart w:id="94" w:name="_Toc10554019"/>
      <w:bookmarkEnd w:id="91"/>
      <w:bookmarkEnd w:id="92"/>
      <w:bookmarkEnd w:id="93"/>
      <w:r>
        <w:rPr>
          <w:rFonts w:eastAsiaTheme="majorEastAsia"/>
        </w:rPr>
        <w:lastRenderedPageBreak/>
        <w:t>Research and project</w:t>
      </w:r>
      <w:r w:rsidRPr="009238B5">
        <w:rPr>
          <w:rFonts w:eastAsiaTheme="majorEastAsia"/>
        </w:rPr>
        <w:t xml:space="preserve"> work</w:t>
      </w:r>
      <w:bookmarkEnd w:id="94"/>
    </w:p>
    <w:p w:rsidR="00943F7F" w:rsidRDefault="000B2566" w:rsidP="00B80746">
      <w:r w:rsidRPr="009238B5">
        <w:t xml:space="preserve">The Ministry supports scientific </w:t>
      </w:r>
      <w:r>
        <w:t xml:space="preserve">and technical </w:t>
      </w:r>
      <w:r w:rsidRPr="009238B5">
        <w:t>investigations of drinking water issues with a range of partners.</w:t>
      </w:r>
    </w:p>
    <w:p w:rsidR="00B80746" w:rsidRDefault="00B80746" w:rsidP="00B80746"/>
    <w:p w:rsidR="00943F7F" w:rsidRDefault="000B2566" w:rsidP="00B80746">
      <w:r>
        <w:t xml:space="preserve">The </w:t>
      </w:r>
      <w:r w:rsidRPr="008C57FB">
        <w:t>Institute of Environmental Science and Research</w:t>
      </w:r>
      <w:r>
        <w:t xml:space="preserve"> (</w:t>
      </w:r>
      <w:r w:rsidRPr="009238B5">
        <w:t>ESR</w:t>
      </w:r>
      <w:r>
        <w:t>)</w:t>
      </w:r>
      <w:r w:rsidRPr="009238B5">
        <w:t xml:space="preserve"> has conducted research through a series of studies that analyse the collected dataset presented in this annual report in more depth. </w:t>
      </w:r>
      <w:r>
        <w:t>See:</w:t>
      </w:r>
    </w:p>
    <w:p w:rsidR="000B2566" w:rsidRPr="00620484" w:rsidRDefault="000B2566" w:rsidP="00B80746">
      <w:pPr>
        <w:pStyle w:val="Bullet"/>
      </w:pPr>
      <w:r w:rsidRPr="00620484">
        <w:t>Moriarty E, Nokes C. 2014. Public health risk assessment of sewage disposal by onsite wastewater treatment and disposal systems in the Darfield and Kirwee Communities. Auckland: ESR. URL:</w:t>
      </w:r>
      <w:r w:rsidRPr="00B80746">
        <w:t xml:space="preserve"> </w:t>
      </w:r>
      <w:hyperlink r:id="rId20" w:history="1">
        <w:r w:rsidRPr="00B80746">
          <w:rPr>
            <w:rStyle w:val="Hyperlink"/>
          </w:rPr>
          <w:t>www.esr.cri.nz/assets/Uploads/FW14031-Darfield-public-health-risk-assessment.pdf</w:t>
        </w:r>
      </w:hyperlink>
      <w:r w:rsidRPr="00620484">
        <w:t xml:space="preserve"> (accessed 15 May 2019).</w:t>
      </w:r>
    </w:p>
    <w:p w:rsidR="000B2566" w:rsidRPr="00620484" w:rsidRDefault="000B2566" w:rsidP="00B80746">
      <w:pPr>
        <w:pStyle w:val="Bullet"/>
      </w:pPr>
      <w:r w:rsidRPr="00620484">
        <w:t>Nokes C, Ritchie J. 2018. Report on a survey of New Zealand drinking-water supplies for arsenic and nitrate. Auckland: ESR. URL:</w:t>
      </w:r>
      <w:r>
        <w:t xml:space="preserve"> </w:t>
      </w:r>
      <w:hyperlink r:id="rId21" w:history="1">
        <w:r w:rsidRPr="00B80746">
          <w:rPr>
            <w:rStyle w:val="Hyperlink"/>
          </w:rPr>
          <w:t>www.esr.cri.nz/assets/Uploads/FW16030-As-and-NO3-Survey-FINAL.pdf</w:t>
        </w:r>
      </w:hyperlink>
      <w:r w:rsidRPr="00620484">
        <w:t xml:space="preserve"> (accessed 15 May 2019).</w:t>
      </w:r>
    </w:p>
    <w:p w:rsidR="000B2566" w:rsidRPr="00847A05" w:rsidRDefault="000B2566" w:rsidP="00B80746"/>
    <w:p w:rsidR="000B2566" w:rsidRPr="00847A05" w:rsidRDefault="000B2566" w:rsidP="00B80746">
      <w:r>
        <w:t>It has conducted t</w:t>
      </w:r>
      <w:r w:rsidRPr="00847A05">
        <w:t>wo studies on the non-achievement of drinking water standards:</w:t>
      </w:r>
    </w:p>
    <w:p w:rsidR="000B2566" w:rsidRPr="00B80746" w:rsidRDefault="000B2566" w:rsidP="00B80746">
      <w:pPr>
        <w:pStyle w:val="Bullet"/>
      </w:pPr>
      <w:r w:rsidRPr="00B80746">
        <w:t xml:space="preserve">Mattingley B, Wood D, Nokes C. 2015. Non-achievement of the Drinking-water Standards for New Zealand. Auckland: ESR. URL: </w:t>
      </w:r>
      <w:hyperlink r:id="rId22" w:history="1">
        <w:r w:rsidRPr="00B80746">
          <w:rPr>
            <w:rStyle w:val="Hyperlink"/>
          </w:rPr>
          <w:t>www.esr.cri.nz/assets/Uploads/FW15017-FINAL.pdf</w:t>
        </w:r>
      </w:hyperlink>
      <w:r w:rsidRPr="00B80746">
        <w:t xml:space="preserve"> (accessed 15 May 2019).</w:t>
      </w:r>
    </w:p>
    <w:p w:rsidR="000B2566" w:rsidRPr="00B80746" w:rsidRDefault="000B2566" w:rsidP="00B80746">
      <w:pPr>
        <w:pStyle w:val="Bullet"/>
      </w:pPr>
      <w:r w:rsidRPr="00B80746">
        <w:t xml:space="preserve">Wood D, Mattingley B, Nokes C. 2018. Non-achievement of the Drinking-water Standards for New Zealand: E. coli transgressions. Auckland: ESR. URL: </w:t>
      </w:r>
      <w:hyperlink r:id="rId23" w:history="1">
        <w:r w:rsidRPr="00B80746">
          <w:rPr>
            <w:rStyle w:val="Hyperlink"/>
          </w:rPr>
          <w:t>www.esr.cri.nz/assets/Uploads/FW18045-Non-achievement-of-DWSNZ-E-coli-transgressions-FINAL.pdf</w:t>
        </w:r>
      </w:hyperlink>
      <w:r w:rsidRPr="00B80746">
        <w:t xml:space="preserve"> (accessed 15 May 2019).</w:t>
      </w:r>
    </w:p>
    <w:p w:rsidR="000B2566" w:rsidRPr="00847A05" w:rsidRDefault="000B2566" w:rsidP="00B80746"/>
    <w:p w:rsidR="00943F7F" w:rsidRDefault="000B2566" w:rsidP="00B80746">
      <w:r w:rsidRPr="00B44F68">
        <w:t>Massey University conduct</w:t>
      </w:r>
      <w:r>
        <w:t>s</w:t>
      </w:r>
      <w:r w:rsidRPr="00B44F68">
        <w:t xml:space="preserve"> analysis of drinking</w:t>
      </w:r>
      <w:r>
        <w:t>-</w:t>
      </w:r>
      <w:r w:rsidRPr="00B44F68">
        <w:t>water quality information and how it relates to health. This is available through the Environmental Health Indicators website</w:t>
      </w:r>
      <w:r w:rsidR="00943F7F">
        <w:t xml:space="preserve"> </w:t>
      </w:r>
      <w:r>
        <w:t xml:space="preserve">(see </w:t>
      </w:r>
      <w:r w:rsidRPr="00B80746">
        <w:rPr>
          <w:rStyle w:val="Hyperlink"/>
        </w:rPr>
        <w:t>www.ehinz.ac.nz/indicators/drinking-water-quality</w:t>
      </w:r>
      <w:r>
        <w:t xml:space="preserve">); </w:t>
      </w:r>
      <w:r w:rsidRPr="00B44F68">
        <w:t xml:space="preserve">more detailed information </w:t>
      </w:r>
      <w:r>
        <w:t xml:space="preserve">is </w:t>
      </w:r>
      <w:r w:rsidRPr="00B44F68">
        <w:t xml:space="preserve">available on </w:t>
      </w:r>
      <w:r>
        <w:t xml:space="preserve">its </w:t>
      </w:r>
      <w:r w:rsidRPr="00B44F68">
        <w:t>Health</w:t>
      </w:r>
      <w:r>
        <w:t>s</w:t>
      </w:r>
      <w:r w:rsidRPr="00B44F68">
        <w:t>pace</w:t>
      </w:r>
      <w:r>
        <w:t xml:space="preserve"> website (</w:t>
      </w:r>
      <w:r w:rsidRPr="00B80746">
        <w:rPr>
          <w:rStyle w:val="Hyperlink"/>
        </w:rPr>
        <w:t>http://cphronline.massey.ac.nz</w:t>
      </w:r>
      <w:r>
        <w:t>)</w:t>
      </w:r>
      <w:r w:rsidRPr="00B44F68">
        <w:t>.</w:t>
      </w:r>
    </w:p>
    <w:p w:rsidR="000B2566" w:rsidRPr="009238B5" w:rsidRDefault="000B2566" w:rsidP="00B80746"/>
    <w:p w:rsidR="000B2566" w:rsidRDefault="000B2566" w:rsidP="00B80746">
      <w:r>
        <w:t xml:space="preserve">The </w:t>
      </w:r>
      <w:r w:rsidRPr="00B44F68">
        <w:t xml:space="preserve">Massey University Protozoa Research Unit </w:t>
      </w:r>
      <w:r w:rsidRPr="009238B5">
        <w:rPr>
          <w:rFonts w:ascii="Calibri" w:hAnsi="Calibri"/>
        </w:rPr>
        <w:t>i</w:t>
      </w:r>
      <w:r w:rsidRPr="00B44F68">
        <w:t>n the Molecular Epidemiology and Public Health Laboratory provide</w:t>
      </w:r>
      <w:r>
        <w:t>s</w:t>
      </w:r>
      <w:r w:rsidRPr="00B44F68">
        <w:t xml:space="preserve"> services for the Ministry of Health relating to aquatic protozoa</w:t>
      </w:r>
      <w:r>
        <w:t xml:space="preserve">, including </w:t>
      </w:r>
      <w:r w:rsidRPr="00B44F68">
        <w:t xml:space="preserve">advice </w:t>
      </w:r>
      <w:r>
        <w:t xml:space="preserve">on </w:t>
      </w:r>
      <w:r w:rsidRPr="00620484">
        <w:rPr>
          <w:i/>
        </w:rPr>
        <w:t>Cryptosporidium</w:t>
      </w:r>
      <w:r w:rsidRPr="00B44F68">
        <w:t xml:space="preserve"> and </w:t>
      </w:r>
      <w:r w:rsidRPr="00620484">
        <w:rPr>
          <w:i/>
        </w:rPr>
        <w:t>Giardia</w:t>
      </w:r>
      <w:r w:rsidRPr="00B44F68">
        <w:t xml:space="preserve">, participation in relevant meetings and events </w:t>
      </w:r>
      <w:r>
        <w:t>(</w:t>
      </w:r>
      <w:r w:rsidRPr="00B44F68">
        <w:t>including engaging with other Ministries</w:t>
      </w:r>
      <w:r>
        <w:t>)</w:t>
      </w:r>
      <w:r w:rsidRPr="00B44F68">
        <w:t xml:space="preserve"> and survey of targeted ground and surface water sites for </w:t>
      </w:r>
      <w:r w:rsidRPr="00620484">
        <w:rPr>
          <w:i/>
        </w:rPr>
        <w:t>Cryptosporidium</w:t>
      </w:r>
      <w:r w:rsidRPr="00B44F68">
        <w:t xml:space="preserve"> and </w:t>
      </w:r>
      <w:r w:rsidRPr="00620484">
        <w:rPr>
          <w:i/>
        </w:rPr>
        <w:t>Giardia</w:t>
      </w:r>
      <w:r w:rsidRPr="00B44F68">
        <w:t xml:space="preserve">, with concurrent testing for </w:t>
      </w:r>
      <w:r w:rsidRPr="00620484">
        <w:rPr>
          <w:i/>
        </w:rPr>
        <w:t>E. coli</w:t>
      </w:r>
      <w:r w:rsidRPr="00B44F68">
        <w:t xml:space="preserve"> and </w:t>
      </w:r>
      <w:r w:rsidRPr="00620484">
        <w:rPr>
          <w:i/>
        </w:rPr>
        <w:t>Campylobacter</w:t>
      </w:r>
      <w:r w:rsidRPr="00B44F68">
        <w:t>. The U</w:t>
      </w:r>
      <w:r>
        <w:t>nit</w:t>
      </w:r>
      <w:r w:rsidRPr="00B44F68">
        <w:t xml:space="preserve"> has developed a database archive and genotyping library of characterised strains of </w:t>
      </w:r>
      <w:r w:rsidRPr="00620484">
        <w:rPr>
          <w:i/>
        </w:rPr>
        <w:t>Cryptosporidium</w:t>
      </w:r>
      <w:r w:rsidRPr="00B44F68">
        <w:t xml:space="preserve"> and </w:t>
      </w:r>
      <w:r w:rsidRPr="00620484">
        <w:rPr>
          <w:i/>
        </w:rPr>
        <w:t>Giardia</w:t>
      </w:r>
      <w:r w:rsidRPr="00B44F68">
        <w:t xml:space="preserve"> found in New Zealand</w:t>
      </w:r>
      <w:r>
        <w:t xml:space="preserve">: see </w:t>
      </w:r>
      <w:hyperlink r:id="rId24" w:history="1">
        <w:r w:rsidRPr="00B80746">
          <w:rPr>
            <w:rStyle w:val="Hyperlink"/>
          </w:rPr>
          <w:t>http://protozoa.org/</w:t>
        </w:r>
      </w:hyperlink>
      <w:r w:rsidR="00B80746" w:rsidRPr="00B80746">
        <w:t>.</w:t>
      </w:r>
    </w:p>
    <w:p w:rsidR="000B2566" w:rsidRPr="009238B5" w:rsidRDefault="000B2566" w:rsidP="00B80746"/>
    <w:p w:rsidR="00943F7F" w:rsidRDefault="000B2566" w:rsidP="004A2CD2">
      <w:pPr>
        <w:keepLines/>
      </w:pPr>
      <w:r w:rsidRPr="00B44F68">
        <w:lastRenderedPageBreak/>
        <w:t>The Drinking Water Advisory Committee was established to provide high</w:t>
      </w:r>
      <w:r>
        <w:t>-</w:t>
      </w:r>
      <w:r w:rsidRPr="00B44F68">
        <w:t>quality, independent scientific and technical advice to the Director</w:t>
      </w:r>
      <w:r>
        <w:t>-</w:t>
      </w:r>
      <w:r w:rsidRPr="00B44F68">
        <w:t xml:space="preserve">General </w:t>
      </w:r>
      <w:r>
        <w:t xml:space="preserve">of Health </w:t>
      </w:r>
      <w:r w:rsidRPr="00B44F68">
        <w:t>on current and emerging issues related to</w:t>
      </w:r>
      <w:r w:rsidRPr="009238B5">
        <w:rPr>
          <w:rFonts w:ascii="Times New Roman" w:hAnsi="Times New Roman"/>
          <w:color w:val="0000FF"/>
        </w:rPr>
        <w:t xml:space="preserve"> </w:t>
      </w:r>
      <w:r w:rsidRPr="00B44F68">
        <w:t>drinking</w:t>
      </w:r>
      <w:r>
        <w:t>-</w:t>
      </w:r>
      <w:r w:rsidRPr="00B44F68">
        <w:t>water quality. The committee meets monthly</w:t>
      </w:r>
      <w:r>
        <w:t>;</w:t>
      </w:r>
      <w:r w:rsidRPr="00B44F68">
        <w:t xml:space="preserve"> </w:t>
      </w:r>
      <w:r>
        <w:t xml:space="preserve">the </w:t>
      </w:r>
      <w:r w:rsidRPr="00B44F68">
        <w:t xml:space="preserve">first meeting </w:t>
      </w:r>
      <w:r>
        <w:t xml:space="preserve">was </w:t>
      </w:r>
      <w:r w:rsidRPr="00B44F68">
        <w:t xml:space="preserve">in December 2017. One of </w:t>
      </w:r>
      <w:r>
        <w:t>the Committee</w:t>
      </w:r>
      <w:r w:rsidR="00943F7F">
        <w:t>’</w:t>
      </w:r>
      <w:r>
        <w:t xml:space="preserve">s </w:t>
      </w:r>
      <w:r w:rsidRPr="00B44F68">
        <w:t>first tasks was to look at the changes to the drinking</w:t>
      </w:r>
      <w:r>
        <w:t>-</w:t>
      </w:r>
      <w:r w:rsidRPr="00B44F68">
        <w:t xml:space="preserve">water </w:t>
      </w:r>
      <w:r>
        <w:t>S</w:t>
      </w:r>
      <w:r w:rsidRPr="00B44F68">
        <w:t xml:space="preserve">tandards recommended in the final report of the Havelock North Inquiry, and provide </w:t>
      </w:r>
      <w:r>
        <w:t xml:space="preserve">its </w:t>
      </w:r>
      <w:r w:rsidRPr="00B44F68">
        <w:t>independent advice to the Director</w:t>
      </w:r>
      <w:r>
        <w:t>-</w:t>
      </w:r>
      <w:r w:rsidRPr="00B44F68">
        <w:t xml:space="preserve">General on whether </w:t>
      </w:r>
      <w:r>
        <w:t xml:space="preserve">those changes </w:t>
      </w:r>
      <w:r w:rsidRPr="00B44F68">
        <w:t>should be accepted.</w:t>
      </w:r>
    </w:p>
    <w:p w:rsidR="000B2566" w:rsidRPr="009238B5" w:rsidRDefault="000B2566" w:rsidP="00B80746">
      <w:bookmarkStart w:id="95" w:name="disinfection-1"/>
      <w:bookmarkEnd w:id="95"/>
    </w:p>
    <w:p w:rsidR="000B2566" w:rsidRPr="00B44F68" w:rsidRDefault="000B2566" w:rsidP="00B80746">
      <w:r w:rsidRPr="00B44F68">
        <w:t>Work on a new national database for the collection and storage of drinking</w:t>
      </w:r>
      <w:r>
        <w:t>-</w:t>
      </w:r>
      <w:r w:rsidRPr="00B44F68">
        <w:t>water supplier compliance information</w:t>
      </w:r>
      <w:r>
        <w:t>,</w:t>
      </w:r>
      <w:r w:rsidRPr="00B44F68">
        <w:t xml:space="preserve"> Drinking Water Online </w:t>
      </w:r>
      <w:r>
        <w:t>(</w:t>
      </w:r>
      <w:r w:rsidRPr="00B44F68">
        <w:t>DWO) started in 2016. This work is a close collaboration between the Ministry of Health, BECA and ESR.</w:t>
      </w:r>
    </w:p>
    <w:p w:rsidR="00B80746" w:rsidRDefault="00B80746" w:rsidP="00B80746"/>
    <w:p w:rsidR="00943F7F" w:rsidRDefault="000B2566" w:rsidP="00B80746">
      <w:r w:rsidRPr="00620484">
        <w:t>The second Havelock North Inquiry report in December 2017 made recommendations to enhance the</w:t>
      </w:r>
      <w:r w:rsidRPr="00B44F68">
        <w:t xml:space="preserve"> specific functionality of DWO, to improve both national and local utility and consequently improve the drinking</w:t>
      </w:r>
      <w:r>
        <w:t>-</w:t>
      </w:r>
      <w:r w:rsidRPr="00B44F68">
        <w:t>water system in New Zealand</w:t>
      </w:r>
      <w:r w:rsidR="00B80746">
        <w:t>.</w:t>
      </w:r>
    </w:p>
    <w:p w:rsidR="00B80746" w:rsidRDefault="00B80746" w:rsidP="00B80746"/>
    <w:p w:rsidR="000B2566" w:rsidRPr="00B44F68" w:rsidRDefault="000B2566" w:rsidP="00B80746">
      <w:r w:rsidRPr="00B44F68">
        <w:t xml:space="preserve">This reporting period is the first time compliance has been assessed wholly using information from </w:t>
      </w:r>
      <w:r>
        <w:t>the database</w:t>
      </w:r>
      <w:r w:rsidRPr="00B44F68">
        <w:t xml:space="preserve">. Workshops were held with users </w:t>
      </w:r>
      <w:r>
        <w:t xml:space="preserve">after </w:t>
      </w:r>
      <w:r w:rsidRPr="00B44F68">
        <w:t>data collection to identify a programme of work for enhancements to improve usability. These improvements will be rolled out over the next five years.</w:t>
      </w:r>
    </w:p>
    <w:p w:rsidR="0069044C" w:rsidRDefault="0069044C" w:rsidP="00B80746"/>
    <w:sectPr w:rsidR="0069044C" w:rsidSect="002B7BEC">
      <w:footerReference w:type="even" r:id="rId25"/>
      <w:footerReference w:type="default" r:id="rId26"/>
      <w:pgSz w:w="11907" w:h="16834" w:code="9"/>
      <w:pgMar w:top="1418" w:right="1701" w:bottom="1134" w:left="1843" w:header="284" w:footer="425" w:gutter="284"/>
      <w:pgNumType w:start="1"/>
      <w:cols w:space="720"/>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1C6A" w:rsidRDefault="000A1C6A">
      <w:r>
        <w:separator/>
      </w:r>
    </w:p>
    <w:p w:rsidR="000A1C6A" w:rsidRDefault="000A1C6A"/>
  </w:endnote>
  <w:endnote w:type="continuationSeparator" w:id="0">
    <w:p w:rsidR="000A1C6A" w:rsidRDefault="000A1C6A">
      <w:r>
        <w:continuationSeparator/>
      </w:r>
    </w:p>
    <w:p w:rsidR="000A1C6A" w:rsidRDefault="000A1C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äori">
    <w:charset w:val="00"/>
    <w:family w:val="auto"/>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emibold">
    <w:panose1 w:val="020B07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Black">
    <w:panose1 w:val="020B0A02040204020203"/>
    <w:charset w:val="00"/>
    <w:family w:val="swiss"/>
    <w:pitch w:val="variable"/>
    <w:sig w:usb0="E10002FF" w:usb1="4000E47F" w:usb2="00000021" w:usb3="00000000" w:csb0="0000019F" w:csb1="00000000"/>
  </w:font>
  <w:font w:name="Lucida Sans Unicode">
    <w:panose1 w:val="020B0602030504020204"/>
    <w:charset w:val="00"/>
    <w:family w:val="swiss"/>
    <w:pitch w:val="variable"/>
    <w:sig w:usb0="80000AFF" w:usb1="0000396B" w:usb2="00000000" w:usb3="00000000" w:csb0="000000BF" w:csb1="00000000"/>
  </w:font>
  <w:font w:name="Segoe UI Light">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1C6A" w:rsidRPr="00581136" w:rsidRDefault="000A1C6A" w:rsidP="005A79E5">
    <w:pPr>
      <w:pStyle w:val="Footer"/>
      <w:pBdr>
        <w:bottom w:val="single" w:sz="4" w:space="1" w:color="auto"/>
      </w:pBdr>
      <w:tabs>
        <w:tab w:val="right" w:pos="9639"/>
      </w:tabs>
      <w:rPr>
        <w:b/>
      </w:rPr>
    </w:pPr>
    <w:r w:rsidRPr="00581136">
      <w:rPr>
        <w:b/>
      </w:rPr>
      <w:t>Released 201</w:t>
    </w:r>
    <w:r>
      <w:rPr>
        <w:b/>
      </w:rPr>
      <w:t>9</w:t>
    </w:r>
    <w:r w:rsidRPr="00581136">
      <w:rPr>
        <w:b/>
      </w:rPr>
      <w:tab/>
      <w:t>health.govt.nz</w:t>
    </w:r>
  </w:p>
  <w:p w:rsidR="000A1C6A" w:rsidRPr="005A79E5" w:rsidRDefault="000A1C6A">
    <w:pPr>
      <w:pStyle w:val="Footer"/>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1C6A" w:rsidRDefault="000A1C6A" w:rsidP="004D6689">
    <w:pPr>
      <w:pStyle w:val="Footer"/>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1C6A" w:rsidRDefault="000A1C6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9" w:type="dxa"/>
      <w:tblInd w:w="-709" w:type="dxa"/>
      <w:tblLayout w:type="fixed"/>
      <w:tblCellMar>
        <w:left w:w="0" w:type="dxa"/>
        <w:right w:w="0" w:type="dxa"/>
      </w:tblCellMar>
      <w:tblLook w:val="04A0" w:firstRow="1" w:lastRow="0" w:firstColumn="1" w:lastColumn="0" w:noHBand="0" w:noVBand="1"/>
    </w:tblPr>
    <w:tblGrid>
      <w:gridCol w:w="709"/>
      <w:gridCol w:w="8080"/>
    </w:tblGrid>
    <w:tr w:rsidR="000A1C6A" w:rsidTr="00D662F8">
      <w:trPr>
        <w:cantSplit/>
      </w:trPr>
      <w:tc>
        <w:tcPr>
          <w:tcW w:w="709" w:type="dxa"/>
          <w:vAlign w:val="center"/>
        </w:tcPr>
        <w:p w:rsidR="000A1C6A" w:rsidRPr="00931466" w:rsidRDefault="000A1C6A" w:rsidP="0043478F">
          <w:pPr>
            <w:pStyle w:val="Footer"/>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sidR="00C36FDD">
            <w:rPr>
              <w:rStyle w:val="PageNumber"/>
              <w:noProof/>
            </w:rPr>
            <w:t>iv</w:t>
          </w:r>
          <w:r w:rsidRPr="00931466">
            <w:rPr>
              <w:rStyle w:val="PageNumber"/>
            </w:rPr>
            <w:fldChar w:fldCharType="end"/>
          </w:r>
        </w:p>
      </w:tc>
      <w:tc>
        <w:tcPr>
          <w:tcW w:w="8080" w:type="dxa"/>
          <w:vAlign w:val="center"/>
        </w:tcPr>
        <w:p w:rsidR="000A1C6A" w:rsidRDefault="000A1C6A" w:rsidP="00D64346">
          <w:pPr>
            <w:pStyle w:val="RectoFooter"/>
            <w:jc w:val="left"/>
          </w:pPr>
          <w:r>
            <w:t>annual report on drinking-water quality</w:t>
          </w:r>
        </w:p>
      </w:tc>
    </w:tr>
  </w:tbl>
  <w:p w:rsidR="000A1C6A" w:rsidRPr="00571223" w:rsidRDefault="000A1C6A" w:rsidP="00571223">
    <w:pPr>
      <w:pStyle w:val="VersoFooter"/>
      <w:rPr>
        <w:sz w:val="2"/>
        <w:szCs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9" w:type="dxa"/>
      <w:tblLayout w:type="fixed"/>
      <w:tblCellMar>
        <w:left w:w="0" w:type="dxa"/>
        <w:right w:w="0" w:type="dxa"/>
      </w:tblCellMar>
      <w:tblLook w:val="04A0" w:firstRow="1" w:lastRow="0" w:firstColumn="1" w:lastColumn="0" w:noHBand="0" w:noVBand="1"/>
    </w:tblPr>
    <w:tblGrid>
      <w:gridCol w:w="8080"/>
      <w:gridCol w:w="709"/>
    </w:tblGrid>
    <w:tr w:rsidR="000A1C6A" w:rsidTr="00943F7F">
      <w:trPr>
        <w:cantSplit/>
      </w:trPr>
      <w:tc>
        <w:tcPr>
          <w:tcW w:w="8080" w:type="dxa"/>
          <w:vAlign w:val="center"/>
        </w:tcPr>
        <w:p w:rsidR="000A1C6A" w:rsidRDefault="000A1C6A" w:rsidP="00943F7F">
          <w:pPr>
            <w:pStyle w:val="RectoFooter"/>
          </w:pPr>
          <w:r>
            <w:t>annual report on drinking-water quality</w:t>
          </w:r>
        </w:p>
      </w:tc>
      <w:tc>
        <w:tcPr>
          <w:tcW w:w="709" w:type="dxa"/>
          <w:vAlign w:val="center"/>
        </w:tcPr>
        <w:p w:rsidR="000A1C6A" w:rsidRPr="00931466" w:rsidRDefault="000A1C6A" w:rsidP="00943F7F">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sidR="00C36FDD">
            <w:rPr>
              <w:rStyle w:val="PageNumber"/>
              <w:noProof/>
            </w:rPr>
            <w:t>v</w:t>
          </w:r>
          <w:r w:rsidRPr="00931466">
            <w:rPr>
              <w:rStyle w:val="PageNumber"/>
            </w:rPr>
            <w:fldChar w:fldCharType="end"/>
          </w:r>
        </w:p>
      </w:tc>
    </w:tr>
  </w:tbl>
  <w:p w:rsidR="000A1C6A" w:rsidRPr="00581EB8" w:rsidRDefault="000A1C6A" w:rsidP="00581EB8">
    <w:pPr>
      <w:pStyle w:val="Footer"/>
      <w:rPr>
        <w:sz w:val="2"/>
        <w:szCs w:val="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747" w:type="dxa"/>
      <w:tblInd w:w="-567" w:type="dxa"/>
      <w:tblLayout w:type="fixed"/>
      <w:tblLook w:val="04A0" w:firstRow="1" w:lastRow="0" w:firstColumn="1" w:lastColumn="0" w:noHBand="0" w:noVBand="1"/>
    </w:tblPr>
    <w:tblGrid>
      <w:gridCol w:w="675"/>
      <w:gridCol w:w="9072"/>
    </w:tblGrid>
    <w:tr w:rsidR="000A1C6A" w:rsidTr="000A1C6A">
      <w:trPr>
        <w:cantSplit/>
      </w:trPr>
      <w:tc>
        <w:tcPr>
          <w:tcW w:w="675" w:type="dxa"/>
          <w:vAlign w:val="center"/>
        </w:tcPr>
        <w:p w:rsidR="000A1C6A" w:rsidRPr="00931466" w:rsidRDefault="000A1C6A" w:rsidP="000A1C6A">
          <w:pPr>
            <w:pStyle w:val="Footer"/>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sidR="00C36FDD">
            <w:rPr>
              <w:rStyle w:val="PageNumber"/>
              <w:noProof/>
            </w:rPr>
            <w:t>vi</w:t>
          </w:r>
          <w:r w:rsidRPr="00931466">
            <w:rPr>
              <w:rStyle w:val="PageNumber"/>
            </w:rPr>
            <w:fldChar w:fldCharType="end"/>
          </w:r>
        </w:p>
      </w:tc>
      <w:tc>
        <w:tcPr>
          <w:tcW w:w="9072" w:type="dxa"/>
          <w:vAlign w:val="center"/>
        </w:tcPr>
        <w:p w:rsidR="000A1C6A" w:rsidRDefault="000A1C6A" w:rsidP="000A1C6A">
          <w:pPr>
            <w:pStyle w:val="RectoFooter"/>
            <w:jc w:val="left"/>
          </w:pPr>
          <w:r>
            <w:t>annual report on drinking-water quality</w:t>
          </w:r>
        </w:p>
      </w:tc>
    </w:tr>
  </w:tbl>
  <w:p w:rsidR="000A1C6A" w:rsidRPr="00571223" w:rsidRDefault="000A1C6A" w:rsidP="00975A0A">
    <w:pPr>
      <w:pStyle w:val="VersoFooter"/>
      <w:rPr>
        <w:sz w:val="2"/>
        <w:szCs w:val="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747" w:type="dxa"/>
      <w:tblInd w:w="-567" w:type="dxa"/>
      <w:tblLayout w:type="fixed"/>
      <w:tblLook w:val="04A0" w:firstRow="1" w:lastRow="0" w:firstColumn="1" w:lastColumn="0" w:noHBand="0" w:noVBand="1"/>
    </w:tblPr>
    <w:tblGrid>
      <w:gridCol w:w="675"/>
      <w:gridCol w:w="9072"/>
    </w:tblGrid>
    <w:tr w:rsidR="000A1C6A" w:rsidTr="00943F7F">
      <w:trPr>
        <w:cantSplit/>
      </w:trPr>
      <w:tc>
        <w:tcPr>
          <w:tcW w:w="675" w:type="dxa"/>
          <w:vAlign w:val="center"/>
        </w:tcPr>
        <w:p w:rsidR="000A1C6A" w:rsidRPr="00931466" w:rsidRDefault="000A1C6A" w:rsidP="00943F7F">
          <w:pPr>
            <w:pStyle w:val="Footer"/>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sidR="00C36FDD">
            <w:rPr>
              <w:rStyle w:val="PageNumber"/>
              <w:noProof/>
            </w:rPr>
            <w:t>16</w:t>
          </w:r>
          <w:r w:rsidRPr="00931466">
            <w:rPr>
              <w:rStyle w:val="PageNumber"/>
            </w:rPr>
            <w:fldChar w:fldCharType="end"/>
          </w:r>
        </w:p>
      </w:tc>
      <w:tc>
        <w:tcPr>
          <w:tcW w:w="9072" w:type="dxa"/>
          <w:vAlign w:val="center"/>
        </w:tcPr>
        <w:p w:rsidR="000A1C6A" w:rsidRDefault="000A1C6A" w:rsidP="00943F7F">
          <w:pPr>
            <w:pStyle w:val="RectoFooter"/>
            <w:jc w:val="left"/>
          </w:pPr>
          <w:r>
            <w:t>annual report on drinking-water quality</w:t>
          </w:r>
        </w:p>
      </w:tc>
    </w:tr>
  </w:tbl>
  <w:p w:rsidR="000A1C6A" w:rsidRPr="00571223" w:rsidRDefault="000A1C6A" w:rsidP="00571223">
    <w:pPr>
      <w:pStyle w:val="VersoFooter"/>
      <w:rPr>
        <w:sz w:val="2"/>
        <w:szCs w:val="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9" w:type="dxa"/>
      <w:tblLayout w:type="fixed"/>
      <w:tblCellMar>
        <w:left w:w="0" w:type="dxa"/>
        <w:right w:w="0" w:type="dxa"/>
      </w:tblCellMar>
      <w:tblLook w:val="04A0" w:firstRow="1" w:lastRow="0" w:firstColumn="1" w:lastColumn="0" w:noHBand="0" w:noVBand="1"/>
    </w:tblPr>
    <w:tblGrid>
      <w:gridCol w:w="8080"/>
      <w:gridCol w:w="709"/>
    </w:tblGrid>
    <w:tr w:rsidR="000A1C6A" w:rsidTr="00943F7F">
      <w:trPr>
        <w:cantSplit/>
      </w:trPr>
      <w:tc>
        <w:tcPr>
          <w:tcW w:w="8080" w:type="dxa"/>
          <w:vAlign w:val="center"/>
        </w:tcPr>
        <w:p w:rsidR="000A1C6A" w:rsidRDefault="000A1C6A" w:rsidP="00943F7F">
          <w:pPr>
            <w:pStyle w:val="RectoFooter"/>
          </w:pPr>
          <w:r>
            <w:t>annual report on drinking-water quality</w:t>
          </w:r>
        </w:p>
      </w:tc>
      <w:tc>
        <w:tcPr>
          <w:tcW w:w="709" w:type="dxa"/>
          <w:vAlign w:val="center"/>
        </w:tcPr>
        <w:p w:rsidR="000A1C6A" w:rsidRPr="00931466" w:rsidRDefault="000A1C6A" w:rsidP="00943F7F">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sidR="00C36FDD">
            <w:rPr>
              <w:rStyle w:val="PageNumber"/>
              <w:noProof/>
            </w:rPr>
            <w:t>15</w:t>
          </w:r>
          <w:r w:rsidRPr="00931466">
            <w:rPr>
              <w:rStyle w:val="PageNumber"/>
            </w:rPr>
            <w:fldChar w:fldCharType="end"/>
          </w:r>
        </w:p>
      </w:tc>
    </w:tr>
  </w:tbl>
  <w:p w:rsidR="000A1C6A" w:rsidRPr="00581EB8" w:rsidRDefault="000A1C6A" w:rsidP="00581EB8">
    <w:pPr>
      <w:pStyle w:val="Footer"/>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1C6A" w:rsidRPr="00A26E6B" w:rsidRDefault="000A1C6A" w:rsidP="00A26E6B"/>
  </w:footnote>
  <w:footnote w:type="continuationSeparator" w:id="0">
    <w:p w:rsidR="000A1C6A" w:rsidRDefault="000A1C6A">
      <w:r>
        <w:continuationSeparator/>
      </w:r>
    </w:p>
    <w:p w:rsidR="000A1C6A" w:rsidRDefault="000A1C6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4A0" w:firstRow="1" w:lastRow="0" w:firstColumn="1" w:lastColumn="0" w:noHBand="0" w:noVBand="1"/>
    </w:tblPr>
    <w:tblGrid>
      <w:gridCol w:w="5210"/>
      <w:gridCol w:w="4429"/>
    </w:tblGrid>
    <w:tr w:rsidR="000A1C6A" w:rsidTr="005A79E5">
      <w:trPr>
        <w:cantSplit/>
      </w:trPr>
      <w:tc>
        <w:tcPr>
          <w:tcW w:w="5210" w:type="dxa"/>
        </w:tcPr>
        <w:p w:rsidR="000A1C6A" w:rsidRDefault="000A1C6A" w:rsidP="008814E8">
          <w:pPr>
            <w:pStyle w:val="Header"/>
          </w:pPr>
          <w:r>
            <w:rPr>
              <w:noProof/>
              <w:lang w:eastAsia="en-NZ"/>
            </w:rPr>
            <w:drawing>
              <wp:inline distT="0" distB="0" distL="0" distR="0" wp14:anchorId="013FFA50" wp14:editId="0E7281A4">
                <wp:extent cx="1395076" cy="57357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H_logo1_RGB.jpg"/>
                        <pic:cNvPicPr/>
                      </pic:nvPicPr>
                      <pic:blipFill rotWithShape="1">
                        <a:blip r:embed="rId1" cstate="print">
                          <a:extLst>
                            <a:ext uri="{28A0092B-C50C-407E-A947-70E740481C1C}">
                              <a14:useLocalDpi xmlns:a14="http://schemas.microsoft.com/office/drawing/2010/main" val="0"/>
                            </a:ext>
                          </a:extLst>
                        </a:blip>
                        <a:srcRect l="7327" t="15285" r="7327" b="13946"/>
                        <a:stretch/>
                      </pic:blipFill>
                      <pic:spPr bwMode="auto">
                        <a:xfrm>
                          <a:off x="0" y="0"/>
                          <a:ext cx="1397853" cy="574720"/>
                        </a:xfrm>
                        <a:prstGeom prst="rect">
                          <a:avLst/>
                        </a:prstGeom>
                        <a:ln>
                          <a:noFill/>
                        </a:ln>
                        <a:extLst>
                          <a:ext uri="{53640926-AAD7-44D8-BBD7-CCE9431645EC}">
                            <a14:shadowObscured xmlns:a14="http://schemas.microsoft.com/office/drawing/2010/main"/>
                          </a:ext>
                        </a:extLst>
                      </pic:spPr>
                    </pic:pic>
                  </a:graphicData>
                </a:graphic>
              </wp:inline>
            </w:drawing>
          </w:r>
        </w:p>
      </w:tc>
      <w:tc>
        <w:tcPr>
          <w:tcW w:w="4429" w:type="dxa"/>
          <w:vAlign w:val="center"/>
        </w:tcPr>
        <w:p w:rsidR="000A1C6A" w:rsidRDefault="000A1C6A" w:rsidP="008814E8">
          <w:pPr>
            <w:pStyle w:val="Header"/>
            <w:jc w:val="right"/>
          </w:pPr>
          <w:r>
            <w:rPr>
              <w:noProof/>
              <w:lang w:eastAsia="en-NZ"/>
            </w:rPr>
            <w:drawing>
              <wp:inline distT="0" distB="0" distL="0" distR="0" wp14:anchorId="59E43B5B" wp14:editId="23C6020A">
                <wp:extent cx="1720735" cy="17713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zgovernmentblacksmall.jpg"/>
                        <pic:cNvPicPr/>
                      </pic:nvPicPr>
                      <pic:blipFill>
                        <a:blip r:embed="rId2">
                          <a:extLst>
                            <a:ext uri="{28A0092B-C50C-407E-A947-70E740481C1C}">
                              <a14:useLocalDpi xmlns:a14="http://schemas.microsoft.com/office/drawing/2010/main" val="0"/>
                            </a:ext>
                          </a:extLst>
                        </a:blip>
                        <a:stretch>
                          <a:fillRect/>
                        </a:stretch>
                      </pic:blipFill>
                      <pic:spPr>
                        <a:xfrm>
                          <a:off x="0" y="0"/>
                          <a:ext cx="1718896" cy="176946"/>
                        </a:xfrm>
                        <a:prstGeom prst="rect">
                          <a:avLst/>
                        </a:prstGeom>
                      </pic:spPr>
                    </pic:pic>
                  </a:graphicData>
                </a:graphic>
              </wp:inline>
            </w:drawing>
          </w:r>
        </w:p>
      </w:tc>
    </w:tr>
  </w:tbl>
  <w:p w:rsidR="000A1C6A" w:rsidRDefault="000A1C6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6DA3" w:rsidRPr="00526DA3" w:rsidRDefault="00526DA3" w:rsidP="00526DA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1C6A" w:rsidRDefault="000A1C6A" w:rsidP="00533B90"/>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1C6A" w:rsidRDefault="000A1C6A" w:rsidP="0090019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A1250"/>
    <w:multiLevelType w:val="multilevel"/>
    <w:tmpl w:val="B8F875CC"/>
    <w:lvl w:ilvl="0">
      <w:start w:val="1"/>
      <w:numFmt w:val="decimal"/>
      <w:pStyle w:val="Heading1"/>
      <w:lvlText w:val="%1"/>
      <w:lvlJc w:val="left"/>
      <w:pPr>
        <w:tabs>
          <w:tab w:val="num" w:pos="992"/>
        </w:tabs>
        <w:ind w:left="992" w:hanging="992"/>
      </w:pPr>
      <w:rPr>
        <w:rFonts w:hint="default"/>
      </w:rPr>
    </w:lvl>
    <w:lvl w:ilvl="1">
      <w:start w:val="1"/>
      <w:numFmt w:val="decimal"/>
      <w:pStyle w:val="Heading2"/>
      <w:lvlText w:val="%1.%2"/>
      <w:lvlJc w:val="left"/>
      <w:pPr>
        <w:tabs>
          <w:tab w:val="num" w:pos="992"/>
        </w:tabs>
        <w:ind w:left="992" w:hanging="992"/>
      </w:pPr>
      <w:rPr>
        <w:rFonts w:hint="default"/>
      </w:rPr>
    </w:lvl>
    <w:lvl w:ilvl="2">
      <w:start w:val="1"/>
      <w:numFmt w:val="decimal"/>
      <w:pStyle w:val="Heading3"/>
      <w:lvlText w:val="%1.%2.%3"/>
      <w:lvlJc w:val="left"/>
      <w:pPr>
        <w:ind w:left="992" w:hanging="992"/>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0D817C7"/>
    <w:multiLevelType w:val="multilevel"/>
    <w:tmpl w:val="89F8632E"/>
    <w:lvl w:ilvl="0">
      <w:start w:val="1"/>
      <w:numFmt w:val="decimal"/>
      <w:lvlText w:val="%1"/>
      <w:lvlJc w:val="left"/>
      <w:pPr>
        <w:ind w:left="992" w:hanging="992"/>
      </w:pPr>
      <w:rPr>
        <w:rFonts w:hint="default"/>
      </w:rPr>
    </w:lvl>
    <w:lvl w:ilvl="1">
      <w:start w:val="1"/>
      <w:numFmt w:val="lowerLetter"/>
      <w:lvlText w:val="%2."/>
      <w:lvlJc w:val="left"/>
      <w:pPr>
        <w:ind w:left="992" w:hanging="992"/>
      </w:pPr>
      <w:rPr>
        <w:rFonts w:hint="default"/>
      </w:rPr>
    </w:lvl>
    <w:lvl w:ilvl="2">
      <w:start w:val="1"/>
      <w:numFmt w:val="none"/>
      <w:suff w:val="nothing"/>
      <w:lvlText w:val="%3"/>
      <w:lvlJc w:val="left"/>
      <w:pPr>
        <w:ind w:left="0" w:firstLine="0"/>
      </w:pPr>
      <w:rPr>
        <w:rFonts w:hint="default"/>
      </w:rPr>
    </w:lvl>
    <w:lvl w:ilvl="3">
      <w:start w:val="1"/>
      <w:numFmt w:val="decimal"/>
      <w:pStyle w:val="Number"/>
      <w:lvlText w:val="%4."/>
      <w:lvlJc w:val="left"/>
      <w:pPr>
        <w:ind w:left="567" w:hanging="567"/>
      </w:pPr>
      <w:rPr>
        <w:rFonts w:hint="default"/>
      </w:rPr>
    </w:lvl>
    <w:lvl w:ilvl="4">
      <w:start w:val="1"/>
      <w:numFmt w:val="lowerLetter"/>
      <w:pStyle w:val="Letter"/>
      <w:lvlText w:val="%5."/>
      <w:lvlJc w:val="left"/>
      <w:pPr>
        <w:ind w:left="1134" w:hanging="567"/>
      </w:pPr>
      <w:rPr>
        <w:rFonts w:hint="default"/>
      </w:rPr>
    </w:lvl>
    <w:lvl w:ilvl="5">
      <w:start w:val="1"/>
      <w:numFmt w:val="lowerRoman"/>
      <w:pStyle w:val="Roman"/>
      <w:lvlText w:val="%6."/>
      <w:lvlJc w:val="left"/>
      <w:pPr>
        <w:ind w:left="1701"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42E1B55"/>
    <w:multiLevelType w:val="singleLevel"/>
    <w:tmpl w:val="1A46536C"/>
    <w:lvl w:ilvl="0">
      <w:start w:val="1"/>
      <w:numFmt w:val="bullet"/>
      <w:pStyle w:val="TableBullet"/>
      <w:lvlText w:val=""/>
      <w:lvlJc w:val="left"/>
      <w:pPr>
        <w:tabs>
          <w:tab w:val="num" w:pos="284"/>
        </w:tabs>
        <w:ind w:left="284" w:hanging="284"/>
      </w:pPr>
      <w:rPr>
        <w:rFonts w:ascii="Symbol" w:hAnsi="Symbol" w:hint="default"/>
        <w:sz w:val="16"/>
        <w:szCs w:val="16"/>
      </w:rPr>
    </w:lvl>
  </w:abstractNum>
  <w:abstractNum w:abstractNumId="3" w15:restartNumberingAfterBreak="0">
    <w:nsid w:val="3CA71F78"/>
    <w:multiLevelType w:val="hybridMultilevel"/>
    <w:tmpl w:val="0D76E58A"/>
    <w:lvl w:ilvl="0" w:tplc="33A80CE8">
      <w:start w:val="1"/>
      <w:numFmt w:val="bullet"/>
      <w:pStyle w:val="Dash"/>
      <w:lvlText w:val="–"/>
      <w:lvlJc w:val="left"/>
      <w:pPr>
        <w:tabs>
          <w:tab w:val="num" w:pos="567"/>
        </w:tabs>
        <w:ind w:left="567" w:hanging="283"/>
      </w:pPr>
      <w:rPr>
        <w:rFonts w:ascii="Arial" w:hAnsi="Arial" w:hint="default"/>
        <w:b w:val="0"/>
        <w:i w:val="0"/>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00E20E8"/>
    <w:multiLevelType w:val="hybridMultilevel"/>
    <w:tmpl w:val="FD9CE56E"/>
    <w:lvl w:ilvl="0" w:tplc="84F4142A">
      <w:start w:val="1"/>
      <w:numFmt w:val="bullet"/>
      <w:pStyle w:val="TableDash"/>
      <w:lvlText w:val="–"/>
      <w:lvlJc w:val="left"/>
      <w:pPr>
        <w:tabs>
          <w:tab w:val="num" w:pos="567"/>
        </w:tabs>
        <w:ind w:left="567" w:hanging="283"/>
      </w:pPr>
      <w:rPr>
        <w:rFonts w:ascii="Arial Mäori" w:hAnsi="Arial Mäori"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3A100D5"/>
    <w:multiLevelType w:val="hybridMultilevel"/>
    <w:tmpl w:val="1294322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7C1218D3"/>
    <w:multiLevelType w:val="singleLevel"/>
    <w:tmpl w:val="B224B1E2"/>
    <w:lvl w:ilvl="0">
      <w:start w:val="1"/>
      <w:numFmt w:val="bullet"/>
      <w:pStyle w:val="Bullet"/>
      <w:lvlText w:val=""/>
      <w:lvlJc w:val="left"/>
      <w:pPr>
        <w:tabs>
          <w:tab w:val="num" w:pos="284"/>
        </w:tabs>
        <w:ind w:left="284" w:hanging="284"/>
      </w:pPr>
      <w:rPr>
        <w:rFonts w:ascii="Symbol" w:hAnsi="Symbol" w:hint="default"/>
        <w:sz w:val="18"/>
      </w:rPr>
    </w:lvl>
  </w:abstractNum>
  <w:num w:numId="1">
    <w:abstractNumId w:val="6"/>
  </w:num>
  <w:num w:numId="2">
    <w:abstractNumId w:val="3"/>
  </w:num>
  <w:num w:numId="3">
    <w:abstractNumId w:val="4"/>
  </w:num>
  <w:num w:numId="4">
    <w:abstractNumId w:val="2"/>
  </w:num>
  <w:num w:numId="5">
    <w:abstractNumId w:val="1"/>
  </w:num>
  <w:num w:numId="6">
    <w:abstractNumId w:val="0"/>
  </w:num>
  <w:num w:numId="7">
    <w:abstractNumId w:val="0"/>
  </w:num>
  <w:num w:numId="8">
    <w:abstractNumId w:val="0"/>
  </w:num>
  <w:num w:numId="9">
    <w:abstractNumId w:val="5"/>
  </w:num>
  <w:num w:numId="10">
    <w:abstractNumId w:val="0"/>
  </w:num>
  <w:num w:numId="11">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567"/>
  <w:evenAndOddHeaders/>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8EB"/>
    <w:rsid w:val="000025B8"/>
    <w:rsid w:val="00005BB5"/>
    <w:rsid w:val="00025A6F"/>
    <w:rsid w:val="0002618D"/>
    <w:rsid w:val="00030B26"/>
    <w:rsid w:val="00030E84"/>
    <w:rsid w:val="00032C0A"/>
    <w:rsid w:val="00035257"/>
    <w:rsid w:val="00035D68"/>
    <w:rsid w:val="00036027"/>
    <w:rsid w:val="00053921"/>
    <w:rsid w:val="00054B44"/>
    <w:rsid w:val="0006006B"/>
    <w:rsid w:val="0006228D"/>
    <w:rsid w:val="00072BD6"/>
    <w:rsid w:val="00075B78"/>
    <w:rsid w:val="000763E9"/>
    <w:rsid w:val="00082CD6"/>
    <w:rsid w:val="0008437D"/>
    <w:rsid w:val="00085AFE"/>
    <w:rsid w:val="00091BB4"/>
    <w:rsid w:val="00094800"/>
    <w:rsid w:val="000A0158"/>
    <w:rsid w:val="000A1C6A"/>
    <w:rsid w:val="000A373D"/>
    <w:rsid w:val="000A41ED"/>
    <w:rsid w:val="000B0730"/>
    <w:rsid w:val="000B2566"/>
    <w:rsid w:val="000D19F4"/>
    <w:rsid w:val="000D58DD"/>
    <w:rsid w:val="000F2AE2"/>
    <w:rsid w:val="000F2BFF"/>
    <w:rsid w:val="00101556"/>
    <w:rsid w:val="00102063"/>
    <w:rsid w:val="0010541C"/>
    <w:rsid w:val="00106F93"/>
    <w:rsid w:val="00111D50"/>
    <w:rsid w:val="00113B8E"/>
    <w:rsid w:val="0012053C"/>
    <w:rsid w:val="00122363"/>
    <w:rsid w:val="00125D45"/>
    <w:rsid w:val="001342C7"/>
    <w:rsid w:val="0013585C"/>
    <w:rsid w:val="00142261"/>
    <w:rsid w:val="00142954"/>
    <w:rsid w:val="001460E0"/>
    <w:rsid w:val="001472F0"/>
    <w:rsid w:val="0014733D"/>
    <w:rsid w:val="00147F71"/>
    <w:rsid w:val="00150A6E"/>
    <w:rsid w:val="0016304B"/>
    <w:rsid w:val="0016468A"/>
    <w:rsid w:val="0017070E"/>
    <w:rsid w:val="0018376C"/>
    <w:rsid w:val="0018662D"/>
    <w:rsid w:val="00197427"/>
    <w:rsid w:val="001A21B4"/>
    <w:rsid w:val="001A5CF5"/>
    <w:rsid w:val="001B39D2"/>
    <w:rsid w:val="001B4BF8"/>
    <w:rsid w:val="001B7B14"/>
    <w:rsid w:val="001C4326"/>
    <w:rsid w:val="001C665E"/>
    <w:rsid w:val="001D3541"/>
    <w:rsid w:val="001D3E4E"/>
    <w:rsid w:val="001D7420"/>
    <w:rsid w:val="001E254A"/>
    <w:rsid w:val="001E7386"/>
    <w:rsid w:val="001F45A7"/>
    <w:rsid w:val="001F5E27"/>
    <w:rsid w:val="0020027C"/>
    <w:rsid w:val="00201A01"/>
    <w:rsid w:val="0020754B"/>
    <w:rsid w:val="00207BDA"/>
    <w:rsid w:val="002104D3"/>
    <w:rsid w:val="00213A33"/>
    <w:rsid w:val="0021763B"/>
    <w:rsid w:val="00246DB1"/>
    <w:rsid w:val="002476B5"/>
    <w:rsid w:val="002520CC"/>
    <w:rsid w:val="00253ECF"/>
    <w:rsid w:val="00254044"/>
    <w:rsid w:val="002546A1"/>
    <w:rsid w:val="002575E8"/>
    <w:rsid w:val="002628F4"/>
    <w:rsid w:val="00275D08"/>
    <w:rsid w:val="002839AF"/>
    <w:rsid w:val="002858E3"/>
    <w:rsid w:val="0029190A"/>
    <w:rsid w:val="00292C5A"/>
    <w:rsid w:val="00295241"/>
    <w:rsid w:val="002A4DFC"/>
    <w:rsid w:val="002A74AE"/>
    <w:rsid w:val="002B047D"/>
    <w:rsid w:val="002B732B"/>
    <w:rsid w:val="002B76A7"/>
    <w:rsid w:val="002B7BEC"/>
    <w:rsid w:val="002C2219"/>
    <w:rsid w:val="002C2552"/>
    <w:rsid w:val="002C380A"/>
    <w:rsid w:val="002D0DF2"/>
    <w:rsid w:val="002D23BD"/>
    <w:rsid w:val="002E0B47"/>
    <w:rsid w:val="002F4685"/>
    <w:rsid w:val="002F7213"/>
    <w:rsid w:val="0030382F"/>
    <w:rsid w:val="0030408D"/>
    <w:rsid w:val="003060E4"/>
    <w:rsid w:val="003160E7"/>
    <w:rsid w:val="0031739E"/>
    <w:rsid w:val="003235C6"/>
    <w:rsid w:val="00323611"/>
    <w:rsid w:val="003309CA"/>
    <w:rsid w:val="003325AB"/>
    <w:rsid w:val="003332D1"/>
    <w:rsid w:val="0033412B"/>
    <w:rsid w:val="00341161"/>
    <w:rsid w:val="00343365"/>
    <w:rsid w:val="003445F4"/>
    <w:rsid w:val="00353501"/>
    <w:rsid w:val="00353734"/>
    <w:rsid w:val="0035388F"/>
    <w:rsid w:val="003606F8"/>
    <w:rsid w:val="003648EF"/>
    <w:rsid w:val="003673E6"/>
    <w:rsid w:val="00377264"/>
    <w:rsid w:val="003779D2"/>
    <w:rsid w:val="00385E38"/>
    <w:rsid w:val="003A26A5"/>
    <w:rsid w:val="003A3761"/>
    <w:rsid w:val="003A512D"/>
    <w:rsid w:val="003A5FEA"/>
    <w:rsid w:val="003A710B"/>
    <w:rsid w:val="003B1D10"/>
    <w:rsid w:val="003C76D4"/>
    <w:rsid w:val="003D137D"/>
    <w:rsid w:val="003D2CC5"/>
    <w:rsid w:val="003D3E5C"/>
    <w:rsid w:val="003E04C1"/>
    <w:rsid w:val="003E0887"/>
    <w:rsid w:val="003E74C8"/>
    <w:rsid w:val="003E74E2"/>
    <w:rsid w:val="003E7C46"/>
    <w:rsid w:val="003F2106"/>
    <w:rsid w:val="003F52A7"/>
    <w:rsid w:val="003F7013"/>
    <w:rsid w:val="003F7F6A"/>
    <w:rsid w:val="0040240C"/>
    <w:rsid w:val="00413021"/>
    <w:rsid w:val="00414C35"/>
    <w:rsid w:val="004301C6"/>
    <w:rsid w:val="0043478F"/>
    <w:rsid w:val="0043602B"/>
    <w:rsid w:val="004367D2"/>
    <w:rsid w:val="00440BE0"/>
    <w:rsid w:val="00442A06"/>
    <w:rsid w:val="00442C1C"/>
    <w:rsid w:val="0044584B"/>
    <w:rsid w:val="00447CB7"/>
    <w:rsid w:val="00455CC9"/>
    <w:rsid w:val="00460826"/>
    <w:rsid w:val="00460B1E"/>
    <w:rsid w:val="00460EA7"/>
    <w:rsid w:val="0046195B"/>
    <w:rsid w:val="0046362D"/>
    <w:rsid w:val="0046596D"/>
    <w:rsid w:val="00487C04"/>
    <w:rsid w:val="004907E1"/>
    <w:rsid w:val="00494C8E"/>
    <w:rsid w:val="004A035B"/>
    <w:rsid w:val="004A2108"/>
    <w:rsid w:val="004A2CD2"/>
    <w:rsid w:val="004A38D7"/>
    <w:rsid w:val="004A778C"/>
    <w:rsid w:val="004B48C7"/>
    <w:rsid w:val="004C2E6A"/>
    <w:rsid w:val="004C64B8"/>
    <w:rsid w:val="004D2A2D"/>
    <w:rsid w:val="004D479F"/>
    <w:rsid w:val="004D6689"/>
    <w:rsid w:val="004E1D1D"/>
    <w:rsid w:val="004E7AC8"/>
    <w:rsid w:val="004F0C94"/>
    <w:rsid w:val="005019AE"/>
    <w:rsid w:val="00503749"/>
    <w:rsid w:val="00504CF4"/>
    <w:rsid w:val="0050635B"/>
    <w:rsid w:val="005075B3"/>
    <w:rsid w:val="005151C2"/>
    <w:rsid w:val="00526DA3"/>
    <w:rsid w:val="0053199F"/>
    <w:rsid w:val="00531E12"/>
    <w:rsid w:val="00533B90"/>
    <w:rsid w:val="005410F8"/>
    <w:rsid w:val="005448EC"/>
    <w:rsid w:val="00545963"/>
    <w:rsid w:val="00550256"/>
    <w:rsid w:val="00553165"/>
    <w:rsid w:val="00553958"/>
    <w:rsid w:val="00556BB7"/>
    <w:rsid w:val="0055763D"/>
    <w:rsid w:val="00561516"/>
    <w:rsid w:val="005621F2"/>
    <w:rsid w:val="00567B58"/>
    <w:rsid w:val="00571223"/>
    <w:rsid w:val="005763E0"/>
    <w:rsid w:val="00581136"/>
    <w:rsid w:val="00581EB8"/>
    <w:rsid w:val="0058437F"/>
    <w:rsid w:val="005A27CA"/>
    <w:rsid w:val="005A43BD"/>
    <w:rsid w:val="005A79E5"/>
    <w:rsid w:val="005D034C"/>
    <w:rsid w:val="005E226E"/>
    <w:rsid w:val="005E2636"/>
    <w:rsid w:val="006015D7"/>
    <w:rsid w:val="00601B21"/>
    <w:rsid w:val="006041F0"/>
    <w:rsid w:val="00605C6D"/>
    <w:rsid w:val="006120CA"/>
    <w:rsid w:val="00624174"/>
    <w:rsid w:val="00626CF8"/>
    <w:rsid w:val="006314AF"/>
    <w:rsid w:val="00634003"/>
    <w:rsid w:val="00634ED8"/>
    <w:rsid w:val="00636D7D"/>
    <w:rsid w:val="00637408"/>
    <w:rsid w:val="00642868"/>
    <w:rsid w:val="00647AFE"/>
    <w:rsid w:val="00650417"/>
    <w:rsid w:val="006512BC"/>
    <w:rsid w:val="00653A5A"/>
    <w:rsid w:val="006554AC"/>
    <w:rsid w:val="006575F4"/>
    <w:rsid w:val="006579E6"/>
    <w:rsid w:val="00660682"/>
    <w:rsid w:val="00660F74"/>
    <w:rsid w:val="00663EDC"/>
    <w:rsid w:val="00671078"/>
    <w:rsid w:val="006758CA"/>
    <w:rsid w:val="00680A04"/>
    <w:rsid w:val="00686D80"/>
    <w:rsid w:val="0069044C"/>
    <w:rsid w:val="00694895"/>
    <w:rsid w:val="00695303"/>
    <w:rsid w:val="00697E2E"/>
    <w:rsid w:val="006A25A2"/>
    <w:rsid w:val="006A3B87"/>
    <w:rsid w:val="006B0A88"/>
    <w:rsid w:val="006B0E73"/>
    <w:rsid w:val="006B1E3D"/>
    <w:rsid w:val="006B4A4D"/>
    <w:rsid w:val="006B5695"/>
    <w:rsid w:val="006B62E6"/>
    <w:rsid w:val="006B7B2E"/>
    <w:rsid w:val="006C78EB"/>
    <w:rsid w:val="006D1660"/>
    <w:rsid w:val="006D63E5"/>
    <w:rsid w:val="006E1753"/>
    <w:rsid w:val="006E377C"/>
    <w:rsid w:val="006E3911"/>
    <w:rsid w:val="006F1B67"/>
    <w:rsid w:val="006F4D9C"/>
    <w:rsid w:val="0070091D"/>
    <w:rsid w:val="00702854"/>
    <w:rsid w:val="0071741C"/>
    <w:rsid w:val="00742B90"/>
    <w:rsid w:val="0074434D"/>
    <w:rsid w:val="007570C4"/>
    <w:rsid w:val="007605B8"/>
    <w:rsid w:val="00771B1E"/>
    <w:rsid w:val="0077235B"/>
    <w:rsid w:val="00773C95"/>
    <w:rsid w:val="0078171E"/>
    <w:rsid w:val="0078658E"/>
    <w:rsid w:val="007920E2"/>
    <w:rsid w:val="0079566E"/>
    <w:rsid w:val="00795B34"/>
    <w:rsid w:val="007A067F"/>
    <w:rsid w:val="007B1770"/>
    <w:rsid w:val="007B4D3E"/>
    <w:rsid w:val="007B7C70"/>
    <w:rsid w:val="007B7DEB"/>
    <w:rsid w:val="007C0449"/>
    <w:rsid w:val="007D2151"/>
    <w:rsid w:val="007D3B90"/>
    <w:rsid w:val="007D42CC"/>
    <w:rsid w:val="007D5DE4"/>
    <w:rsid w:val="007D7C3A"/>
    <w:rsid w:val="007E0777"/>
    <w:rsid w:val="007E1341"/>
    <w:rsid w:val="007E1B41"/>
    <w:rsid w:val="007E1EC4"/>
    <w:rsid w:val="007E30B9"/>
    <w:rsid w:val="007E74F1"/>
    <w:rsid w:val="007F0F0C"/>
    <w:rsid w:val="007F1288"/>
    <w:rsid w:val="007F3E11"/>
    <w:rsid w:val="00800A8A"/>
    <w:rsid w:val="0080155C"/>
    <w:rsid w:val="008052E1"/>
    <w:rsid w:val="00822F2C"/>
    <w:rsid w:val="00823DEE"/>
    <w:rsid w:val="008305E8"/>
    <w:rsid w:val="00836165"/>
    <w:rsid w:val="0084640C"/>
    <w:rsid w:val="008529A2"/>
    <w:rsid w:val="00856088"/>
    <w:rsid w:val="00860826"/>
    <w:rsid w:val="00860E21"/>
    <w:rsid w:val="00863117"/>
    <w:rsid w:val="0086388B"/>
    <w:rsid w:val="008642E5"/>
    <w:rsid w:val="00864488"/>
    <w:rsid w:val="00870A36"/>
    <w:rsid w:val="008716F0"/>
    <w:rsid w:val="00872D93"/>
    <w:rsid w:val="00880470"/>
    <w:rsid w:val="00880D94"/>
    <w:rsid w:val="008814E8"/>
    <w:rsid w:val="00886F64"/>
    <w:rsid w:val="008924DE"/>
    <w:rsid w:val="008A3755"/>
    <w:rsid w:val="008B19DC"/>
    <w:rsid w:val="008B264F"/>
    <w:rsid w:val="008B6F83"/>
    <w:rsid w:val="008B7FD8"/>
    <w:rsid w:val="008C2973"/>
    <w:rsid w:val="008C6324"/>
    <w:rsid w:val="008C64C4"/>
    <w:rsid w:val="008D2CDD"/>
    <w:rsid w:val="008D74D5"/>
    <w:rsid w:val="008D7C9F"/>
    <w:rsid w:val="008E0ED1"/>
    <w:rsid w:val="008E3A07"/>
    <w:rsid w:val="008E537B"/>
    <w:rsid w:val="008F29BE"/>
    <w:rsid w:val="008F4AE5"/>
    <w:rsid w:val="008F51EB"/>
    <w:rsid w:val="00900197"/>
    <w:rsid w:val="00902F55"/>
    <w:rsid w:val="0090582B"/>
    <w:rsid w:val="009060C0"/>
    <w:rsid w:val="009133F5"/>
    <w:rsid w:val="0091756F"/>
    <w:rsid w:val="00920A27"/>
    <w:rsid w:val="00921216"/>
    <w:rsid w:val="009216CC"/>
    <w:rsid w:val="00922E41"/>
    <w:rsid w:val="00925892"/>
    <w:rsid w:val="00926083"/>
    <w:rsid w:val="00926D08"/>
    <w:rsid w:val="00930D08"/>
    <w:rsid w:val="00931466"/>
    <w:rsid w:val="00932D69"/>
    <w:rsid w:val="00935589"/>
    <w:rsid w:val="00937408"/>
    <w:rsid w:val="009427FA"/>
    <w:rsid w:val="00943F7F"/>
    <w:rsid w:val="00944647"/>
    <w:rsid w:val="0095565C"/>
    <w:rsid w:val="0096026B"/>
    <w:rsid w:val="00964AB6"/>
    <w:rsid w:val="00966F9A"/>
    <w:rsid w:val="00975A0A"/>
    <w:rsid w:val="00977B8A"/>
    <w:rsid w:val="00982971"/>
    <w:rsid w:val="009845AD"/>
    <w:rsid w:val="00984835"/>
    <w:rsid w:val="00990312"/>
    <w:rsid w:val="009933EF"/>
    <w:rsid w:val="00995BA0"/>
    <w:rsid w:val="009A418B"/>
    <w:rsid w:val="009A426F"/>
    <w:rsid w:val="009A42D5"/>
    <w:rsid w:val="009A4473"/>
    <w:rsid w:val="009B05C9"/>
    <w:rsid w:val="009B286C"/>
    <w:rsid w:val="009C151C"/>
    <w:rsid w:val="009C440A"/>
    <w:rsid w:val="009D5125"/>
    <w:rsid w:val="009D60B8"/>
    <w:rsid w:val="009D7D4B"/>
    <w:rsid w:val="009E36ED"/>
    <w:rsid w:val="009E3B47"/>
    <w:rsid w:val="009E3C8C"/>
    <w:rsid w:val="009E6B77"/>
    <w:rsid w:val="009F460A"/>
    <w:rsid w:val="00A041DA"/>
    <w:rsid w:val="00A043FB"/>
    <w:rsid w:val="00A06BE4"/>
    <w:rsid w:val="00A0729C"/>
    <w:rsid w:val="00A073CF"/>
    <w:rsid w:val="00A07779"/>
    <w:rsid w:val="00A1166A"/>
    <w:rsid w:val="00A16D4E"/>
    <w:rsid w:val="00A20B2E"/>
    <w:rsid w:val="00A24F33"/>
    <w:rsid w:val="00A25069"/>
    <w:rsid w:val="00A252BF"/>
    <w:rsid w:val="00A26E6B"/>
    <w:rsid w:val="00A3068F"/>
    <w:rsid w:val="00A3145B"/>
    <w:rsid w:val="00A339D0"/>
    <w:rsid w:val="00A3415C"/>
    <w:rsid w:val="00A41002"/>
    <w:rsid w:val="00A4201A"/>
    <w:rsid w:val="00A5465D"/>
    <w:rsid w:val="00A553CE"/>
    <w:rsid w:val="00A5677A"/>
    <w:rsid w:val="00A56DCC"/>
    <w:rsid w:val="00A625E8"/>
    <w:rsid w:val="00A63DFF"/>
    <w:rsid w:val="00A64496"/>
    <w:rsid w:val="00A6490D"/>
    <w:rsid w:val="00A67033"/>
    <w:rsid w:val="00A7415D"/>
    <w:rsid w:val="00A80363"/>
    <w:rsid w:val="00A80939"/>
    <w:rsid w:val="00A83E9D"/>
    <w:rsid w:val="00A87C05"/>
    <w:rsid w:val="00A9169D"/>
    <w:rsid w:val="00A93598"/>
    <w:rsid w:val="00AA240C"/>
    <w:rsid w:val="00AB0332"/>
    <w:rsid w:val="00AC101C"/>
    <w:rsid w:val="00AD4CF1"/>
    <w:rsid w:val="00AD5988"/>
    <w:rsid w:val="00AD6293"/>
    <w:rsid w:val="00AE16AF"/>
    <w:rsid w:val="00AF7800"/>
    <w:rsid w:val="00B00CF5"/>
    <w:rsid w:val="00B072E0"/>
    <w:rsid w:val="00B1007E"/>
    <w:rsid w:val="00B253F6"/>
    <w:rsid w:val="00B26675"/>
    <w:rsid w:val="00B305DB"/>
    <w:rsid w:val="00B332F8"/>
    <w:rsid w:val="00B3492B"/>
    <w:rsid w:val="00B4646F"/>
    <w:rsid w:val="00B55AEA"/>
    <w:rsid w:val="00B55C7D"/>
    <w:rsid w:val="00B6210A"/>
    <w:rsid w:val="00B63038"/>
    <w:rsid w:val="00B64BD8"/>
    <w:rsid w:val="00B701D1"/>
    <w:rsid w:val="00B73AF2"/>
    <w:rsid w:val="00B7551A"/>
    <w:rsid w:val="00B773F1"/>
    <w:rsid w:val="00B80746"/>
    <w:rsid w:val="00B86AB1"/>
    <w:rsid w:val="00B87726"/>
    <w:rsid w:val="00B91B22"/>
    <w:rsid w:val="00BA7EBA"/>
    <w:rsid w:val="00BB2A06"/>
    <w:rsid w:val="00BB2CBB"/>
    <w:rsid w:val="00BB4198"/>
    <w:rsid w:val="00BC03EE"/>
    <w:rsid w:val="00BC59F1"/>
    <w:rsid w:val="00BD488E"/>
    <w:rsid w:val="00BE5BFB"/>
    <w:rsid w:val="00BF3DE1"/>
    <w:rsid w:val="00BF4843"/>
    <w:rsid w:val="00BF5205"/>
    <w:rsid w:val="00C05132"/>
    <w:rsid w:val="00C12508"/>
    <w:rsid w:val="00C23728"/>
    <w:rsid w:val="00C24566"/>
    <w:rsid w:val="00C3026C"/>
    <w:rsid w:val="00C313A9"/>
    <w:rsid w:val="00C347C8"/>
    <w:rsid w:val="00C36FDD"/>
    <w:rsid w:val="00C441CF"/>
    <w:rsid w:val="00C45AA2"/>
    <w:rsid w:val="00C4792C"/>
    <w:rsid w:val="00C55BEF"/>
    <w:rsid w:val="00C601AF"/>
    <w:rsid w:val="00C61A63"/>
    <w:rsid w:val="00C66296"/>
    <w:rsid w:val="00C7394D"/>
    <w:rsid w:val="00C77282"/>
    <w:rsid w:val="00C84DE5"/>
    <w:rsid w:val="00C86248"/>
    <w:rsid w:val="00C90B31"/>
    <w:rsid w:val="00C92C85"/>
    <w:rsid w:val="00CA0D6F"/>
    <w:rsid w:val="00CA4C33"/>
    <w:rsid w:val="00CA6F4A"/>
    <w:rsid w:val="00CB6427"/>
    <w:rsid w:val="00CC0FBE"/>
    <w:rsid w:val="00CD2119"/>
    <w:rsid w:val="00CD237A"/>
    <w:rsid w:val="00CD36AC"/>
    <w:rsid w:val="00CE13A3"/>
    <w:rsid w:val="00CE36BC"/>
    <w:rsid w:val="00CF1747"/>
    <w:rsid w:val="00CF60ED"/>
    <w:rsid w:val="00D05D74"/>
    <w:rsid w:val="00D20C59"/>
    <w:rsid w:val="00D23323"/>
    <w:rsid w:val="00D2392A"/>
    <w:rsid w:val="00D25FFE"/>
    <w:rsid w:val="00D37D80"/>
    <w:rsid w:val="00D442F3"/>
    <w:rsid w:val="00D44483"/>
    <w:rsid w:val="00D4476F"/>
    <w:rsid w:val="00D50573"/>
    <w:rsid w:val="00D51B2F"/>
    <w:rsid w:val="00D54D50"/>
    <w:rsid w:val="00D560B4"/>
    <w:rsid w:val="00D64346"/>
    <w:rsid w:val="00D662F8"/>
    <w:rsid w:val="00D66797"/>
    <w:rsid w:val="00D7087C"/>
    <w:rsid w:val="00D70C3C"/>
    <w:rsid w:val="00D71DF7"/>
    <w:rsid w:val="00D72BE5"/>
    <w:rsid w:val="00D81462"/>
    <w:rsid w:val="00D82431"/>
    <w:rsid w:val="00D82F26"/>
    <w:rsid w:val="00D863D0"/>
    <w:rsid w:val="00D86B00"/>
    <w:rsid w:val="00D86FB9"/>
    <w:rsid w:val="00D87C87"/>
    <w:rsid w:val="00D90BB4"/>
    <w:rsid w:val="00D90E07"/>
    <w:rsid w:val="00D932C2"/>
    <w:rsid w:val="00DA0232"/>
    <w:rsid w:val="00DB39CF"/>
    <w:rsid w:val="00DB7256"/>
    <w:rsid w:val="00DC0401"/>
    <w:rsid w:val="00DC20BD"/>
    <w:rsid w:val="00DD0BCD"/>
    <w:rsid w:val="00DD447A"/>
    <w:rsid w:val="00DE3B20"/>
    <w:rsid w:val="00DE6C94"/>
    <w:rsid w:val="00DE6FD7"/>
    <w:rsid w:val="00DF0C7C"/>
    <w:rsid w:val="00E014C4"/>
    <w:rsid w:val="00E10B18"/>
    <w:rsid w:val="00E214EA"/>
    <w:rsid w:val="00E23271"/>
    <w:rsid w:val="00E24F80"/>
    <w:rsid w:val="00E259F3"/>
    <w:rsid w:val="00E30985"/>
    <w:rsid w:val="00E33238"/>
    <w:rsid w:val="00E33934"/>
    <w:rsid w:val="00E376B7"/>
    <w:rsid w:val="00E42F5D"/>
    <w:rsid w:val="00E4486C"/>
    <w:rsid w:val="00E460B6"/>
    <w:rsid w:val="00E511D5"/>
    <w:rsid w:val="00E53A9F"/>
    <w:rsid w:val="00E57349"/>
    <w:rsid w:val="00E60249"/>
    <w:rsid w:val="00E65269"/>
    <w:rsid w:val="00E67233"/>
    <w:rsid w:val="00E76D66"/>
    <w:rsid w:val="00EA796A"/>
    <w:rsid w:val="00EB1856"/>
    <w:rsid w:val="00EC50CE"/>
    <w:rsid w:val="00EC5B34"/>
    <w:rsid w:val="00ED021E"/>
    <w:rsid w:val="00ED323C"/>
    <w:rsid w:val="00EE2D5C"/>
    <w:rsid w:val="00EE4ADE"/>
    <w:rsid w:val="00EE4DE8"/>
    <w:rsid w:val="00EE5CB7"/>
    <w:rsid w:val="00F000BF"/>
    <w:rsid w:val="00F024FE"/>
    <w:rsid w:val="00F05AD4"/>
    <w:rsid w:val="00F10EB6"/>
    <w:rsid w:val="00F13F07"/>
    <w:rsid w:val="00F140B2"/>
    <w:rsid w:val="00F25970"/>
    <w:rsid w:val="00F311A9"/>
    <w:rsid w:val="00F37381"/>
    <w:rsid w:val="00F5180D"/>
    <w:rsid w:val="00F621CE"/>
    <w:rsid w:val="00F63781"/>
    <w:rsid w:val="00F67496"/>
    <w:rsid w:val="00F7421E"/>
    <w:rsid w:val="00F801BA"/>
    <w:rsid w:val="00F807AD"/>
    <w:rsid w:val="00F83517"/>
    <w:rsid w:val="00F92C7D"/>
    <w:rsid w:val="00F9366A"/>
    <w:rsid w:val="00F946C9"/>
    <w:rsid w:val="00FA0EA5"/>
    <w:rsid w:val="00FA68C7"/>
    <w:rsid w:val="00FA74EE"/>
    <w:rsid w:val="00FC3711"/>
    <w:rsid w:val="00FC46E7"/>
    <w:rsid w:val="00FC5D25"/>
    <w:rsid w:val="00FD0D7E"/>
    <w:rsid w:val="00FD16C4"/>
    <w:rsid w:val="00FD362F"/>
    <w:rsid w:val="00FD4FFB"/>
    <w:rsid w:val="00FE6E13"/>
    <w:rsid w:val="00FF15F6"/>
    <w:rsid w:val="00FF527C"/>
    <w:rsid w:val="00FF65C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27502360-5F37-48F2-AE13-EB66ACB14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iPriority="4"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11" w:unhideWhenUsed="1"/>
    <w:lsdException w:name="endnote reference" w:semiHidden="1" w:unhideWhenUsed="1"/>
    <w:lsdException w:name="endnote text" w:semiHidden="1" w:unhideWhenUsed="1"/>
    <w:lsdException w:name="table of authorities" w:semiHidden="1" w:unhideWhenUsed="1"/>
    <w:lsdException w:name="macro" w:semiHidden="1" w:uiPriority="1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iPriority="0" w:unhideWhenUsed="1" w:qFormat="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44"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4"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362D"/>
    <w:rPr>
      <w:rFonts w:ascii="Segoe UI" w:hAnsi="Segoe UI"/>
      <w:sz w:val="21"/>
      <w:lang w:eastAsia="en-GB"/>
    </w:rPr>
  </w:style>
  <w:style w:type="paragraph" w:styleId="Heading1">
    <w:name w:val="heading 1"/>
    <w:basedOn w:val="Normal"/>
    <w:next w:val="Normal"/>
    <w:link w:val="Heading1Char"/>
    <w:uiPriority w:val="9"/>
    <w:qFormat/>
    <w:rsid w:val="002575E8"/>
    <w:pPr>
      <w:pageBreakBefore/>
      <w:numPr>
        <w:numId w:val="6"/>
      </w:numPr>
      <w:spacing w:after="360"/>
      <w:outlineLvl w:val="0"/>
    </w:pPr>
    <w:rPr>
      <w:b/>
      <w:color w:val="23305D"/>
      <w:spacing w:val="-10"/>
      <w:sz w:val="72"/>
    </w:rPr>
  </w:style>
  <w:style w:type="paragraph" w:styleId="Heading2">
    <w:name w:val="heading 2"/>
    <w:basedOn w:val="Normal"/>
    <w:next w:val="Normal"/>
    <w:link w:val="Heading2Char"/>
    <w:uiPriority w:val="9"/>
    <w:qFormat/>
    <w:rsid w:val="002575E8"/>
    <w:pPr>
      <w:keepNext/>
      <w:numPr>
        <w:ilvl w:val="1"/>
        <w:numId w:val="6"/>
      </w:numPr>
      <w:spacing w:before="480" w:after="180"/>
      <w:outlineLvl w:val="1"/>
    </w:pPr>
    <w:rPr>
      <w:b/>
      <w:color w:val="0A6AB4"/>
      <w:spacing w:val="-5"/>
      <w:sz w:val="48"/>
    </w:rPr>
  </w:style>
  <w:style w:type="paragraph" w:styleId="Heading3">
    <w:name w:val="heading 3"/>
    <w:basedOn w:val="Normal"/>
    <w:next w:val="Normal"/>
    <w:link w:val="Heading3Char"/>
    <w:uiPriority w:val="9"/>
    <w:qFormat/>
    <w:rsid w:val="00030E84"/>
    <w:pPr>
      <w:keepNext/>
      <w:numPr>
        <w:ilvl w:val="2"/>
        <w:numId w:val="6"/>
      </w:numPr>
      <w:spacing w:before="360" w:after="180"/>
      <w:outlineLvl w:val="2"/>
    </w:pPr>
    <w:rPr>
      <w:color w:val="0A6AB4"/>
      <w:spacing w:val="-5"/>
      <w:sz w:val="36"/>
    </w:rPr>
  </w:style>
  <w:style w:type="paragraph" w:styleId="Heading4">
    <w:name w:val="heading 4"/>
    <w:basedOn w:val="Normal"/>
    <w:next w:val="Normal"/>
    <w:link w:val="Heading4Char"/>
    <w:uiPriority w:val="9"/>
    <w:qFormat/>
    <w:rsid w:val="00030E84"/>
    <w:pPr>
      <w:keepNext/>
      <w:spacing w:before="240" w:after="120"/>
      <w:outlineLvl w:val="3"/>
    </w:pPr>
    <w:rPr>
      <w:color w:val="0A6AB4"/>
      <w:sz w:val="28"/>
    </w:rPr>
  </w:style>
  <w:style w:type="paragraph" w:styleId="Heading5">
    <w:name w:val="heading 5"/>
    <w:basedOn w:val="Normal"/>
    <w:next w:val="Normal"/>
    <w:link w:val="Heading5Char"/>
    <w:uiPriority w:val="9"/>
    <w:qFormat/>
    <w:rsid w:val="00B00CF5"/>
    <w:pPr>
      <w:keepNext/>
      <w:spacing w:before="120" w:after="120"/>
      <w:outlineLvl w:val="4"/>
    </w:pPr>
    <w:rPr>
      <w:color w:val="0A6AB4"/>
      <w:sz w:val="24"/>
    </w:rPr>
  </w:style>
  <w:style w:type="paragraph" w:styleId="Heading6">
    <w:name w:val="heading 6"/>
    <w:basedOn w:val="Normal"/>
    <w:next w:val="Normal"/>
    <w:link w:val="Heading6Char"/>
    <w:uiPriority w:val="9"/>
    <w:unhideWhenUsed/>
    <w:qFormat/>
    <w:rsid w:val="00122363"/>
    <w:pPr>
      <w:keepNext/>
      <w:keepLines/>
      <w:spacing w:before="200" w:after="120" w:line="276" w:lineRule="auto"/>
      <w:ind w:left="1152" w:hanging="1152"/>
      <w:outlineLvl w:val="5"/>
    </w:pPr>
    <w:rPr>
      <w:rFonts w:ascii="Calibri" w:eastAsia="MS Gothic" w:hAnsi="Calibri"/>
      <w:i/>
      <w:iCs/>
      <w:color w:val="243F60"/>
      <w:szCs w:val="24"/>
      <w:lang w:val="en-GB" w:eastAsia="en-US"/>
    </w:rPr>
  </w:style>
  <w:style w:type="paragraph" w:styleId="Heading7">
    <w:name w:val="heading 7"/>
    <w:basedOn w:val="Normal"/>
    <w:next w:val="Normal"/>
    <w:link w:val="Heading7Char"/>
    <w:uiPriority w:val="9"/>
    <w:unhideWhenUsed/>
    <w:qFormat/>
    <w:rsid w:val="00122363"/>
    <w:pPr>
      <w:keepNext/>
      <w:keepLines/>
      <w:spacing w:before="200" w:after="120" w:line="276" w:lineRule="auto"/>
      <w:ind w:left="1296" w:hanging="1296"/>
      <w:outlineLvl w:val="6"/>
    </w:pPr>
    <w:rPr>
      <w:rFonts w:ascii="Calibri" w:eastAsia="MS Gothic" w:hAnsi="Calibri"/>
      <w:i/>
      <w:iCs/>
      <w:color w:val="404040"/>
      <w:szCs w:val="24"/>
      <w:lang w:val="en-GB" w:eastAsia="en-US"/>
    </w:rPr>
  </w:style>
  <w:style w:type="paragraph" w:styleId="Heading8">
    <w:name w:val="heading 8"/>
    <w:basedOn w:val="Normal"/>
    <w:next w:val="Normal"/>
    <w:link w:val="Heading8Char"/>
    <w:uiPriority w:val="9"/>
    <w:unhideWhenUsed/>
    <w:qFormat/>
    <w:rsid w:val="00030E84"/>
    <w:pPr>
      <w:keepNext/>
      <w:keepLines/>
      <w:spacing w:before="480" w:after="240"/>
      <w:outlineLvl w:val="7"/>
    </w:pPr>
    <w:rPr>
      <w:rFonts w:eastAsia="MS Gothic"/>
      <w:color w:val="0A6AB4"/>
      <w:spacing w:val="-10"/>
      <w:sz w:val="36"/>
      <w:szCs w:val="24"/>
      <w:lang w:eastAsia="en-US"/>
    </w:rPr>
  </w:style>
  <w:style w:type="paragraph" w:styleId="Heading9">
    <w:name w:val="heading 9"/>
    <w:basedOn w:val="Normal"/>
    <w:next w:val="Normal"/>
    <w:link w:val="Heading9Char"/>
    <w:uiPriority w:val="9"/>
    <w:unhideWhenUsed/>
    <w:qFormat/>
    <w:rsid w:val="00122363"/>
    <w:pPr>
      <w:keepNext/>
      <w:keepLines/>
      <w:spacing w:before="200" w:after="120" w:line="276" w:lineRule="auto"/>
      <w:ind w:left="1584" w:hanging="1584"/>
      <w:outlineLvl w:val="8"/>
    </w:pPr>
    <w:rPr>
      <w:rFonts w:ascii="Calibri" w:eastAsia="MS Gothic" w:hAnsi="Calibri"/>
      <w:i/>
      <w:iCs/>
      <w:color w:val="404040"/>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427FA"/>
    <w:rPr>
      <w:rFonts w:ascii="Segoe UI" w:hAnsi="Segoe UI"/>
      <w:b/>
      <w:color w:val="23305D"/>
      <w:spacing w:val="-10"/>
      <w:sz w:val="72"/>
      <w:lang w:eastAsia="en-GB"/>
    </w:rPr>
  </w:style>
  <w:style w:type="character" w:customStyle="1" w:styleId="Heading2Char">
    <w:name w:val="Heading 2 Char"/>
    <w:link w:val="Heading2"/>
    <w:uiPriority w:val="9"/>
    <w:rsid w:val="00030E84"/>
    <w:rPr>
      <w:rFonts w:ascii="Segoe UI" w:hAnsi="Segoe UI"/>
      <w:b/>
      <w:color w:val="0A6AB4"/>
      <w:spacing w:val="-5"/>
      <w:sz w:val="48"/>
      <w:lang w:eastAsia="en-GB"/>
    </w:rPr>
  </w:style>
  <w:style w:type="character" w:customStyle="1" w:styleId="Heading3Char">
    <w:name w:val="Heading 3 Char"/>
    <w:link w:val="Heading3"/>
    <w:uiPriority w:val="9"/>
    <w:rsid w:val="00030E84"/>
    <w:rPr>
      <w:rFonts w:ascii="Segoe UI" w:hAnsi="Segoe UI"/>
      <w:color w:val="0A6AB4"/>
      <w:spacing w:val="-5"/>
      <w:sz w:val="36"/>
      <w:lang w:eastAsia="en-GB"/>
    </w:rPr>
  </w:style>
  <w:style w:type="character" w:customStyle="1" w:styleId="Heading4Char">
    <w:name w:val="Heading 4 Char"/>
    <w:link w:val="Heading4"/>
    <w:uiPriority w:val="9"/>
    <w:rsid w:val="00030E84"/>
    <w:rPr>
      <w:rFonts w:ascii="Segoe UI" w:hAnsi="Segoe UI"/>
      <w:color w:val="0A6AB4"/>
      <w:sz w:val="28"/>
      <w:lang w:eastAsia="en-GB"/>
    </w:rPr>
  </w:style>
  <w:style w:type="character" w:customStyle="1" w:styleId="Heading5Char">
    <w:name w:val="Heading 5 Char"/>
    <w:link w:val="Heading5"/>
    <w:uiPriority w:val="9"/>
    <w:rsid w:val="00B00CF5"/>
    <w:rPr>
      <w:rFonts w:ascii="Segoe UI" w:hAnsi="Segoe UI"/>
      <w:color w:val="0A6AB4"/>
      <w:sz w:val="24"/>
      <w:lang w:eastAsia="en-GB"/>
    </w:rPr>
  </w:style>
  <w:style w:type="character" w:customStyle="1" w:styleId="Heading6Char">
    <w:name w:val="Heading 6 Char"/>
    <w:basedOn w:val="DefaultParagraphFont"/>
    <w:link w:val="Heading6"/>
    <w:uiPriority w:val="9"/>
    <w:rsid w:val="00122363"/>
    <w:rPr>
      <w:rFonts w:ascii="Calibri" w:eastAsia="MS Gothic" w:hAnsi="Calibri"/>
      <w:i/>
      <w:iCs/>
      <w:color w:val="243F60"/>
      <w:sz w:val="22"/>
      <w:szCs w:val="24"/>
      <w:lang w:val="en-GB" w:eastAsia="en-US"/>
    </w:rPr>
  </w:style>
  <w:style w:type="character" w:customStyle="1" w:styleId="Heading7Char">
    <w:name w:val="Heading 7 Char"/>
    <w:basedOn w:val="DefaultParagraphFont"/>
    <w:link w:val="Heading7"/>
    <w:uiPriority w:val="9"/>
    <w:rsid w:val="00122363"/>
    <w:rPr>
      <w:rFonts w:ascii="Calibri" w:eastAsia="MS Gothic" w:hAnsi="Calibri"/>
      <w:i/>
      <w:iCs/>
      <w:color w:val="404040"/>
      <w:sz w:val="22"/>
      <w:szCs w:val="24"/>
      <w:lang w:val="en-GB" w:eastAsia="en-US"/>
    </w:rPr>
  </w:style>
  <w:style w:type="character" w:customStyle="1" w:styleId="Heading8Char">
    <w:name w:val="Heading 8 Char"/>
    <w:basedOn w:val="DefaultParagraphFont"/>
    <w:link w:val="Heading8"/>
    <w:uiPriority w:val="9"/>
    <w:rsid w:val="00030E84"/>
    <w:rPr>
      <w:rFonts w:ascii="Segoe UI" w:eastAsia="MS Gothic" w:hAnsi="Segoe UI"/>
      <w:color w:val="0A6AB4"/>
      <w:spacing w:val="-10"/>
      <w:sz w:val="36"/>
      <w:szCs w:val="24"/>
      <w:lang w:eastAsia="en-US"/>
    </w:rPr>
  </w:style>
  <w:style w:type="character" w:customStyle="1" w:styleId="Heading9Char">
    <w:name w:val="Heading 9 Char"/>
    <w:basedOn w:val="DefaultParagraphFont"/>
    <w:link w:val="Heading9"/>
    <w:uiPriority w:val="9"/>
    <w:rsid w:val="00122363"/>
    <w:rPr>
      <w:rFonts w:ascii="Calibri" w:eastAsia="MS Gothic" w:hAnsi="Calibri"/>
      <w:i/>
      <w:iCs/>
      <w:color w:val="404040"/>
      <w:sz w:val="22"/>
      <w:szCs w:val="24"/>
      <w:lang w:val="en-GB" w:eastAsia="en-US"/>
    </w:rPr>
  </w:style>
  <w:style w:type="paragraph" w:styleId="TOC1">
    <w:name w:val="toc 1"/>
    <w:basedOn w:val="Normal"/>
    <w:next w:val="Normal"/>
    <w:uiPriority w:val="39"/>
    <w:qFormat/>
    <w:rsid w:val="00B80746"/>
    <w:pPr>
      <w:tabs>
        <w:tab w:val="right" w:pos="8080"/>
      </w:tabs>
      <w:spacing w:before="240"/>
      <w:ind w:left="567" w:right="567" w:hanging="567"/>
    </w:pPr>
    <w:rPr>
      <w:rFonts w:ascii="Segoe UI Semibold" w:hAnsi="Segoe UI Semibold"/>
      <w:sz w:val="24"/>
    </w:rPr>
  </w:style>
  <w:style w:type="paragraph" w:styleId="TOC2">
    <w:name w:val="toc 2"/>
    <w:basedOn w:val="Normal"/>
    <w:next w:val="Normal"/>
    <w:uiPriority w:val="39"/>
    <w:qFormat/>
    <w:rsid w:val="00B80746"/>
    <w:pPr>
      <w:tabs>
        <w:tab w:val="right" w:pos="8080"/>
      </w:tabs>
      <w:spacing w:before="30"/>
      <w:ind w:left="567" w:right="567"/>
    </w:pPr>
    <w:rPr>
      <w:sz w:val="22"/>
    </w:rPr>
  </w:style>
  <w:style w:type="paragraph" w:styleId="TOC3">
    <w:name w:val="toc 3"/>
    <w:basedOn w:val="Normal"/>
    <w:next w:val="Normal"/>
    <w:uiPriority w:val="39"/>
    <w:qFormat/>
    <w:rsid w:val="00B80746"/>
    <w:pPr>
      <w:tabs>
        <w:tab w:val="right" w:pos="8080"/>
      </w:tabs>
      <w:spacing w:before="60"/>
      <w:ind w:left="992" w:right="567" w:hanging="992"/>
    </w:pPr>
  </w:style>
  <w:style w:type="paragraph" w:customStyle="1" w:styleId="Bullet">
    <w:name w:val="Bullet"/>
    <w:basedOn w:val="Normal"/>
    <w:link w:val="BulletChar"/>
    <w:uiPriority w:val="99"/>
    <w:qFormat/>
    <w:rsid w:val="00FA0EA5"/>
    <w:pPr>
      <w:numPr>
        <w:numId w:val="1"/>
      </w:numPr>
      <w:spacing w:before="90"/>
    </w:pPr>
  </w:style>
  <w:style w:type="character" w:customStyle="1" w:styleId="BulletChar">
    <w:name w:val="Bullet Char"/>
    <w:link w:val="Bullet"/>
    <w:uiPriority w:val="99"/>
    <w:locked/>
    <w:rsid w:val="002B7BEC"/>
    <w:rPr>
      <w:rFonts w:ascii="Segoe UI" w:hAnsi="Segoe UI"/>
      <w:sz w:val="21"/>
      <w:lang w:eastAsia="en-GB"/>
    </w:rPr>
  </w:style>
  <w:style w:type="paragraph" w:styleId="Quote">
    <w:name w:val="Quote"/>
    <w:basedOn w:val="Normal"/>
    <w:next w:val="Normal"/>
    <w:link w:val="QuoteChar"/>
    <w:qFormat/>
    <w:pPr>
      <w:spacing w:before="120"/>
      <w:ind w:left="284" w:right="284"/>
    </w:pPr>
  </w:style>
  <w:style w:type="character" w:customStyle="1" w:styleId="QuoteChar">
    <w:name w:val="Quote Char"/>
    <w:link w:val="Quote"/>
    <w:rsid w:val="00122363"/>
    <w:rPr>
      <w:rFonts w:ascii="Georgia" w:hAnsi="Georgia"/>
      <w:sz w:val="22"/>
      <w:lang w:eastAsia="en-GB"/>
    </w:rPr>
  </w:style>
  <w:style w:type="paragraph" w:styleId="FootnoteText">
    <w:name w:val="footnote text"/>
    <w:basedOn w:val="Normal"/>
    <w:link w:val="FootnoteTextChar"/>
    <w:uiPriority w:val="99"/>
    <w:rsid w:val="00A7415D"/>
    <w:pPr>
      <w:spacing w:before="60" w:line="228" w:lineRule="auto"/>
      <w:ind w:left="284" w:hanging="284"/>
    </w:pPr>
    <w:rPr>
      <w:sz w:val="17"/>
    </w:rPr>
  </w:style>
  <w:style w:type="character" w:customStyle="1" w:styleId="FootnoteTextChar">
    <w:name w:val="Footnote Text Char"/>
    <w:link w:val="FootnoteText"/>
    <w:uiPriority w:val="99"/>
    <w:rsid w:val="00A7415D"/>
    <w:rPr>
      <w:rFonts w:ascii="Segoe UI" w:hAnsi="Segoe UI"/>
      <w:sz w:val="17"/>
      <w:lang w:eastAsia="en-GB"/>
    </w:rPr>
  </w:style>
  <w:style w:type="paragraph" w:styleId="Header">
    <w:name w:val="header"/>
    <w:basedOn w:val="Normal"/>
    <w:link w:val="HeaderChar"/>
    <w:uiPriority w:val="99"/>
    <w:qFormat/>
    <w:rsid w:val="00D25FFE"/>
  </w:style>
  <w:style w:type="character" w:customStyle="1" w:styleId="HeaderChar">
    <w:name w:val="Header Char"/>
    <w:link w:val="Header"/>
    <w:uiPriority w:val="99"/>
    <w:rsid w:val="0086388B"/>
    <w:rPr>
      <w:rFonts w:ascii="Georgia" w:hAnsi="Georgia"/>
      <w:sz w:val="22"/>
      <w:lang w:eastAsia="en-GB"/>
    </w:rPr>
  </w:style>
  <w:style w:type="paragraph" w:styleId="Title">
    <w:name w:val="Title"/>
    <w:basedOn w:val="Normal"/>
    <w:next w:val="Normal"/>
    <w:link w:val="TitleChar"/>
    <w:qFormat/>
    <w:rsid w:val="005A79E5"/>
    <w:pPr>
      <w:spacing w:line="216" w:lineRule="auto"/>
      <w:ind w:right="3402"/>
    </w:pPr>
    <w:rPr>
      <w:rFonts w:ascii="Segoe UI Black" w:hAnsi="Segoe UI Black" w:cs="Lucida Sans Unicode"/>
      <w:b/>
      <w:sz w:val="72"/>
      <w:szCs w:val="72"/>
    </w:rPr>
  </w:style>
  <w:style w:type="character" w:customStyle="1" w:styleId="TitleChar">
    <w:name w:val="Title Char"/>
    <w:link w:val="Title"/>
    <w:rsid w:val="005A79E5"/>
    <w:rPr>
      <w:rFonts w:ascii="Segoe UI Black" w:hAnsi="Segoe UI Black" w:cs="Lucida Sans Unicode"/>
      <w:b/>
      <w:sz w:val="72"/>
      <w:szCs w:val="72"/>
      <w:lang w:eastAsia="en-GB"/>
    </w:rPr>
  </w:style>
  <w:style w:type="paragraph" w:customStyle="1" w:styleId="Imprint">
    <w:name w:val="Imprint"/>
    <w:basedOn w:val="Normal"/>
    <w:next w:val="Normal"/>
    <w:qFormat/>
    <w:rsid w:val="00C05132"/>
    <w:pPr>
      <w:spacing w:after="240"/>
    </w:pPr>
    <w:rPr>
      <w:sz w:val="20"/>
    </w:rPr>
  </w:style>
  <w:style w:type="paragraph" w:styleId="Footer">
    <w:name w:val="footer"/>
    <w:basedOn w:val="Normal"/>
    <w:link w:val="FooterChar"/>
    <w:uiPriority w:val="4"/>
    <w:qFormat/>
    <w:rsid w:val="007A067F"/>
  </w:style>
  <w:style w:type="character" w:customStyle="1" w:styleId="FooterChar">
    <w:name w:val="Footer Char"/>
    <w:link w:val="Footer"/>
    <w:uiPriority w:val="4"/>
    <w:rsid w:val="007A067F"/>
    <w:rPr>
      <w:rFonts w:ascii="Segoe UI" w:hAnsi="Segoe UI"/>
      <w:sz w:val="21"/>
      <w:lang w:eastAsia="en-GB"/>
    </w:rPr>
  </w:style>
  <w:style w:type="character" w:styleId="PageNumber">
    <w:name w:val="page number"/>
    <w:uiPriority w:val="11"/>
    <w:rsid w:val="007A067F"/>
    <w:rPr>
      <w:rFonts w:ascii="Segoe UI" w:hAnsi="Segoe UI"/>
      <w:b/>
      <w:sz w:val="22"/>
    </w:rPr>
  </w:style>
  <w:style w:type="paragraph" w:customStyle="1" w:styleId="VersoFooter">
    <w:name w:val="Verso Footer"/>
    <w:basedOn w:val="Footer"/>
    <w:rsid w:val="00571223"/>
    <w:rPr>
      <w:sz w:val="15"/>
    </w:rPr>
  </w:style>
  <w:style w:type="paragraph" w:customStyle="1" w:styleId="RectoFooter">
    <w:name w:val="Recto Footer"/>
    <w:basedOn w:val="Footer"/>
    <w:rsid w:val="00581EB8"/>
    <w:pPr>
      <w:jc w:val="right"/>
    </w:pPr>
    <w:rPr>
      <w:caps/>
      <w:sz w:val="15"/>
    </w:rPr>
  </w:style>
  <w:style w:type="paragraph" w:customStyle="1" w:styleId="Figure">
    <w:name w:val="Figure"/>
    <w:basedOn w:val="Normal"/>
    <w:next w:val="Normal"/>
    <w:link w:val="FigureChar"/>
    <w:uiPriority w:val="99"/>
    <w:qFormat/>
    <w:rsid w:val="009133F5"/>
    <w:pPr>
      <w:keepNext/>
      <w:spacing w:before="120" w:after="120"/>
    </w:pPr>
    <w:rPr>
      <w:b/>
      <w:sz w:val="20"/>
    </w:rPr>
  </w:style>
  <w:style w:type="character" w:customStyle="1" w:styleId="FigureChar">
    <w:name w:val="Figure Char"/>
    <w:link w:val="Figure"/>
    <w:locked/>
    <w:rsid w:val="002B7BEC"/>
    <w:rPr>
      <w:rFonts w:ascii="Segoe UI" w:hAnsi="Segoe UI"/>
      <w:b/>
      <w:lang w:eastAsia="en-GB"/>
    </w:rPr>
  </w:style>
  <w:style w:type="character" w:styleId="FootnoteReference">
    <w:name w:val="footnote reference"/>
    <w:uiPriority w:val="99"/>
    <w:rPr>
      <w:vertAlign w:val="superscript"/>
    </w:rPr>
  </w:style>
  <w:style w:type="paragraph" w:customStyle="1" w:styleId="Table">
    <w:name w:val="Table"/>
    <w:basedOn w:val="Figure"/>
    <w:link w:val="TableChar"/>
    <w:qFormat/>
    <w:rsid w:val="00642868"/>
  </w:style>
  <w:style w:type="character" w:customStyle="1" w:styleId="TableChar">
    <w:name w:val="Table Char"/>
    <w:link w:val="Table"/>
    <w:locked/>
    <w:rsid w:val="002B7BEC"/>
    <w:rPr>
      <w:rFonts w:ascii="Segoe UI" w:hAnsi="Segoe UI"/>
      <w:b/>
      <w:lang w:eastAsia="en-GB"/>
    </w:rPr>
  </w:style>
  <w:style w:type="paragraph" w:customStyle="1" w:styleId="Dash">
    <w:name w:val="Dash"/>
    <w:basedOn w:val="Bullet"/>
    <w:qFormat/>
    <w:rsid w:val="00702854"/>
    <w:pPr>
      <w:numPr>
        <w:numId w:val="2"/>
      </w:numPr>
      <w:spacing w:before="60"/>
    </w:pPr>
  </w:style>
  <w:style w:type="paragraph" w:customStyle="1" w:styleId="TableText">
    <w:name w:val="TableText"/>
    <w:basedOn w:val="Normal"/>
    <w:qFormat/>
    <w:rsid w:val="00925892"/>
    <w:pPr>
      <w:spacing w:before="60" w:after="60"/>
    </w:pPr>
    <w:rPr>
      <w:sz w:val="18"/>
    </w:rPr>
  </w:style>
  <w:style w:type="paragraph" w:customStyle="1" w:styleId="TableBullet">
    <w:name w:val="TableBullet"/>
    <w:basedOn w:val="TableText"/>
    <w:qFormat/>
    <w:rsid w:val="00B73AF2"/>
    <w:pPr>
      <w:numPr>
        <w:numId w:val="4"/>
      </w:numPr>
      <w:spacing w:before="0"/>
    </w:pPr>
  </w:style>
  <w:style w:type="paragraph" w:customStyle="1" w:styleId="Box">
    <w:name w:val="Box"/>
    <w:basedOn w:val="Normal"/>
    <w:qFormat/>
    <w:pPr>
      <w:pBdr>
        <w:top w:val="single" w:sz="4" w:space="12" w:color="auto"/>
        <w:left w:val="single" w:sz="4" w:space="12" w:color="auto"/>
        <w:bottom w:val="single" w:sz="4" w:space="12" w:color="auto"/>
        <w:right w:val="single" w:sz="4" w:space="12" w:color="auto"/>
      </w:pBdr>
      <w:spacing w:before="120"/>
      <w:ind w:left="284" w:right="284"/>
    </w:pPr>
  </w:style>
  <w:style w:type="paragraph" w:customStyle="1" w:styleId="BoxHeading">
    <w:name w:val="BoxHeading"/>
    <w:basedOn w:val="Normal"/>
    <w:next w:val="Box"/>
    <w:qFormat/>
    <w:rsid w:val="00D37D80"/>
    <w:pPr>
      <w:keepNext/>
      <w:pBdr>
        <w:top w:val="single" w:sz="4" w:space="12" w:color="auto"/>
        <w:left w:val="single" w:sz="4" w:space="12" w:color="auto"/>
        <w:bottom w:val="single" w:sz="4" w:space="12" w:color="auto"/>
        <w:right w:val="single" w:sz="4" w:space="12" w:color="auto"/>
      </w:pBdr>
      <w:spacing w:before="240" w:line="264" w:lineRule="auto"/>
      <w:ind w:left="284" w:right="284"/>
    </w:pPr>
    <w:rPr>
      <w:b/>
      <w:sz w:val="24"/>
      <w:szCs w:val="24"/>
    </w:rPr>
  </w:style>
  <w:style w:type="paragraph" w:customStyle="1" w:styleId="BoxBullet">
    <w:name w:val="BoxBullet"/>
    <w:basedOn w:val="Bullet"/>
    <w:qFormat/>
    <w:rsid w:val="008814E8"/>
    <w:pPr>
      <w:pBdr>
        <w:top w:val="single" w:sz="4" w:space="12" w:color="auto"/>
        <w:left w:val="single" w:sz="4" w:space="12" w:color="auto"/>
        <w:bottom w:val="single" w:sz="4" w:space="12" w:color="auto"/>
        <w:right w:val="single" w:sz="4" w:space="12" w:color="auto"/>
      </w:pBdr>
      <w:spacing w:line="264" w:lineRule="auto"/>
      <w:ind w:left="568" w:right="284"/>
    </w:pPr>
  </w:style>
  <w:style w:type="paragraph" w:customStyle="1" w:styleId="IntroHead">
    <w:name w:val="IntroHead"/>
    <w:basedOn w:val="Heading1"/>
    <w:next w:val="Normal"/>
    <w:uiPriority w:val="99"/>
    <w:qFormat/>
    <w:rsid w:val="00323611"/>
    <w:pPr>
      <w:numPr>
        <w:numId w:val="0"/>
      </w:numPr>
      <w:outlineLvl w:val="9"/>
    </w:pPr>
  </w:style>
  <w:style w:type="paragraph" w:customStyle="1" w:styleId="Source">
    <w:name w:val="Source"/>
    <w:basedOn w:val="Note"/>
    <w:next w:val="Normal"/>
    <w:uiPriority w:val="99"/>
    <w:qFormat/>
    <w:rsid w:val="0012053C"/>
  </w:style>
  <w:style w:type="paragraph" w:customStyle="1" w:styleId="Note">
    <w:name w:val="Note"/>
    <w:basedOn w:val="Normal"/>
    <w:next w:val="Normal"/>
    <w:link w:val="NoteChar"/>
    <w:qFormat/>
    <w:rsid w:val="00A87C05"/>
    <w:pPr>
      <w:spacing w:before="80"/>
    </w:pPr>
    <w:rPr>
      <w:sz w:val="17"/>
    </w:rPr>
  </w:style>
  <w:style w:type="character" w:customStyle="1" w:styleId="NoteChar">
    <w:name w:val="Note Char"/>
    <w:link w:val="Note"/>
    <w:rsid w:val="00A87C05"/>
    <w:rPr>
      <w:rFonts w:ascii="Segoe UI" w:hAnsi="Segoe UI"/>
      <w:sz w:val="17"/>
      <w:lang w:eastAsia="en-GB"/>
    </w:rPr>
  </w:style>
  <w:style w:type="paragraph" w:customStyle="1" w:styleId="Subhead">
    <w:name w:val="Subhead"/>
    <w:basedOn w:val="Normal"/>
    <w:next w:val="Year"/>
    <w:qFormat/>
    <w:rsid w:val="00531E12"/>
    <w:pPr>
      <w:spacing w:before="840"/>
      <w:ind w:right="3402"/>
    </w:pPr>
    <w:rPr>
      <w:rFonts w:ascii="Segoe UI Semibold" w:hAnsi="Segoe UI Semibold" w:cs="Segoe UI Semibold"/>
      <w:sz w:val="36"/>
      <w:szCs w:val="26"/>
    </w:rPr>
  </w:style>
  <w:style w:type="paragraph" w:customStyle="1" w:styleId="Year">
    <w:name w:val="Year"/>
    <w:basedOn w:val="Subhead"/>
    <w:next w:val="Subhead"/>
    <w:qFormat/>
    <w:rsid w:val="00531E12"/>
    <w:rPr>
      <w:sz w:val="28"/>
    </w:rPr>
  </w:style>
  <w:style w:type="character" w:styleId="Hyperlink">
    <w:name w:val="Hyperlink"/>
    <w:uiPriority w:val="99"/>
    <w:rsid w:val="003309CA"/>
    <w:rPr>
      <w:b/>
      <w:color w:val="595959" w:themeColor="text1" w:themeTint="A6"/>
      <w:u w:val="none"/>
    </w:rPr>
  </w:style>
  <w:style w:type="paragraph" w:customStyle="1" w:styleId="References">
    <w:name w:val="References"/>
    <w:basedOn w:val="Normal"/>
    <w:qFormat/>
    <w:rsid w:val="001460E0"/>
    <w:pPr>
      <w:spacing w:after="180"/>
    </w:pPr>
  </w:style>
  <w:style w:type="paragraph" w:customStyle="1" w:styleId="TableDash">
    <w:name w:val="TableDash"/>
    <w:basedOn w:val="TableText"/>
    <w:qFormat/>
    <w:rsid w:val="0010541C"/>
    <w:pPr>
      <w:numPr>
        <w:numId w:val="3"/>
      </w:numPr>
      <w:spacing w:before="40" w:after="0"/>
    </w:pPr>
    <w:rPr>
      <w:szCs w:val="22"/>
    </w:rPr>
  </w:style>
  <w:style w:type="table" w:styleId="TableGrid">
    <w:name w:val="Table Grid"/>
    <w:basedOn w:val="TableNormal"/>
    <w:uiPriority w:val="59"/>
    <w:rsid w:val="00503749"/>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rsid w:val="0086388B"/>
    <w:rPr>
      <w:rFonts w:ascii="Calibri" w:eastAsia="Calibri" w:hAnsi="Calibri"/>
      <w:sz w:val="22"/>
      <w:szCs w:val="22"/>
      <w:lang w:val="en-US" w:eastAsia="en-US"/>
    </w:rPr>
  </w:style>
  <w:style w:type="paragraph" w:customStyle="1" w:styleId="Number">
    <w:name w:val="Number"/>
    <w:basedOn w:val="Normal"/>
    <w:rsid w:val="00F140B2"/>
    <w:pPr>
      <w:numPr>
        <w:ilvl w:val="3"/>
        <w:numId w:val="5"/>
      </w:numPr>
      <w:spacing w:before="180"/>
    </w:pPr>
    <w:rPr>
      <w:szCs w:val="24"/>
    </w:rPr>
  </w:style>
  <w:style w:type="paragraph" w:customStyle="1" w:styleId="Letter">
    <w:name w:val="Letter"/>
    <w:basedOn w:val="Normal"/>
    <w:qFormat/>
    <w:rsid w:val="00F140B2"/>
    <w:pPr>
      <w:numPr>
        <w:ilvl w:val="4"/>
        <w:numId w:val="5"/>
      </w:numPr>
      <w:spacing w:before="120"/>
    </w:pPr>
  </w:style>
  <w:style w:type="paragraph" w:customStyle="1" w:styleId="Introductoryparagraph">
    <w:name w:val="Introductory paragraph"/>
    <w:basedOn w:val="Normal"/>
    <w:next w:val="Normal"/>
    <w:qFormat/>
    <w:rsid w:val="0012053C"/>
    <w:pPr>
      <w:spacing w:after="240" w:line="216" w:lineRule="auto"/>
      <w:ind w:right="1134"/>
    </w:pPr>
    <w:rPr>
      <w:rFonts w:ascii="Segoe UI Light" w:hAnsi="Segoe UI Light"/>
      <w:color w:val="404040" w:themeColor="text1" w:themeTint="BF"/>
      <w:sz w:val="44"/>
    </w:rPr>
  </w:style>
  <w:style w:type="paragraph" w:customStyle="1" w:styleId="Shadedboxheading">
    <w:name w:val="Shaded box heading"/>
    <w:basedOn w:val="BoxHeading"/>
    <w:next w:val="Shadedboxtext"/>
    <w:qFormat/>
    <w:rsid w:val="00D86B00"/>
    <w:pPr>
      <w:pBdr>
        <w:top w:val="single" w:sz="4" w:space="12" w:color="FFFFFF" w:themeColor="background1"/>
        <w:left w:val="single" w:sz="4" w:space="12" w:color="FFFFFF" w:themeColor="background1"/>
        <w:bottom w:val="single" w:sz="4" w:space="12" w:color="FFFFFF" w:themeColor="background1"/>
        <w:right w:val="single" w:sz="4" w:space="12" w:color="FFFFFF" w:themeColor="background1"/>
      </w:pBdr>
      <w:shd w:val="clear" w:color="auto" w:fill="D9D9D9" w:themeFill="background1" w:themeFillShade="D9"/>
      <w:spacing w:after="120"/>
    </w:pPr>
    <w:rPr>
      <w:rFonts w:eastAsia="Arial Unicode MS"/>
    </w:rPr>
  </w:style>
  <w:style w:type="paragraph" w:customStyle="1" w:styleId="Shadedboxtext">
    <w:name w:val="Shaded box text"/>
    <w:basedOn w:val="Normal"/>
    <w:qFormat/>
    <w:rsid w:val="00D86B00"/>
    <w:pPr>
      <w:pBdr>
        <w:top w:val="single" w:sz="4" w:space="12" w:color="FFFFFF" w:themeColor="background1"/>
        <w:left w:val="single" w:sz="4" w:space="12" w:color="FFFFFF" w:themeColor="background1"/>
        <w:bottom w:val="single" w:sz="4" w:space="12" w:color="FFFFFF" w:themeColor="background1"/>
        <w:right w:val="single" w:sz="4" w:space="12" w:color="FFFFFF" w:themeColor="background1"/>
      </w:pBdr>
      <w:shd w:val="clear" w:color="auto" w:fill="D9D9D9" w:themeFill="background1" w:themeFillShade="D9"/>
      <w:spacing w:line="264" w:lineRule="auto"/>
      <w:ind w:left="284" w:right="284"/>
    </w:pPr>
    <w:rPr>
      <w:rFonts w:eastAsia="Arial Unicode MS"/>
    </w:rPr>
  </w:style>
  <w:style w:type="paragraph" w:customStyle="1" w:styleId="Roman">
    <w:name w:val="Roman"/>
    <w:basedOn w:val="Normal"/>
    <w:qFormat/>
    <w:rsid w:val="00AD6293"/>
    <w:pPr>
      <w:numPr>
        <w:ilvl w:val="5"/>
        <w:numId w:val="5"/>
      </w:numPr>
      <w:spacing w:before="90"/>
    </w:pPr>
    <w:rPr>
      <w:rFonts w:eastAsia="Arial Unicode MS"/>
    </w:rPr>
  </w:style>
  <w:style w:type="paragraph" w:styleId="Date">
    <w:name w:val="Date"/>
    <w:next w:val="Normal"/>
    <w:link w:val="DateChar"/>
    <w:qFormat/>
    <w:rsid w:val="000B2566"/>
    <w:pPr>
      <w:keepNext/>
      <w:keepLines/>
      <w:spacing w:after="200"/>
      <w:jc w:val="center"/>
    </w:pPr>
    <w:rPr>
      <w:rFonts w:asciiTheme="minorHAnsi" w:eastAsiaTheme="minorHAnsi" w:hAnsiTheme="minorHAnsi" w:cstheme="minorBidi"/>
      <w:sz w:val="24"/>
      <w:szCs w:val="24"/>
      <w:lang w:val="en-US" w:eastAsia="en-US"/>
    </w:rPr>
  </w:style>
  <w:style w:type="character" w:customStyle="1" w:styleId="DateChar">
    <w:name w:val="Date Char"/>
    <w:basedOn w:val="DefaultParagraphFont"/>
    <w:link w:val="Date"/>
    <w:rsid w:val="000B2566"/>
    <w:rPr>
      <w:rFonts w:asciiTheme="minorHAnsi" w:eastAsiaTheme="minorHAnsi" w:hAnsiTheme="minorHAnsi" w:cstheme="minorBidi"/>
      <w:sz w:val="24"/>
      <w:szCs w:val="24"/>
      <w:lang w:val="en-US" w:eastAsia="en-US"/>
    </w:rPr>
  </w:style>
  <w:style w:type="paragraph" w:styleId="ListParagraph">
    <w:name w:val="List Paragraph"/>
    <w:basedOn w:val="Normal"/>
    <w:uiPriority w:val="34"/>
    <w:qFormat/>
    <w:rsid w:val="00F83517"/>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3980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footer" Target="footer5.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yperlink" Target="file:///C:\Users\kbeirne\AppData\Local\Temp\notesC832CA\www.esr.cri.nz\assets\Uploads\FW16030-As-and-NO3-Survey-FINAL.pdf"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yperlink" Target="file:///C:\Users\kbeirne\AppData\Local\Temp\notesC832CA\www.esr.cri.nz\assets\Uploads\FW14031-Darfield-public-health-risk-assessment.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canmail.trustwave.com/?c=5305&amp;d=n5uv3MnONQoqTeN7M7ifb8N9ZDVqTHQejZdRyYCMQA&amp;u=http%3a%2f%2fprotozoa%2eorg%2f" TargetMode="Externa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yperlink" Target="file:///C:\Users\kbeirne\AppData\Local\Temp\notesC832CA\www.esr.cri.nz\assets\Uploads\FW18045-Non-achievement-of-DWSNZ-E-coli-transgressions-FINAL.pdf" TargetMode="External"/><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hyperlink" Target="file:///C:\Users\kbeirne\AppData\Local\Temp\notesC832CA\www.esr.cri.nz\assets\Uploads\FW15017-FINAL.pdf"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anne\Application%20Data\Microsoft\Templates\Health\2012%20Report%20Sans%20Serif%20Bod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79C04F-E86A-4410-B7C5-D1452F8A6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2012 Report Sans Serif Body</Template>
  <TotalTime>1</TotalTime>
  <Pages>27</Pages>
  <Words>7488</Words>
  <Characters>46086</Characters>
  <Application>Microsoft Office Word</Application>
  <DocSecurity>0</DocSecurity>
  <Lines>384</Lines>
  <Paragraphs>106</Paragraphs>
  <ScaleCrop>false</ScaleCrop>
  <HeadingPairs>
    <vt:vector size="2" baseType="variant">
      <vt:variant>
        <vt:lpstr>Title</vt:lpstr>
      </vt:variant>
      <vt:variant>
        <vt:i4>1</vt:i4>
      </vt:variant>
    </vt:vector>
  </HeadingPairs>
  <TitlesOfParts>
    <vt:vector size="1" baseType="lpstr">
      <vt:lpstr>Annual Report on Drinking-water Quality 2017-2018</vt:lpstr>
    </vt:vector>
  </TitlesOfParts>
  <Company>Microsoft</Company>
  <LinksUpToDate>false</LinksUpToDate>
  <CharactersWithSpaces>53468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Report on Drinking-water Quality 2017-2018</dc:title>
  <dc:creator>Ministry of Health</dc:creator>
  <cp:lastModifiedBy>Berni Marwick</cp:lastModifiedBy>
  <cp:revision>2</cp:revision>
  <cp:lastPrinted>2015-11-17T05:02:00Z</cp:lastPrinted>
  <dcterms:created xsi:type="dcterms:W3CDTF">2019-06-24T04:27:00Z</dcterms:created>
  <dcterms:modified xsi:type="dcterms:W3CDTF">2019-06-24T04:27:00Z</dcterms:modified>
</cp:coreProperties>
</file>