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25" w:rsidRPr="003C5797" w:rsidRDefault="00B573E2" w:rsidP="003C5797">
      <w:pPr>
        <w:pStyle w:val="Heading1"/>
      </w:pPr>
      <w:r w:rsidRPr="003C5797">
        <w:t>Medicinal Cannabis Scheme Consultation: Short Guide</w:t>
      </w:r>
    </w:p>
    <w:p w:rsidR="00E66725" w:rsidRPr="00B078AF" w:rsidRDefault="00B573E2" w:rsidP="00B078AF">
      <w:pPr>
        <w:spacing w:before="240" w:after="240"/>
        <w:ind w:right="318"/>
        <w:rPr>
          <w:rFonts w:ascii="Segoe UI" w:eastAsia="Tahoma" w:hAnsi="Segoe UI" w:cs="Segoe UI"/>
          <w:sz w:val="24"/>
        </w:rPr>
        <w:sectPr w:rsidR="00E66725" w:rsidRPr="00B078AF">
          <w:headerReference w:type="default" r:id="rId7"/>
          <w:footerReference w:type="default" r:id="rId8"/>
          <w:type w:val="continuous"/>
          <w:pgSz w:w="11910" w:h="16840"/>
          <w:pgMar w:top="1580" w:right="1020" w:bottom="280" w:left="1020" w:header="720" w:footer="720" w:gutter="0"/>
          <w:cols w:space="720"/>
        </w:sectPr>
      </w:pPr>
      <w:r w:rsidRPr="003C5797">
        <w:rPr>
          <w:rFonts w:ascii="Segoe UI" w:hAnsi="Segoe UI" w:cs="Segoe UI"/>
          <w:color w:val="0072BC"/>
          <w:sz w:val="24"/>
        </w:rPr>
        <w:t>Consultation</w:t>
      </w:r>
      <w:r w:rsidRPr="003C5797">
        <w:rPr>
          <w:rFonts w:ascii="Segoe UI" w:hAnsi="Segoe UI" w:cs="Segoe UI"/>
          <w:color w:val="0072BC"/>
          <w:spacing w:val="-25"/>
          <w:sz w:val="24"/>
        </w:rPr>
        <w:t xml:space="preserve"> </w:t>
      </w:r>
      <w:r w:rsidRPr="003C5797">
        <w:rPr>
          <w:rFonts w:ascii="Segoe UI" w:hAnsi="Segoe UI" w:cs="Segoe UI"/>
          <w:color w:val="0072BC"/>
          <w:sz w:val="24"/>
        </w:rPr>
        <w:t>on</w:t>
      </w:r>
      <w:r w:rsidRPr="003C5797">
        <w:rPr>
          <w:rFonts w:ascii="Segoe UI" w:hAnsi="Segoe UI" w:cs="Segoe UI"/>
          <w:color w:val="0072BC"/>
          <w:spacing w:val="-25"/>
          <w:sz w:val="24"/>
        </w:rPr>
        <w:t xml:space="preserve"> </w:t>
      </w:r>
      <w:r w:rsidRPr="003C5797">
        <w:rPr>
          <w:rFonts w:ascii="Segoe UI" w:hAnsi="Segoe UI" w:cs="Segoe UI"/>
          <w:color w:val="0072BC"/>
          <w:sz w:val="24"/>
        </w:rPr>
        <w:t>the</w:t>
      </w:r>
      <w:r w:rsidRPr="003C5797">
        <w:rPr>
          <w:rFonts w:ascii="Segoe UI" w:hAnsi="Segoe UI" w:cs="Segoe UI"/>
          <w:color w:val="0072BC"/>
          <w:spacing w:val="-25"/>
          <w:sz w:val="24"/>
        </w:rPr>
        <w:t xml:space="preserve"> </w:t>
      </w:r>
      <w:r w:rsidRPr="003C5797">
        <w:rPr>
          <w:rFonts w:ascii="Segoe UI" w:hAnsi="Segoe UI" w:cs="Segoe UI"/>
          <w:color w:val="0072BC"/>
          <w:spacing w:val="-1"/>
          <w:sz w:val="24"/>
        </w:rPr>
        <w:t>regulations</w:t>
      </w:r>
      <w:r w:rsidRPr="003C5797">
        <w:rPr>
          <w:rFonts w:ascii="Segoe UI" w:hAnsi="Segoe UI" w:cs="Segoe UI"/>
          <w:color w:val="0072BC"/>
          <w:spacing w:val="-25"/>
          <w:sz w:val="24"/>
        </w:rPr>
        <w:t xml:space="preserve"> </w:t>
      </w:r>
      <w:r w:rsidRPr="003C5797">
        <w:rPr>
          <w:rFonts w:ascii="Segoe UI" w:hAnsi="Segoe UI" w:cs="Segoe UI"/>
          <w:color w:val="0072BC"/>
          <w:sz w:val="24"/>
        </w:rPr>
        <w:t>for</w:t>
      </w:r>
      <w:r w:rsidRPr="003C5797">
        <w:rPr>
          <w:rFonts w:ascii="Segoe UI" w:hAnsi="Segoe UI" w:cs="Segoe UI"/>
          <w:color w:val="0072BC"/>
          <w:spacing w:val="-25"/>
          <w:sz w:val="24"/>
        </w:rPr>
        <w:t xml:space="preserve"> </w:t>
      </w:r>
      <w:r w:rsidRPr="003C5797">
        <w:rPr>
          <w:rFonts w:ascii="Segoe UI" w:hAnsi="Segoe UI" w:cs="Segoe UI"/>
          <w:color w:val="0072BC"/>
          <w:sz w:val="24"/>
        </w:rPr>
        <w:t>a</w:t>
      </w:r>
      <w:r w:rsidRPr="003C5797">
        <w:rPr>
          <w:rFonts w:ascii="Segoe UI" w:hAnsi="Segoe UI" w:cs="Segoe UI"/>
          <w:color w:val="0072BC"/>
          <w:spacing w:val="-25"/>
          <w:sz w:val="24"/>
        </w:rPr>
        <w:t xml:space="preserve"> </w:t>
      </w:r>
      <w:r w:rsidRPr="003C5797">
        <w:rPr>
          <w:rFonts w:ascii="Segoe UI" w:hAnsi="Segoe UI" w:cs="Segoe UI"/>
          <w:color w:val="0072BC"/>
          <w:sz w:val="24"/>
        </w:rPr>
        <w:t>Medicinal</w:t>
      </w:r>
      <w:r w:rsidRPr="003C5797">
        <w:rPr>
          <w:rFonts w:ascii="Segoe UI" w:hAnsi="Segoe UI" w:cs="Segoe UI"/>
          <w:color w:val="0072BC"/>
          <w:spacing w:val="-24"/>
          <w:sz w:val="24"/>
        </w:rPr>
        <w:t xml:space="preserve"> </w:t>
      </w:r>
      <w:r w:rsidRPr="003C5797">
        <w:rPr>
          <w:rFonts w:ascii="Segoe UI" w:hAnsi="Segoe UI" w:cs="Segoe UI"/>
          <w:color w:val="0072BC"/>
          <w:sz w:val="24"/>
        </w:rPr>
        <w:t>Cannabis</w:t>
      </w:r>
      <w:r w:rsidRPr="003C5797">
        <w:rPr>
          <w:rFonts w:ascii="Segoe UI" w:hAnsi="Segoe UI" w:cs="Segoe UI"/>
          <w:color w:val="0072BC"/>
          <w:spacing w:val="-25"/>
          <w:sz w:val="24"/>
        </w:rPr>
        <w:t xml:space="preserve"> </w:t>
      </w:r>
      <w:r w:rsidRPr="003C5797">
        <w:rPr>
          <w:rFonts w:ascii="Segoe UI" w:hAnsi="Segoe UI" w:cs="Segoe UI"/>
          <w:color w:val="0072BC"/>
          <w:sz w:val="24"/>
        </w:rPr>
        <w:t>Scheme</w:t>
      </w:r>
      <w:r w:rsidRPr="003C5797">
        <w:rPr>
          <w:rFonts w:ascii="Segoe UI" w:hAnsi="Segoe UI" w:cs="Segoe UI"/>
          <w:color w:val="0072BC"/>
          <w:spacing w:val="-25"/>
          <w:sz w:val="24"/>
        </w:rPr>
        <w:t xml:space="preserve"> </w:t>
      </w:r>
      <w:r w:rsidRPr="003C5797">
        <w:rPr>
          <w:rFonts w:ascii="Segoe UI" w:hAnsi="Segoe UI" w:cs="Segoe UI"/>
          <w:color w:val="0072BC"/>
          <w:sz w:val="24"/>
        </w:rPr>
        <w:t>in</w:t>
      </w:r>
      <w:r w:rsidRPr="003C5797">
        <w:rPr>
          <w:rFonts w:ascii="Segoe UI" w:hAnsi="Segoe UI" w:cs="Segoe UI"/>
          <w:color w:val="0072BC"/>
          <w:spacing w:val="-25"/>
          <w:sz w:val="24"/>
        </w:rPr>
        <w:t xml:space="preserve"> </w:t>
      </w:r>
      <w:r w:rsidRPr="003C5797">
        <w:rPr>
          <w:rFonts w:ascii="Segoe UI" w:hAnsi="Segoe UI" w:cs="Segoe UI"/>
          <w:color w:val="0072BC"/>
          <w:spacing w:val="-2"/>
          <w:sz w:val="24"/>
        </w:rPr>
        <w:t>Ne</w:t>
      </w:r>
      <w:r w:rsidRPr="003C5797">
        <w:rPr>
          <w:rFonts w:ascii="Segoe UI" w:hAnsi="Segoe UI" w:cs="Segoe UI"/>
          <w:color w:val="0072BC"/>
          <w:spacing w:val="-3"/>
          <w:sz w:val="24"/>
        </w:rPr>
        <w:t>w</w:t>
      </w:r>
      <w:r w:rsidRPr="003C5797">
        <w:rPr>
          <w:rFonts w:ascii="Segoe UI" w:hAnsi="Segoe UI" w:cs="Segoe UI"/>
          <w:color w:val="0072BC"/>
          <w:spacing w:val="-25"/>
          <w:sz w:val="24"/>
        </w:rPr>
        <w:t xml:space="preserve"> </w:t>
      </w:r>
      <w:r w:rsidRPr="003C5797">
        <w:rPr>
          <w:rFonts w:ascii="Segoe UI" w:hAnsi="Segoe UI" w:cs="Segoe UI"/>
          <w:color w:val="0072BC"/>
          <w:sz w:val="24"/>
        </w:rPr>
        <w:t>Zealand</w:t>
      </w:r>
      <w:r w:rsidRPr="003C5797">
        <w:rPr>
          <w:rFonts w:ascii="Segoe UI" w:hAnsi="Segoe UI" w:cs="Segoe UI"/>
          <w:color w:val="0072BC"/>
          <w:spacing w:val="-25"/>
          <w:sz w:val="24"/>
        </w:rPr>
        <w:t xml:space="preserve"> </w:t>
      </w:r>
      <w:r w:rsidRPr="003C5797">
        <w:rPr>
          <w:rFonts w:ascii="Segoe UI" w:hAnsi="Segoe UI" w:cs="Segoe UI"/>
          <w:color w:val="0072BC"/>
          <w:sz w:val="24"/>
        </w:rPr>
        <w:t>closes</w:t>
      </w:r>
      <w:r w:rsidRPr="003C5797">
        <w:rPr>
          <w:rFonts w:ascii="Segoe UI" w:hAnsi="Segoe UI" w:cs="Segoe UI"/>
          <w:color w:val="0072BC"/>
          <w:spacing w:val="27"/>
          <w:w w:val="96"/>
          <w:sz w:val="24"/>
        </w:rPr>
        <w:t xml:space="preserve"> </w:t>
      </w:r>
      <w:r w:rsidRPr="003C5797">
        <w:rPr>
          <w:rFonts w:ascii="Segoe UI" w:hAnsi="Segoe UI" w:cs="Segoe UI"/>
          <w:color w:val="0072BC"/>
          <w:sz w:val="24"/>
        </w:rPr>
        <w:t>on</w:t>
      </w:r>
      <w:r w:rsidRPr="003C5797">
        <w:rPr>
          <w:rFonts w:ascii="Segoe UI" w:hAnsi="Segoe UI" w:cs="Segoe UI"/>
          <w:color w:val="0072BC"/>
          <w:spacing w:val="-27"/>
          <w:sz w:val="24"/>
        </w:rPr>
        <w:t xml:space="preserve"> </w:t>
      </w:r>
      <w:r w:rsidRPr="003C5797">
        <w:rPr>
          <w:rFonts w:ascii="Segoe UI" w:hAnsi="Segoe UI" w:cs="Segoe UI"/>
          <w:color w:val="0072BC"/>
          <w:spacing w:val="-2"/>
          <w:sz w:val="24"/>
        </w:rPr>
        <w:t>W</w:t>
      </w:r>
      <w:r w:rsidRPr="003C5797">
        <w:rPr>
          <w:rFonts w:ascii="Segoe UI" w:hAnsi="Segoe UI" w:cs="Segoe UI"/>
          <w:color w:val="0072BC"/>
          <w:spacing w:val="-1"/>
          <w:sz w:val="24"/>
        </w:rPr>
        <w:t>ednesday</w:t>
      </w:r>
      <w:r w:rsidRPr="003C5797">
        <w:rPr>
          <w:rFonts w:ascii="Segoe UI" w:hAnsi="Segoe UI" w:cs="Segoe UI"/>
          <w:color w:val="0072BC"/>
          <w:spacing w:val="-26"/>
          <w:sz w:val="24"/>
        </w:rPr>
        <w:t xml:space="preserve"> </w:t>
      </w:r>
      <w:r w:rsidRPr="003C5797">
        <w:rPr>
          <w:rFonts w:ascii="Segoe UI" w:hAnsi="Segoe UI" w:cs="Segoe UI"/>
          <w:color w:val="0072BC"/>
          <w:sz w:val="24"/>
        </w:rPr>
        <w:t>7</w:t>
      </w:r>
      <w:r w:rsidRPr="003C5797">
        <w:rPr>
          <w:rFonts w:ascii="Segoe UI" w:hAnsi="Segoe UI" w:cs="Segoe UI"/>
          <w:color w:val="0072BC"/>
          <w:spacing w:val="-26"/>
          <w:sz w:val="24"/>
        </w:rPr>
        <w:t xml:space="preserve"> </w:t>
      </w:r>
      <w:r w:rsidRPr="003C5797">
        <w:rPr>
          <w:rFonts w:ascii="Segoe UI" w:hAnsi="Segoe UI" w:cs="Segoe UI"/>
          <w:color w:val="0072BC"/>
          <w:sz w:val="24"/>
        </w:rPr>
        <w:t>August</w:t>
      </w:r>
      <w:r w:rsidRPr="003C5797">
        <w:rPr>
          <w:rFonts w:ascii="Segoe UI" w:hAnsi="Segoe UI" w:cs="Segoe UI"/>
          <w:color w:val="0072BC"/>
          <w:spacing w:val="-26"/>
          <w:sz w:val="24"/>
        </w:rPr>
        <w:t xml:space="preserve"> </w:t>
      </w:r>
      <w:r w:rsidRPr="003C5797">
        <w:rPr>
          <w:rFonts w:ascii="Segoe UI" w:hAnsi="Segoe UI" w:cs="Segoe UI"/>
          <w:color w:val="0072BC"/>
          <w:sz w:val="24"/>
        </w:rPr>
        <w:t>2019</w:t>
      </w:r>
      <w:r w:rsidRPr="003C5797">
        <w:rPr>
          <w:rFonts w:ascii="Segoe UI" w:hAnsi="Segoe UI" w:cs="Segoe UI"/>
          <w:color w:val="0072BC"/>
          <w:spacing w:val="-27"/>
          <w:sz w:val="24"/>
        </w:rPr>
        <w:t xml:space="preserve"> </w:t>
      </w:r>
      <w:r w:rsidRPr="003C5797">
        <w:rPr>
          <w:rFonts w:ascii="Segoe UI" w:hAnsi="Segoe UI" w:cs="Segoe UI"/>
          <w:color w:val="0072BC"/>
          <w:sz w:val="24"/>
        </w:rPr>
        <w:t>at</w:t>
      </w:r>
      <w:r w:rsidRPr="003C5797">
        <w:rPr>
          <w:rFonts w:ascii="Segoe UI" w:hAnsi="Segoe UI" w:cs="Segoe UI"/>
          <w:color w:val="0072BC"/>
          <w:spacing w:val="-26"/>
          <w:sz w:val="24"/>
        </w:rPr>
        <w:t xml:space="preserve"> </w:t>
      </w:r>
      <w:r w:rsidRPr="003C5797">
        <w:rPr>
          <w:rFonts w:ascii="Segoe UI" w:hAnsi="Segoe UI" w:cs="Segoe UI"/>
          <w:color w:val="0072BC"/>
          <w:sz w:val="24"/>
        </w:rPr>
        <w:t>5</w:t>
      </w:r>
      <w:r w:rsidRPr="003C5797">
        <w:rPr>
          <w:rFonts w:ascii="Segoe UI" w:hAnsi="Segoe UI" w:cs="Segoe UI"/>
          <w:color w:val="0072BC"/>
          <w:spacing w:val="-26"/>
          <w:sz w:val="24"/>
        </w:rPr>
        <w:t xml:space="preserve"> </w:t>
      </w:r>
      <w:r w:rsidRPr="003C5797">
        <w:rPr>
          <w:rFonts w:ascii="Segoe UI" w:hAnsi="Segoe UI" w:cs="Segoe UI"/>
          <w:color w:val="0072BC"/>
          <w:sz w:val="24"/>
        </w:rPr>
        <w:t>pm.</w:t>
      </w:r>
      <w:r w:rsidRPr="003C5797">
        <w:rPr>
          <w:rFonts w:ascii="Segoe UI" w:hAnsi="Segoe UI" w:cs="Segoe UI"/>
          <w:color w:val="0072BC"/>
          <w:spacing w:val="-26"/>
          <w:sz w:val="24"/>
        </w:rPr>
        <w:t xml:space="preserve"> </w:t>
      </w:r>
      <w:r w:rsidRPr="003C5797">
        <w:rPr>
          <w:rFonts w:ascii="Segoe UI" w:hAnsi="Segoe UI" w:cs="Segoe UI"/>
          <w:color w:val="0072BC"/>
          <w:spacing w:val="-4"/>
          <w:sz w:val="24"/>
        </w:rPr>
        <w:t>Y</w:t>
      </w:r>
      <w:r w:rsidRPr="003C5797">
        <w:rPr>
          <w:rFonts w:ascii="Segoe UI" w:hAnsi="Segoe UI" w:cs="Segoe UI"/>
          <w:color w:val="0072BC"/>
          <w:spacing w:val="-3"/>
          <w:sz w:val="24"/>
        </w:rPr>
        <w:t>our</w:t>
      </w:r>
      <w:r w:rsidRPr="003C5797">
        <w:rPr>
          <w:rFonts w:ascii="Segoe UI" w:hAnsi="Segoe UI" w:cs="Segoe UI"/>
          <w:color w:val="0072BC"/>
          <w:spacing w:val="-26"/>
          <w:sz w:val="24"/>
        </w:rPr>
        <w:t xml:space="preserve"> </w:t>
      </w:r>
      <w:r w:rsidRPr="003C5797">
        <w:rPr>
          <w:rFonts w:ascii="Segoe UI" w:hAnsi="Segoe UI" w:cs="Segoe UI"/>
          <w:color w:val="0072BC"/>
          <w:sz w:val="24"/>
        </w:rPr>
        <w:t>feedback</w:t>
      </w:r>
      <w:r w:rsidRPr="003C5797">
        <w:rPr>
          <w:rFonts w:ascii="Segoe UI" w:hAnsi="Segoe UI" w:cs="Segoe UI"/>
          <w:color w:val="0072BC"/>
          <w:spacing w:val="-27"/>
          <w:sz w:val="24"/>
        </w:rPr>
        <w:t xml:space="preserve"> </w:t>
      </w:r>
      <w:r w:rsidRPr="003C5797">
        <w:rPr>
          <w:rFonts w:ascii="Segoe UI" w:hAnsi="Segoe UI" w:cs="Segoe UI"/>
          <w:color w:val="0072BC"/>
          <w:sz w:val="24"/>
        </w:rPr>
        <w:t>will</w:t>
      </w:r>
      <w:r w:rsidRPr="003C5797">
        <w:rPr>
          <w:rFonts w:ascii="Segoe UI" w:hAnsi="Segoe UI" w:cs="Segoe UI"/>
          <w:color w:val="0072BC"/>
          <w:spacing w:val="-26"/>
          <w:sz w:val="24"/>
        </w:rPr>
        <w:t xml:space="preserve"> </w:t>
      </w:r>
      <w:r w:rsidRPr="003C5797">
        <w:rPr>
          <w:rFonts w:ascii="Segoe UI" w:hAnsi="Segoe UI" w:cs="Segoe UI"/>
          <w:color w:val="0072BC"/>
          <w:sz w:val="24"/>
        </w:rPr>
        <w:t>help</w:t>
      </w:r>
      <w:r w:rsidRPr="003C5797">
        <w:rPr>
          <w:rFonts w:ascii="Segoe UI" w:hAnsi="Segoe UI" w:cs="Segoe UI"/>
          <w:color w:val="0072BC"/>
          <w:spacing w:val="-26"/>
          <w:sz w:val="24"/>
        </w:rPr>
        <w:t xml:space="preserve"> </w:t>
      </w:r>
      <w:r w:rsidRPr="003C5797">
        <w:rPr>
          <w:rFonts w:ascii="Segoe UI" w:hAnsi="Segoe UI" w:cs="Segoe UI"/>
          <w:color w:val="0072BC"/>
          <w:sz w:val="24"/>
        </w:rPr>
        <w:t>shape</w:t>
      </w:r>
      <w:r w:rsidRPr="003C5797">
        <w:rPr>
          <w:rFonts w:ascii="Segoe UI" w:hAnsi="Segoe UI" w:cs="Segoe UI"/>
          <w:color w:val="0072BC"/>
          <w:spacing w:val="-26"/>
          <w:sz w:val="24"/>
        </w:rPr>
        <w:t xml:space="preserve"> </w:t>
      </w:r>
      <w:r w:rsidRPr="003C5797">
        <w:rPr>
          <w:rFonts w:ascii="Segoe UI" w:hAnsi="Segoe UI" w:cs="Segoe UI"/>
          <w:color w:val="0072BC"/>
          <w:sz w:val="24"/>
        </w:rPr>
        <w:t>the</w:t>
      </w:r>
      <w:r w:rsidRPr="003C5797">
        <w:rPr>
          <w:rFonts w:ascii="Segoe UI" w:hAnsi="Segoe UI" w:cs="Segoe UI"/>
          <w:color w:val="0072BC"/>
          <w:spacing w:val="-26"/>
          <w:sz w:val="24"/>
        </w:rPr>
        <w:t xml:space="preserve"> </w:t>
      </w:r>
      <w:r w:rsidRPr="003C5797">
        <w:rPr>
          <w:rFonts w:ascii="Segoe UI" w:hAnsi="Segoe UI" w:cs="Segoe UI"/>
          <w:color w:val="0072BC"/>
          <w:sz w:val="24"/>
        </w:rPr>
        <w:t>final</w:t>
      </w:r>
      <w:r w:rsidRPr="003C5797">
        <w:rPr>
          <w:rFonts w:ascii="Segoe UI" w:hAnsi="Segoe UI" w:cs="Segoe UI"/>
          <w:color w:val="0072BC"/>
          <w:spacing w:val="-27"/>
          <w:sz w:val="24"/>
        </w:rPr>
        <w:t xml:space="preserve"> </w:t>
      </w:r>
      <w:r w:rsidRPr="003C5797">
        <w:rPr>
          <w:rFonts w:ascii="Segoe UI" w:hAnsi="Segoe UI" w:cs="Segoe UI"/>
          <w:color w:val="0072BC"/>
          <w:spacing w:val="-1"/>
          <w:sz w:val="24"/>
        </w:rPr>
        <w:t>pr</w:t>
      </w:r>
      <w:r w:rsidRPr="003C5797">
        <w:rPr>
          <w:rFonts w:ascii="Segoe UI" w:hAnsi="Segoe UI" w:cs="Segoe UI"/>
          <w:color w:val="0072BC"/>
          <w:spacing w:val="-2"/>
          <w:sz w:val="24"/>
        </w:rPr>
        <w:t>oposals.</w:t>
      </w:r>
      <w:r w:rsidRPr="003C5797">
        <w:rPr>
          <w:rFonts w:ascii="Segoe UI" w:hAnsi="Segoe UI" w:cs="Segoe UI"/>
          <w:color w:val="0072BC"/>
          <w:spacing w:val="29"/>
          <w:w w:val="97"/>
          <w:sz w:val="24"/>
        </w:rPr>
        <w:t xml:space="preserve"> </w:t>
      </w:r>
      <w:r w:rsidRPr="003C5797">
        <w:rPr>
          <w:rFonts w:ascii="Segoe UI" w:hAnsi="Segoe UI" w:cs="Segoe UI"/>
          <w:color w:val="0072BC"/>
          <w:spacing w:val="-4"/>
          <w:sz w:val="24"/>
        </w:rPr>
        <w:t>We</w:t>
      </w:r>
      <w:r w:rsidRPr="003C5797">
        <w:rPr>
          <w:rFonts w:ascii="Segoe UI" w:hAnsi="Segoe UI" w:cs="Segoe UI"/>
          <w:color w:val="0072BC"/>
          <w:spacing w:val="-24"/>
          <w:sz w:val="24"/>
        </w:rPr>
        <w:t xml:space="preserve"> </w:t>
      </w:r>
      <w:r w:rsidRPr="003C5797">
        <w:rPr>
          <w:rFonts w:ascii="Segoe UI" w:hAnsi="Segoe UI" w:cs="Segoe UI"/>
          <w:color w:val="0072BC"/>
          <w:spacing w:val="-1"/>
          <w:sz w:val="24"/>
        </w:rPr>
        <w:t>appr</w:t>
      </w:r>
      <w:r w:rsidRPr="003C5797">
        <w:rPr>
          <w:rFonts w:ascii="Segoe UI" w:hAnsi="Segoe UI" w:cs="Segoe UI"/>
          <w:color w:val="0072BC"/>
          <w:spacing w:val="-2"/>
          <w:sz w:val="24"/>
        </w:rPr>
        <w:t>eciate</w:t>
      </w:r>
      <w:r w:rsidRPr="003C5797">
        <w:rPr>
          <w:rFonts w:ascii="Segoe UI" w:hAnsi="Segoe UI" w:cs="Segoe UI"/>
          <w:color w:val="0072BC"/>
          <w:spacing w:val="-23"/>
          <w:sz w:val="24"/>
        </w:rPr>
        <w:t xml:space="preserve"> </w:t>
      </w:r>
      <w:r w:rsidRPr="003C5797">
        <w:rPr>
          <w:rFonts w:ascii="Segoe UI" w:hAnsi="Segoe UI" w:cs="Segoe UI"/>
          <w:color w:val="0072BC"/>
          <w:sz w:val="24"/>
        </w:rPr>
        <w:t>you</w:t>
      </w:r>
      <w:r w:rsidRPr="003C5797">
        <w:rPr>
          <w:rFonts w:ascii="Segoe UI" w:hAnsi="Segoe UI" w:cs="Segoe UI"/>
          <w:color w:val="0072BC"/>
          <w:spacing w:val="-23"/>
          <w:sz w:val="24"/>
        </w:rPr>
        <w:t xml:space="preserve"> </w:t>
      </w:r>
      <w:r w:rsidRPr="003C5797">
        <w:rPr>
          <w:rFonts w:ascii="Segoe UI" w:hAnsi="Segoe UI" w:cs="Segoe UI"/>
          <w:color w:val="0072BC"/>
          <w:sz w:val="24"/>
        </w:rPr>
        <w:t>taking</w:t>
      </w:r>
      <w:r w:rsidRPr="003C5797">
        <w:rPr>
          <w:rFonts w:ascii="Segoe UI" w:hAnsi="Segoe UI" w:cs="Segoe UI"/>
          <w:color w:val="0072BC"/>
          <w:spacing w:val="-23"/>
          <w:sz w:val="24"/>
        </w:rPr>
        <w:t xml:space="preserve"> </w:t>
      </w:r>
      <w:r w:rsidRPr="003C5797">
        <w:rPr>
          <w:rFonts w:ascii="Segoe UI" w:hAnsi="Segoe UI" w:cs="Segoe UI"/>
          <w:color w:val="0072BC"/>
          <w:sz w:val="24"/>
        </w:rPr>
        <w:t>the</w:t>
      </w:r>
      <w:r w:rsidRPr="003C5797">
        <w:rPr>
          <w:rFonts w:ascii="Segoe UI" w:hAnsi="Segoe UI" w:cs="Segoe UI"/>
          <w:color w:val="0072BC"/>
          <w:spacing w:val="-24"/>
          <w:sz w:val="24"/>
        </w:rPr>
        <w:t xml:space="preserve"> </w:t>
      </w:r>
      <w:r w:rsidRPr="003C5797">
        <w:rPr>
          <w:rFonts w:ascii="Segoe UI" w:hAnsi="Segoe UI" w:cs="Segoe UI"/>
          <w:color w:val="0072BC"/>
          <w:sz w:val="24"/>
        </w:rPr>
        <w:t>time</w:t>
      </w:r>
      <w:r w:rsidRPr="003C5797">
        <w:rPr>
          <w:rFonts w:ascii="Segoe UI" w:hAnsi="Segoe UI" w:cs="Segoe UI"/>
          <w:color w:val="0072BC"/>
          <w:spacing w:val="-23"/>
          <w:sz w:val="24"/>
        </w:rPr>
        <w:t xml:space="preserve"> </w:t>
      </w:r>
      <w:r w:rsidRPr="003C5797">
        <w:rPr>
          <w:rFonts w:ascii="Segoe UI" w:hAnsi="Segoe UI" w:cs="Segoe UI"/>
          <w:color w:val="0072BC"/>
          <w:sz w:val="24"/>
        </w:rPr>
        <w:t>to</w:t>
      </w:r>
      <w:r w:rsidRPr="003C5797">
        <w:rPr>
          <w:rFonts w:ascii="Segoe UI" w:hAnsi="Segoe UI" w:cs="Segoe UI"/>
          <w:color w:val="0072BC"/>
          <w:spacing w:val="-23"/>
          <w:sz w:val="24"/>
        </w:rPr>
        <w:t xml:space="preserve"> </w:t>
      </w:r>
      <w:r w:rsidRPr="003C5797">
        <w:rPr>
          <w:rFonts w:ascii="Segoe UI" w:hAnsi="Segoe UI" w:cs="Segoe UI"/>
          <w:color w:val="0072BC"/>
          <w:sz w:val="24"/>
        </w:rPr>
        <w:t>make</w:t>
      </w:r>
      <w:r w:rsidRPr="003C5797">
        <w:rPr>
          <w:rFonts w:ascii="Segoe UI" w:hAnsi="Segoe UI" w:cs="Segoe UI"/>
          <w:color w:val="0072BC"/>
          <w:spacing w:val="-23"/>
          <w:sz w:val="24"/>
        </w:rPr>
        <w:t xml:space="preserve"> </w:t>
      </w:r>
      <w:r w:rsidRPr="003C5797">
        <w:rPr>
          <w:rFonts w:ascii="Segoe UI" w:hAnsi="Segoe UI" w:cs="Segoe UI"/>
          <w:color w:val="0072BC"/>
          <w:sz w:val="24"/>
        </w:rPr>
        <w:t>a</w:t>
      </w:r>
      <w:r w:rsidRPr="003C5797">
        <w:rPr>
          <w:rFonts w:ascii="Segoe UI" w:hAnsi="Segoe UI" w:cs="Segoe UI"/>
          <w:color w:val="0072BC"/>
          <w:spacing w:val="-23"/>
          <w:sz w:val="24"/>
        </w:rPr>
        <w:t xml:space="preserve"> </w:t>
      </w:r>
      <w:r w:rsidRPr="003C5797">
        <w:rPr>
          <w:rFonts w:ascii="Segoe UI" w:hAnsi="Segoe UI" w:cs="Segoe UI"/>
          <w:color w:val="0072BC"/>
          <w:sz w:val="24"/>
        </w:rPr>
        <w:t>submission.</w:t>
      </w:r>
    </w:p>
    <w:p w:rsidR="00E66725" w:rsidRPr="00204B86" w:rsidRDefault="00B573E2" w:rsidP="00204B86">
      <w:pPr>
        <w:pStyle w:val="BodyText"/>
      </w:pPr>
      <w:r w:rsidRPr="00B573E2">
        <w:t>This short guide provides an overview of the scope of the Scheme and highlights some key</w:t>
      </w:r>
      <w:r>
        <w:t xml:space="preserve"> </w:t>
      </w:r>
      <w:r w:rsidRPr="00B573E2">
        <w:t>information for different groups: patients/</w:t>
      </w:r>
      <w:r>
        <w:br/>
      </w:r>
      <w:r w:rsidRPr="00B573E2">
        <w:t>consumers, industry, researchers, prescribers and pharmacists. As with any snapshot, it</w:t>
      </w:r>
      <w:r>
        <w:t xml:space="preserve"> </w:t>
      </w:r>
      <w:r w:rsidRPr="00B573E2">
        <w:t>leaves a lot out. People will still need to read the relevant parts of the full consultation document before submitting.</w:t>
      </w:r>
    </w:p>
    <w:p w:rsidR="00B573E2" w:rsidRPr="00B573E2" w:rsidRDefault="00B573E2" w:rsidP="00204B86">
      <w:pPr>
        <w:pStyle w:val="Heading2"/>
      </w:pPr>
      <w:r>
        <w:t>Overall</w:t>
      </w:r>
      <w:r>
        <w:rPr>
          <w:spacing w:val="-16"/>
        </w:rPr>
        <w:t xml:space="preserve"> </w:t>
      </w:r>
      <w:r>
        <w:t>objectives</w:t>
      </w:r>
      <w:r>
        <w:rPr>
          <w:spacing w:val="-15"/>
        </w:rPr>
        <w:t xml:space="preserve"> </w:t>
      </w:r>
      <w:r>
        <w:rPr>
          <w:spacing w:val="-1"/>
        </w:rPr>
        <w:t>of</w:t>
      </w:r>
      <w:r>
        <w:rPr>
          <w:spacing w:val="-16"/>
        </w:rPr>
        <w:t xml:space="preserve"> </w:t>
      </w:r>
      <w:r>
        <w:t>the</w:t>
      </w:r>
      <w:r>
        <w:rPr>
          <w:spacing w:val="-15"/>
        </w:rPr>
        <w:t xml:space="preserve"> </w:t>
      </w:r>
      <w:r w:rsidRPr="00204B86">
        <w:t>Scheme</w:t>
      </w:r>
    </w:p>
    <w:p w:rsidR="00E66725" w:rsidRPr="00B573E2" w:rsidRDefault="00B573E2" w:rsidP="00B573E2">
      <w:pPr>
        <w:pStyle w:val="Bullet"/>
        <w:rPr>
          <w:rFonts w:eastAsia="Arial Unicode MS"/>
        </w:rPr>
      </w:pPr>
      <w:r w:rsidRPr="00B573E2">
        <w:t>The Scheme aims to improve patient access to quality medicinal cannabis products. To achieve this, the Scheme needs to enable the cultivation of cannabis and the manufacture of medicinal cannabis products in New Zealand, and the ongoing importing of overseas products to encourage competition and improve affordability of quality products.</w:t>
      </w:r>
    </w:p>
    <w:p w:rsidR="00E66725" w:rsidRPr="00B573E2" w:rsidRDefault="00B573E2" w:rsidP="00B573E2">
      <w:pPr>
        <w:pStyle w:val="Bullet"/>
      </w:pPr>
      <w:r w:rsidRPr="00B573E2">
        <w:t>A key component of the Scheme is to require that all products supplied under the Scheme meet minimum standards of quality.</w:t>
      </w:r>
    </w:p>
    <w:p w:rsidR="00E66725" w:rsidRPr="00B573E2" w:rsidRDefault="00B573E2" w:rsidP="00B573E2">
      <w:pPr>
        <w:pStyle w:val="Bullet"/>
      </w:pPr>
      <w:r w:rsidRPr="00B573E2">
        <w:t>The Scheme needs to provide medical practitioners (doctors) and nurse practitioners with confidence about the range of quality medicinal cannabis products available to prescribe.</w:t>
      </w:r>
    </w:p>
    <w:p w:rsidR="00E66725" w:rsidRPr="00B573E2" w:rsidRDefault="00B573E2" w:rsidP="00B573E2">
      <w:pPr>
        <w:pStyle w:val="Bullet"/>
      </w:pPr>
      <w:r w:rsidRPr="00B573E2">
        <w:t xml:space="preserve">The Scheme must recognise the principles of </w:t>
      </w:r>
      <w:proofErr w:type="spellStart"/>
      <w:r w:rsidRPr="00B573E2">
        <w:t>Te</w:t>
      </w:r>
      <w:proofErr w:type="spellEnd"/>
      <w:r w:rsidRPr="00B573E2">
        <w:t xml:space="preserve"> </w:t>
      </w:r>
      <w:proofErr w:type="spellStart"/>
      <w:r w:rsidRPr="00B573E2">
        <w:t>Tiriti</w:t>
      </w:r>
      <w:proofErr w:type="spellEnd"/>
      <w:r w:rsidRPr="00B573E2">
        <w:t xml:space="preserve"> o Waitangi (the Treaty of Waitangi)</w:t>
      </w:r>
      <w:r w:rsidR="00204B86">
        <w:t xml:space="preserve"> </w:t>
      </w:r>
      <w:r w:rsidRPr="00B573E2">
        <w:t>and support equitable health outcomes while supporting consumer access to, and individual responsibility for, their medical care.</w:t>
      </w:r>
    </w:p>
    <w:p w:rsidR="00E66725" w:rsidRPr="00B573E2" w:rsidRDefault="00B573E2" w:rsidP="00B573E2">
      <w:pPr>
        <w:pStyle w:val="Bullet"/>
      </w:pPr>
      <w:r w:rsidRPr="00B573E2">
        <w:t>The design and implementation of the Scheme should also enable equity of access to the economic benefits of a medicinal cannabis industry, while supporting New Zealand’s trade and economic objectives.</w:t>
      </w:r>
    </w:p>
    <w:p w:rsidR="00E66725" w:rsidRDefault="00B573E2" w:rsidP="00B078AF">
      <w:pPr>
        <w:pStyle w:val="Heading2"/>
        <w:spacing w:before="0"/>
      </w:pPr>
      <w:r>
        <w:br w:type="column"/>
      </w:r>
      <w:r w:rsidRPr="00B078AF">
        <w:t>What</w:t>
      </w:r>
      <w:r>
        <w:rPr>
          <w:spacing w:val="-14"/>
        </w:rPr>
        <w:t xml:space="preserve"> </w:t>
      </w:r>
      <w:r>
        <w:t>the</w:t>
      </w:r>
      <w:r>
        <w:rPr>
          <w:spacing w:val="-13"/>
        </w:rPr>
        <w:t xml:space="preserve"> </w:t>
      </w:r>
      <w:r>
        <w:rPr>
          <w:spacing w:val="-3"/>
        </w:rPr>
        <w:t>Scheme</w:t>
      </w:r>
      <w:r>
        <w:rPr>
          <w:spacing w:val="-14"/>
        </w:rPr>
        <w:t xml:space="preserve"> </w:t>
      </w:r>
      <w:r>
        <w:t>does</w:t>
      </w:r>
      <w:r>
        <w:rPr>
          <w:spacing w:val="-13"/>
        </w:rPr>
        <w:t xml:space="preserve"> </w:t>
      </w:r>
      <w:r>
        <w:t>and</w:t>
      </w:r>
      <w:r>
        <w:rPr>
          <w:spacing w:val="-13"/>
        </w:rPr>
        <w:t xml:space="preserve"> </w:t>
      </w:r>
      <w:r>
        <w:t>does</w:t>
      </w:r>
      <w:r>
        <w:rPr>
          <w:spacing w:val="-14"/>
        </w:rPr>
        <w:t xml:space="preserve"> </w:t>
      </w:r>
      <w:r>
        <w:t>not</w:t>
      </w:r>
      <w:r>
        <w:rPr>
          <w:spacing w:val="27"/>
          <w:w w:val="102"/>
        </w:rPr>
        <w:t xml:space="preserve"> </w:t>
      </w:r>
      <w:r>
        <w:rPr>
          <w:spacing w:val="-3"/>
        </w:rPr>
        <w:t>cover</w:t>
      </w:r>
    </w:p>
    <w:p w:rsidR="00E66725" w:rsidRPr="00B573E2" w:rsidRDefault="00B573E2" w:rsidP="00B573E2">
      <w:pPr>
        <w:pStyle w:val="Bullet"/>
        <w:rPr>
          <w:rFonts w:eastAsia="Arial Unicode MS"/>
        </w:rPr>
      </w:pPr>
      <w:r w:rsidRPr="00B573E2">
        <w:t>The Scheme will set out minimum standards for the cultivation of cannabis and manufacture of medicinal cannabis products, and specifications for the finished products.</w:t>
      </w:r>
    </w:p>
    <w:p w:rsidR="00E66725" w:rsidRPr="00B573E2" w:rsidRDefault="00B573E2" w:rsidP="00B573E2">
      <w:pPr>
        <w:pStyle w:val="Bullet"/>
      </w:pPr>
      <w:r w:rsidRPr="00B573E2">
        <w:t>All participants in the industry will need to apply for and hold current licences for the cultivation, manufacture and supply of medicinal cannabis.</w:t>
      </w:r>
    </w:p>
    <w:p w:rsidR="00E66725" w:rsidRDefault="00B573E2" w:rsidP="00B573E2">
      <w:pPr>
        <w:pStyle w:val="Bullet"/>
      </w:pPr>
      <w:r>
        <w:t>The</w:t>
      </w:r>
      <w:r>
        <w:rPr>
          <w:spacing w:val="-31"/>
        </w:rPr>
        <w:t xml:space="preserve"> </w:t>
      </w:r>
      <w:r>
        <w:t>Scheme</w:t>
      </w:r>
      <w:r>
        <w:rPr>
          <w:spacing w:val="-31"/>
        </w:rPr>
        <w:t xml:space="preserve"> </w:t>
      </w:r>
      <w:r>
        <w:t>will</w:t>
      </w:r>
      <w:r>
        <w:rPr>
          <w:spacing w:val="-30"/>
        </w:rPr>
        <w:t xml:space="preserve"> </w:t>
      </w:r>
      <w:r>
        <w:t>only</w:t>
      </w:r>
      <w:r>
        <w:rPr>
          <w:spacing w:val="-31"/>
        </w:rPr>
        <w:t xml:space="preserve"> </w:t>
      </w:r>
      <w:r>
        <w:rPr>
          <w:spacing w:val="-2"/>
        </w:rPr>
        <w:t>co</w:t>
      </w:r>
      <w:r>
        <w:rPr>
          <w:spacing w:val="-1"/>
        </w:rPr>
        <w:t>ver</w:t>
      </w:r>
      <w:r>
        <w:rPr>
          <w:spacing w:val="-30"/>
        </w:rPr>
        <w:t xml:space="preserve"> </w:t>
      </w:r>
      <w:r>
        <w:t>medicinal</w:t>
      </w:r>
      <w:r>
        <w:rPr>
          <w:spacing w:val="-31"/>
        </w:rPr>
        <w:t xml:space="preserve"> </w:t>
      </w:r>
      <w:r>
        <w:t>cannabis</w:t>
      </w:r>
      <w:r>
        <w:rPr>
          <w:spacing w:val="21"/>
          <w:w w:val="97"/>
        </w:rPr>
        <w:t xml:space="preserve"> </w:t>
      </w:r>
      <w:r>
        <w:rPr>
          <w:spacing w:val="-1"/>
        </w:rPr>
        <w:t>pr</w:t>
      </w:r>
      <w:r>
        <w:rPr>
          <w:spacing w:val="-2"/>
        </w:rPr>
        <w:t>oducts</w:t>
      </w:r>
      <w:r>
        <w:rPr>
          <w:spacing w:val="-35"/>
        </w:rPr>
        <w:t xml:space="preserve"> </w:t>
      </w:r>
      <w:r>
        <w:t>originating</w:t>
      </w:r>
      <w:r>
        <w:rPr>
          <w:spacing w:val="-34"/>
        </w:rPr>
        <w:t xml:space="preserve"> </w:t>
      </w:r>
      <w:r>
        <w:rPr>
          <w:spacing w:val="-3"/>
        </w:rPr>
        <w:t>fr</w:t>
      </w:r>
      <w:r>
        <w:rPr>
          <w:spacing w:val="-2"/>
        </w:rPr>
        <w:t>om</w:t>
      </w:r>
      <w:r>
        <w:rPr>
          <w:spacing w:val="-34"/>
        </w:rPr>
        <w:t xml:space="preserve"> </w:t>
      </w:r>
      <w:r>
        <w:t>the</w:t>
      </w:r>
      <w:r>
        <w:rPr>
          <w:spacing w:val="-34"/>
        </w:rPr>
        <w:t xml:space="preserve"> </w:t>
      </w:r>
      <w:r>
        <w:t>cannabis</w:t>
      </w:r>
      <w:r>
        <w:rPr>
          <w:spacing w:val="-34"/>
        </w:rPr>
        <w:t xml:space="preserve"> </w:t>
      </w:r>
      <w:r>
        <w:t>plant.</w:t>
      </w:r>
    </w:p>
    <w:p w:rsidR="00E66725" w:rsidRPr="00B573E2" w:rsidRDefault="00B573E2" w:rsidP="00B573E2">
      <w:pPr>
        <w:pStyle w:val="Bullet"/>
      </w:pPr>
      <w:r w:rsidRPr="00B573E2">
        <w:t>Cultivating cannabis for recreational use is not part of the Scheme. New Zealanders will choose whether or not to legalise recreational cannabis as part of a referendum at the 2020 General Election.</w:t>
      </w:r>
    </w:p>
    <w:p w:rsidR="00E66725" w:rsidRPr="00204B86" w:rsidRDefault="00B573E2" w:rsidP="00204B86">
      <w:pPr>
        <w:pStyle w:val="Bullet"/>
      </w:pPr>
      <w:r w:rsidRPr="00B573E2">
        <w:t>Medicinal cannabis products will only be available as prescription medicines, prescribed by a medical practitioner (doctor). When approved CBD (</w:t>
      </w:r>
      <w:proofErr w:type="spellStart"/>
      <w:r w:rsidRPr="00B573E2">
        <w:t>cannabidiol</w:t>
      </w:r>
      <w:proofErr w:type="spellEnd"/>
      <w:r w:rsidRPr="00B573E2">
        <w:t>) products become available, these will also be able to be prescribed by a nurse practitioner.</w:t>
      </w:r>
    </w:p>
    <w:p w:rsidR="00E66725" w:rsidRDefault="00B573E2" w:rsidP="00204B86">
      <w:pPr>
        <w:pStyle w:val="Heading2"/>
      </w:pPr>
      <w:r>
        <w:t>Responding</w:t>
      </w:r>
      <w:r>
        <w:rPr>
          <w:spacing w:val="-9"/>
        </w:rPr>
        <w:t xml:space="preserve"> </w:t>
      </w:r>
      <w:r>
        <w:rPr>
          <w:spacing w:val="-1"/>
        </w:rPr>
        <w:t>to</w:t>
      </w:r>
      <w:r>
        <w:rPr>
          <w:spacing w:val="-9"/>
        </w:rPr>
        <w:t xml:space="preserve"> </w:t>
      </w:r>
      <w:r>
        <w:t>the</w:t>
      </w:r>
      <w:r>
        <w:rPr>
          <w:spacing w:val="-8"/>
        </w:rPr>
        <w:t xml:space="preserve"> </w:t>
      </w:r>
      <w:r>
        <w:t>consultation</w:t>
      </w:r>
      <w:r>
        <w:rPr>
          <w:spacing w:val="23"/>
          <w:w w:val="101"/>
        </w:rPr>
        <w:t xml:space="preserve"> </w:t>
      </w:r>
      <w:r>
        <w:t>document</w:t>
      </w:r>
    </w:p>
    <w:p w:rsidR="00E66725" w:rsidRPr="00B573E2" w:rsidRDefault="00B573E2" w:rsidP="00B573E2">
      <w:pPr>
        <w:pStyle w:val="BodyText"/>
      </w:pPr>
      <w:r w:rsidRPr="00B573E2">
        <w:t xml:space="preserve">All the proposals and consultation questions can be found within the public consultation document and in Part H (pages 70–86). They are also in the online consultation tool </w:t>
      </w:r>
      <w:r w:rsidR="00B078AF">
        <w:t>(</w:t>
      </w:r>
      <w:hyperlink r:id="rId9" w:history="1">
        <w:r w:rsidRPr="00B078AF">
          <w:rPr>
            <w:rStyle w:val="Hyperlink"/>
          </w:rPr>
          <w:t>health.govt.nz/publication/medicinal-cannabis-scheme-consultation</w:t>
        </w:r>
      </w:hyperlink>
      <w:r w:rsidRPr="00B573E2">
        <w:t xml:space="preserve">), which is our preferred way to get feedback. All the questions in the public consultation document are </w:t>
      </w:r>
      <w:proofErr w:type="spellStart"/>
      <w:r w:rsidRPr="00B573E2">
        <w:t>colour</w:t>
      </w:r>
      <w:proofErr w:type="spellEnd"/>
      <w:r w:rsidRPr="00B573E2">
        <w:t xml:space="preserve"> coded.</w:t>
      </w:r>
    </w:p>
    <w:p w:rsidR="00E66725" w:rsidRDefault="00E66725">
      <w:pPr>
        <w:spacing w:line="260" w:lineRule="exact"/>
        <w:jc w:val="both"/>
        <w:sectPr w:rsidR="00E66725">
          <w:type w:val="continuous"/>
          <w:pgSz w:w="11910" w:h="16840"/>
          <w:pgMar w:top="1580" w:right="1020" w:bottom="280" w:left="1020" w:header="720" w:footer="720" w:gutter="0"/>
          <w:cols w:num="2" w:space="720" w:equalWidth="0">
            <w:col w:w="4650" w:space="453"/>
            <w:col w:w="4767"/>
          </w:cols>
        </w:sectPr>
      </w:pPr>
    </w:p>
    <w:p w:rsidR="00E66725" w:rsidRDefault="00E66725">
      <w:pPr>
        <w:rPr>
          <w:rFonts w:ascii="Lucida Sans Unicode" w:eastAsia="Lucida Sans Unicode" w:hAnsi="Lucida Sans Unicode" w:cs="Lucida Sans Unicode"/>
          <w:sz w:val="16"/>
          <w:szCs w:val="16"/>
        </w:rPr>
        <w:sectPr w:rsidR="00E66725">
          <w:headerReference w:type="default" r:id="rId10"/>
          <w:type w:val="continuous"/>
          <w:pgSz w:w="11910" w:h="16840"/>
          <w:pgMar w:top="1580" w:right="1020" w:bottom="280" w:left="1020" w:header="720" w:footer="720" w:gutter="0"/>
          <w:cols w:num="2" w:space="720" w:equalWidth="0">
            <w:col w:w="5951" w:space="40"/>
            <w:col w:w="3879"/>
          </w:cols>
        </w:sectPr>
      </w:pPr>
    </w:p>
    <w:p w:rsidR="00E66725" w:rsidRPr="00204B86" w:rsidRDefault="00B573E2" w:rsidP="00204B86">
      <w:pPr>
        <w:pStyle w:val="BodyText"/>
      </w:pPr>
      <w:r w:rsidRPr="00B573E2">
        <w:lastRenderedPageBreak/>
        <w:t>There are specific questions for industry, researchers, prescribers, pharmacists, patients/</w:t>
      </w:r>
      <w:r w:rsidRPr="00B573E2">
        <w:br/>
        <w:t>consumers, and for everyone (‘all’). We encourage you to answer or provide comments on any proposals or questions you feel are relevant to your are</w:t>
      </w:r>
      <w:bookmarkStart w:id="0" w:name="_GoBack"/>
      <w:bookmarkEnd w:id="0"/>
      <w:r w:rsidRPr="00B573E2">
        <w:t>a or areas of interest.</w:t>
      </w:r>
    </w:p>
    <w:p w:rsidR="00B573E2" w:rsidRDefault="00B573E2" w:rsidP="00204B86">
      <w:pPr>
        <w:pStyle w:val="Heading2"/>
        <w:rPr>
          <w:spacing w:val="19"/>
        </w:rPr>
      </w:pPr>
      <w:r>
        <w:rPr>
          <w:spacing w:val="-4"/>
        </w:rPr>
        <w:t>Key</w:t>
      </w:r>
      <w:r>
        <w:rPr>
          <w:spacing w:val="-15"/>
        </w:rPr>
        <w:t xml:space="preserve"> </w:t>
      </w:r>
      <w:r>
        <w:rPr>
          <w:spacing w:val="-3"/>
        </w:rPr>
        <w:t>pr</w:t>
      </w:r>
      <w:r>
        <w:rPr>
          <w:spacing w:val="-4"/>
        </w:rPr>
        <w:t>oposals,</w:t>
      </w:r>
      <w:r>
        <w:rPr>
          <w:spacing w:val="-15"/>
        </w:rPr>
        <w:t xml:space="preserve"> </w:t>
      </w:r>
      <w:r>
        <w:t>questions</w:t>
      </w:r>
      <w:r>
        <w:rPr>
          <w:spacing w:val="-15"/>
        </w:rPr>
        <w:t xml:space="preserve"> </w:t>
      </w:r>
      <w:r>
        <w:t>and</w:t>
      </w:r>
      <w:r>
        <w:rPr>
          <w:spacing w:val="28"/>
          <w:w w:val="101"/>
        </w:rPr>
        <w:t xml:space="preserve"> </w:t>
      </w:r>
      <w:r>
        <w:t>information</w:t>
      </w:r>
      <w:r>
        <w:rPr>
          <w:spacing w:val="3"/>
        </w:rPr>
        <w:t xml:space="preserve"> </w:t>
      </w:r>
      <w:r>
        <w:t>for</w:t>
      </w:r>
      <w:r>
        <w:rPr>
          <w:spacing w:val="3"/>
        </w:rPr>
        <w:t xml:space="preserve"> </w:t>
      </w:r>
      <w:r>
        <w:rPr>
          <w:spacing w:val="-3"/>
        </w:rPr>
        <w:t>different</w:t>
      </w:r>
      <w:r>
        <w:rPr>
          <w:spacing w:val="3"/>
        </w:rPr>
        <w:t xml:space="preserve"> </w:t>
      </w:r>
      <w:r>
        <w:t>audiences</w:t>
      </w:r>
      <w:r>
        <w:rPr>
          <w:spacing w:val="19"/>
        </w:rPr>
        <w:t xml:space="preserve"> </w:t>
      </w:r>
    </w:p>
    <w:p w:rsidR="00E66725" w:rsidRPr="00B573E2" w:rsidRDefault="00B573E2" w:rsidP="00B573E2">
      <w:pPr>
        <w:pStyle w:val="BodyText"/>
      </w:pPr>
      <w:r w:rsidRPr="00B573E2">
        <w:t>The question at the heart of the consultation is whether the current proposals and options meet the Government’s objective of improving patient access to quality medicinal cannabis products.</w:t>
      </w:r>
    </w:p>
    <w:p w:rsidR="00E66725" w:rsidRPr="00204B86" w:rsidRDefault="00B573E2" w:rsidP="00204B86">
      <w:pPr>
        <w:pStyle w:val="BodyText"/>
      </w:pPr>
      <w:r w:rsidRPr="00B573E2">
        <w:t>Below we detail some of the key questions, proposals, options and information for different audiences.</w:t>
      </w:r>
    </w:p>
    <w:p w:rsidR="00E66725" w:rsidRDefault="00B573E2" w:rsidP="00204B86">
      <w:pPr>
        <w:pStyle w:val="Heading2"/>
      </w:pPr>
      <w:r>
        <w:rPr>
          <w:spacing w:val="-4"/>
        </w:rPr>
        <w:t>Key</w:t>
      </w:r>
      <w:r>
        <w:rPr>
          <w:spacing w:val="-7"/>
        </w:rPr>
        <w:t xml:space="preserve"> </w:t>
      </w:r>
      <w:r>
        <w:rPr>
          <w:spacing w:val="-3"/>
        </w:rPr>
        <w:t>proposals</w:t>
      </w:r>
      <w:r>
        <w:rPr>
          <w:spacing w:val="-6"/>
        </w:rPr>
        <w:t xml:space="preserve"> </w:t>
      </w:r>
      <w:r>
        <w:t>and</w:t>
      </w:r>
      <w:r>
        <w:rPr>
          <w:spacing w:val="-7"/>
        </w:rPr>
        <w:t xml:space="preserve"> </w:t>
      </w:r>
      <w:r>
        <w:t>information</w:t>
      </w:r>
      <w:r>
        <w:rPr>
          <w:spacing w:val="-6"/>
        </w:rPr>
        <w:t xml:space="preserve"> </w:t>
      </w:r>
      <w:r>
        <w:t>for</w:t>
      </w:r>
      <w:r>
        <w:rPr>
          <w:spacing w:val="-6"/>
        </w:rPr>
        <w:t xml:space="preserve"> </w:t>
      </w:r>
      <w:r>
        <w:t>all</w:t>
      </w:r>
      <w:r>
        <w:rPr>
          <w:spacing w:val="23"/>
        </w:rPr>
        <w:t xml:space="preserve"> </w:t>
      </w:r>
      <w:r>
        <w:t>audiences</w:t>
      </w:r>
    </w:p>
    <w:p w:rsidR="00E66725" w:rsidRPr="00B573E2" w:rsidRDefault="00B573E2" w:rsidP="00B573E2">
      <w:pPr>
        <w:pStyle w:val="Bullet"/>
      </w:pPr>
      <w:r w:rsidRPr="00B573E2">
        <w:t xml:space="preserve">Proposed quality standards for medicinal cannabis products are a key part of the Scheme. The proposals cover standards for cultivating and manufacturing medicinal cannabis products, the active pharmaceutical ingredients </w:t>
      </w:r>
      <w:r w:rsidRPr="00B573E2">
        <w:rPr>
          <w:rFonts w:eastAsia="Arial Unicode MS"/>
        </w:rPr>
        <w:t>(API), which produce the effects of the drugs, and the finished products – for example, pills,</w:t>
      </w:r>
      <w:r w:rsidRPr="00B573E2">
        <w:t xml:space="preserve"> balms, nasal sprays. (See pages 10–30.)</w:t>
      </w:r>
    </w:p>
    <w:p w:rsidR="00E66725" w:rsidRPr="00B573E2" w:rsidRDefault="00B573E2" w:rsidP="00B573E2">
      <w:pPr>
        <w:pStyle w:val="Bullet"/>
      </w:pPr>
      <w:r w:rsidRPr="00B573E2">
        <w:t>Medicinal cannabis products for smoking and edible products containing cannabis are not proposed to be allowed under the Scheme. Medicinal cannabis products for vaping are proposed to be allowed.</w:t>
      </w:r>
    </w:p>
    <w:p w:rsidR="00E66725" w:rsidRPr="00204B86" w:rsidRDefault="00B573E2" w:rsidP="00204B86">
      <w:pPr>
        <w:pStyle w:val="Bullet"/>
        <w:rPr>
          <w:rFonts w:eastAsia="Arial Unicode MS"/>
        </w:rPr>
      </w:pPr>
      <w:r w:rsidRPr="00B573E2">
        <w:t>Cannabis-based dietary</w:t>
      </w:r>
      <w:r w:rsidR="00204B86">
        <w:t xml:space="preserve"> </w:t>
      </w:r>
      <w:r>
        <w:t>supplements,</w:t>
      </w:r>
      <w:r w:rsidRPr="00B573E2">
        <w:t xml:space="preserve"> natural health products or nutraceuticals would have to meet the requirements of the Scheme, with all </w:t>
      </w:r>
      <w:r w:rsidRPr="00B573E2">
        <w:rPr>
          <w:rFonts w:eastAsia="Arial Unicode MS"/>
        </w:rPr>
        <w:t>products being prescription-only (pages 24–25).</w:t>
      </w:r>
    </w:p>
    <w:p w:rsidR="00E66725" w:rsidRDefault="00B573E2" w:rsidP="00204B86">
      <w:pPr>
        <w:pStyle w:val="Heading2"/>
      </w:pPr>
      <w:r>
        <w:rPr>
          <w:spacing w:val="-4"/>
        </w:rPr>
        <w:t>Key</w:t>
      </w:r>
      <w:r>
        <w:rPr>
          <w:spacing w:val="-6"/>
        </w:rPr>
        <w:t xml:space="preserve"> </w:t>
      </w:r>
      <w:r>
        <w:rPr>
          <w:spacing w:val="-3"/>
        </w:rPr>
        <w:t>proposals</w:t>
      </w:r>
      <w:r>
        <w:rPr>
          <w:spacing w:val="-5"/>
        </w:rPr>
        <w:t xml:space="preserve"> </w:t>
      </w:r>
      <w:r>
        <w:t>and</w:t>
      </w:r>
      <w:r>
        <w:rPr>
          <w:spacing w:val="-5"/>
        </w:rPr>
        <w:t xml:space="preserve"> </w:t>
      </w:r>
      <w:r>
        <w:t>information</w:t>
      </w:r>
      <w:r>
        <w:rPr>
          <w:spacing w:val="-5"/>
        </w:rPr>
        <w:t xml:space="preserve"> </w:t>
      </w:r>
      <w:r>
        <w:t>for</w:t>
      </w:r>
      <w:r>
        <w:rPr>
          <w:spacing w:val="19"/>
          <w:w w:val="101"/>
        </w:rPr>
        <w:t xml:space="preserve"> </w:t>
      </w:r>
      <w:r>
        <w:t>industry</w:t>
      </w:r>
    </w:p>
    <w:p w:rsidR="00E66725" w:rsidRPr="00B573E2" w:rsidRDefault="00B573E2" w:rsidP="00B573E2">
      <w:pPr>
        <w:pStyle w:val="Bullet"/>
      </w:pPr>
      <w:r w:rsidRPr="00B573E2">
        <w:t>There are proposed fees and licensing charges for the cultivation, manufacturing, packaging and labelling, supplying, importing and exporting of medicinal cannabis products (pages 65–69).</w:t>
      </w:r>
    </w:p>
    <w:p w:rsidR="00E66725" w:rsidRPr="00204B86" w:rsidRDefault="00B573E2" w:rsidP="00204B86">
      <w:pPr>
        <w:pStyle w:val="Bullet"/>
        <w:rPr>
          <w:rFonts w:eastAsia="Arial Unicode MS"/>
        </w:rPr>
      </w:pPr>
      <w:r w:rsidRPr="00B573E2">
        <w:rPr>
          <w:w w:val="110"/>
        </w:rPr>
        <w:br w:type="column"/>
      </w:r>
      <w:r w:rsidRPr="00204B86">
        <w:t xml:space="preserve">We are proposing not to allow the export of unprocessed or bulk raw cannabis (pages </w:t>
      </w:r>
      <w:r w:rsidRPr="00204B86">
        <w:rPr>
          <w:rFonts w:eastAsia="Arial Unicode MS"/>
        </w:rPr>
        <w:t>31–41).</w:t>
      </w:r>
    </w:p>
    <w:p w:rsidR="00E66725" w:rsidRPr="00204B86" w:rsidRDefault="00B573E2" w:rsidP="00204B86">
      <w:pPr>
        <w:pStyle w:val="Bullet"/>
      </w:pPr>
      <w:r w:rsidRPr="00204B86">
        <w:t>Industrial hemp growers would be able to supply seeds to medicinal cannabis licensees (page 37).</w:t>
      </w:r>
    </w:p>
    <w:p w:rsidR="00E66725" w:rsidRPr="00204B86" w:rsidRDefault="00B573E2" w:rsidP="00204B86">
      <w:pPr>
        <w:pStyle w:val="Bullet"/>
      </w:pPr>
      <w:r w:rsidRPr="00204B86">
        <w:t>The proposed cut off between small and large scale cultivation is 200 square meters (page 35).</w:t>
      </w:r>
    </w:p>
    <w:p w:rsidR="00E66725" w:rsidRPr="00204B86" w:rsidRDefault="00B573E2" w:rsidP="00204B86">
      <w:pPr>
        <w:pStyle w:val="Bullet"/>
        <w:rPr>
          <w:rFonts w:eastAsia="Arial Unicode MS"/>
        </w:rPr>
      </w:pPr>
      <w:r w:rsidRPr="00204B86">
        <w:t>Proposed controls after products go to market include:</w:t>
      </w:r>
      <w:r w:rsidR="00204B86">
        <w:t xml:space="preserve"> </w:t>
      </w:r>
      <w:r w:rsidRPr="00204B86">
        <w:t>investigation of</w:t>
      </w:r>
      <w:r w:rsidR="00204B86">
        <w:t xml:space="preserve"> </w:t>
      </w:r>
      <w:r w:rsidRPr="00204B86">
        <w:t>quality,</w:t>
      </w:r>
      <w:r w:rsidR="00204B86">
        <w:t xml:space="preserve"> </w:t>
      </w:r>
      <w:r w:rsidRPr="00204B86">
        <w:t xml:space="preserve">complaints, product recalls and enforcement powers (pages </w:t>
      </w:r>
      <w:r w:rsidRPr="00204B86">
        <w:rPr>
          <w:rFonts w:eastAsia="Arial Unicode MS"/>
        </w:rPr>
        <w:t>61–64).</w:t>
      </w:r>
    </w:p>
    <w:p w:rsidR="00E66725" w:rsidRDefault="00B573E2" w:rsidP="00204B86">
      <w:pPr>
        <w:pStyle w:val="Heading2"/>
      </w:pPr>
      <w:r>
        <w:rPr>
          <w:spacing w:val="-4"/>
        </w:rPr>
        <w:t>Key</w:t>
      </w:r>
      <w:r>
        <w:rPr>
          <w:spacing w:val="-13"/>
        </w:rPr>
        <w:t xml:space="preserve"> </w:t>
      </w:r>
      <w:r>
        <w:rPr>
          <w:spacing w:val="-3"/>
        </w:rPr>
        <w:t>proposals</w:t>
      </w:r>
      <w:r>
        <w:rPr>
          <w:spacing w:val="-12"/>
        </w:rPr>
        <w:t xml:space="preserve"> </w:t>
      </w:r>
      <w:r>
        <w:t>and</w:t>
      </w:r>
      <w:r>
        <w:rPr>
          <w:spacing w:val="-12"/>
        </w:rPr>
        <w:t xml:space="preserve"> </w:t>
      </w:r>
      <w:r>
        <w:t>options</w:t>
      </w:r>
      <w:r>
        <w:rPr>
          <w:spacing w:val="-13"/>
        </w:rPr>
        <w:t xml:space="preserve"> </w:t>
      </w:r>
      <w:r>
        <w:t>for</w:t>
      </w:r>
      <w:r>
        <w:rPr>
          <w:spacing w:val="19"/>
          <w:w w:val="101"/>
        </w:rPr>
        <w:t xml:space="preserve"> </w:t>
      </w:r>
      <w:r>
        <w:rPr>
          <w:spacing w:val="-3"/>
        </w:rPr>
        <w:t>prescribers</w:t>
      </w:r>
      <w:r>
        <w:rPr>
          <w:spacing w:val="-12"/>
        </w:rPr>
        <w:t xml:space="preserve"> </w:t>
      </w:r>
      <w:r>
        <w:t>and</w:t>
      </w:r>
      <w:r>
        <w:rPr>
          <w:spacing w:val="-12"/>
        </w:rPr>
        <w:t xml:space="preserve"> </w:t>
      </w:r>
      <w:r>
        <w:t>pharmacists</w:t>
      </w:r>
    </w:p>
    <w:p w:rsidR="00E66725" w:rsidRPr="00204B86" w:rsidRDefault="00B573E2" w:rsidP="00204B86">
      <w:pPr>
        <w:pStyle w:val="Bullet"/>
      </w:pPr>
      <w:r w:rsidRPr="00204B86">
        <w:t>It is proposed that unapproved medicinal cannabis products will not be required to have clinical trial data, which is the same as for other unapproved medicines. We are asking how comfortable prescribers would be with prescribing products that have not undergone clinical trials (pages 58–59).</w:t>
      </w:r>
    </w:p>
    <w:p w:rsidR="00E66725" w:rsidRPr="00204B86" w:rsidRDefault="00B573E2" w:rsidP="00204B86">
      <w:pPr>
        <w:pStyle w:val="Bullet"/>
      </w:pPr>
      <w:r w:rsidRPr="00204B86">
        <w:t>It is proposed that there will no longer be a requirement to obtain Ministry of Health</w:t>
      </w:r>
      <w:r w:rsidR="00204B86" w:rsidRPr="00204B86">
        <w:t xml:space="preserve"> </w:t>
      </w:r>
      <w:r w:rsidRPr="00204B86">
        <w:t>approval to prescribe products that meet the quality standards.</w:t>
      </w:r>
    </w:p>
    <w:p w:rsidR="00E66725" w:rsidRPr="00204B86" w:rsidRDefault="00B573E2" w:rsidP="00204B86">
      <w:pPr>
        <w:pStyle w:val="Bullet"/>
      </w:pPr>
      <w:r w:rsidRPr="00204B86">
        <w:t>It is proposed that approved medicinal cannabis products that are controlled drugs</w:t>
      </w:r>
      <w:r w:rsidR="00204B86">
        <w:t xml:space="preserve"> </w:t>
      </w:r>
      <w:r w:rsidRPr="00204B86">
        <w:t>will be able to be prescribed by medical practitioners (doctors) without the need for a recommendation from a specialist for approved</w:t>
      </w:r>
      <w:r w:rsidR="00204B86" w:rsidRPr="00204B86">
        <w:t xml:space="preserve"> </w:t>
      </w:r>
      <w:r w:rsidRPr="00204B86">
        <w:t>uses (known as ‘on-label’ use).</w:t>
      </w:r>
    </w:p>
    <w:p w:rsidR="00E66725" w:rsidRDefault="00B573E2" w:rsidP="00204B86">
      <w:pPr>
        <w:pStyle w:val="Heading2"/>
      </w:pPr>
      <w:r>
        <w:rPr>
          <w:spacing w:val="-4"/>
        </w:rPr>
        <w:t>Key</w:t>
      </w:r>
      <w:r>
        <w:rPr>
          <w:spacing w:val="-12"/>
        </w:rPr>
        <w:t xml:space="preserve"> </w:t>
      </w:r>
      <w:r>
        <w:t>question</w:t>
      </w:r>
      <w:r>
        <w:rPr>
          <w:spacing w:val="-11"/>
        </w:rPr>
        <w:t xml:space="preserve"> </w:t>
      </w:r>
      <w:r>
        <w:t>for</w:t>
      </w:r>
      <w:r>
        <w:rPr>
          <w:spacing w:val="-12"/>
        </w:rPr>
        <w:t xml:space="preserve"> </w:t>
      </w:r>
      <w:r>
        <w:rPr>
          <w:spacing w:val="-3"/>
        </w:rPr>
        <w:t>researchers</w:t>
      </w:r>
    </w:p>
    <w:p w:rsidR="00E66725" w:rsidRPr="00204B86" w:rsidRDefault="00B573E2" w:rsidP="00204B86">
      <w:pPr>
        <w:pStyle w:val="Bullet"/>
      </w:pPr>
      <w:r w:rsidRPr="00204B86">
        <w:rPr>
          <w:rFonts w:eastAsia="Arial Unicode MS"/>
        </w:rPr>
        <w:t xml:space="preserve">Will the proposed fees for licences affect the </w:t>
      </w:r>
      <w:r w:rsidRPr="00204B86">
        <w:t>ability to research medicinal cannabis products? (</w:t>
      </w:r>
      <w:proofErr w:type="gramStart"/>
      <w:r w:rsidRPr="00204B86">
        <w:t>pages</w:t>
      </w:r>
      <w:proofErr w:type="gramEnd"/>
      <w:r w:rsidRPr="00204B86">
        <w:t xml:space="preserve"> 65–69).</w:t>
      </w:r>
    </w:p>
    <w:p w:rsidR="00E66725" w:rsidRDefault="00B573E2" w:rsidP="00204B86">
      <w:pPr>
        <w:pStyle w:val="Heading2"/>
      </w:pPr>
      <w:r>
        <w:t>Contact</w:t>
      </w:r>
      <w:r>
        <w:rPr>
          <w:spacing w:val="-11"/>
        </w:rPr>
        <w:t xml:space="preserve"> </w:t>
      </w:r>
      <w:r>
        <w:t>details</w:t>
      </w:r>
    </w:p>
    <w:p w:rsidR="00E66725" w:rsidRPr="00204B86" w:rsidRDefault="00B573E2" w:rsidP="00204B86">
      <w:pPr>
        <w:pStyle w:val="BodyText"/>
      </w:pPr>
      <w:r w:rsidRPr="00204B86">
        <w:t>If you have any questions, please contact</w:t>
      </w:r>
      <w:hyperlink r:id="rId11">
        <w:r w:rsidRPr="00204B86">
          <w:t xml:space="preserve"> medicinal_cannabis@health.govt.nz</w:t>
        </w:r>
      </w:hyperlink>
    </w:p>
    <w:sectPr w:rsidR="00E66725" w:rsidRPr="00204B86">
      <w:footerReference w:type="default" r:id="rId12"/>
      <w:pgSz w:w="11910" w:h="16840"/>
      <w:pgMar w:top="860" w:right="840" w:bottom="280" w:left="800" w:header="720" w:footer="720" w:gutter="0"/>
      <w:cols w:num="2" w:space="720" w:equalWidth="0">
        <w:col w:w="4782" w:space="604"/>
        <w:col w:w="48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797" w:rsidRDefault="003C5797" w:rsidP="00B573E2">
      <w:r>
        <w:separator/>
      </w:r>
    </w:p>
  </w:endnote>
  <w:endnote w:type="continuationSeparator" w:id="0">
    <w:p w:rsidR="003C5797" w:rsidRDefault="003C5797" w:rsidP="00B5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97" w:rsidRPr="003C5797" w:rsidRDefault="003C5797" w:rsidP="003C5797">
    <w:pPr>
      <w:spacing w:before="76"/>
      <w:ind w:left="3674"/>
      <w:rPr>
        <w:rFonts w:ascii="Tahoma" w:eastAsia="Tahoma" w:hAnsi="Tahoma" w:cs="Tahoma"/>
        <w:sz w:val="32"/>
        <w:szCs w:val="32"/>
      </w:rPr>
    </w:pPr>
    <w:r w:rsidRPr="00B078AF">
      <w:rPr>
        <w:rFonts w:ascii="Segoe UI" w:hAnsi="Segoe UI" w:cs="Segoe UI"/>
        <w:b/>
        <w:color w:val="0072BC"/>
        <w:spacing w:val="-1"/>
        <w:w w:val="95"/>
        <w:sz w:val="36"/>
        <w:szCs w:val="36"/>
      </w:rPr>
      <w:t>Health.govt.nz</w:t>
    </w:r>
    <w:r w:rsidRPr="00B078AF">
      <w:rPr>
        <w:rFonts w:ascii="Segoe UI" w:eastAsia="Tahoma" w:hAnsi="Segoe UI" w:cs="Segoe UI"/>
        <w:sz w:val="32"/>
        <w:szCs w:val="32"/>
      </w:rPr>
      <w:ptab w:relativeTo="margin" w:alignment="right" w:leader="none"/>
    </w:r>
    <w:r w:rsidRPr="00B078AF">
      <w:rPr>
        <w:rFonts w:ascii="Segoe UI" w:hAnsi="Segoe UI" w:cs="Segoe UI"/>
        <w:sz w:val="18"/>
        <w:szCs w:val="18"/>
      </w:rPr>
      <w:t>July</w:t>
    </w:r>
    <w:r w:rsidRPr="00B078AF">
      <w:rPr>
        <w:rFonts w:ascii="Segoe UI" w:hAnsi="Segoe UI" w:cs="Segoe UI"/>
        <w:spacing w:val="-24"/>
        <w:sz w:val="18"/>
        <w:szCs w:val="18"/>
      </w:rPr>
      <w:t xml:space="preserve"> </w:t>
    </w:r>
    <w:r w:rsidRPr="00B078AF">
      <w:rPr>
        <w:rFonts w:ascii="Segoe UI" w:hAnsi="Segoe UI" w:cs="Segoe UI"/>
        <w:sz w:val="18"/>
        <w:szCs w:val="18"/>
      </w:rPr>
      <w:t>2019   HP</w:t>
    </w:r>
    <w:r w:rsidRPr="00B078AF">
      <w:rPr>
        <w:rFonts w:ascii="Segoe UI" w:hAnsi="Segoe UI" w:cs="Segoe UI"/>
        <w:spacing w:val="-24"/>
        <w:sz w:val="18"/>
        <w:szCs w:val="18"/>
      </w:rPr>
      <w:t xml:space="preserve"> </w:t>
    </w:r>
    <w:r w:rsidRPr="00B078AF">
      <w:rPr>
        <w:rFonts w:ascii="Segoe UI" w:hAnsi="Segoe UI" w:cs="Segoe UI"/>
        <w:sz w:val="18"/>
        <w:szCs w:val="18"/>
      </w:rPr>
      <w:t>7175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97" w:rsidRPr="003C5797" w:rsidRDefault="003C5797" w:rsidP="003C5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797" w:rsidRDefault="003C5797" w:rsidP="00B573E2">
      <w:r>
        <w:separator/>
      </w:r>
    </w:p>
  </w:footnote>
  <w:footnote w:type="continuationSeparator" w:id="0">
    <w:p w:rsidR="003C5797" w:rsidRDefault="003C5797" w:rsidP="00B57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3C5797" w:rsidTr="00B573E2">
      <w:trPr>
        <w:cantSplit/>
      </w:trPr>
      <w:tc>
        <w:tcPr>
          <w:tcW w:w="5210" w:type="dxa"/>
        </w:tcPr>
        <w:p w:rsidR="003C5797" w:rsidRDefault="003C5797" w:rsidP="00B573E2">
          <w:pPr>
            <w:pStyle w:val="Header"/>
          </w:pPr>
          <w:r>
            <w:rPr>
              <w:noProof/>
            </w:rPr>
            <w:drawing>
              <wp:inline distT="0" distB="0" distL="0" distR="0" wp14:anchorId="71E5A4DB" wp14:editId="11F260E5">
                <wp:extent cx="1395076" cy="573578"/>
                <wp:effectExtent l="0" t="0" r="0" b="0"/>
                <wp:docPr id="1" name="Picture 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3C5797" w:rsidRDefault="003C5797" w:rsidP="00B573E2">
          <w:pPr>
            <w:pStyle w:val="Header"/>
            <w:jc w:val="right"/>
          </w:pPr>
          <w:r>
            <w:rPr>
              <w:noProof/>
            </w:rPr>
            <w:drawing>
              <wp:inline distT="0" distB="0" distL="0" distR="0" wp14:anchorId="1A7BE412" wp14:editId="1DE946D4">
                <wp:extent cx="1720735" cy="177135"/>
                <wp:effectExtent l="0" t="0" r="0" b="0"/>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3C5797" w:rsidRDefault="003C57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3C5797" w:rsidTr="00B573E2">
      <w:trPr>
        <w:cantSplit/>
      </w:trPr>
      <w:tc>
        <w:tcPr>
          <w:tcW w:w="5210" w:type="dxa"/>
        </w:tcPr>
        <w:p w:rsidR="003C5797" w:rsidRDefault="003C5797" w:rsidP="00B573E2">
          <w:pPr>
            <w:pStyle w:val="Header"/>
          </w:pPr>
        </w:p>
      </w:tc>
      <w:tc>
        <w:tcPr>
          <w:tcW w:w="4429" w:type="dxa"/>
          <w:vAlign w:val="center"/>
        </w:tcPr>
        <w:p w:rsidR="003C5797" w:rsidRDefault="003C5797" w:rsidP="00B573E2">
          <w:pPr>
            <w:pStyle w:val="Header"/>
            <w:jc w:val="right"/>
          </w:pPr>
        </w:p>
      </w:tc>
    </w:tr>
  </w:tbl>
  <w:p w:rsidR="003C5797" w:rsidRDefault="003C5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D5B67"/>
    <w:multiLevelType w:val="hybridMultilevel"/>
    <w:tmpl w:val="A06AAC4C"/>
    <w:lvl w:ilvl="0" w:tplc="80303864">
      <w:start w:val="1"/>
      <w:numFmt w:val="bullet"/>
      <w:lvlText w:val="•"/>
      <w:lvlJc w:val="left"/>
      <w:pPr>
        <w:ind w:left="283" w:hanging="170"/>
      </w:pPr>
      <w:rPr>
        <w:rFonts w:ascii="Lucida Sans Unicode" w:eastAsia="Lucida Sans Unicode" w:hAnsi="Lucida Sans Unicode" w:hint="default"/>
        <w:w w:val="59"/>
        <w:sz w:val="20"/>
        <w:szCs w:val="20"/>
      </w:rPr>
    </w:lvl>
    <w:lvl w:ilvl="1" w:tplc="C06C8136">
      <w:start w:val="1"/>
      <w:numFmt w:val="bullet"/>
      <w:lvlText w:val="•"/>
      <w:lvlJc w:val="left"/>
      <w:pPr>
        <w:ind w:left="720" w:hanging="170"/>
      </w:pPr>
      <w:rPr>
        <w:rFonts w:hint="default"/>
      </w:rPr>
    </w:lvl>
    <w:lvl w:ilvl="2" w:tplc="995E4480">
      <w:start w:val="1"/>
      <w:numFmt w:val="bullet"/>
      <w:lvlText w:val="•"/>
      <w:lvlJc w:val="left"/>
      <w:pPr>
        <w:ind w:left="1156" w:hanging="170"/>
      </w:pPr>
      <w:rPr>
        <w:rFonts w:hint="default"/>
      </w:rPr>
    </w:lvl>
    <w:lvl w:ilvl="3" w:tplc="6DA2782E">
      <w:start w:val="1"/>
      <w:numFmt w:val="bullet"/>
      <w:lvlText w:val="•"/>
      <w:lvlJc w:val="left"/>
      <w:pPr>
        <w:ind w:left="1593" w:hanging="170"/>
      </w:pPr>
      <w:rPr>
        <w:rFonts w:hint="default"/>
      </w:rPr>
    </w:lvl>
    <w:lvl w:ilvl="4" w:tplc="1FC2B972">
      <w:start w:val="1"/>
      <w:numFmt w:val="bullet"/>
      <w:lvlText w:val="•"/>
      <w:lvlJc w:val="left"/>
      <w:pPr>
        <w:ind w:left="2030" w:hanging="170"/>
      </w:pPr>
      <w:rPr>
        <w:rFonts w:hint="default"/>
      </w:rPr>
    </w:lvl>
    <w:lvl w:ilvl="5" w:tplc="D3145432">
      <w:start w:val="1"/>
      <w:numFmt w:val="bullet"/>
      <w:lvlText w:val="•"/>
      <w:lvlJc w:val="left"/>
      <w:pPr>
        <w:ind w:left="2466" w:hanging="170"/>
      </w:pPr>
      <w:rPr>
        <w:rFonts w:hint="default"/>
      </w:rPr>
    </w:lvl>
    <w:lvl w:ilvl="6" w:tplc="7960C436">
      <w:start w:val="1"/>
      <w:numFmt w:val="bullet"/>
      <w:lvlText w:val="•"/>
      <w:lvlJc w:val="left"/>
      <w:pPr>
        <w:ind w:left="2903" w:hanging="170"/>
      </w:pPr>
      <w:rPr>
        <w:rFonts w:hint="default"/>
      </w:rPr>
    </w:lvl>
    <w:lvl w:ilvl="7" w:tplc="CA6C4D08">
      <w:start w:val="1"/>
      <w:numFmt w:val="bullet"/>
      <w:lvlText w:val="•"/>
      <w:lvlJc w:val="left"/>
      <w:pPr>
        <w:ind w:left="3339" w:hanging="170"/>
      </w:pPr>
      <w:rPr>
        <w:rFonts w:hint="default"/>
      </w:rPr>
    </w:lvl>
    <w:lvl w:ilvl="8" w:tplc="C15A13B4">
      <w:start w:val="1"/>
      <w:numFmt w:val="bullet"/>
      <w:lvlText w:val="•"/>
      <w:lvlJc w:val="left"/>
      <w:pPr>
        <w:ind w:left="3776" w:hanging="170"/>
      </w:pPr>
      <w:rPr>
        <w:rFonts w:hint="default"/>
      </w:rPr>
    </w:lvl>
  </w:abstractNum>
  <w:abstractNum w:abstractNumId="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25"/>
    <w:rsid w:val="00204B86"/>
    <w:rsid w:val="003A7420"/>
    <w:rsid w:val="003C5797"/>
    <w:rsid w:val="00A45B96"/>
    <w:rsid w:val="00B078AF"/>
    <w:rsid w:val="00B573E2"/>
    <w:rsid w:val="00D944E4"/>
    <w:rsid w:val="00E667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D251F2-8556-4E98-82ED-9ACB7BD4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3C5797"/>
    <w:pPr>
      <w:ind w:right="1083"/>
      <w:outlineLvl w:val="0"/>
    </w:pPr>
    <w:rPr>
      <w:rFonts w:ascii="Segoe UI" w:hAnsi="Segoe UI" w:cs="Segoe UI"/>
      <w:b/>
      <w:color w:val="0072BC"/>
      <w:sz w:val="44"/>
    </w:rPr>
  </w:style>
  <w:style w:type="paragraph" w:styleId="Heading2">
    <w:name w:val="heading 2"/>
    <w:next w:val="Normal"/>
    <w:link w:val="Heading2Char"/>
    <w:uiPriority w:val="9"/>
    <w:unhideWhenUsed/>
    <w:qFormat/>
    <w:rsid w:val="00204B86"/>
    <w:pPr>
      <w:spacing w:before="240"/>
      <w:outlineLvl w:val="1"/>
    </w:pPr>
    <w:rPr>
      <w:rFonts w:ascii="Segoe UI" w:eastAsia="Tahoma" w:hAnsi="Segoe UI"/>
      <w:b/>
      <w:bCs/>
      <w:color w:val="0072BC"/>
      <w:spacing w:val="-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573E2"/>
    <w:rPr>
      <w:rFonts w:ascii="Segoe UI" w:eastAsia="Lucida Sans Unicode" w:hAnsi="Segoe UI"/>
      <w:sz w:val="21"/>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B573E2"/>
    <w:pPr>
      <w:tabs>
        <w:tab w:val="center" w:pos="4513"/>
        <w:tab w:val="right" w:pos="9026"/>
      </w:tabs>
    </w:pPr>
  </w:style>
  <w:style w:type="character" w:customStyle="1" w:styleId="HeaderChar">
    <w:name w:val="Header Char"/>
    <w:basedOn w:val="DefaultParagraphFont"/>
    <w:link w:val="Header"/>
    <w:uiPriority w:val="99"/>
    <w:rsid w:val="00B573E2"/>
  </w:style>
  <w:style w:type="paragraph" w:styleId="Footer">
    <w:name w:val="footer"/>
    <w:basedOn w:val="Normal"/>
    <w:link w:val="FooterChar"/>
    <w:uiPriority w:val="99"/>
    <w:unhideWhenUsed/>
    <w:rsid w:val="00B573E2"/>
    <w:pPr>
      <w:tabs>
        <w:tab w:val="center" w:pos="4513"/>
        <w:tab w:val="right" w:pos="9026"/>
      </w:tabs>
    </w:pPr>
  </w:style>
  <w:style w:type="character" w:customStyle="1" w:styleId="FooterChar">
    <w:name w:val="Footer Char"/>
    <w:basedOn w:val="DefaultParagraphFont"/>
    <w:link w:val="Footer"/>
    <w:uiPriority w:val="99"/>
    <w:rsid w:val="00B573E2"/>
  </w:style>
  <w:style w:type="table" w:styleId="TableGrid">
    <w:name w:val="Table Grid"/>
    <w:basedOn w:val="TableNormal"/>
    <w:rsid w:val="00B573E2"/>
    <w:pPr>
      <w:widowControl/>
      <w:spacing w:line="264"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573E2"/>
    <w:pPr>
      <w:widowControl/>
      <w:numPr>
        <w:numId w:val="2"/>
      </w:numPr>
      <w:tabs>
        <w:tab w:val="clear" w:pos="284"/>
      </w:tabs>
      <w:spacing w:before="90"/>
    </w:pPr>
    <w:rPr>
      <w:rFonts w:ascii="Segoe UI" w:eastAsia="Times New Roman" w:hAnsi="Segoe UI" w:cs="Times New Roman"/>
      <w:sz w:val="21"/>
      <w:szCs w:val="20"/>
      <w:lang w:val="en-NZ" w:eastAsia="en-GB"/>
    </w:rPr>
  </w:style>
  <w:style w:type="character" w:customStyle="1" w:styleId="Heading2Char">
    <w:name w:val="Heading 2 Char"/>
    <w:basedOn w:val="DefaultParagraphFont"/>
    <w:link w:val="Heading2"/>
    <w:uiPriority w:val="9"/>
    <w:rsid w:val="00204B86"/>
    <w:rPr>
      <w:rFonts w:ascii="Segoe UI" w:eastAsia="Tahoma" w:hAnsi="Segoe UI"/>
      <w:b/>
      <w:bCs/>
      <w:color w:val="0072BC"/>
      <w:spacing w:val="-2"/>
      <w:sz w:val="28"/>
      <w:szCs w:val="24"/>
    </w:rPr>
  </w:style>
  <w:style w:type="character" w:styleId="Hyperlink">
    <w:name w:val="Hyperlink"/>
    <w:basedOn w:val="DefaultParagraphFont"/>
    <w:uiPriority w:val="99"/>
    <w:unhideWhenUsed/>
    <w:rsid w:val="00B078AF"/>
    <w:rPr>
      <w:color w:val="0072BC"/>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icinal_cannabis@health.govt.nz"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health.govt.nz/publication/medicinal-cannabis-scheme-consult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2B10C241</Template>
  <TotalTime>1</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Medicinal Cannabis Scheme Consultation: Short Guide</vt:lpstr>
    </vt:vector>
  </TitlesOfParts>
  <Company>Ministry of Health</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Medicinal Cannabis Scheme Consultation: Short Guide</dc:title>
  <dc:creator>Ministry of Health</dc:creator>
  <cp:lastModifiedBy>Ministry of Health</cp:lastModifiedBy>
  <cp:revision>3</cp:revision>
  <dcterms:created xsi:type="dcterms:W3CDTF">2019-07-19T01:22:00Z</dcterms:created>
  <dcterms:modified xsi:type="dcterms:W3CDTF">2019-07-19T01:23:00Z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2019-07-18T00:00:00Z</vt:filetime>
  </property>
</Properties>
</file>