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18074E" w14:textId="0A5B6388" w:rsidR="00753C53" w:rsidRDefault="00107A79" w:rsidP="00977232">
      <w:pPr>
        <w:jc w:val="center"/>
        <w:rPr>
          <w:sz w:val="40"/>
          <w:szCs w:val="40"/>
        </w:rPr>
      </w:pPr>
      <w:bookmarkStart w:id="0" w:name="_Toc40188067"/>
      <w:bookmarkStart w:id="1" w:name="_Toc50464485"/>
      <w:bookmarkStart w:id="2" w:name="_GoBack"/>
      <w:bookmarkEnd w:id="2"/>
      <w:r>
        <w:rPr>
          <w:noProof/>
          <w:sz w:val="40"/>
          <w:szCs w:val="40"/>
        </w:rPr>
        <w:drawing>
          <wp:anchor distT="0" distB="0" distL="114300" distR="114300" simplePos="0" relativeHeight="251659264" behindDoc="0" locked="0" layoutInCell="1" allowOverlap="1" wp14:anchorId="3D477E51" wp14:editId="55E14F4A">
            <wp:simplePos x="0" y="0"/>
            <wp:positionH relativeFrom="column">
              <wp:posOffset>-1449070</wp:posOffset>
            </wp:positionH>
            <wp:positionV relativeFrom="paragraph">
              <wp:posOffset>-181610</wp:posOffset>
            </wp:positionV>
            <wp:extent cx="7563485" cy="10697210"/>
            <wp:effectExtent l="0" t="0" r="0" b="8890"/>
            <wp:wrapNone/>
            <wp:docPr id="2" name="Picture 2" descr="COVID-19 Kia Kaha, Kia Maia, Kia Ora Aotearoa: Psychosocial and Mental Wellbeing Plan, revised edition -- December 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ver Pag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63485" cy="10697210"/>
                    </a:xfrm>
                    <a:prstGeom prst="rect">
                      <a:avLst/>
                    </a:prstGeom>
                  </pic:spPr>
                </pic:pic>
              </a:graphicData>
            </a:graphic>
            <wp14:sizeRelH relativeFrom="page">
              <wp14:pctWidth>0</wp14:pctWidth>
            </wp14:sizeRelH>
            <wp14:sizeRelV relativeFrom="page">
              <wp14:pctHeight>0</wp14:pctHeight>
            </wp14:sizeRelV>
          </wp:anchor>
        </w:drawing>
      </w:r>
      <w:r w:rsidR="00977232" w:rsidRPr="00977232">
        <w:rPr>
          <w:sz w:val="40"/>
          <w:szCs w:val="40"/>
        </w:rPr>
        <w:t>Kia Kaha, Kia Māia, Kia Ora Aotearoa: COVID</w:t>
      </w:r>
      <w:r w:rsidR="00977232" w:rsidRPr="00977232">
        <w:rPr>
          <w:sz w:val="40"/>
          <w:szCs w:val="40"/>
        </w:rPr>
        <w:noBreakHyphen/>
        <w:t>19 Psychosocial and Mental Wellbeing Plan</w:t>
      </w:r>
    </w:p>
    <w:p w14:paraId="049ECC25" w14:textId="68615058" w:rsidR="00977232" w:rsidRDefault="00977232" w:rsidP="00977232">
      <w:pPr>
        <w:jc w:val="center"/>
        <w:rPr>
          <w:sz w:val="40"/>
          <w:szCs w:val="40"/>
        </w:rPr>
      </w:pPr>
    </w:p>
    <w:p w14:paraId="093967EC" w14:textId="3BD058C9" w:rsidR="00753C53" w:rsidRDefault="00753C53" w:rsidP="00EA1397">
      <w:pPr>
        <w:rPr>
          <w:sz w:val="40"/>
          <w:szCs w:val="40"/>
        </w:rPr>
      </w:pPr>
      <w:r>
        <w:rPr>
          <w:sz w:val="40"/>
          <w:szCs w:val="40"/>
        </w:rPr>
        <w:t>[PLACEHOLDER FOR THE FRONT COVER]</w:t>
      </w:r>
    </w:p>
    <w:p w14:paraId="17674732" w14:textId="566D04EB" w:rsidR="00753C53" w:rsidRDefault="00753C53" w:rsidP="00EA1397">
      <w:pPr>
        <w:rPr>
          <w:sz w:val="40"/>
          <w:szCs w:val="40"/>
        </w:rPr>
      </w:pPr>
    </w:p>
    <w:p w14:paraId="0AE0DEA1" w14:textId="55CF3CC6" w:rsidR="00753C53" w:rsidRDefault="00753C53" w:rsidP="00EA1397">
      <w:pPr>
        <w:rPr>
          <w:sz w:val="40"/>
          <w:szCs w:val="40"/>
        </w:rPr>
      </w:pPr>
    </w:p>
    <w:p w14:paraId="225B27BF" w14:textId="77777777" w:rsidR="00753C53" w:rsidRDefault="00753C53" w:rsidP="00EA1397">
      <w:pPr>
        <w:rPr>
          <w:sz w:val="40"/>
          <w:szCs w:val="40"/>
        </w:rPr>
      </w:pPr>
    </w:p>
    <w:p w14:paraId="7AE44B81" w14:textId="77777777" w:rsidR="00753C53" w:rsidRDefault="00753C53" w:rsidP="00EA1397">
      <w:pPr>
        <w:rPr>
          <w:sz w:val="40"/>
          <w:szCs w:val="40"/>
        </w:rPr>
      </w:pPr>
    </w:p>
    <w:p w14:paraId="3EFBEE14" w14:textId="77777777" w:rsidR="00753C53" w:rsidRDefault="00753C53" w:rsidP="00EA1397">
      <w:pPr>
        <w:rPr>
          <w:sz w:val="40"/>
          <w:szCs w:val="40"/>
        </w:rPr>
      </w:pPr>
    </w:p>
    <w:p w14:paraId="50165EC3" w14:textId="77777777" w:rsidR="00753C53" w:rsidRDefault="00753C53" w:rsidP="00EA1397">
      <w:pPr>
        <w:rPr>
          <w:sz w:val="40"/>
          <w:szCs w:val="40"/>
        </w:rPr>
      </w:pPr>
    </w:p>
    <w:p w14:paraId="40A0CAE8" w14:textId="77777777" w:rsidR="00753C53" w:rsidRDefault="00753C53" w:rsidP="00EA1397">
      <w:pPr>
        <w:rPr>
          <w:sz w:val="40"/>
          <w:szCs w:val="40"/>
        </w:rPr>
      </w:pPr>
    </w:p>
    <w:p w14:paraId="3685D32F" w14:textId="77777777" w:rsidR="00753C53" w:rsidRDefault="00753C53" w:rsidP="00EA1397">
      <w:pPr>
        <w:rPr>
          <w:sz w:val="40"/>
          <w:szCs w:val="40"/>
        </w:rPr>
      </w:pPr>
    </w:p>
    <w:p w14:paraId="6D6369F4" w14:textId="77777777" w:rsidR="00753C53" w:rsidRDefault="00753C53" w:rsidP="00EA1397">
      <w:pPr>
        <w:rPr>
          <w:sz w:val="40"/>
          <w:szCs w:val="40"/>
        </w:rPr>
      </w:pPr>
    </w:p>
    <w:p w14:paraId="7557BA44" w14:textId="77777777" w:rsidR="00753C53" w:rsidRDefault="00753C53" w:rsidP="00EA1397">
      <w:pPr>
        <w:rPr>
          <w:sz w:val="40"/>
          <w:szCs w:val="40"/>
        </w:rPr>
      </w:pPr>
    </w:p>
    <w:p w14:paraId="0E260485" w14:textId="77777777" w:rsidR="00753C53" w:rsidRDefault="00753C53" w:rsidP="00EA1397">
      <w:pPr>
        <w:rPr>
          <w:sz w:val="40"/>
          <w:szCs w:val="40"/>
        </w:rPr>
      </w:pPr>
    </w:p>
    <w:p w14:paraId="4A0B0CFD" w14:textId="4191B6FE" w:rsidR="00753C53" w:rsidRDefault="00753C53" w:rsidP="00EA1397">
      <w:pPr>
        <w:rPr>
          <w:sz w:val="40"/>
          <w:szCs w:val="40"/>
        </w:rPr>
      </w:pPr>
      <w:r>
        <w:rPr>
          <w:sz w:val="40"/>
          <w:szCs w:val="40"/>
        </w:rPr>
        <w:br/>
      </w:r>
    </w:p>
    <w:p w14:paraId="42E70800" w14:textId="77777777" w:rsidR="00753C53" w:rsidRDefault="00753C53">
      <w:pPr>
        <w:rPr>
          <w:sz w:val="40"/>
          <w:szCs w:val="40"/>
        </w:rPr>
      </w:pPr>
      <w:r>
        <w:rPr>
          <w:sz w:val="40"/>
          <w:szCs w:val="40"/>
        </w:rPr>
        <w:br w:type="page"/>
      </w:r>
    </w:p>
    <w:p w14:paraId="23614A11" w14:textId="6C55C1AD" w:rsidR="00EA1397" w:rsidRDefault="00EA1397" w:rsidP="00EA1397">
      <w:pPr>
        <w:rPr>
          <w:rFonts w:ascii="Segoe UI Light" w:hAnsi="Segoe UI Light"/>
          <w:i/>
          <w:color w:val="365F91" w:themeColor="accent1" w:themeShade="BF"/>
          <w:sz w:val="40"/>
          <w:szCs w:val="40"/>
        </w:rPr>
      </w:pPr>
      <w:r>
        <w:rPr>
          <w:sz w:val="40"/>
          <w:szCs w:val="40"/>
        </w:rPr>
        <w:lastRenderedPageBreak/>
        <w:t>Kia Kaha, Kia Māia, Kia Ora Aotearoa –</w:t>
      </w:r>
      <w:r>
        <w:rPr>
          <w:sz w:val="40"/>
          <w:szCs w:val="40"/>
        </w:rPr>
        <w:br/>
      </w:r>
      <w:r>
        <w:rPr>
          <w:sz w:val="40"/>
          <w:szCs w:val="40"/>
        </w:rPr>
        <w:br/>
        <w:t>Through strength and endurance our wellbeing will prevail Aotearoa.</w:t>
      </w:r>
    </w:p>
    <w:p w14:paraId="666320FA" w14:textId="77777777" w:rsidR="00EA1397" w:rsidRDefault="00EA1397" w:rsidP="00EA1397">
      <w:pPr>
        <w:pStyle w:val="Imprint"/>
        <w:spacing w:before="1200"/>
        <w:rPr>
          <w:rFonts w:cs="Segoe UI"/>
        </w:rPr>
      </w:pPr>
      <w:r>
        <w:rPr>
          <w:rFonts w:cs="Segoe UI"/>
        </w:rPr>
        <w:t xml:space="preserve">Citation: Ministry of Health. 2020. </w:t>
      </w:r>
      <w:bookmarkStart w:id="3" w:name="_Hlk53588681"/>
      <w:r w:rsidRPr="00F17F1C">
        <w:rPr>
          <w:rFonts w:cs="Segoe UI"/>
          <w:i/>
        </w:rPr>
        <w:t>Kia Kaha, Kia Māia, Kia Ora Aotearoa: COVID</w:t>
      </w:r>
      <w:r w:rsidRPr="00F17F1C">
        <w:rPr>
          <w:rFonts w:cs="Segoe UI"/>
          <w:i/>
        </w:rPr>
        <w:noBreakHyphen/>
        <w:t>19 Psychosocial and Mental Wellbeing Plan</w:t>
      </w:r>
      <w:bookmarkEnd w:id="3"/>
      <w:r w:rsidRPr="00F17F1C">
        <w:rPr>
          <w:rFonts w:cs="Segoe UI"/>
        </w:rPr>
        <w:t>.</w:t>
      </w:r>
      <w:r>
        <w:rPr>
          <w:rFonts w:cs="Segoe UI"/>
        </w:rPr>
        <w:t xml:space="preserve"> Wellington: Ministry of Health.</w:t>
      </w:r>
    </w:p>
    <w:p w14:paraId="03F4F682" w14:textId="72998F74" w:rsidR="00EA1397" w:rsidRDefault="00EA1397" w:rsidP="00EA1397">
      <w:pPr>
        <w:pStyle w:val="Imprint"/>
      </w:pPr>
      <w:r>
        <w:t xml:space="preserve">Published in </w:t>
      </w:r>
      <w:r w:rsidR="00FD3279" w:rsidRPr="00915330">
        <w:t>December</w:t>
      </w:r>
      <w:r w:rsidR="00F843BE" w:rsidRPr="00915330">
        <w:t xml:space="preserve"> </w:t>
      </w:r>
      <w:r w:rsidRPr="00915330">
        <w:t>2020</w:t>
      </w:r>
      <w:r>
        <w:t xml:space="preserve"> by the Ministry of Health</w:t>
      </w:r>
      <w:r>
        <w:br/>
        <w:t>PO Box 5013, Wellington 6140, New Zealand</w:t>
      </w:r>
    </w:p>
    <w:p w14:paraId="67A18AFA" w14:textId="0CDCFEB5" w:rsidR="00EA1397" w:rsidRDefault="00EA1397" w:rsidP="00EA1397">
      <w:pPr>
        <w:pStyle w:val="Imprint"/>
      </w:pPr>
      <w:r w:rsidRPr="00915330">
        <w:t xml:space="preserve">ISBN </w:t>
      </w:r>
      <w:r w:rsidR="00915330" w:rsidRPr="00915330">
        <w:t xml:space="preserve">978-1-99-002974-5 </w:t>
      </w:r>
      <w:r w:rsidRPr="00915330">
        <w:t>(online)</w:t>
      </w:r>
      <w:r w:rsidRPr="00915330">
        <w:br/>
        <w:t xml:space="preserve">HP </w:t>
      </w:r>
      <w:r w:rsidR="00915330">
        <w:t>7543</w:t>
      </w:r>
    </w:p>
    <w:p w14:paraId="3B5D8A0A" w14:textId="32D61C56" w:rsidR="00EA1397" w:rsidRDefault="00EA1397" w:rsidP="00EA1397">
      <w:pPr>
        <w:spacing w:before="360"/>
      </w:pPr>
      <w:r>
        <w:rPr>
          <w:noProof/>
          <w:lang w:eastAsia="en-NZ"/>
        </w:rPr>
        <w:drawing>
          <wp:inline distT="0" distB="0" distL="0" distR="0" wp14:anchorId="4F38EACB" wp14:editId="6173CEEC">
            <wp:extent cx="1409700" cy="581025"/>
            <wp:effectExtent l="0" t="0" r="0" b="9525"/>
            <wp:docPr id="7" name="Picture 7" descr="Ministry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inistry of Health logo"/>
                    <pic:cNvPicPr>
                      <a:picLocks noChangeAspect="1" noChangeArrowheads="1"/>
                    </pic:cNvPicPr>
                  </pic:nvPicPr>
                  <pic:blipFill>
                    <a:blip r:embed="rId12" cstate="print">
                      <a:grayscl/>
                      <a:extLst>
                        <a:ext uri="{28A0092B-C50C-407E-A947-70E740481C1C}">
                          <a14:useLocalDpi xmlns:a14="http://schemas.microsoft.com/office/drawing/2010/main" val="0"/>
                        </a:ext>
                      </a:extLst>
                    </a:blip>
                    <a:srcRect/>
                    <a:stretch>
                      <a:fillRect/>
                    </a:stretch>
                  </pic:blipFill>
                  <pic:spPr bwMode="auto">
                    <a:xfrm>
                      <a:off x="0" y="0"/>
                      <a:ext cx="1409700" cy="581025"/>
                    </a:xfrm>
                    <a:prstGeom prst="rect">
                      <a:avLst/>
                    </a:prstGeom>
                    <a:noFill/>
                    <a:ln>
                      <a:noFill/>
                    </a:ln>
                  </pic:spPr>
                </pic:pic>
              </a:graphicData>
            </a:graphic>
          </wp:inline>
        </w:drawing>
      </w:r>
    </w:p>
    <w:p w14:paraId="0E8566B8" w14:textId="77777777" w:rsidR="00EA1397" w:rsidRDefault="00EA1397" w:rsidP="00EA1397">
      <w:pPr>
        <w:pStyle w:val="Imprint"/>
        <w:spacing w:before="240" w:after="480"/>
      </w:pPr>
      <w:r>
        <w:t>This document is available at health.govt.nz</w:t>
      </w:r>
    </w:p>
    <w:tbl>
      <w:tblPr>
        <w:tblW w:w="0" w:type="auto"/>
        <w:tblLayout w:type="fixed"/>
        <w:tblLook w:val="04A0" w:firstRow="1" w:lastRow="0" w:firstColumn="1" w:lastColumn="0" w:noHBand="0" w:noVBand="1"/>
      </w:tblPr>
      <w:tblGrid>
        <w:gridCol w:w="1526"/>
        <w:gridCol w:w="6061"/>
      </w:tblGrid>
      <w:tr w:rsidR="00EA1397" w14:paraId="466764CC" w14:textId="77777777" w:rsidTr="00EA1397">
        <w:trPr>
          <w:cantSplit/>
        </w:trPr>
        <w:tc>
          <w:tcPr>
            <w:tcW w:w="1526" w:type="dxa"/>
            <w:hideMark/>
          </w:tcPr>
          <w:p w14:paraId="2EC26674" w14:textId="10060D7D" w:rsidR="00EA1397" w:rsidRDefault="00EA1397">
            <w:pPr>
              <w:spacing w:before="240"/>
              <w:rPr>
                <w:rFonts w:cs="Segoe UI"/>
                <w:sz w:val="15"/>
                <w:szCs w:val="15"/>
              </w:rPr>
            </w:pPr>
            <w:r>
              <w:rPr>
                <w:rFonts w:cs="Segoe UI"/>
                <w:b/>
                <w:noProof/>
                <w:sz w:val="15"/>
                <w:szCs w:val="15"/>
                <w:lang w:eastAsia="en-NZ"/>
              </w:rPr>
              <w:drawing>
                <wp:inline distT="0" distB="0" distL="0" distR="0" wp14:anchorId="5594591E" wp14:editId="3FF408E5">
                  <wp:extent cx="809625" cy="285750"/>
                  <wp:effectExtent l="0" t="0" r="9525" b="0"/>
                  <wp:docPr id="6" name="Picture 6" descr="CC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CBY"/>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a:noFill/>
                          </a:ln>
                        </pic:spPr>
                      </pic:pic>
                    </a:graphicData>
                  </a:graphic>
                </wp:inline>
              </w:drawing>
            </w:r>
          </w:p>
        </w:tc>
        <w:tc>
          <w:tcPr>
            <w:tcW w:w="6061" w:type="dxa"/>
            <w:hideMark/>
          </w:tcPr>
          <w:p w14:paraId="72E14029" w14:textId="77777777" w:rsidR="00EA1397" w:rsidRDefault="00EA1397">
            <w:pPr>
              <w:rPr>
                <w:rFonts w:cs="Segoe UI"/>
                <w:sz w:val="15"/>
                <w:szCs w:val="15"/>
              </w:rPr>
            </w:pPr>
            <w:r>
              <w:rPr>
                <w:rFonts w:cs="Segoe UI"/>
                <w:sz w:val="15"/>
                <w:szCs w:val="15"/>
              </w:rPr>
              <w:t xml:space="preserve">This work is licensed under the Creative Commons Attribution 4.0 International licence. In essence, </w:t>
            </w:r>
            <w:r>
              <w:rPr>
                <w:rFonts w:cs="Segoe UI"/>
                <w:bCs/>
                <w:sz w:val="15"/>
                <w:szCs w:val="15"/>
              </w:rPr>
              <w:t xml:space="preserve">you are free to: </w:t>
            </w:r>
            <w:r>
              <w:rPr>
                <w:rFonts w:cs="Segoe UI"/>
                <w:sz w:val="15"/>
                <w:szCs w:val="15"/>
              </w:rPr>
              <w:t xml:space="preserve">share ie, copy and redistribute the material in any medium or format; adapt ie, remix, transform and build upon the material. </w:t>
            </w:r>
            <w:r>
              <w:rPr>
                <w:rFonts w:cs="Segoe UI"/>
                <w:bCs/>
                <w:sz w:val="15"/>
                <w:szCs w:val="15"/>
              </w:rPr>
              <w:t>You must give appropriate credit, provide a link to the licence and indicate if changes were made.</w:t>
            </w:r>
          </w:p>
        </w:tc>
      </w:tr>
    </w:tbl>
    <w:p w14:paraId="0792C25A" w14:textId="77777777" w:rsidR="00EA1397" w:rsidRDefault="00EA1397" w:rsidP="00EA1397">
      <w:pPr>
        <w:pStyle w:val="Imprint"/>
      </w:pPr>
    </w:p>
    <w:p w14:paraId="24369AD0" w14:textId="77777777" w:rsidR="00EA1397" w:rsidRDefault="00EA1397" w:rsidP="00EA1397">
      <w:pPr>
        <w:sectPr w:rsidR="00EA1397">
          <w:headerReference w:type="even" r:id="rId14"/>
          <w:headerReference w:type="default" r:id="rId15"/>
          <w:footerReference w:type="even" r:id="rId16"/>
          <w:footerReference w:type="default" r:id="rId17"/>
          <w:headerReference w:type="first" r:id="rId18"/>
          <w:endnotePr>
            <w:numFmt w:val="decimal"/>
          </w:endnotePr>
          <w:pgSz w:w="11907" w:h="16834"/>
          <w:pgMar w:top="0" w:right="2268" w:bottom="1134" w:left="2268" w:header="0" w:footer="0" w:gutter="0"/>
          <w:cols w:space="720"/>
          <w:vAlign w:val="bottom"/>
        </w:sectPr>
      </w:pPr>
    </w:p>
    <w:p w14:paraId="63ED64AA" w14:textId="77777777" w:rsidR="00EA1397" w:rsidRDefault="00EA1397" w:rsidP="00EA1397">
      <w:pPr>
        <w:pStyle w:val="Heading1"/>
      </w:pPr>
      <w:bookmarkStart w:id="4" w:name="_Toc56771679"/>
      <w:bookmarkStart w:id="5" w:name="_Toc56772980"/>
      <w:bookmarkStart w:id="6" w:name="_Toc59439386"/>
      <w:bookmarkStart w:id="7" w:name="_Hlk50456260"/>
      <w:r>
        <w:lastRenderedPageBreak/>
        <w:t>Deputy Director-General foreword</w:t>
      </w:r>
      <w:bookmarkEnd w:id="4"/>
      <w:bookmarkEnd w:id="5"/>
      <w:bookmarkEnd w:id="6"/>
    </w:p>
    <w:p w14:paraId="27DA46B2" w14:textId="77777777" w:rsidR="001F62D1" w:rsidRDefault="001F62D1" w:rsidP="001F62D1">
      <w:pPr>
        <w:rPr>
          <w:rFonts w:ascii="Calibri" w:hAnsi="Calibri"/>
          <w:sz w:val="22"/>
          <w:lang w:eastAsia="en-US"/>
        </w:rPr>
      </w:pPr>
      <w:r>
        <w:t>Kia ora koutou katoa</w:t>
      </w:r>
    </w:p>
    <w:p w14:paraId="37B35B5D" w14:textId="77777777" w:rsidR="0098524F" w:rsidRDefault="0098524F" w:rsidP="00EA1397"/>
    <w:p w14:paraId="253BA940" w14:textId="3DB8A9CA" w:rsidR="00EA1397" w:rsidRDefault="00FD16FA" w:rsidP="00EA1397">
      <w:r>
        <w:t>T</w:t>
      </w:r>
      <w:r w:rsidR="00EA1397">
        <w:t>he COVID</w:t>
      </w:r>
      <w:r w:rsidR="00EA1397">
        <w:noBreakHyphen/>
        <w:t xml:space="preserve">19 pandemic </w:t>
      </w:r>
      <w:r>
        <w:t xml:space="preserve">has </w:t>
      </w:r>
      <w:r w:rsidR="00EA1397">
        <w:t xml:space="preserve">changed the lives of many </w:t>
      </w:r>
      <w:r w:rsidR="006105D1">
        <w:t>people in Aotearoa</w:t>
      </w:r>
      <w:r w:rsidR="00ED613C">
        <w:t xml:space="preserve"> </w:t>
      </w:r>
      <w:r w:rsidR="006105D1">
        <w:t>New Zealand</w:t>
      </w:r>
      <w:r w:rsidR="00EA1397">
        <w:t xml:space="preserve">. </w:t>
      </w:r>
      <w:r w:rsidR="00D17AB5">
        <w:t>Throughout this time</w:t>
      </w:r>
      <w:r w:rsidR="005926EF">
        <w:t>,</w:t>
      </w:r>
      <w:r w:rsidR="00EA1397">
        <w:t xml:space="preserve"> </w:t>
      </w:r>
      <w:r w:rsidR="00A03BF9">
        <w:t xml:space="preserve">individuals, </w:t>
      </w:r>
      <w:r w:rsidR="00EA1397">
        <w:t xml:space="preserve">whānau and communities </w:t>
      </w:r>
      <w:r w:rsidR="005926EF">
        <w:t xml:space="preserve">have </w:t>
      </w:r>
      <w:r w:rsidR="00EA1397">
        <w:t>demonstrate</w:t>
      </w:r>
      <w:r w:rsidR="005926EF">
        <w:t>d</w:t>
      </w:r>
      <w:r w:rsidR="00EA1397">
        <w:t xml:space="preserve"> care and </w:t>
      </w:r>
      <w:r w:rsidR="00D67D45">
        <w:t>resilience</w:t>
      </w:r>
      <w:r w:rsidR="002441C2">
        <w:t xml:space="preserve"> in </w:t>
      </w:r>
      <w:r w:rsidR="00F4018F">
        <w:t>navigat</w:t>
      </w:r>
      <w:r w:rsidR="002441C2">
        <w:t>ing</w:t>
      </w:r>
      <w:r w:rsidR="00F4018F">
        <w:t xml:space="preserve"> the challenges</w:t>
      </w:r>
      <w:r w:rsidR="002441C2">
        <w:t xml:space="preserve"> of these unexpected events</w:t>
      </w:r>
      <w:r w:rsidR="00EA1397">
        <w:t>.</w:t>
      </w:r>
      <w:r w:rsidR="005678F6" w:rsidRPr="005678F6">
        <w:t xml:space="preserve"> </w:t>
      </w:r>
      <w:r w:rsidR="005678F6">
        <w:t xml:space="preserve">The </w:t>
      </w:r>
      <w:r w:rsidR="00D639DB">
        <w:t>many</w:t>
      </w:r>
      <w:r w:rsidR="00D639DB" w:rsidRPr="00D639DB">
        <w:t xml:space="preserve"> </w:t>
      </w:r>
      <w:r w:rsidR="00D639DB">
        <w:t xml:space="preserve">innovative </w:t>
      </w:r>
      <w:r w:rsidR="008A329B">
        <w:t xml:space="preserve">responses </w:t>
      </w:r>
      <w:r w:rsidR="00D639DB">
        <w:t>within communities</w:t>
      </w:r>
      <w:r w:rsidR="008A329B">
        <w:t xml:space="preserve"> </w:t>
      </w:r>
      <w:r w:rsidR="002441C2">
        <w:t xml:space="preserve">have </w:t>
      </w:r>
      <w:r w:rsidR="008A329B">
        <w:t>show</w:t>
      </w:r>
      <w:r w:rsidR="002441C2">
        <w:t>n</w:t>
      </w:r>
      <w:r w:rsidR="008A329B">
        <w:t xml:space="preserve"> our capacity </w:t>
      </w:r>
      <w:r w:rsidR="00E1672B">
        <w:t>for concerted, collective action</w:t>
      </w:r>
      <w:r w:rsidR="008A329B">
        <w:t>.</w:t>
      </w:r>
    </w:p>
    <w:p w14:paraId="7CD8B2DF" w14:textId="77777777" w:rsidR="00EA1397" w:rsidRDefault="00EA1397" w:rsidP="00EA1397"/>
    <w:p w14:paraId="2052FED0" w14:textId="12F01700" w:rsidR="00EA1397" w:rsidRDefault="00EA1397" w:rsidP="00EA1397">
      <w:r>
        <w:t xml:space="preserve">Supporting mental wellbeing is a vital part of this united response. </w:t>
      </w:r>
      <w:r>
        <w:rPr>
          <w:i/>
        </w:rPr>
        <w:t>Kia Kaha, Kia Māia, Kia Ora Aotearoa: COVID</w:t>
      </w:r>
      <w:r>
        <w:rPr>
          <w:i/>
        </w:rPr>
        <w:noBreakHyphen/>
        <w:t xml:space="preserve">19 Psychosocial and Mental Wellbeing Plan </w:t>
      </w:r>
      <w:r w:rsidR="00FE3AFE">
        <w:rPr>
          <w:i/>
        </w:rPr>
        <w:t xml:space="preserve">(Kia Kaha) </w:t>
      </w:r>
      <w:r>
        <w:t xml:space="preserve">provides a framework to guide collective efforts to support mental wellbeing across national, regional and local levels. </w:t>
      </w:r>
    </w:p>
    <w:p w14:paraId="2B063753" w14:textId="77777777" w:rsidR="00EA1397" w:rsidRDefault="00EA1397" w:rsidP="00EA1397"/>
    <w:p w14:paraId="288522C0" w14:textId="56497275" w:rsidR="00EA1397" w:rsidRDefault="00A361FC" w:rsidP="00EA1397">
      <w:r w:rsidRPr="00E26F51">
        <w:rPr>
          <w:i/>
        </w:rPr>
        <w:t>Kia</w:t>
      </w:r>
      <w:r w:rsidR="00FE3AFE" w:rsidRPr="00E26F51">
        <w:rPr>
          <w:i/>
        </w:rPr>
        <w:t xml:space="preserve"> Kaha</w:t>
      </w:r>
      <w:r>
        <w:t xml:space="preserve"> </w:t>
      </w:r>
      <w:r w:rsidR="00EA1397">
        <w:t>focus</w:t>
      </w:r>
      <w:r w:rsidR="00475834">
        <w:t>es</w:t>
      </w:r>
      <w:r w:rsidR="00EA1397">
        <w:t xml:space="preserve"> on the next </w:t>
      </w:r>
      <w:r w:rsidR="0012330A">
        <w:t>12</w:t>
      </w:r>
      <w:r w:rsidR="00322E23">
        <w:t xml:space="preserve"> to </w:t>
      </w:r>
      <w:r w:rsidR="0012330A">
        <w:t>18</w:t>
      </w:r>
      <w:r w:rsidR="00EA1397">
        <w:t xml:space="preserve"> months</w:t>
      </w:r>
      <w:r w:rsidR="00475834">
        <w:t xml:space="preserve"> and aims to support </w:t>
      </w:r>
      <w:r w:rsidR="00EB57B6">
        <w:t>individuals</w:t>
      </w:r>
      <w:r w:rsidR="007B31CB">
        <w:t>, whānau</w:t>
      </w:r>
      <w:r w:rsidR="00EB57B6">
        <w:t xml:space="preserve"> </w:t>
      </w:r>
      <w:r w:rsidR="00475834">
        <w:t>and communities to respond, recover, adapt and thrive in the context of COVID</w:t>
      </w:r>
      <w:r w:rsidR="00475834">
        <w:noBreakHyphen/>
        <w:t>19.</w:t>
      </w:r>
      <w:r w:rsidR="009F4D4B">
        <w:t xml:space="preserve"> </w:t>
      </w:r>
      <w:r w:rsidR="00475834">
        <w:t>It is a living document</w:t>
      </w:r>
      <w:r w:rsidR="00EA1397">
        <w:t xml:space="preserve"> and sits within </w:t>
      </w:r>
      <w:r w:rsidR="007B31CB">
        <w:t xml:space="preserve">the </w:t>
      </w:r>
      <w:r w:rsidR="00EA1397">
        <w:t xml:space="preserve">longer-term work to transform </w:t>
      </w:r>
      <w:r w:rsidR="00AA20C6">
        <w:t xml:space="preserve">New Zealand’s </w:t>
      </w:r>
      <w:r w:rsidR="00EA1397">
        <w:t xml:space="preserve">approach to mental health and </w:t>
      </w:r>
      <w:r w:rsidR="008E507E">
        <w:t>addiction</w:t>
      </w:r>
      <w:r w:rsidR="00EA1397">
        <w:t>, committed to in the Government</w:t>
      </w:r>
      <w:r w:rsidR="00802ADF">
        <w:t>’s</w:t>
      </w:r>
      <w:r w:rsidR="00EA1397">
        <w:t xml:space="preserve"> response to </w:t>
      </w:r>
      <w:r w:rsidR="00EA1397">
        <w:rPr>
          <w:i/>
        </w:rPr>
        <w:t>He Ara Oranga: Report of the Government Inquiry into Mental Health and Addiction</w:t>
      </w:r>
      <w:r w:rsidR="00EA1397">
        <w:t xml:space="preserve">. </w:t>
      </w:r>
    </w:p>
    <w:p w14:paraId="1692F10D" w14:textId="77777777" w:rsidR="00EA1397" w:rsidRDefault="00EA1397" w:rsidP="00EA1397"/>
    <w:p w14:paraId="1070415A" w14:textId="36352B0C" w:rsidR="004C552B" w:rsidRPr="006105D1" w:rsidRDefault="00D17AB5" w:rsidP="004C552B">
      <w:r>
        <w:t>I am</w:t>
      </w:r>
      <w:r w:rsidR="004C552B" w:rsidRPr="006105D1">
        <w:t xml:space="preserve"> grateful to the many people who took the time to offer </w:t>
      </w:r>
      <w:r w:rsidR="004C552B" w:rsidRPr="00870D96">
        <w:rPr>
          <w:lang w:val="en"/>
        </w:rPr>
        <w:t xml:space="preserve">feedback on previous iterations of </w:t>
      </w:r>
      <w:r w:rsidR="00FE3AFE" w:rsidRPr="00E26F51">
        <w:rPr>
          <w:i/>
          <w:lang w:val="en"/>
        </w:rPr>
        <w:t>Kia Kaha</w:t>
      </w:r>
      <w:r w:rsidR="004C552B" w:rsidRPr="00870D96">
        <w:rPr>
          <w:lang w:val="en"/>
        </w:rPr>
        <w:t xml:space="preserve">. </w:t>
      </w:r>
      <w:r w:rsidR="00744848">
        <w:t xml:space="preserve">Working </w:t>
      </w:r>
      <w:r w:rsidR="004C552B" w:rsidRPr="00870D96">
        <w:rPr>
          <w:lang w:val="en"/>
        </w:rPr>
        <w:t xml:space="preserve">together within a common framework is important, so it was pleasing that feedback strongly supported the overall approach, while also highlighting areas </w:t>
      </w:r>
      <w:r w:rsidR="00FE3AFE">
        <w:rPr>
          <w:lang w:val="en"/>
        </w:rPr>
        <w:t>that</w:t>
      </w:r>
      <w:r w:rsidR="004C552B" w:rsidRPr="00870D96">
        <w:rPr>
          <w:lang w:val="en"/>
        </w:rPr>
        <w:t xml:space="preserve"> could be strengthened. </w:t>
      </w:r>
    </w:p>
    <w:p w14:paraId="2074A487" w14:textId="77777777" w:rsidR="004C552B" w:rsidRDefault="004C552B" w:rsidP="00EA1397"/>
    <w:p w14:paraId="5F6EF7E8" w14:textId="04E961EE" w:rsidR="00F62118" w:rsidRDefault="00FE3AFE" w:rsidP="00F62118">
      <w:r w:rsidRPr="00E26F51">
        <w:rPr>
          <w:i/>
        </w:rPr>
        <w:t>Kia Kaha</w:t>
      </w:r>
      <w:r w:rsidR="00F62118">
        <w:t xml:space="preserve"> takes into account that</w:t>
      </w:r>
      <w:r w:rsidR="00EA1397">
        <w:t xml:space="preserve"> COVID-19 Alert Levels</w:t>
      </w:r>
      <w:r w:rsidR="004C552B">
        <w:t xml:space="preserve"> may continue to fluctuate</w:t>
      </w:r>
      <w:r w:rsidR="00F62118">
        <w:t xml:space="preserve"> and recognises </w:t>
      </w:r>
      <w:r w:rsidR="00322E23">
        <w:t xml:space="preserve">that </w:t>
      </w:r>
      <w:r w:rsidR="00F62118">
        <w:t>some groups</w:t>
      </w:r>
      <w:r w:rsidR="00742A3A">
        <w:t xml:space="preserve"> may be </w:t>
      </w:r>
      <w:r w:rsidR="003B4588">
        <w:t xml:space="preserve">more </w:t>
      </w:r>
      <w:r w:rsidR="00742A3A">
        <w:t>affected</w:t>
      </w:r>
      <w:r w:rsidR="001F158B">
        <w:t xml:space="preserve"> than others</w:t>
      </w:r>
      <w:r w:rsidR="00EA1397">
        <w:t xml:space="preserve">. </w:t>
      </w:r>
      <w:bookmarkStart w:id="8" w:name="_Hlk51838730"/>
      <w:r w:rsidR="00475834">
        <w:t>M</w:t>
      </w:r>
      <w:r w:rsidR="00F62118">
        <w:t xml:space="preserve">anaakitanga and </w:t>
      </w:r>
      <w:r w:rsidR="00F62118" w:rsidRPr="0017316A">
        <w:t>kotahitanga</w:t>
      </w:r>
      <w:r w:rsidR="00F62118">
        <w:t xml:space="preserve"> </w:t>
      </w:r>
      <w:bookmarkEnd w:id="8"/>
      <w:r w:rsidR="00F62118">
        <w:t xml:space="preserve">– </w:t>
      </w:r>
      <w:r w:rsidR="003A1DC5">
        <w:t xml:space="preserve">caring </w:t>
      </w:r>
      <w:r w:rsidR="00F62118">
        <w:t xml:space="preserve">and unity – </w:t>
      </w:r>
      <w:r w:rsidR="00234176">
        <w:t xml:space="preserve">will be important to ensuring </w:t>
      </w:r>
      <w:r w:rsidR="00F62118">
        <w:t>our collective efforts best support those most affected by the pandemic.</w:t>
      </w:r>
    </w:p>
    <w:p w14:paraId="656142BB" w14:textId="77777777" w:rsidR="006B43BD" w:rsidRDefault="006B43BD" w:rsidP="00EA1397"/>
    <w:p w14:paraId="7BFB6A07" w14:textId="5AB8CE37" w:rsidR="005C5753" w:rsidRDefault="00FE3AFE" w:rsidP="00EA1397">
      <w:pPr>
        <w:rPr>
          <w:spacing w:val="-2"/>
        </w:rPr>
      </w:pPr>
      <w:r w:rsidRPr="00E26F51">
        <w:rPr>
          <w:i/>
        </w:rPr>
        <w:t>Kia Kaha</w:t>
      </w:r>
      <w:r w:rsidR="00BC5BD0">
        <w:t xml:space="preserve"> includes e</w:t>
      </w:r>
      <w:r w:rsidR="00EA1397">
        <w:t xml:space="preserve">xamples of </w:t>
      </w:r>
      <w:r w:rsidR="00BC5BD0">
        <w:t>progress</w:t>
      </w:r>
      <w:r w:rsidR="00EA1397">
        <w:t xml:space="preserve">, </w:t>
      </w:r>
      <w:r w:rsidR="00391E5F">
        <w:t xml:space="preserve">along </w:t>
      </w:r>
      <w:r w:rsidR="00EA1397">
        <w:t xml:space="preserve">with </w:t>
      </w:r>
      <w:r w:rsidR="006B43BD">
        <w:t xml:space="preserve">priority actions </w:t>
      </w:r>
      <w:r w:rsidR="007B31CB">
        <w:t xml:space="preserve">for government </w:t>
      </w:r>
      <w:r w:rsidR="006105D1">
        <w:t>to support mental wellbeing</w:t>
      </w:r>
      <w:r w:rsidR="00744F87">
        <w:t xml:space="preserve">. </w:t>
      </w:r>
      <w:r w:rsidR="00EA1397">
        <w:rPr>
          <w:spacing w:val="-2"/>
        </w:rPr>
        <w:t xml:space="preserve">Importantly, many influences on health and wellbeing lie at the local level, both within and outside of the health sector. I encourage all organisations that </w:t>
      </w:r>
      <w:r w:rsidR="006105D1">
        <w:rPr>
          <w:spacing w:val="-2"/>
        </w:rPr>
        <w:t xml:space="preserve">play </w:t>
      </w:r>
      <w:r w:rsidR="008E507E">
        <w:rPr>
          <w:spacing w:val="-2"/>
        </w:rPr>
        <w:t xml:space="preserve">a </w:t>
      </w:r>
      <w:r w:rsidR="006105D1">
        <w:rPr>
          <w:spacing w:val="-2"/>
        </w:rPr>
        <w:t xml:space="preserve">part in improving </w:t>
      </w:r>
      <w:r w:rsidR="00EA1397">
        <w:rPr>
          <w:spacing w:val="-2"/>
        </w:rPr>
        <w:t xml:space="preserve">mental wellbeing to utilise this framework, collaborate and share </w:t>
      </w:r>
      <w:r w:rsidR="00744F87">
        <w:rPr>
          <w:spacing w:val="-2"/>
        </w:rPr>
        <w:t>information</w:t>
      </w:r>
      <w:r w:rsidR="006F00CE">
        <w:rPr>
          <w:spacing w:val="-2"/>
        </w:rPr>
        <w:t xml:space="preserve">. </w:t>
      </w:r>
    </w:p>
    <w:p w14:paraId="2217A435" w14:textId="77777777" w:rsidR="001570E8" w:rsidRDefault="001570E8" w:rsidP="00EA1397"/>
    <w:p w14:paraId="10938474" w14:textId="00845C2C" w:rsidR="00EA1397" w:rsidRDefault="00EA1397" w:rsidP="00EA1397">
      <w:r>
        <w:t xml:space="preserve">Together we can ensure </w:t>
      </w:r>
      <w:r w:rsidR="006D2AA9">
        <w:t xml:space="preserve">whānau </w:t>
      </w:r>
      <w:r>
        <w:t xml:space="preserve">get the support they need, and communities are able to build resilience for all people, especially those most </w:t>
      </w:r>
      <w:r w:rsidR="004A00F9">
        <w:t>affected</w:t>
      </w:r>
      <w:r>
        <w:t xml:space="preserve"> by COVID-19.</w:t>
      </w:r>
      <w:r w:rsidR="002F1792">
        <w:t xml:space="preserve"> </w:t>
      </w:r>
    </w:p>
    <w:p w14:paraId="064D08DF" w14:textId="77777777" w:rsidR="00EA1397" w:rsidRDefault="00EA1397" w:rsidP="00EA1397"/>
    <w:p w14:paraId="26F39216" w14:textId="77777777" w:rsidR="001F62D1" w:rsidRDefault="001F62D1" w:rsidP="001F62D1">
      <w:pPr>
        <w:rPr>
          <w:rFonts w:ascii="Calibri" w:hAnsi="Calibri"/>
          <w:sz w:val="22"/>
          <w:lang w:eastAsia="en-US"/>
        </w:rPr>
      </w:pPr>
      <w:r>
        <w:t>Ngā mihi</w:t>
      </w:r>
    </w:p>
    <w:p w14:paraId="74DC00C2" w14:textId="7D378DEF" w:rsidR="0098524F" w:rsidRDefault="00334191" w:rsidP="00EA1397">
      <w:r>
        <w:rPr>
          <w:noProof/>
        </w:rPr>
        <w:drawing>
          <wp:inline distT="0" distB="0" distL="0" distR="0" wp14:anchorId="574D096D" wp14:editId="3FABA6CB">
            <wp:extent cx="1114581" cy="609685"/>
            <wp:effectExtent l="0" t="0" r="9525"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oni E Sig.PNG"/>
                    <pic:cNvPicPr/>
                  </pic:nvPicPr>
                  <pic:blipFill>
                    <a:blip r:embed="rId19">
                      <a:extLst>
                        <a:ext uri="{28A0092B-C50C-407E-A947-70E740481C1C}">
                          <a14:useLocalDpi xmlns:a14="http://schemas.microsoft.com/office/drawing/2010/main" val="0"/>
                        </a:ext>
                      </a:extLst>
                    </a:blip>
                    <a:stretch>
                      <a:fillRect/>
                    </a:stretch>
                  </pic:blipFill>
                  <pic:spPr>
                    <a:xfrm>
                      <a:off x="0" y="0"/>
                      <a:ext cx="1114581" cy="609685"/>
                    </a:xfrm>
                    <a:prstGeom prst="rect">
                      <a:avLst/>
                    </a:prstGeom>
                  </pic:spPr>
                </pic:pic>
              </a:graphicData>
            </a:graphic>
          </wp:inline>
        </w:drawing>
      </w:r>
    </w:p>
    <w:p w14:paraId="7D9ADC18" w14:textId="77777777" w:rsidR="00087B14" w:rsidRDefault="00087B14" w:rsidP="00EA1397"/>
    <w:p w14:paraId="5970B9A8" w14:textId="65A1002E" w:rsidR="00EA1397" w:rsidRPr="00AC207F" w:rsidRDefault="002677B3" w:rsidP="00EA1397">
      <w:pPr>
        <w:rPr>
          <w:b/>
          <w:bCs/>
        </w:rPr>
      </w:pPr>
      <w:r>
        <w:rPr>
          <w:b/>
          <w:bCs/>
        </w:rPr>
        <w:t>Toni Gutschlag</w:t>
      </w:r>
    </w:p>
    <w:p w14:paraId="19234737" w14:textId="3F821A16" w:rsidR="00EA1397" w:rsidRDefault="00EA1397" w:rsidP="00EA1397">
      <w:r>
        <w:t>Deputy Director-General</w:t>
      </w:r>
      <w:r w:rsidR="007B31CB">
        <w:t xml:space="preserve">, </w:t>
      </w:r>
      <w:r>
        <w:t>Mental Health and Addiction Directorate</w:t>
      </w:r>
    </w:p>
    <w:p w14:paraId="32392DB3" w14:textId="458E78F1" w:rsidR="007B31CB" w:rsidRDefault="007B31CB" w:rsidP="00EA1397">
      <w:r>
        <w:t>Ministry of Health</w:t>
      </w:r>
    </w:p>
    <w:p w14:paraId="2FBE7348" w14:textId="77777777" w:rsidR="004D299E" w:rsidRDefault="004D299E" w:rsidP="004D299E">
      <w:pPr>
        <w:pStyle w:val="IntroHead"/>
      </w:pPr>
      <w:bookmarkStart w:id="9" w:name="_Toc405793224"/>
      <w:bookmarkStart w:id="10" w:name="_Toc405792991"/>
      <w:bookmarkStart w:id="11" w:name="_Toc50464479"/>
      <w:bookmarkStart w:id="12" w:name="_Hlk49958197"/>
      <w:bookmarkEnd w:id="7"/>
      <w:r>
        <w:t>Contents</w:t>
      </w:r>
      <w:bookmarkEnd w:id="9"/>
      <w:bookmarkEnd w:id="10"/>
    </w:p>
    <w:p w14:paraId="37559CB1" w14:textId="4264DFAA" w:rsidR="00E4554E" w:rsidRDefault="004D299E">
      <w:pPr>
        <w:pStyle w:val="TOC1"/>
        <w:rPr>
          <w:rFonts w:asciiTheme="minorHAnsi" w:eastAsiaTheme="minorEastAsia" w:hAnsiTheme="minorHAnsi" w:cstheme="minorBidi"/>
          <w:noProof/>
          <w:sz w:val="22"/>
          <w:szCs w:val="22"/>
          <w:lang w:eastAsia="en-NZ"/>
        </w:rPr>
      </w:pPr>
      <w:r>
        <w:rPr>
          <w:b/>
        </w:rPr>
        <w:fldChar w:fldCharType="begin"/>
      </w:r>
      <w:r>
        <w:rPr>
          <w:b/>
        </w:rPr>
        <w:instrText xml:space="preserve"> TOC \o "1-2" \h \z </w:instrText>
      </w:r>
      <w:r>
        <w:rPr>
          <w:b/>
        </w:rPr>
        <w:fldChar w:fldCharType="separate"/>
      </w:r>
      <w:hyperlink w:anchor="_Toc59439386" w:history="1">
        <w:r w:rsidR="00E4554E" w:rsidRPr="004406EC">
          <w:rPr>
            <w:rStyle w:val="Hyperlink"/>
            <w:noProof/>
          </w:rPr>
          <w:t>Deputy Director-General foreword</w:t>
        </w:r>
        <w:r w:rsidR="00E4554E">
          <w:rPr>
            <w:noProof/>
            <w:webHidden/>
          </w:rPr>
          <w:tab/>
        </w:r>
        <w:r w:rsidR="00E4554E">
          <w:rPr>
            <w:noProof/>
            <w:webHidden/>
          </w:rPr>
          <w:fldChar w:fldCharType="begin"/>
        </w:r>
        <w:r w:rsidR="00E4554E">
          <w:rPr>
            <w:noProof/>
            <w:webHidden/>
          </w:rPr>
          <w:instrText xml:space="preserve"> PAGEREF _Toc59439386 \h </w:instrText>
        </w:r>
        <w:r w:rsidR="00E4554E">
          <w:rPr>
            <w:noProof/>
            <w:webHidden/>
          </w:rPr>
        </w:r>
        <w:r w:rsidR="00E4554E">
          <w:rPr>
            <w:noProof/>
            <w:webHidden/>
          </w:rPr>
          <w:fldChar w:fldCharType="separate"/>
        </w:r>
        <w:r w:rsidR="008D62C5">
          <w:rPr>
            <w:noProof/>
            <w:webHidden/>
          </w:rPr>
          <w:t>1</w:t>
        </w:r>
        <w:r w:rsidR="00E4554E">
          <w:rPr>
            <w:noProof/>
            <w:webHidden/>
          </w:rPr>
          <w:fldChar w:fldCharType="end"/>
        </w:r>
      </w:hyperlink>
    </w:p>
    <w:p w14:paraId="6A68FC41" w14:textId="5DFDCEBB" w:rsidR="00E4554E" w:rsidRDefault="008B32B0">
      <w:pPr>
        <w:pStyle w:val="TOC1"/>
        <w:rPr>
          <w:rFonts w:asciiTheme="minorHAnsi" w:eastAsiaTheme="minorEastAsia" w:hAnsiTheme="minorHAnsi" w:cstheme="minorBidi"/>
          <w:noProof/>
          <w:sz w:val="22"/>
          <w:szCs w:val="22"/>
          <w:lang w:eastAsia="en-NZ"/>
        </w:rPr>
      </w:pPr>
      <w:hyperlink w:anchor="_Toc59439387" w:history="1">
        <w:r w:rsidR="00E4554E" w:rsidRPr="004406EC">
          <w:rPr>
            <w:rStyle w:val="Hyperlink"/>
            <w:noProof/>
          </w:rPr>
          <w:t>About this plan</w:t>
        </w:r>
        <w:r w:rsidR="00E4554E">
          <w:rPr>
            <w:noProof/>
            <w:webHidden/>
          </w:rPr>
          <w:tab/>
        </w:r>
        <w:r w:rsidR="00E4554E">
          <w:rPr>
            <w:noProof/>
            <w:webHidden/>
          </w:rPr>
          <w:fldChar w:fldCharType="begin"/>
        </w:r>
        <w:r w:rsidR="00E4554E">
          <w:rPr>
            <w:noProof/>
            <w:webHidden/>
          </w:rPr>
          <w:instrText xml:space="preserve"> PAGEREF _Toc59439387 \h </w:instrText>
        </w:r>
        <w:r w:rsidR="00E4554E">
          <w:rPr>
            <w:noProof/>
            <w:webHidden/>
          </w:rPr>
        </w:r>
        <w:r w:rsidR="00E4554E">
          <w:rPr>
            <w:noProof/>
            <w:webHidden/>
          </w:rPr>
          <w:fldChar w:fldCharType="separate"/>
        </w:r>
        <w:r w:rsidR="008D62C5">
          <w:rPr>
            <w:noProof/>
            <w:webHidden/>
          </w:rPr>
          <w:t>3</w:t>
        </w:r>
        <w:r w:rsidR="00E4554E">
          <w:rPr>
            <w:noProof/>
            <w:webHidden/>
          </w:rPr>
          <w:fldChar w:fldCharType="end"/>
        </w:r>
      </w:hyperlink>
    </w:p>
    <w:p w14:paraId="58A22E2A" w14:textId="6AF88D66" w:rsidR="00E4554E" w:rsidRDefault="008B32B0">
      <w:pPr>
        <w:pStyle w:val="TOC1"/>
        <w:rPr>
          <w:rFonts w:asciiTheme="minorHAnsi" w:eastAsiaTheme="minorEastAsia" w:hAnsiTheme="minorHAnsi" w:cstheme="minorBidi"/>
          <w:noProof/>
          <w:sz w:val="22"/>
          <w:szCs w:val="22"/>
          <w:lang w:eastAsia="en-NZ"/>
        </w:rPr>
      </w:pPr>
      <w:hyperlink w:anchor="_Toc59439388" w:history="1">
        <w:r w:rsidR="00E4554E" w:rsidRPr="004406EC">
          <w:rPr>
            <w:rStyle w:val="Hyperlink"/>
            <w:noProof/>
          </w:rPr>
          <w:t>Mental wellbeing framework</w:t>
        </w:r>
        <w:r w:rsidR="00E4554E">
          <w:rPr>
            <w:noProof/>
            <w:webHidden/>
          </w:rPr>
          <w:tab/>
        </w:r>
        <w:r w:rsidR="00E4554E">
          <w:rPr>
            <w:noProof/>
            <w:webHidden/>
          </w:rPr>
          <w:fldChar w:fldCharType="begin"/>
        </w:r>
        <w:r w:rsidR="00E4554E">
          <w:rPr>
            <w:noProof/>
            <w:webHidden/>
          </w:rPr>
          <w:instrText xml:space="preserve"> PAGEREF _Toc59439388 \h </w:instrText>
        </w:r>
        <w:r w:rsidR="00E4554E">
          <w:rPr>
            <w:noProof/>
            <w:webHidden/>
          </w:rPr>
        </w:r>
        <w:r w:rsidR="00E4554E">
          <w:rPr>
            <w:noProof/>
            <w:webHidden/>
          </w:rPr>
          <w:fldChar w:fldCharType="separate"/>
        </w:r>
        <w:r w:rsidR="008D62C5">
          <w:rPr>
            <w:noProof/>
            <w:webHidden/>
          </w:rPr>
          <w:t>6</w:t>
        </w:r>
        <w:r w:rsidR="00E4554E">
          <w:rPr>
            <w:noProof/>
            <w:webHidden/>
          </w:rPr>
          <w:fldChar w:fldCharType="end"/>
        </w:r>
      </w:hyperlink>
    </w:p>
    <w:p w14:paraId="60D1F851" w14:textId="55BE0361" w:rsidR="00E4554E" w:rsidRDefault="008B32B0">
      <w:pPr>
        <w:pStyle w:val="TOC2"/>
        <w:rPr>
          <w:rFonts w:asciiTheme="minorHAnsi" w:eastAsiaTheme="minorEastAsia" w:hAnsiTheme="minorHAnsi" w:cstheme="minorBidi"/>
          <w:noProof/>
          <w:sz w:val="22"/>
          <w:szCs w:val="22"/>
          <w:lang w:eastAsia="en-NZ"/>
        </w:rPr>
      </w:pPr>
      <w:hyperlink w:anchor="_Toc59439389" w:history="1">
        <w:r w:rsidR="00E4554E" w:rsidRPr="004406EC">
          <w:rPr>
            <w:rStyle w:val="Hyperlink"/>
            <w:noProof/>
          </w:rPr>
          <w:t>Our vision: achieving pae ora</w:t>
        </w:r>
        <w:r w:rsidR="00E4554E">
          <w:rPr>
            <w:noProof/>
            <w:webHidden/>
          </w:rPr>
          <w:tab/>
        </w:r>
        <w:r w:rsidR="00E4554E">
          <w:rPr>
            <w:noProof/>
            <w:webHidden/>
          </w:rPr>
          <w:fldChar w:fldCharType="begin"/>
        </w:r>
        <w:r w:rsidR="00E4554E">
          <w:rPr>
            <w:noProof/>
            <w:webHidden/>
          </w:rPr>
          <w:instrText xml:space="preserve"> PAGEREF _Toc59439389 \h </w:instrText>
        </w:r>
        <w:r w:rsidR="00E4554E">
          <w:rPr>
            <w:noProof/>
            <w:webHidden/>
          </w:rPr>
        </w:r>
        <w:r w:rsidR="00E4554E">
          <w:rPr>
            <w:noProof/>
            <w:webHidden/>
          </w:rPr>
          <w:fldChar w:fldCharType="separate"/>
        </w:r>
        <w:r w:rsidR="008D62C5">
          <w:rPr>
            <w:noProof/>
            <w:webHidden/>
          </w:rPr>
          <w:t>6</w:t>
        </w:r>
        <w:r w:rsidR="00E4554E">
          <w:rPr>
            <w:noProof/>
            <w:webHidden/>
          </w:rPr>
          <w:fldChar w:fldCharType="end"/>
        </w:r>
      </w:hyperlink>
    </w:p>
    <w:p w14:paraId="72302D50" w14:textId="5EF921F5" w:rsidR="00E4554E" w:rsidRDefault="008B32B0">
      <w:pPr>
        <w:pStyle w:val="TOC1"/>
        <w:rPr>
          <w:rFonts w:asciiTheme="minorHAnsi" w:eastAsiaTheme="minorEastAsia" w:hAnsiTheme="minorHAnsi" w:cstheme="minorBidi"/>
          <w:noProof/>
          <w:sz w:val="22"/>
          <w:szCs w:val="22"/>
          <w:lang w:eastAsia="en-NZ"/>
        </w:rPr>
      </w:pPr>
      <w:hyperlink w:anchor="_Toc59439390" w:history="1">
        <w:r w:rsidR="00E4554E" w:rsidRPr="004406EC">
          <w:rPr>
            <w:rStyle w:val="Hyperlink"/>
            <w:rFonts w:eastAsia="MS Gothic"/>
            <w:noProof/>
          </w:rPr>
          <w:t>Guiding principles</w:t>
        </w:r>
        <w:r w:rsidR="00E4554E">
          <w:rPr>
            <w:noProof/>
            <w:webHidden/>
          </w:rPr>
          <w:tab/>
        </w:r>
        <w:r w:rsidR="00E4554E">
          <w:rPr>
            <w:noProof/>
            <w:webHidden/>
          </w:rPr>
          <w:fldChar w:fldCharType="begin"/>
        </w:r>
        <w:r w:rsidR="00E4554E">
          <w:rPr>
            <w:noProof/>
            <w:webHidden/>
          </w:rPr>
          <w:instrText xml:space="preserve"> PAGEREF _Toc59439390 \h </w:instrText>
        </w:r>
        <w:r w:rsidR="00E4554E">
          <w:rPr>
            <w:noProof/>
            <w:webHidden/>
          </w:rPr>
        </w:r>
        <w:r w:rsidR="00E4554E">
          <w:rPr>
            <w:noProof/>
            <w:webHidden/>
          </w:rPr>
          <w:fldChar w:fldCharType="separate"/>
        </w:r>
        <w:r w:rsidR="008D62C5">
          <w:rPr>
            <w:noProof/>
            <w:webHidden/>
          </w:rPr>
          <w:t>8</w:t>
        </w:r>
        <w:r w:rsidR="00E4554E">
          <w:rPr>
            <w:noProof/>
            <w:webHidden/>
          </w:rPr>
          <w:fldChar w:fldCharType="end"/>
        </w:r>
      </w:hyperlink>
    </w:p>
    <w:p w14:paraId="3D4759DD" w14:textId="78F60190" w:rsidR="00E4554E" w:rsidRDefault="008B32B0">
      <w:pPr>
        <w:pStyle w:val="TOC2"/>
        <w:rPr>
          <w:rFonts w:asciiTheme="minorHAnsi" w:eastAsiaTheme="minorEastAsia" w:hAnsiTheme="minorHAnsi" w:cstheme="minorBidi"/>
          <w:noProof/>
          <w:sz w:val="22"/>
          <w:szCs w:val="22"/>
          <w:lang w:eastAsia="en-NZ"/>
        </w:rPr>
      </w:pPr>
      <w:hyperlink w:anchor="_Toc59439391" w:history="1">
        <w:r w:rsidR="00E4554E" w:rsidRPr="004406EC">
          <w:rPr>
            <w:rStyle w:val="Hyperlink"/>
            <w:noProof/>
          </w:rPr>
          <w:t>Principle 1:</w:t>
        </w:r>
        <w:r w:rsidR="00E4554E">
          <w:rPr>
            <w:noProof/>
            <w:webHidden/>
          </w:rPr>
          <w:tab/>
        </w:r>
        <w:r w:rsidR="00E4554E">
          <w:rPr>
            <w:noProof/>
            <w:webHidden/>
          </w:rPr>
          <w:fldChar w:fldCharType="begin"/>
        </w:r>
        <w:r w:rsidR="00E4554E">
          <w:rPr>
            <w:noProof/>
            <w:webHidden/>
          </w:rPr>
          <w:instrText xml:space="preserve"> PAGEREF _Toc59439391 \h </w:instrText>
        </w:r>
        <w:r w:rsidR="00E4554E">
          <w:rPr>
            <w:noProof/>
            <w:webHidden/>
          </w:rPr>
        </w:r>
        <w:r w:rsidR="00E4554E">
          <w:rPr>
            <w:noProof/>
            <w:webHidden/>
          </w:rPr>
          <w:fldChar w:fldCharType="separate"/>
        </w:r>
        <w:r w:rsidR="008D62C5">
          <w:rPr>
            <w:noProof/>
            <w:webHidden/>
          </w:rPr>
          <w:t>8</w:t>
        </w:r>
        <w:r w:rsidR="00E4554E">
          <w:rPr>
            <w:noProof/>
            <w:webHidden/>
          </w:rPr>
          <w:fldChar w:fldCharType="end"/>
        </w:r>
      </w:hyperlink>
    </w:p>
    <w:p w14:paraId="754F3A3D" w14:textId="70389EF0" w:rsidR="00E4554E" w:rsidRDefault="008B32B0">
      <w:pPr>
        <w:pStyle w:val="TOC2"/>
        <w:rPr>
          <w:rFonts w:asciiTheme="minorHAnsi" w:eastAsiaTheme="minorEastAsia" w:hAnsiTheme="minorHAnsi" w:cstheme="minorBidi"/>
          <w:noProof/>
          <w:sz w:val="22"/>
          <w:szCs w:val="22"/>
          <w:lang w:eastAsia="en-NZ"/>
        </w:rPr>
      </w:pPr>
      <w:hyperlink w:anchor="_Toc59439392" w:history="1">
        <w:r w:rsidR="00E4554E" w:rsidRPr="004406EC">
          <w:rPr>
            <w:rStyle w:val="Hyperlink"/>
            <w:noProof/>
          </w:rPr>
          <w:t>Uphold Te Tiriti o Waitangi</w:t>
        </w:r>
        <w:r w:rsidR="00E4554E">
          <w:rPr>
            <w:noProof/>
            <w:webHidden/>
          </w:rPr>
          <w:tab/>
        </w:r>
        <w:r w:rsidR="00E4554E">
          <w:rPr>
            <w:noProof/>
            <w:webHidden/>
          </w:rPr>
          <w:fldChar w:fldCharType="begin"/>
        </w:r>
        <w:r w:rsidR="00E4554E">
          <w:rPr>
            <w:noProof/>
            <w:webHidden/>
          </w:rPr>
          <w:instrText xml:space="preserve"> PAGEREF _Toc59439392 \h </w:instrText>
        </w:r>
        <w:r w:rsidR="00E4554E">
          <w:rPr>
            <w:noProof/>
            <w:webHidden/>
          </w:rPr>
        </w:r>
        <w:r w:rsidR="00E4554E">
          <w:rPr>
            <w:noProof/>
            <w:webHidden/>
          </w:rPr>
          <w:fldChar w:fldCharType="separate"/>
        </w:r>
        <w:r w:rsidR="008D62C5">
          <w:rPr>
            <w:noProof/>
            <w:webHidden/>
          </w:rPr>
          <w:t>8</w:t>
        </w:r>
        <w:r w:rsidR="00E4554E">
          <w:rPr>
            <w:noProof/>
            <w:webHidden/>
          </w:rPr>
          <w:fldChar w:fldCharType="end"/>
        </w:r>
      </w:hyperlink>
    </w:p>
    <w:p w14:paraId="7B7A36E2" w14:textId="0A144963" w:rsidR="00E4554E" w:rsidRDefault="008B32B0">
      <w:pPr>
        <w:pStyle w:val="TOC2"/>
        <w:rPr>
          <w:rFonts w:asciiTheme="minorHAnsi" w:eastAsiaTheme="minorEastAsia" w:hAnsiTheme="minorHAnsi" w:cstheme="minorBidi"/>
          <w:noProof/>
          <w:sz w:val="22"/>
          <w:szCs w:val="22"/>
          <w:lang w:eastAsia="en-NZ"/>
        </w:rPr>
      </w:pPr>
      <w:hyperlink w:anchor="_Toc59439393" w:history="1">
        <w:r w:rsidR="00E4554E" w:rsidRPr="004406EC">
          <w:rPr>
            <w:rStyle w:val="Hyperlink"/>
            <w:noProof/>
          </w:rPr>
          <w:t>Principle 2: Equity</w:t>
        </w:r>
        <w:r w:rsidR="00E4554E">
          <w:rPr>
            <w:noProof/>
            <w:webHidden/>
          </w:rPr>
          <w:tab/>
        </w:r>
        <w:r w:rsidR="00E4554E">
          <w:rPr>
            <w:noProof/>
            <w:webHidden/>
          </w:rPr>
          <w:fldChar w:fldCharType="begin"/>
        </w:r>
        <w:r w:rsidR="00E4554E">
          <w:rPr>
            <w:noProof/>
            <w:webHidden/>
          </w:rPr>
          <w:instrText xml:space="preserve"> PAGEREF _Toc59439393 \h </w:instrText>
        </w:r>
        <w:r w:rsidR="00E4554E">
          <w:rPr>
            <w:noProof/>
            <w:webHidden/>
          </w:rPr>
        </w:r>
        <w:r w:rsidR="00E4554E">
          <w:rPr>
            <w:noProof/>
            <w:webHidden/>
          </w:rPr>
          <w:fldChar w:fldCharType="separate"/>
        </w:r>
        <w:r w:rsidR="008D62C5">
          <w:rPr>
            <w:noProof/>
            <w:webHidden/>
          </w:rPr>
          <w:t>9</w:t>
        </w:r>
        <w:r w:rsidR="00E4554E">
          <w:rPr>
            <w:noProof/>
            <w:webHidden/>
          </w:rPr>
          <w:fldChar w:fldCharType="end"/>
        </w:r>
      </w:hyperlink>
    </w:p>
    <w:p w14:paraId="1A987EB4" w14:textId="6823D5BE" w:rsidR="00E4554E" w:rsidRDefault="008B32B0">
      <w:pPr>
        <w:pStyle w:val="TOC2"/>
        <w:rPr>
          <w:rFonts w:asciiTheme="minorHAnsi" w:eastAsiaTheme="minorEastAsia" w:hAnsiTheme="minorHAnsi" w:cstheme="minorBidi"/>
          <w:noProof/>
          <w:sz w:val="22"/>
          <w:szCs w:val="22"/>
          <w:lang w:eastAsia="en-NZ"/>
        </w:rPr>
      </w:pPr>
      <w:hyperlink w:anchor="_Toc59439394" w:history="1">
        <w:r w:rsidR="00E4554E" w:rsidRPr="004406EC">
          <w:rPr>
            <w:rStyle w:val="Hyperlink"/>
            <w:noProof/>
          </w:rPr>
          <w:t>Principle 3: People and whānau at the centre</w:t>
        </w:r>
        <w:r w:rsidR="00E4554E">
          <w:rPr>
            <w:noProof/>
            <w:webHidden/>
          </w:rPr>
          <w:tab/>
        </w:r>
        <w:r w:rsidR="00E4554E">
          <w:rPr>
            <w:noProof/>
            <w:webHidden/>
          </w:rPr>
          <w:fldChar w:fldCharType="begin"/>
        </w:r>
        <w:r w:rsidR="00E4554E">
          <w:rPr>
            <w:noProof/>
            <w:webHidden/>
          </w:rPr>
          <w:instrText xml:space="preserve"> PAGEREF _Toc59439394 \h </w:instrText>
        </w:r>
        <w:r w:rsidR="00E4554E">
          <w:rPr>
            <w:noProof/>
            <w:webHidden/>
          </w:rPr>
        </w:r>
        <w:r w:rsidR="00E4554E">
          <w:rPr>
            <w:noProof/>
            <w:webHidden/>
          </w:rPr>
          <w:fldChar w:fldCharType="separate"/>
        </w:r>
        <w:r w:rsidR="008D62C5">
          <w:rPr>
            <w:noProof/>
            <w:webHidden/>
          </w:rPr>
          <w:t>10</w:t>
        </w:r>
        <w:r w:rsidR="00E4554E">
          <w:rPr>
            <w:noProof/>
            <w:webHidden/>
          </w:rPr>
          <w:fldChar w:fldCharType="end"/>
        </w:r>
      </w:hyperlink>
    </w:p>
    <w:p w14:paraId="674189F1" w14:textId="422CAF83" w:rsidR="00E4554E" w:rsidRDefault="008B32B0">
      <w:pPr>
        <w:pStyle w:val="TOC2"/>
        <w:rPr>
          <w:rFonts w:asciiTheme="minorHAnsi" w:eastAsiaTheme="minorEastAsia" w:hAnsiTheme="minorHAnsi" w:cstheme="minorBidi"/>
          <w:noProof/>
          <w:sz w:val="22"/>
          <w:szCs w:val="22"/>
          <w:lang w:eastAsia="en-NZ"/>
        </w:rPr>
      </w:pPr>
      <w:hyperlink w:anchor="_Toc59439395" w:history="1">
        <w:r w:rsidR="00E4554E" w:rsidRPr="004406EC">
          <w:rPr>
            <w:rStyle w:val="Hyperlink"/>
            <w:noProof/>
          </w:rPr>
          <w:t>Principle 4: Community focus</w:t>
        </w:r>
        <w:r w:rsidR="00E4554E">
          <w:rPr>
            <w:noProof/>
            <w:webHidden/>
          </w:rPr>
          <w:tab/>
        </w:r>
        <w:r w:rsidR="00E4554E">
          <w:rPr>
            <w:noProof/>
            <w:webHidden/>
          </w:rPr>
          <w:fldChar w:fldCharType="begin"/>
        </w:r>
        <w:r w:rsidR="00E4554E">
          <w:rPr>
            <w:noProof/>
            <w:webHidden/>
          </w:rPr>
          <w:instrText xml:space="preserve"> PAGEREF _Toc59439395 \h </w:instrText>
        </w:r>
        <w:r w:rsidR="00E4554E">
          <w:rPr>
            <w:noProof/>
            <w:webHidden/>
          </w:rPr>
        </w:r>
        <w:r w:rsidR="00E4554E">
          <w:rPr>
            <w:noProof/>
            <w:webHidden/>
          </w:rPr>
          <w:fldChar w:fldCharType="separate"/>
        </w:r>
        <w:r w:rsidR="008D62C5">
          <w:rPr>
            <w:noProof/>
            <w:webHidden/>
          </w:rPr>
          <w:t>11</w:t>
        </w:r>
        <w:r w:rsidR="00E4554E">
          <w:rPr>
            <w:noProof/>
            <w:webHidden/>
          </w:rPr>
          <w:fldChar w:fldCharType="end"/>
        </w:r>
      </w:hyperlink>
    </w:p>
    <w:p w14:paraId="5855D87D" w14:textId="4CBEF4C3" w:rsidR="00E4554E" w:rsidRDefault="008B32B0">
      <w:pPr>
        <w:pStyle w:val="TOC2"/>
        <w:rPr>
          <w:rFonts w:asciiTheme="minorHAnsi" w:eastAsiaTheme="minorEastAsia" w:hAnsiTheme="minorHAnsi" w:cstheme="minorBidi"/>
          <w:noProof/>
          <w:sz w:val="22"/>
          <w:szCs w:val="22"/>
          <w:lang w:eastAsia="en-NZ"/>
        </w:rPr>
      </w:pPr>
      <w:hyperlink w:anchor="_Toc59439396" w:history="1">
        <w:r w:rsidR="00E4554E" w:rsidRPr="004406EC">
          <w:rPr>
            <w:rStyle w:val="Hyperlink"/>
            <w:noProof/>
          </w:rPr>
          <w:t>Principle 5: Uphold human rights</w:t>
        </w:r>
        <w:r w:rsidR="00E4554E">
          <w:rPr>
            <w:noProof/>
            <w:webHidden/>
          </w:rPr>
          <w:tab/>
        </w:r>
        <w:r w:rsidR="00E4554E">
          <w:rPr>
            <w:noProof/>
            <w:webHidden/>
          </w:rPr>
          <w:fldChar w:fldCharType="begin"/>
        </w:r>
        <w:r w:rsidR="00E4554E">
          <w:rPr>
            <w:noProof/>
            <w:webHidden/>
          </w:rPr>
          <w:instrText xml:space="preserve"> PAGEREF _Toc59439396 \h </w:instrText>
        </w:r>
        <w:r w:rsidR="00E4554E">
          <w:rPr>
            <w:noProof/>
            <w:webHidden/>
          </w:rPr>
        </w:r>
        <w:r w:rsidR="00E4554E">
          <w:rPr>
            <w:noProof/>
            <w:webHidden/>
          </w:rPr>
          <w:fldChar w:fldCharType="separate"/>
        </w:r>
        <w:r w:rsidR="008D62C5">
          <w:rPr>
            <w:noProof/>
            <w:webHidden/>
          </w:rPr>
          <w:t>12</w:t>
        </w:r>
        <w:r w:rsidR="00E4554E">
          <w:rPr>
            <w:noProof/>
            <w:webHidden/>
          </w:rPr>
          <w:fldChar w:fldCharType="end"/>
        </w:r>
      </w:hyperlink>
    </w:p>
    <w:p w14:paraId="705F0980" w14:textId="7E137B10" w:rsidR="00E4554E" w:rsidRDefault="008B32B0">
      <w:pPr>
        <w:pStyle w:val="TOC2"/>
        <w:rPr>
          <w:rFonts w:asciiTheme="minorHAnsi" w:eastAsiaTheme="minorEastAsia" w:hAnsiTheme="minorHAnsi" w:cstheme="minorBidi"/>
          <w:noProof/>
          <w:sz w:val="22"/>
          <w:szCs w:val="22"/>
          <w:lang w:eastAsia="en-NZ"/>
        </w:rPr>
      </w:pPr>
      <w:hyperlink w:anchor="_Toc59439397" w:history="1">
        <w:r w:rsidR="00E4554E" w:rsidRPr="004406EC">
          <w:rPr>
            <w:rStyle w:val="Hyperlink"/>
            <w:noProof/>
          </w:rPr>
          <w:t>Principle 6: Collaboration</w:t>
        </w:r>
        <w:r w:rsidR="00E4554E">
          <w:rPr>
            <w:noProof/>
            <w:webHidden/>
          </w:rPr>
          <w:tab/>
        </w:r>
        <w:r w:rsidR="00E4554E">
          <w:rPr>
            <w:noProof/>
            <w:webHidden/>
          </w:rPr>
          <w:fldChar w:fldCharType="begin"/>
        </w:r>
        <w:r w:rsidR="00E4554E">
          <w:rPr>
            <w:noProof/>
            <w:webHidden/>
          </w:rPr>
          <w:instrText xml:space="preserve"> PAGEREF _Toc59439397 \h </w:instrText>
        </w:r>
        <w:r w:rsidR="00E4554E">
          <w:rPr>
            <w:noProof/>
            <w:webHidden/>
          </w:rPr>
        </w:r>
        <w:r w:rsidR="00E4554E">
          <w:rPr>
            <w:noProof/>
            <w:webHidden/>
          </w:rPr>
          <w:fldChar w:fldCharType="separate"/>
        </w:r>
        <w:r w:rsidR="008D62C5">
          <w:rPr>
            <w:noProof/>
            <w:webHidden/>
          </w:rPr>
          <w:t>13</w:t>
        </w:r>
        <w:r w:rsidR="00E4554E">
          <w:rPr>
            <w:noProof/>
            <w:webHidden/>
          </w:rPr>
          <w:fldChar w:fldCharType="end"/>
        </w:r>
      </w:hyperlink>
    </w:p>
    <w:p w14:paraId="08FC6864" w14:textId="5D54273B" w:rsidR="00E4554E" w:rsidRDefault="008B32B0">
      <w:pPr>
        <w:pStyle w:val="TOC2"/>
        <w:rPr>
          <w:rFonts w:asciiTheme="minorHAnsi" w:eastAsiaTheme="minorEastAsia" w:hAnsiTheme="minorHAnsi" w:cstheme="minorBidi"/>
          <w:noProof/>
          <w:sz w:val="22"/>
          <w:szCs w:val="22"/>
          <w:lang w:eastAsia="en-NZ"/>
        </w:rPr>
      </w:pPr>
      <w:hyperlink w:anchor="_Toc59439398" w:history="1">
        <w:r w:rsidR="00E4554E" w:rsidRPr="004406EC">
          <w:rPr>
            <w:rStyle w:val="Hyperlink"/>
            <w:noProof/>
          </w:rPr>
          <w:t>Principle 7: Innovation</w:t>
        </w:r>
        <w:r w:rsidR="00E4554E">
          <w:rPr>
            <w:noProof/>
            <w:webHidden/>
          </w:rPr>
          <w:tab/>
        </w:r>
        <w:r w:rsidR="00E4554E">
          <w:rPr>
            <w:noProof/>
            <w:webHidden/>
          </w:rPr>
          <w:fldChar w:fldCharType="begin"/>
        </w:r>
        <w:r w:rsidR="00E4554E">
          <w:rPr>
            <w:noProof/>
            <w:webHidden/>
          </w:rPr>
          <w:instrText xml:space="preserve"> PAGEREF _Toc59439398 \h </w:instrText>
        </w:r>
        <w:r w:rsidR="00E4554E">
          <w:rPr>
            <w:noProof/>
            <w:webHidden/>
          </w:rPr>
        </w:r>
        <w:r w:rsidR="00E4554E">
          <w:rPr>
            <w:noProof/>
            <w:webHidden/>
          </w:rPr>
          <w:fldChar w:fldCharType="separate"/>
        </w:r>
        <w:r w:rsidR="008D62C5">
          <w:rPr>
            <w:noProof/>
            <w:webHidden/>
          </w:rPr>
          <w:t>14</w:t>
        </w:r>
        <w:r w:rsidR="00E4554E">
          <w:rPr>
            <w:noProof/>
            <w:webHidden/>
          </w:rPr>
          <w:fldChar w:fldCharType="end"/>
        </w:r>
      </w:hyperlink>
    </w:p>
    <w:p w14:paraId="563D8597" w14:textId="2C0AD05E" w:rsidR="00E4554E" w:rsidRDefault="008B32B0">
      <w:pPr>
        <w:pStyle w:val="TOC1"/>
        <w:rPr>
          <w:rFonts w:asciiTheme="minorHAnsi" w:eastAsiaTheme="minorEastAsia" w:hAnsiTheme="minorHAnsi" w:cstheme="minorBidi"/>
          <w:noProof/>
          <w:sz w:val="22"/>
          <w:szCs w:val="22"/>
          <w:lang w:eastAsia="en-NZ"/>
        </w:rPr>
      </w:pPr>
      <w:hyperlink w:anchor="_Toc59439399" w:history="1">
        <w:r w:rsidR="00E4554E" w:rsidRPr="004406EC">
          <w:rPr>
            <w:rStyle w:val="Hyperlink"/>
            <w:noProof/>
          </w:rPr>
          <w:t>Effects of COVID</w:t>
        </w:r>
        <w:r w:rsidR="00E4554E" w:rsidRPr="004406EC">
          <w:rPr>
            <w:rStyle w:val="Hyperlink"/>
            <w:noProof/>
          </w:rPr>
          <w:noBreakHyphen/>
          <w:t>19 on mental wellbeing</w:t>
        </w:r>
        <w:r w:rsidR="00E4554E">
          <w:rPr>
            <w:noProof/>
            <w:webHidden/>
          </w:rPr>
          <w:tab/>
        </w:r>
        <w:r w:rsidR="00E4554E">
          <w:rPr>
            <w:noProof/>
            <w:webHidden/>
          </w:rPr>
          <w:fldChar w:fldCharType="begin"/>
        </w:r>
        <w:r w:rsidR="00E4554E">
          <w:rPr>
            <w:noProof/>
            <w:webHidden/>
          </w:rPr>
          <w:instrText xml:space="preserve"> PAGEREF _Toc59439399 \h </w:instrText>
        </w:r>
        <w:r w:rsidR="00E4554E">
          <w:rPr>
            <w:noProof/>
            <w:webHidden/>
          </w:rPr>
        </w:r>
        <w:r w:rsidR="00E4554E">
          <w:rPr>
            <w:noProof/>
            <w:webHidden/>
          </w:rPr>
          <w:fldChar w:fldCharType="separate"/>
        </w:r>
        <w:r w:rsidR="008D62C5">
          <w:rPr>
            <w:noProof/>
            <w:webHidden/>
          </w:rPr>
          <w:t>15</w:t>
        </w:r>
        <w:r w:rsidR="00E4554E">
          <w:rPr>
            <w:noProof/>
            <w:webHidden/>
          </w:rPr>
          <w:fldChar w:fldCharType="end"/>
        </w:r>
      </w:hyperlink>
    </w:p>
    <w:p w14:paraId="113AD3B7" w14:textId="33ED454D" w:rsidR="00E4554E" w:rsidRDefault="008B32B0">
      <w:pPr>
        <w:pStyle w:val="TOC2"/>
        <w:rPr>
          <w:rFonts w:asciiTheme="minorHAnsi" w:eastAsiaTheme="minorEastAsia" w:hAnsiTheme="minorHAnsi" w:cstheme="minorBidi"/>
          <w:noProof/>
          <w:sz w:val="22"/>
          <w:szCs w:val="22"/>
          <w:lang w:eastAsia="en-NZ"/>
        </w:rPr>
      </w:pPr>
      <w:hyperlink w:anchor="_Toc59439400" w:history="1">
        <w:r w:rsidR="00E4554E" w:rsidRPr="004406EC">
          <w:rPr>
            <w:rStyle w:val="Hyperlink"/>
            <w:noProof/>
          </w:rPr>
          <w:t>Effects of COVID</w:t>
        </w:r>
        <w:r w:rsidR="00E4554E" w:rsidRPr="004406EC">
          <w:rPr>
            <w:rStyle w:val="Hyperlink"/>
            <w:noProof/>
          </w:rPr>
          <w:noBreakHyphen/>
          <w:t>19</w:t>
        </w:r>
        <w:r w:rsidR="00E4554E">
          <w:rPr>
            <w:noProof/>
            <w:webHidden/>
          </w:rPr>
          <w:tab/>
        </w:r>
        <w:r w:rsidR="00E4554E">
          <w:rPr>
            <w:noProof/>
            <w:webHidden/>
          </w:rPr>
          <w:fldChar w:fldCharType="begin"/>
        </w:r>
        <w:r w:rsidR="00E4554E">
          <w:rPr>
            <w:noProof/>
            <w:webHidden/>
          </w:rPr>
          <w:instrText xml:space="preserve"> PAGEREF _Toc59439400 \h </w:instrText>
        </w:r>
        <w:r w:rsidR="00E4554E">
          <w:rPr>
            <w:noProof/>
            <w:webHidden/>
          </w:rPr>
        </w:r>
        <w:r w:rsidR="00E4554E">
          <w:rPr>
            <w:noProof/>
            <w:webHidden/>
          </w:rPr>
          <w:fldChar w:fldCharType="separate"/>
        </w:r>
        <w:r w:rsidR="008D62C5">
          <w:rPr>
            <w:noProof/>
            <w:webHidden/>
          </w:rPr>
          <w:t>15</w:t>
        </w:r>
        <w:r w:rsidR="00E4554E">
          <w:rPr>
            <w:noProof/>
            <w:webHidden/>
          </w:rPr>
          <w:fldChar w:fldCharType="end"/>
        </w:r>
      </w:hyperlink>
    </w:p>
    <w:p w14:paraId="18D8CF80" w14:textId="7A7DE931" w:rsidR="00E4554E" w:rsidRDefault="008B32B0">
      <w:pPr>
        <w:pStyle w:val="TOC2"/>
        <w:rPr>
          <w:rFonts w:asciiTheme="minorHAnsi" w:eastAsiaTheme="minorEastAsia" w:hAnsiTheme="minorHAnsi" w:cstheme="minorBidi"/>
          <w:noProof/>
          <w:sz w:val="22"/>
          <w:szCs w:val="22"/>
          <w:lang w:eastAsia="en-NZ"/>
        </w:rPr>
      </w:pPr>
      <w:hyperlink w:anchor="_Toc59439401" w:history="1">
        <w:r w:rsidR="00E4554E" w:rsidRPr="004406EC">
          <w:rPr>
            <w:rStyle w:val="Hyperlink"/>
            <w:noProof/>
          </w:rPr>
          <w:t>Who may be affected</w:t>
        </w:r>
        <w:r w:rsidR="00E4554E">
          <w:rPr>
            <w:noProof/>
            <w:webHidden/>
          </w:rPr>
          <w:tab/>
        </w:r>
        <w:r w:rsidR="00E4554E">
          <w:rPr>
            <w:noProof/>
            <w:webHidden/>
          </w:rPr>
          <w:fldChar w:fldCharType="begin"/>
        </w:r>
        <w:r w:rsidR="00E4554E">
          <w:rPr>
            <w:noProof/>
            <w:webHidden/>
          </w:rPr>
          <w:instrText xml:space="preserve"> PAGEREF _Toc59439401 \h </w:instrText>
        </w:r>
        <w:r w:rsidR="00E4554E">
          <w:rPr>
            <w:noProof/>
            <w:webHidden/>
          </w:rPr>
        </w:r>
        <w:r w:rsidR="00E4554E">
          <w:rPr>
            <w:noProof/>
            <w:webHidden/>
          </w:rPr>
          <w:fldChar w:fldCharType="separate"/>
        </w:r>
        <w:r w:rsidR="008D62C5">
          <w:rPr>
            <w:noProof/>
            <w:webHidden/>
          </w:rPr>
          <w:t>16</w:t>
        </w:r>
        <w:r w:rsidR="00E4554E">
          <w:rPr>
            <w:noProof/>
            <w:webHidden/>
          </w:rPr>
          <w:fldChar w:fldCharType="end"/>
        </w:r>
      </w:hyperlink>
    </w:p>
    <w:p w14:paraId="509D27EF" w14:textId="706D3501" w:rsidR="00E4554E" w:rsidRDefault="008B32B0">
      <w:pPr>
        <w:pStyle w:val="TOC1"/>
        <w:rPr>
          <w:rFonts w:asciiTheme="minorHAnsi" w:eastAsiaTheme="minorEastAsia" w:hAnsiTheme="minorHAnsi" w:cstheme="minorBidi"/>
          <w:noProof/>
          <w:sz w:val="22"/>
          <w:szCs w:val="22"/>
          <w:lang w:eastAsia="en-NZ"/>
        </w:rPr>
      </w:pPr>
      <w:hyperlink w:anchor="_Toc59439402" w:history="1">
        <w:r w:rsidR="00E4554E" w:rsidRPr="004406EC">
          <w:rPr>
            <w:rStyle w:val="Hyperlink"/>
            <w:noProof/>
          </w:rPr>
          <w:t>Focus areas and enablers</w:t>
        </w:r>
        <w:r w:rsidR="00E4554E">
          <w:rPr>
            <w:noProof/>
            <w:webHidden/>
          </w:rPr>
          <w:tab/>
        </w:r>
        <w:r w:rsidR="00E4554E">
          <w:rPr>
            <w:noProof/>
            <w:webHidden/>
          </w:rPr>
          <w:fldChar w:fldCharType="begin"/>
        </w:r>
        <w:r w:rsidR="00E4554E">
          <w:rPr>
            <w:noProof/>
            <w:webHidden/>
          </w:rPr>
          <w:instrText xml:space="preserve"> PAGEREF _Toc59439402 \h </w:instrText>
        </w:r>
        <w:r w:rsidR="00E4554E">
          <w:rPr>
            <w:noProof/>
            <w:webHidden/>
          </w:rPr>
        </w:r>
        <w:r w:rsidR="00E4554E">
          <w:rPr>
            <w:noProof/>
            <w:webHidden/>
          </w:rPr>
          <w:fldChar w:fldCharType="separate"/>
        </w:r>
        <w:r w:rsidR="008D62C5">
          <w:rPr>
            <w:noProof/>
            <w:webHidden/>
          </w:rPr>
          <w:t>19</w:t>
        </w:r>
        <w:r w:rsidR="00E4554E">
          <w:rPr>
            <w:noProof/>
            <w:webHidden/>
          </w:rPr>
          <w:fldChar w:fldCharType="end"/>
        </w:r>
      </w:hyperlink>
    </w:p>
    <w:p w14:paraId="3811CBC6" w14:textId="536A17A0" w:rsidR="00E4554E" w:rsidRDefault="008B32B0">
      <w:pPr>
        <w:pStyle w:val="TOC2"/>
        <w:rPr>
          <w:rFonts w:asciiTheme="minorHAnsi" w:eastAsiaTheme="minorEastAsia" w:hAnsiTheme="minorHAnsi" w:cstheme="minorBidi"/>
          <w:noProof/>
          <w:sz w:val="22"/>
          <w:szCs w:val="22"/>
          <w:lang w:eastAsia="en-NZ"/>
        </w:rPr>
      </w:pPr>
      <w:hyperlink w:anchor="_Toc59439403" w:history="1">
        <w:r w:rsidR="00E4554E" w:rsidRPr="004406EC">
          <w:rPr>
            <w:rStyle w:val="Hyperlink"/>
            <w:noProof/>
          </w:rPr>
          <w:t>Focus areas</w:t>
        </w:r>
        <w:r w:rsidR="00E4554E">
          <w:rPr>
            <w:noProof/>
            <w:webHidden/>
          </w:rPr>
          <w:tab/>
        </w:r>
        <w:r w:rsidR="00E4554E">
          <w:rPr>
            <w:noProof/>
            <w:webHidden/>
          </w:rPr>
          <w:fldChar w:fldCharType="begin"/>
        </w:r>
        <w:r w:rsidR="00E4554E">
          <w:rPr>
            <w:noProof/>
            <w:webHidden/>
          </w:rPr>
          <w:instrText xml:space="preserve"> PAGEREF _Toc59439403 \h </w:instrText>
        </w:r>
        <w:r w:rsidR="00E4554E">
          <w:rPr>
            <w:noProof/>
            <w:webHidden/>
          </w:rPr>
        </w:r>
        <w:r w:rsidR="00E4554E">
          <w:rPr>
            <w:noProof/>
            <w:webHidden/>
          </w:rPr>
          <w:fldChar w:fldCharType="separate"/>
        </w:r>
        <w:r w:rsidR="008D62C5">
          <w:rPr>
            <w:noProof/>
            <w:webHidden/>
          </w:rPr>
          <w:t>19</w:t>
        </w:r>
        <w:r w:rsidR="00E4554E">
          <w:rPr>
            <w:noProof/>
            <w:webHidden/>
          </w:rPr>
          <w:fldChar w:fldCharType="end"/>
        </w:r>
      </w:hyperlink>
    </w:p>
    <w:p w14:paraId="1DC33D81" w14:textId="6BCF0D02" w:rsidR="00E4554E" w:rsidRDefault="008B32B0">
      <w:pPr>
        <w:pStyle w:val="TOC2"/>
        <w:rPr>
          <w:rFonts w:asciiTheme="minorHAnsi" w:eastAsiaTheme="minorEastAsia" w:hAnsiTheme="minorHAnsi" w:cstheme="minorBidi"/>
          <w:noProof/>
          <w:sz w:val="22"/>
          <w:szCs w:val="22"/>
          <w:lang w:eastAsia="en-NZ"/>
        </w:rPr>
      </w:pPr>
      <w:hyperlink w:anchor="_Toc59439404" w:history="1">
        <w:r w:rsidR="00E4554E" w:rsidRPr="004406EC">
          <w:rPr>
            <w:rStyle w:val="Hyperlink"/>
            <w:noProof/>
          </w:rPr>
          <w:t>Enablers</w:t>
        </w:r>
        <w:r w:rsidR="00E4554E">
          <w:rPr>
            <w:noProof/>
            <w:webHidden/>
          </w:rPr>
          <w:tab/>
        </w:r>
        <w:r w:rsidR="00E4554E">
          <w:rPr>
            <w:noProof/>
            <w:webHidden/>
          </w:rPr>
          <w:fldChar w:fldCharType="begin"/>
        </w:r>
        <w:r w:rsidR="00E4554E">
          <w:rPr>
            <w:noProof/>
            <w:webHidden/>
          </w:rPr>
          <w:instrText xml:space="preserve"> PAGEREF _Toc59439404 \h </w:instrText>
        </w:r>
        <w:r w:rsidR="00E4554E">
          <w:rPr>
            <w:noProof/>
            <w:webHidden/>
          </w:rPr>
        </w:r>
        <w:r w:rsidR="00E4554E">
          <w:rPr>
            <w:noProof/>
            <w:webHidden/>
          </w:rPr>
          <w:fldChar w:fldCharType="separate"/>
        </w:r>
        <w:r w:rsidR="008D62C5">
          <w:rPr>
            <w:noProof/>
            <w:webHidden/>
          </w:rPr>
          <w:t>33</w:t>
        </w:r>
        <w:r w:rsidR="00E4554E">
          <w:rPr>
            <w:noProof/>
            <w:webHidden/>
          </w:rPr>
          <w:fldChar w:fldCharType="end"/>
        </w:r>
      </w:hyperlink>
    </w:p>
    <w:p w14:paraId="661B37C8" w14:textId="1BFEBE14" w:rsidR="00E4554E" w:rsidRDefault="008B32B0">
      <w:pPr>
        <w:pStyle w:val="TOC1"/>
        <w:rPr>
          <w:rFonts w:asciiTheme="minorHAnsi" w:eastAsiaTheme="minorEastAsia" w:hAnsiTheme="minorHAnsi" w:cstheme="minorBidi"/>
          <w:noProof/>
          <w:sz w:val="22"/>
          <w:szCs w:val="22"/>
          <w:lang w:eastAsia="en-NZ"/>
        </w:rPr>
      </w:pPr>
      <w:hyperlink w:anchor="_Toc59439405" w:history="1">
        <w:r w:rsidR="00E4554E" w:rsidRPr="004406EC">
          <w:rPr>
            <w:rStyle w:val="Hyperlink"/>
            <w:noProof/>
          </w:rPr>
          <w:t xml:space="preserve"> Appendix A: Psychosocial guidance and resources, Alert Levels 2</w:t>
        </w:r>
        <w:r w:rsidR="00E4554E" w:rsidRPr="004406EC">
          <w:rPr>
            <w:rStyle w:val="Hyperlink"/>
            <w:rFonts w:eastAsia="Calibri"/>
            <w:noProof/>
            <w:bdr w:val="nil"/>
            <w:lang w:val="fr-FR" w:eastAsia="en-NZ"/>
          </w:rPr>
          <w:t xml:space="preserve"> to </w:t>
        </w:r>
        <w:r w:rsidR="00E4554E" w:rsidRPr="004406EC">
          <w:rPr>
            <w:rStyle w:val="Hyperlink"/>
            <w:noProof/>
          </w:rPr>
          <w:t>4</w:t>
        </w:r>
        <w:r w:rsidR="00E4554E">
          <w:rPr>
            <w:noProof/>
            <w:webHidden/>
          </w:rPr>
          <w:tab/>
        </w:r>
        <w:r w:rsidR="00E4554E">
          <w:rPr>
            <w:noProof/>
            <w:webHidden/>
          </w:rPr>
          <w:fldChar w:fldCharType="begin"/>
        </w:r>
        <w:r w:rsidR="00E4554E">
          <w:rPr>
            <w:noProof/>
            <w:webHidden/>
          </w:rPr>
          <w:instrText xml:space="preserve"> PAGEREF _Toc59439405 \h </w:instrText>
        </w:r>
        <w:r w:rsidR="00E4554E">
          <w:rPr>
            <w:noProof/>
            <w:webHidden/>
          </w:rPr>
        </w:r>
        <w:r w:rsidR="00E4554E">
          <w:rPr>
            <w:noProof/>
            <w:webHidden/>
          </w:rPr>
          <w:fldChar w:fldCharType="separate"/>
        </w:r>
        <w:r w:rsidR="008D62C5">
          <w:rPr>
            <w:noProof/>
            <w:webHidden/>
          </w:rPr>
          <w:t>41</w:t>
        </w:r>
        <w:r w:rsidR="00E4554E">
          <w:rPr>
            <w:noProof/>
            <w:webHidden/>
          </w:rPr>
          <w:fldChar w:fldCharType="end"/>
        </w:r>
      </w:hyperlink>
    </w:p>
    <w:p w14:paraId="3D37DD28" w14:textId="13EB4A31" w:rsidR="00E4554E" w:rsidRDefault="008B32B0">
      <w:pPr>
        <w:pStyle w:val="TOC1"/>
        <w:rPr>
          <w:rFonts w:asciiTheme="minorHAnsi" w:eastAsiaTheme="minorEastAsia" w:hAnsiTheme="minorHAnsi" w:cstheme="minorBidi"/>
          <w:noProof/>
          <w:sz w:val="22"/>
          <w:szCs w:val="22"/>
          <w:lang w:eastAsia="en-NZ"/>
        </w:rPr>
      </w:pPr>
      <w:hyperlink w:anchor="_Toc59439406" w:history="1">
        <w:r w:rsidR="00E4554E" w:rsidRPr="004406EC">
          <w:rPr>
            <w:rStyle w:val="Hyperlink"/>
            <w:noProof/>
          </w:rPr>
          <w:t>Appendix B: Roles and responsibilities</w:t>
        </w:r>
        <w:r w:rsidR="00E4554E">
          <w:rPr>
            <w:noProof/>
            <w:webHidden/>
          </w:rPr>
          <w:tab/>
        </w:r>
        <w:r w:rsidR="00E4554E">
          <w:rPr>
            <w:noProof/>
            <w:webHidden/>
          </w:rPr>
          <w:fldChar w:fldCharType="begin"/>
        </w:r>
        <w:r w:rsidR="00E4554E">
          <w:rPr>
            <w:noProof/>
            <w:webHidden/>
          </w:rPr>
          <w:instrText xml:space="preserve"> PAGEREF _Toc59439406 \h </w:instrText>
        </w:r>
        <w:r w:rsidR="00E4554E">
          <w:rPr>
            <w:noProof/>
            <w:webHidden/>
          </w:rPr>
        </w:r>
        <w:r w:rsidR="00E4554E">
          <w:rPr>
            <w:noProof/>
            <w:webHidden/>
          </w:rPr>
          <w:fldChar w:fldCharType="separate"/>
        </w:r>
        <w:r w:rsidR="008D62C5">
          <w:rPr>
            <w:noProof/>
            <w:webHidden/>
          </w:rPr>
          <w:t>42</w:t>
        </w:r>
        <w:r w:rsidR="00E4554E">
          <w:rPr>
            <w:noProof/>
            <w:webHidden/>
          </w:rPr>
          <w:fldChar w:fldCharType="end"/>
        </w:r>
      </w:hyperlink>
    </w:p>
    <w:p w14:paraId="232C17C8" w14:textId="7A9B7BCF" w:rsidR="00E4554E" w:rsidRDefault="008B32B0">
      <w:pPr>
        <w:pStyle w:val="TOC1"/>
        <w:rPr>
          <w:rFonts w:asciiTheme="minorHAnsi" w:eastAsiaTheme="minorEastAsia" w:hAnsiTheme="minorHAnsi" w:cstheme="minorBidi"/>
          <w:noProof/>
          <w:sz w:val="22"/>
          <w:szCs w:val="22"/>
          <w:lang w:eastAsia="en-NZ"/>
        </w:rPr>
      </w:pPr>
      <w:hyperlink w:anchor="_Toc59439407" w:history="1">
        <w:r w:rsidR="00E4554E" w:rsidRPr="004406EC">
          <w:rPr>
            <w:rStyle w:val="Hyperlink"/>
            <w:noProof/>
          </w:rPr>
          <w:t>Glossary of terms</w:t>
        </w:r>
        <w:r w:rsidR="00E4554E">
          <w:rPr>
            <w:noProof/>
            <w:webHidden/>
          </w:rPr>
          <w:tab/>
        </w:r>
        <w:r w:rsidR="00E4554E">
          <w:rPr>
            <w:noProof/>
            <w:webHidden/>
          </w:rPr>
          <w:fldChar w:fldCharType="begin"/>
        </w:r>
        <w:r w:rsidR="00E4554E">
          <w:rPr>
            <w:noProof/>
            <w:webHidden/>
          </w:rPr>
          <w:instrText xml:space="preserve"> PAGEREF _Toc59439407 \h </w:instrText>
        </w:r>
        <w:r w:rsidR="00E4554E">
          <w:rPr>
            <w:noProof/>
            <w:webHidden/>
          </w:rPr>
        </w:r>
        <w:r w:rsidR="00E4554E">
          <w:rPr>
            <w:noProof/>
            <w:webHidden/>
          </w:rPr>
          <w:fldChar w:fldCharType="separate"/>
        </w:r>
        <w:r w:rsidR="008D62C5">
          <w:rPr>
            <w:noProof/>
            <w:webHidden/>
          </w:rPr>
          <w:t>46</w:t>
        </w:r>
        <w:r w:rsidR="00E4554E">
          <w:rPr>
            <w:noProof/>
            <w:webHidden/>
          </w:rPr>
          <w:fldChar w:fldCharType="end"/>
        </w:r>
      </w:hyperlink>
    </w:p>
    <w:p w14:paraId="6D991BBC" w14:textId="5761323A" w:rsidR="00E4554E" w:rsidRDefault="008B32B0">
      <w:pPr>
        <w:pStyle w:val="TOC1"/>
        <w:rPr>
          <w:rFonts w:asciiTheme="minorHAnsi" w:eastAsiaTheme="minorEastAsia" w:hAnsiTheme="minorHAnsi" w:cstheme="minorBidi"/>
          <w:noProof/>
          <w:sz w:val="22"/>
          <w:szCs w:val="22"/>
          <w:lang w:eastAsia="en-NZ"/>
        </w:rPr>
      </w:pPr>
      <w:hyperlink w:anchor="_Toc59439408" w:history="1">
        <w:r w:rsidR="00E4554E" w:rsidRPr="004406EC">
          <w:rPr>
            <w:rStyle w:val="Hyperlink"/>
            <w:noProof/>
          </w:rPr>
          <w:t>Bibliography</w:t>
        </w:r>
        <w:r w:rsidR="00E4554E">
          <w:rPr>
            <w:noProof/>
            <w:webHidden/>
          </w:rPr>
          <w:tab/>
        </w:r>
        <w:r w:rsidR="00E4554E">
          <w:rPr>
            <w:noProof/>
            <w:webHidden/>
          </w:rPr>
          <w:fldChar w:fldCharType="begin"/>
        </w:r>
        <w:r w:rsidR="00E4554E">
          <w:rPr>
            <w:noProof/>
            <w:webHidden/>
          </w:rPr>
          <w:instrText xml:space="preserve"> PAGEREF _Toc59439408 \h </w:instrText>
        </w:r>
        <w:r w:rsidR="00E4554E">
          <w:rPr>
            <w:noProof/>
            <w:webHidden/>
          </w:rPr>
        </w:r>
        <w:r w:rsidR="00E4554E">
          <w:rPr>
            <w:noProof/>
            <w:webHidden/>
          </w:rPr>
          <w:fldChar w:fldCharType="separate"/>
        </w:r>
        <w:r w:rsidR="008D62C5">
          <w:rPr>
            <w:noProof/>
            <w:webHidden/>
          </w:rPr>
          <w:t>49</w:t>
        </w:r>
        <w:r w:rsidR="00E4554E">
          <w:rPr>
            <w:noProof/>
            <w:webHidden/>
          </w:rPr>
          <w:fldChar w:fldCharType="end"/>
        </w:r>
      </w:hyperlink>
    </w:p>
    <w:p w14:paraId="188C0500" w14:textId="25C9F176" w:rsidR="00BA0D5F" w:rsidRPr="003967BA" w:rsidRDefault="004D299E" w:rsidP="004D299E">
      <w:pPr>
        <w:pStyle w:val="Heading1"/>
      </w:pPr>
      <w:r>
        <w:rPr>
          <w:rFonts w:ascii="Segoe UI Semibold" w:hAnsi="Segoe UI Semibold"/>
          <w:b w:val="0"/>
          <w:sz w:val="24"/>
        </w:rPr>
        <w:fldChar w:fldCharType="end"/>
      </w:r>
      <w:bookmarkStart w:id="13" w:name="_Toc59439387"/>
      <w:r w:rsidR="00BA0D5F">
        <w:t>About this plan</w:t>
      </w:r>
      <w:bookmarkEnd w:id="11"/>
      <w:bookmarkEnd w:id="13"/>
    </w:p>
    <w:p w14:paraId="4EA881B4" w14:textId="4226CFDD" w:rsidR="00BA0D5F" w:rsidRDefault="00FE3AFE" w:rsidP="00BA0D5F">
      <w:r w:rsidRPr="00E26F51">
        <w:rPr>
          <w:i/>
        </w:rPr>
        <w:t>Kia Kaha</w:t>
      </w:r>
      <w:r w:rsidR="00BA0D5F" w:rsidRPr="003F1DFF">
        <w:t xml:space="preserve"> sets out </w:t>
      </w:r>
      <w:r w:rsidR="00087B14">
        <w:t>a</w:t>
      </w:r>
      <w:r w:rsidR="00087B14" w:rsidRPr="003F1DFF">
        <w:t xml:space="preserve"> </w:t>
      </w:r>
      <w:r w:rsidR="00BA0D5F">
        <w:t xml:space="preserve">national framework for action </w:t>
      </w:r>
      <w:r w:rsidR="00BA0D5F" w:rsidRPr="003F1DFF">
        <w:t>to support</w:t>
      </w:r>
      <w:r w:rsidR="00BA0D5F">
        <w:t xml:space="preserve"> the </w:t>
      </w:r>
      <w:r w:rsidR="00C41698">
        <w:t>mental</w:t>
      </w:r>
      <w:r w:rsidR="00BA0D5F">
        <w:t xml:space="preserve"> </w:t>
      </w:r>
      <w:r w:rsidR="00BA0D5F" w:rsidRPr="003F1DFF">
        <w:t xml:space="preserve">wellbeing of </w:t>
      </w:r>
      <w:r w:rsidR="00BA0D5F">
        <w:t xml:space="preserve">people in </w:t>
      </w:r>
      <w:r w:rsidR="001570E8">
        <w:t>Aotearoa</w:t>
      </w:r>
      <w:r w:rsidR="00ED613C">
        <w:t xml:space="preserve"> </w:t>
      </w:r>
      <w:r w:rsidR="001570E8">
        <w:t>New Zealand</w:t>
      </w:r>
      <w:r w:rsidR="00C93CC5">
        <w:t xml:space="preserve"> during the next 12–18 months </w:t>
      </w:r>
      <w:r w:rsidR="00C41698">
        <w:t>as</w:t>
      </w:r>
      <w:r w:rsidR="00BD1933">
        <w:t xml:space="preserve"> we adapt to the new environment created by</w:t>
      </w:r>
      <w:r w:rsidR="00BA0D5F">
        <w:t xml:space="preserve"> COVID-19. </w:t>
      </w:r>
    </w:p>
    <w:p w14:paraId="3184B2C7" w14:textId="77777777" w:rsidR="00BA0D5F" w:rsidRDefault="00BA0D5F" w:rsidP="00BA0D5F"/>
    <w:p w14:paraId="07531244" w14:textId="72E8CF47" w:rsidR="00BA0D5F" w:rsidRDefault="00E1672B" w:rsidP="00BA0D5F">
      <w:r w:rsidRPr="00E1672B">
        <w:rPr>
          <w:i/>
        </w:rPr>
        <w:t>Kia Kaha</w:t>
      </w:r>
      <w:r w:rsidR="00BA0D5F">
        <w:t xml:space="preserve"> updates the original psychosocial and mental wellbeing plan published in May 2020 and incorporates changes to reflect</w:t>
      </w:r>
      <w:r w:rsidR="00D828FC">
        <w:t xml:space="preserve"> </w:t>
      </w:r>
      <w:hyperlink r:id="rId20" w:history="1">
        <w:r w:rsidR="00D828FC" w:rsidRPr="001803C4">
          <w:rPr>
            <w:rStyle w:val="Hyperlink"/>
            <w:b w:val="0"/>
            <w:bCs/>
          </w:rPr>
          <w:t>feedback</w:t>
        </w:r>
      </w:hyperlink>
      <w:r w:rsidR="00D828FC" w:rsidRPr="002D2AAA">
        <w:rPr>
          <w:rStyle w:val="Hyperlink"/>
          <w:b w:val="0"/>
          <w:bCs/>
          <w:u w:val="none"/>
        </w:rPr>
        <w:t xml:space="preserve"> </w:t>
      </w:r>
      <w:r w:rsidR="00BA0D5F">
        <w:t xml:space="preserve">received on </w:t>
      </w:r>
      <w:r w:rsidR="00D828FC">
        <w:t>that</w:t>
      </w:r>
      <w:r w:rsidR="00BA0D5F">
        <w:t xml:space="preserve"> plan. </w:t>
      </w:r>
      <w:r w:rsidR="006105D1">
        <w:t xml:space="preserve">One hundred and forty-seven organisations and individuals </w:t>
      </w:r>
      <w:r w:rsidR="00BA0D5F">
        <w:t xml:space="preserve">provided </w:t>
      </w:r>
      <w:r w:rsidR="00D828FC">
        <w:t>comments</w:t>
      </w:r>
      <w:r w:rsidR="00BA0D5F">
        <w:t xml:space="preserve">. The feedback indicated general endorsement of the </w:t>
      </w:r>
      <w:r w:rsidR="005015B4">
        <w:t xml:space="preserve">mental wellbeing </w:t>
      </w:r>
      <w:r w:rsidR="00BA0D5F">
        <w:t xml:space="preserve">framework and provided valuable </w:t>
      </w:r>
      <w:r w:rsidR="00C93CC5">
        <w:t xml:space="preserve">suggestions </w:t>
      </w:r>
      <w:r w:rsidR="00BA0D5F">
        <w:t xml:space="preserve">on details of the plan and the way forward. </w:t>
      </w:r>
    </w:p>
    <w:p w14:paraId="7172A038" w14:textId="32EAECCC" w:rsidR="00C25339" w:rsidRDefault="00C25339" w:rsidP="00BA0D5F"/>
    <w:p w14:paraId="038A62F4" w14:textId="3AFF1E66" w:rsidR="00D828FC" w:rsidRDefault="00C25339" w:rsidP="00D828FC">
      <w:r>
        <w:t>Th</w:t>
      </w:r>
      <w:r w:rsidR="006105D1">
        <w:t>is</w:t>
      </w:r>
      <w:r>
        <w:t xml:space="preserve"> new version </w:t>
      </w:r>
      <w:r w:rsidR="002441C2">
        <w:t>seeks to increase resonance with Te Ao</w:t>
      </w:r>
      <w:r w:rsidR="00C93CC5" w:rsidRPr="00C93CC5">
        <w:t xml:space="preserve"> Māori.</w:t>
      </w:r>
      <w:r w:rsidR="00CA1B0D">
        <w:t xml:space="preserve"> </w:t>
      </w:r>
      <w:r w:rsidRPr="00BC5BD0">
        <w:t xml:space="preserve">It </w:t>
      </w:r>
      <w:r w:rsidR="005926EF">
        <w:t xml:space="preserve">also </w:t>
      </w:r>
      <w:r w:rsidRPr="00BC5BD0">
        <w:t xml:space="preserve">adds </w:t>
      </w:r>
      <w:r w:rsidR="004D028A">
        <w:t xml:space="preserve">the </w:t>
      </w:r>
      <w:r w:rsidRPr="00BC5BD0">
        <w:t>principle of ‘innovation’</w:t>
      </w:r>
      <w:r w:rsidR="004F75D6" w:rsidRPr="00BC5BD0">
        <w:t>,</w:t>
      </w:r>
      <w:r w:rsidRPr="00BC5BD0">
        <w:t xml:space="preserve"> </w:t>
      </w:r>
      <w:r w:rsidR="00C93CC5">
        <w:t xml:space="preserve">provides </w:t>
      </w:r>
      <w:r w:rsidR="00C93CC5" w:rsidRPr="00BC5BD0">
        <w:t xml:space="preserve">examples of </w:t>
      </w:r>
      <w:r w:rsidR="00C93CC5">
        <w:t xml:space="preserve">national-level </w:t>
      </w:r>
      <w:r w:rsidR="00C93CC5" w:rsidRPr="00BC5BD0">
        <w:t>progress and</w:t>
      </w:r>
      <w:r w:rsidR="00C93CC5">
        <w:t xml:space="preserve"> forward-focused priorit</w:t>
      </w:r>
      <w:r w:rsidR="00C41698">
        <w:t>y actions,</w:t>
      </w:r>
      <w:r w:rsidR="00C93CC5">
        <w:t xml:space="preserve"> and </w:t>
      </w:r>
      <w:r w:rsidRPr="00BC5BD0">
        <w:t>expands the range of system enablers</w:t>
      </w:r>
      <w:r w:rsidR="006105D1" w:rsidRPr="006105D1">
        <w:t xml:space="preserve"> </w:t>
      </w:r>
      <w:r w:rsidR="006105D1">
        <w:t>needed</w:t>
      </w:r>
      <w:r w:rsidR="006105D1" w:rsidRPr="005005A5">
        <w:t xml:space="preserve"> to ensure successful implementation of actions</w:t>
      </w:r>
      <w:r w:rsidR="00C93CC5">
        <w:t xml:space="preserve">. </w:t>
      </w:r>
      <w:r w:rsidR="002441C2">
        <w:t>G</w:t>
      </w:r>
      <w:r w:rsidR="004F75D6" w:rsidRPr="00BC5BD0">
        <w:t xml:space="preserve">uidance </w:t>
      </w:r>
      <w:r w:rsidR="00F02E8F" w:rsidRPr="00BC5BD0">
        <w:t xml:space="preserve">and resources in the event of </w:t>
      </w:r>
      <w:r w:rsidR="008E507E">
        <w:t xml:space="preserve">shifts to </w:t>
      </w:r>
      <w:r w:rsidR="004F75D6" w:rsidRPr="00BC5BD0">
        <w:t>higher Alert Levels</w:t>
      </w:r>
      <w:r w:rsidR="002441C2">
        <w:t xml:space="preserve"> are </w:t>
      </w:r>
      <w:r w:rsidR="003B337C">
        <w:t xml:space="preserve">also </w:t>
      </w:r>
      <w:r w:rsidR="002441C2">
        <w:t>included</w:t>
      </w:r>
      <w:r w:rsidRPr="00BC5BD0">
        <w:t xml:space="preserve">. </w:t>
      </w:r>
    </w:p>
    <w:p w14:paraId="4000B834" w14:textId="77777777" w:rsidR="006105D1" w:rsidRPr="00910D25" w:rsidRDefault="006105D1" w:rsidP="00AF08E8">
      <w:pPr>
        <w:pStyle w:val="Heading3"/>
        <w:numPr>
          <w:ilvl w:val="2"/>
          <w:numId w:val="9"/>
        </w:numPr>
        <w:rPr>
          <w:b/>
          <w:sz w:val="48"/>
        </w:rPr>
      </w:pPr>
      <w:r w:rsidRPr="00910D25">
        <w:rPr>
          <w:b/>
          <w:sz w:val="48"/>
        </w:rPr>
        <w:t>Our approach</w:t>
      </w:r>
    </w:p>
    <w:p w14:paraId="78F0CFA1" w14:textId="1217AB70" w:rsidR="00A775E2" w:rsidRDefault="00720623" w:rsidP="00720623">
      <w:r>
        <w:rPr>
          <w:i/>
          <w:iCs/>
        </w:rPr>
        <w:t xml:space="preserve">Kia Kaha </w:t>
      </w:r>
      <w:r>
        <w:t xml:space="preserve">provides principles and a mental wellbeing framework which can be used by all organisations to guide and shape their contributions </w:t>
      </w:r>
      <w:r>
        <w:rPr>
          <w:rFonts w:cs="Segoe UI"/>
        </w:rPr>
        <w:t>–</w:t>
      </w:r>
      <w:r>
        <w:t xml:space="preserve"> across </w:t>
      </w:r>
      <w:r w:rsidRPr="00181C1D">
        <w:t xml:space="preserve">central and local government; district health boards (DHBs); whānau, hapū and iwi; </w:t>
      </w:r>
      <w:r>
        <w:t>educational institutions</w:t>
      </w:r>
      <w:r w:rsidRPr="00181C1D">
        <w:t>; community organisations; businesses;</w:t>
      </w:r>
      <w:r>
        <w:t xml:space="preserve"> and others who contribute to mental wellbeing. </w:t>
      </w:r>
    </w:p>
    <w:p w14:paraId="29BF59AC" w14:textId="42CB736B" w:rsidR="00A775E2" w:rsidRDefault="00A775E2" w:rsidP="00720623"/>
    <w:p w14:paraId="531633A7" w14:textId="4C3933F8" w:rsidR="00720623" w:rsidRDefault="00053F2F" w:rsidP="00720623">
      <w:r w:rsidRPr="00E1672B">
        <w:rPr>
          <w:i/>
        </w:rPr>
        <w:t>Kia Kaha</w:t>
      </w:r>
      <w:r>
        <w:t xml:space="preserve"> highlights central government priorities</w:t>
      </w:r>
      <w:r w:rsidR="00F22E26">
        <w:t>;</w:t>
      </w:r>
      <w:r>
        <w:t xml:space="preserve"> however</w:t>
      </w:r>
      <w:r w:rsidR="00F22E26">
        <w:t>,</w:t>
      </w:r>
      <w:r>
        <w:t xml:space="preserve"> local services and initiatives play a vital and significant role in transforming mental wellbeing. While the mental wellbeing framework in </w:t>
      </w:r>
      <w:r>
        <w:rPr>
          <w:i/>
          <w:iCs/>
        </w:rPr>
        <w:t xml:space="preserve">Kia Kaha </w:t>
      </w:r>
      <w:r w:rsidR="00720623">
        <w:t xml:space="preserve">is not intended to replace existing frameworks or strategies that organisations have, </w:t>
      </w:r>
      <w:r w:rsidR="004C2FA4">
        <w:t xml:space="preserve">we encourage all who support mental wellbeing </w:t>
      </w:r>
      <w:r w:rsidR="00720623">
        <w:t xml:space="preserve">to consider how their activity aligns with </w:t>
      </w:r>
      <w:r w:rsidR="00DE07B8">
        <w:t xml:space="preserve">and contributes to </w:t>
      </w:r>
      <w:r w:rsidR="00720623">
        <w:t xml:space="preserve">a national approach to mental wellbeing. </w:t>
      </w:r>
    </w:p>
    <w:p w14:paraId="15C87BBE" w14:textId="77777777" w:rsidR="00720623" w:rsidRDefault="00720623" w:rsidP="00720623"/>
    <w:p w14:paraId="02E8120B" w14:textId="683E0735" w:rsidR="00B54104" w:rsidRDefault="00B87651" w:rsidP="00B54104">
      <w:r>
        <w:t xml:space="preserve">Individuals, whānau and communities across </w:t>
      </w:r>
      <w:r w:rsidR="001570E8">
        <w:t>Aotearoa</w:t>
      </w:r>
      <w:r w:rsidR="00855F4E">
        <w:t xml:space="preserve"> </w:t>
      </w:r>
      <w:r w:rsidR="001570E8">
        <w:t>New Zealand</w:t>
      </w:r>
      <w:r w:rsidR="00234176">
        <w:t xml:space="preserve"> have already shown great resilience</w:t>
      </w:r>
      <w:r w:rsidR="00C41698">
        <w:t xml:space="preserve"> and </w:t>
      </w:r>
      <w:r w:rsidR="00080DCD">
        <w:t>cooperation</w:t>
      </w:r>
      <w:r w:rsidR="00C41698">
        <w:t xml:space="preserve"> in our shared response to COVID-19</w:t>
      </w:r>
      <w:r w:rsidR="00234176">
        <w:t xml:space="preserve">. </w:t>
      </w:r>
      <w:r w:rsidR="005E3D94">
        <w:t xml:space="preserve">The </w:t>
      </w:r>
      <w:r w:rsidR="008D08BB">
        <w:t xml:space="preserve">approach </w:t>
      </w:r>
      <w:r w:rsidR="005E3D94">
        <w:t xml:space="preserve">outlined in </w:t>
      </w:r>
      <w:r w:rsidR="00E1672B" w:rsidRPr="00E1672B">
        <w:rPr>
          <w:i/>
        </w:rPr>
        <w:t>Kia Kaha</w:t>
      </w:r>
      <w:r w:rsidR="00C41698">
        <w:t xml:space="preserve"> </w:t>
      </w:r>
      <w:r w:rsidR="001D5C2D">
        <w:t>aims</w:t>
      </w:r>
      <w:r w:rsidR="00C41698">
        <w:t xml:space="preserve"> </w:t>
      </w:r>
      <w:r w:rsidR="00080DCD">
        <w:t xml:space="preserve">to </w:t>
      </w:r>
      <w:r w:rsidR="00E835D6">
        <w:t xml:space="preserve">build on the </w:t>
      </w:r>
      <w:r w:rsidR="00B54104">
        <w:t>positive shifts that have already occurred</w:t>
      </w:r>
      <w:r w:rsidR="00C41698">
        <w:t xml:space="preserve"> and provide a framework </w:t>
      </w:r>
      <w:r w:rsidR="00E1672B">
        <w:t>which</w:t>
      </w:r>
      <w:r w:rsidR="00C41698">
        <w:t xml:space="preserve"> </w:t>
      </w:r>
      <w:r w:rsidR="002E4678">
        <w:t xml:space="preserve">encourages </w:t>
      </w:r>
      <w:r w:rsidR="00C41698">
        <w:t>new possibilities and innovations</w:t>
      </w:r>
      <w:r w:rsidR="00080DCD">
        <w:t>.</w:t>
      </w:r>
      <w:r w:rsidR="00B54104">
        <w:t xml:space="preserve"> </w:t>
      </w:r>
    </w:p>
    <w:p w14:paraId="1B731EFF" w14:textId="61BE1EF9" w:rsidR="00E835D6" w:rsidRDefault="00E835D6" w:rsidP="006105D1">
      <w:pPr>
        <w:keepLines/>
      </w:pPr>
    </w:p>
    <w:p w14:paraId="60A78EB2" w14:textId="7ECBFA67" w:rsidR="00D828FC" w:rsidRDefault="00DC7145" w:rsidP="00D828FC">
      <w:bookmarkStart w:id="14" w:name="_Hlk57711339"/>
      <w:r>
        <w:t>Our</w:t>
      </w:r>
      <w:r w:rsidR="00080DCD">
        <w:t xml:space="preserve"> approach </w:t>
      </w:r>
      <w:r w:rsidR="00303914">
        <w:t>promotes</w:t>
      </w:r>
      <w:r w:rsidR="00080DCD">
        <w:t xml:space="preserve"> a</w:t>
      </w:r>
      <w:r w:rsidR="001139E2">
        <w:t xml:space="preserve">ctions that support </w:t>
      </w:r>
      <w:r w:rsidR="00C41698">
        <w:t xml:space="preserve">a holistic approach to </w:t>
      </w:r>
      <w:r w:rsidR="001139E2">
        <w:t>mental wellbeing</w:t>
      </w:r>
      <w:r w:rsidR="00080DCD">
        <w:t>,</w:t>
      </w:r>
      <w:r>
        <w:t xml:space="preserve"> which range </w:t>
      </w:r>
      <w:r w:rsidR="00234176">
        <w:t>from ensuring basic needs are met (such as food and safe housing), through to providing specialist services</w:t>
      </w:r>
      <w:r w:rsidR="002F17CF">
        <w:t xml:space="preserve"> in health, education and community settings</w:t>
      </w:r>
      <w:r w:rsidR="00234176">
        <w:t>.</w:t>
      </w:r>
      <w:r w:rsidR="002E39D0">
        <w:t xml:space="preserve"> </w:t>
      </w:r>
    </w:p>
    <w:bookmarkEnd w:id="14"/>
    <w:p w14:paraId="1A21AAE2" w14:textId="77777777" w:rsidR="00FC4934" w:rsidRDefault="00FC4934" w:rsidP="008B6CB8"/>
    <w:p w14:paraId="739BC255" w14:textId="14037875" w:rsidR="008B6CB8" w:rsidRDefault="008B6CB8" w:rsidP="008B6CB8">
      <w:r>
        <w:t>While t</w:t>
      </w:r>
      <w:r w:rsidRPr="00EA1CF5">
        <w:t xml:space="preserve">he </w:t>
      </w:r>
      <w:r>
        <w:t>mental wellbeing</w:t>
      </w:r>
      <w:r w:rsidRPr="00EA1CF5">
        <w:t xml:space="preserve"> framework primarily </w:t>
      </w:r>
      <w:r>
        <w:t>f</w:t>
      </w:r>
      <w:r w:rsidRPr="00EA1CF5">
        <w:t>ocuses on recovery</w:t>
      </w:r>
      <w:r>
        <w:t xml:space="preserve">, it is recognised that the path may include </w:t>
      </w:r>
      <w:r w:rsidRPr="00F64106">
        <w:t>further fluctuations in COVID</w:t>
      </w:r>
      <w:r w:rsidRPr="00F64106">
        <w:noBreakHyphen/>
        <w:t>19 Alert Levels</w:t>
      </w:r>
      <w:r>
        <w:t xml:space="preserve">. </w:t>
      </w:r>
      <w:r w:rsidR="001D5C2D">
        <w:t>This could</w:t>
      </w:r>
      <w:r>
        <w:t xml:space="preserve"> </w:t>
      </w:r>
      <w:r w:rsidR="0075184D">
        <w:t xml:space="preserve">affect </w:t>
      </w:r>
      <w:r>
        <w:t>regions or populations differently depending on the nature and location of COVID-19 clusters</w:t>
      </w:r>
      <w:r w:rsidR="001D5C2D">
        <w:t>, and would require</w:t>
      </w:r>
      <w:r>
        <w:t xml:space="preserve"> focused actions and tailored responses. </w:t>
      </w:r>
      <w:r w:rsidRPr="00F64106">
        <w:rPr>
          <w:b/>
        </w:rPr>
        <w:t>Appendix A</w:t>
      </w:r>
      <w:r>
        <w:t xml:space="preserve"> outlines key messaging, actions and resources of particular relevance when responding in a COVID</w:t>
      </w:r>
      <w:r>
        <w:noBreakHyphen/>
        <w:t>19 Alert Level 2</w:t>
      </w:r>
      <w:r w:rsidR="001D5C2D">
        <w:t xml:space="preserve"> to </w:t>
      </w:r>
      <w:r>
        <w:t>4 environment.</w:t>
      </w:r>
    </w:p>
    <w:p w14:paraId="60C42706" w14:textId="77777777" w:rsidR="00D828FC" w:rsidRDefault="00D828FC" w:rsidP="00D828FC"/>
    <w:p w14:paraId="2F46B4FB" w14:textId="658B6AFC" w:rsidR="003503F7" w:rsidRDefault="009B14DD" w:rsidP="006105D1">
      <w:pPr>
        <w:keepLines/>
      </w:pPr>
      <w:r>
        <w:rPr>
          <w:i/>
          <w:iCs/>
        </w:rPr>
        <w:t xml:space="preserve">Kia Kaha </w:t>
      </w:r>
      <w:r>
        <w:t xml:space="preserve">is intended to be flexible. </w:t>
      </w:r>
      <w:bookmarkStart w:id="15" w:name="_Hlk57711479"/>
      <w:r w:rsidR="00BB1F38">
        <w:t xml:space="preserve">As we </w:t>
      </w:r>
      <w:r w:rsidR="00C1099E">
        <w:t xml:space="preserve">build our understanding </w:t>
      </w:r>
      <w:r w:rsidR="00BB1F38">
        <w:t xml:space="preserve">about </w:t>
      </w:r>
      <w:r w:rsidR="001570E8">
        <w:t xml:space="preserve">COVID-19’s </w:t>
      </w:r>
      <w:r w:rsidR="00BB1F38">
        <w:t xml:space="preserve">longer-term </w:t>
      </w:r>
      <w:r w:rsidR="001570E8">
        <w:t xml:space="preserve">social and economic </w:t>
      </w:r>
      <w:r w:rsidR="008846D9">
        <w:t>effects</w:t>
      </w:r>
      <w:r w:rsidR="002352A6">
        <w:t>,</w:t>
      </w:r>
      <w:r w:rsidR="008846D9">
        <w:t xml:space="preserve"> </w:t>
      </w:r>
      <w:r w:rsidR="00BB1F38">
        <w:t xml:space="preserve">we will </w:t>
      </w:r>
      <w:r w:rsidR="007E6622">
        <w:t xml:space="preserve">adjust our approach </w:t>
      </w:r>
      <w:r w:rsidR="00356BA1">
        <w:t>as necessary</w:t>
      </w:r>
      <w:r w:rsidR="007E6622">
        <w:t xml:space="preserve"> </w:t>
      </w:r>
      <w:r w:rsidR="00BB1F38">
        <w:t>t</w:t>
      </w:r>
      <w:r w:rsidR="00FF2ED6">
        <w:t>o</w:t>
      </w:r>
      <w:r w:rsidR="00687288" w:rsidRPr="001A4F6F">
        <w:t xml:space="preserve"> meet the changing needs of </w:t>
      </w:r>
      <w:r w:rsidR="00687288">
        <w:t>whānau</w:t>
      </w:r>
      <w:r w:rsidR="00D0446E">
        <w:t>,</w:t>
      </w:r>
      <w:r w:rsidR="00687288">
        <w:t xml:space="preserve"> communities</w:t>
      </w:r>
      <w:r w:rsidR="00D0446E">
        <w:t xml:space="preserve"> and different population groups</w:t>
      </w:r>
      <w:bookmarkEnd w:id="15"/>
      <w:r w:rsidR="006105D1">
        <w:t>.</w:t>
      </w:r>
      <w:r w:rsidR="00FF2ED6">
        <w:t xml:space="preserve"> </w:t>
      </w:r>
      <w:r w:rsidR="00A919FB">
        <w:t xml:space="preserve">We encourage ongoing sharing of </w:t>
      </w:r>
      <w:r w:rsidR="00370C43">
        <w:t>information and developments</w:t>
      </w:r>
      <w:r w:rsidR="00A919FB">
        <w:t xml:space="preserve"> across national, regional and local levels.</w:t>
      </w:r>
      <w:r w:rsidR="00A919FB" w:rsidRPr="00F72772">
        <w:t xml:space="preserve"> </w:t>
      </w:r>
    </w:p>
    <w:p w14:paraId="32F11BE9" w14:textId="715D4AE0" w:rsidR="00BA0D5F" w:rsidRPr="00910D25" w:rsidRDefault="00BA0D5F" w:rsidP="00AF08E8">
      <w:pPr>
        <w:pStyle w:val="Heading3"/>
        <w:numPr>
          <w:ilvl w:val="2"/>
          <w:numId w:val="9"/>
        </w:numPr>
        <w:rPr>
          <w:b/>
          <w:sz w:val="48"/>
        </w:rPr>
      </w:pPr>
      <w:r w:rsidRPr="00910D25">
        <w:rPr>
          <w:b/>
          <w:i/>
          <w:sz w:val="48"/>
        </w:rPr>
        <w:t>He Ara Oranga</w:t>
      </w:r>
      <w:r w:rsidRPr="00910D25">
        <w:rPr>
          <w:b/>
          <w:sz w:val="48"/>
        </w:rPr>
        <w:t xml:space="preserve"> and the longer-term </w:t>
      </w:r>
      <w:r w:rsidR="0012330A" w:rsidRPr="00910D25">
        <w:rPr>
          <w:b/>
          <w:sz w:val="48"/>
        </w:rPr>
        <w:t xml:space="preserve">transformation </w:t>
      </w:r>
      <w:r w:rsidRPr="00910D25">
        <w:rPr>
          <w:b/>
          <w:sz w:val="48"/>
        </w:rPr>
        <w:t>pathway</w:t>
      </w:r>
    </w:p>
    <w:p w14:paraId="0B177531" w14:textId="700FC755" w:rsidR="00C269E9" w:rsidRDefault="00BA0D5F" w:rsidP="00BA0D5F">
      <w:r w:rsidRPr="005D531E">
        <w:t xml:space="preserve">Since 2019, the Ministry of Health has been leading the </w:t>
      </w:r>
      <w:hyperlink r:id="rId21" w:history="1">
        <w:r w:rsidRPr="001803C4">
          <w:rPr>
            <w:rStyle w:val="Hyperlink"/>
            <w:b w:val="0"/>
            <w:bCs/>
          </w:rPr>
          <w:t>Government’s response</w:t>
        </w:r>
      </w:hyperlink>
      <w:r w:rsidRPr="001803C4">
        <w:rPr>
          <w:b/>
          <w:bCs/>
        </w:rPr>
        <w:t xml:space="preserve"> </w:t>
      </w:r>
      <w:r w:rsidRPr="001D5C2D">
        <w:t>to</w:t>
      </w:r>
      <w:r w:rsidRPr="001803C4">
        <w:rPr>
          <w:b/>
          <w:bCs/>
        </w:rPr>
        <w:t xml:space="preserve"> </w:t>
      </w:r>
      <w:hyperlink r:id="rId22" w:history="1">
        <w:r w:rsidRPr="001803C4">
          <w:rPr>
            <w:rStyle w:val="Hyperlink"/>
            <w:b w:val="0"/>
            <w:bCs/>
            <w:i/>
          </w:rPr>
          <w:t>He Ara Oranga: Report of the Government Inquiry into Mental Health and Addiction</w:t>
        </w:r>
      </w:hyperlink>
      <w:r w:rsidRPr="005D531E">
        <w:rPr>
          <w:i/>
        </w:rPr>
        <w:t xml:space="preserve"> </w:t>
      </w:r>
      <w:r w:rsidRPr="005D531E">
        <w:t xml:space="preserve">and work to transform our approach to mental </w:t>
      </w:r>
      <w:r w:rsidR="007310F6">
        <w:t>wellbeing</w:t>
      </w:r>
      <w:r w:rsidRPr="005D531E">
        <w:t xml:space="preserve">. </w:t>
      </w:r>
      <w:r w:rsidR="005926EF">
        <w:t>Continuation of this</w:t>
      </w:r>
      <w:r w:rsidR="005926EF" w:rsidRPr="005D531E">
        <w:t xml:space="preserve"> </w:t>
      </w:r>
      <w:r w:rsidRPr="005D531E">
        <w:t xml:space="preserve">work will support our </w:t>
      </w:r>
      <w:r w:rsidR="00C269E9">
        <w:t>emergence</w:t>
      </w:r>
      <w:r w:rsidR="00C269E9" w:rsidRPr="005D531E">
        <w:t xml:space="preserve"> </w:t>
      </w:r>
      <w:r w:rsidRPr="005D531E">
        <w:t>from COVID-19</w:t>
      </w:r>
      <w:r w:rsidR="00892370">
        <w:t xml:space="preserve"> and </w:t>
      </w:r>
      <w:r w:rsidR="006105D1">
        <w:t xml:space="preserve">help to </w:t>
      </w:r>
      <w:r w:rsidR="00892370">
        <w:t xml:space="preserve">build </w:t>
      </w:r>
      <w:r w:rsidR="00EB57B6">
        <w:t xml:space="preserve">individual, </w:t>
      </w:r>
      <w:r w:rsidR="007B31CB">
        <w:t xml:space="preserve">whānau </w:t>
      </w:r>
      <w:r w:rsidR="00892370">
        <w:t>and community resilience</w:t>
      </w:r>
      <w:r>
        <w:t xml:space="preserve">. </w:t>
      </w:r>
    </w:p>
    <w:p w14:paraId="3EE9B927" w14:textId="77777777" w:rsidR="00C269E9" w:rsidRDefault="00C269E9" w:rsidP="00BA0D5F"/>
    <w:p w14:paraId="5755B3D7" w14:textId="6D1E346E" w:rsidR="006105D1" w:rsidRDefault="006105D1" w:rsidP="006105D1">
      <w:r>
        <w:t xml:space="preserve">While actions in response to </w:t>
      </w:r>
      <w:r w:rsidRPr="00C269E9">
        <w:rPr>
          <w:i/>
        </w:rPr>
        <w:t>He Ara Oranga</w:t>
      </w:r>
      <w:r>
        <w:t xml:space="preserve"> are ongoing, COVID-19 has added a new dimension. </w:t>
      </w:r>
      <w:r w:rsidR="002E4678">
        <w:t>Business as usual activities and existing resources of government a</w:t>
      </w:r>
      <w:r w:rsidR="007864E4">
        <w:t xml:space="preserve">gencies and </w:t>
      </w:r>
      <w:r w:rsidR="002E4678">
        <w:t xml:space="preserve">other </w:t>
      </w:r>
      <w:r w:rsidR="007864E4">
        <w:t>organisations</w:t>
      </w:r>
      <w:r w:rsidR="004C2A15">
        <w:t xml:space="preserve"> must pivot to </w:t>
      </w:r>
      <w:r w:rsidR="004007F4">
        <w:t>reflect the post-COVID-19 environment</w:t>
      </w:r>
      <w:r w:rsidR="002E4678">
        <w:t xml:space="preserve"> and support recovery</w:t>
      </w:r>
      <w:r w:rsidR="004007F4">
        <w:t xml:space="preserve">. </w:t>
      </w:r>
    </w:p>
    <w:p w14:paraId="376192A2" w14:textId="77777777" w:rsidR="00BA0D5F" w:rsidRDefault="00BA0D5F" w:rsidP="00BA0D5F"/>
    <w:p w14:paraId="0D081A0C" w14:textId="3B0A51CE" w:rsidR="00573EDD" w:rsidRDefault="00BC50DA" w:rsidP="00BA0D5F">
      <w:r>
        <w:t xml:space="preserve">The Government’s response to </w:t>
      </w:r>
      <w:r>
        <w:rPr>
          <w:i/>
        </w:rPr>
        <w:t xml:space="preserve">He Ara Oranga </w:t>
      </w:r>
      <w:r>
        <w:t xml:space="preserve">committed to </w:t>
      </w:r>
      <w:r w:rsidR="00807B9E">
        <w:t xml:space="preserve">the development of </w:t>
      </w:r>
      <w:r>
        <w:t>a longer-term transformation pathway</w:t>
      </w:r>
      <w:r w:rsidR="007172E7">
        <w:t xml:space="preserve"> for mental wellbeing in Aotearoa</w:t>
      </w:r>
      <w:r w:rsidR="00B62C41">
        <w:t xml:space="preserve"> </w:t>
      </w:r>
      <w:r w:rsidR="007172E7">
        <w:t xml:space="preserve">New Zealand. </w:t>
      </w:r>
      <w:r w:rsidR="00E1672B" w:rsidRPr="00E1672B">
        <w:rPr>
          <w:i/>
        </w:rPr>
        <w:t>Kia Kaha</w:t>
      </w:r>
      <w:r w:rsidR="005E6640">
        <w:t xml:space="preserve"> </w:t>
      </w:r>
      <w:r w:rsidR="0012330A">
        <w:t xml:space="preserve">represents </w:t>
      </w:r>
      <w:r w:rsidR="00BA0D5F">
        <w:t xml:space="preserve">the first phase of </w:t>
      </w:r>
      <w:r w:rsidR="007172E7">
        <w:t xml:space="preserve">that </w:t>
      </w:r>
      <w:r w:rsidR="00BA0D5F">
        <w:t xml:space="preserve">pathway. The </w:t>
      </w:r>
      <w:r w:rsidR="007B31CB">
        <w:t xml:space="preserve">pathway </w:t>
      </w:r>
      <w:r w:rsidR="003B5DB8">
        <w:t xml:space="preserve">for transformation </w:t>
      </w:r>
      <w:r w:rsidR="00BA0D5F">
        <w:t xml:space="preserve">will </w:t>
      </w:r>
      <w:r w:rsidR="005E6640">
        <w:t>draw on the</w:t>
      </w:r>
      <w:r w:rsidR="009607D2">
        <w:t xml:space="preserve"> </w:t>
      </w:r>
      <w:r w:rsidR="00BB1F38">
        <w:t xml:space="preserve">mental wellbeing </w:t>
      </w:r>
      <w:r w:rsidR="00A9042E">
        <w:t xml:space="preserve">framework (vision, principles, outcomes and focus areas) </w:t>
      </w:r>
      <w:r w:rsidR="00526589">
        <w:t>and will provide sequenced</w:t>
      </w:r>
      <w:r w:rsidR="00A9042E">
        <w:t xml:space="preserve"> actions</w:t>
      </w:r>
      <w:r w:rsidR="007310F6">
        <w:t xml:space="preserve"> </w:t>
      </w:r>
      <w:r w:rsidR="00BA0D5F">
        <w:t xml:space="preserve">to support recovery and </w:t>
      </w:r>
      <w:r w:rsidR="00475834">
        <w:t xml:space="preserve">create system change in </w:t>
      </w:r>
      <w:r w:rsidR="007B31CB">
        <w:t xml:space="preserve">approaches to </w:t>
      </w:r>
      <w:r w:rsidR="00BA0D5F">
        <w:t xml:space="preserve">mental </w:t>
      </w:r>
      <w:r w:rsidR="007310F6">
        <w:t>wellbeing</w:t>
      </w:r>
      <w:r w:rsidR="003B5DB8">
        <w:t xml:space="preserve"> </w:t>
      </w:r>
      <w:r w:rsidR="004F70FE">
        <w:t>over the longer term</w:t>
      </w:r>
      <w:r w:rsidR="00BA0D5F">
        <w:t xml:space="preserve">. </w:t>
      </w:r>
    </w:p>
    <w:p w14:paraId="34C21A6E" w14:textId="77777777" w:rsidR="00573EDD" w:rsidRDefault="00573EDD" w:rsidP="00BA0D5F"/>
    <w:p w14:paraId="35432D64" w14:textId="69AD991C" w:rsidR="00BA0D5F" w:rsidRPr="005D531E" w:rsidRDefault="00573EDD" w:rsidP="00BA0D5F">
      <w:r>
        <w:t xml:space="preserve">As with </w:t>
      </w:r>
      <w:r w:rsidR="00BB1F38">
        <w:t>our response and recovery to COVID-19</w:t>
      </w:r>
      <w:r>
        <w:t xml:space="preserve">, the longer-term transformation pathway will need to be flexible </w:t>
      </w:r>
      <w:r w:rsidR="00C7442F">
        <w:t xml:space="preserve">to adapt to emerging needs and </w:t>
      </w:r>
      <w:r w:rsidR="00284B1E">
        <w:t xml:space="preserve">incorporate </w:t>
      </w:r>
      <w:r w:rsidR="006B59EE">
        <w:t xml:space="preserve">what we </w:t>
      </w:r>
      <w:r w:rsidR="0000624D">
        <w:t xml:space="preserve">have </w:t>
      </w:r>
      <w:r w:rsidR="00AB597B">
        <w:t>learn</w:t>
      </w:r>
      <w:r w:rsidR="0000624D">
        <w:t>t</w:t>
      </w:r>
      <w:r w:rsidR="00AB597B">
        <w:t xml:space="preserve"> </w:t>
      </w:r>
      <w:r w:rsidR="00C7442F">
        <w:t>from previous actions</w:t>
      </w:r>
      <w:r w:rsidR="003D449B">
        <w:t xml:space="preserve">. It </w:t>
      </w:r>
      <w:r w:rsidR="00C7442F">
        <w:t xml:space="preserve">will need to be informed by </w:t>
      </w:r>
      <w:r w:rsidR="009D48CA">
        <w:t>engagement and new evidence</w:t>
      </w:r>
      <w:r w:rsidR="00C7442F">
        <w:t xml:space="preserve">. </w:t>
      </w:r>
      <w:r w:rsidR="00373DF5">
        <w:t xml:space="preserve">Further development </w:t>
      </w:r>
      <w:r w:rsidR="00526589">
        <w:t>o</w:t>
      </w:r>
      <w:r w:rsidR="00330FE5">
        <w:t>f</w:t>
      </w:r>
      <w:r w:rsidR="00526589">
        <w:t xml:space="preserve"> the </w:t>
      </w:r>
      <w:r w:rsidR="009D48CA">
        <w:t xml:space="preserve">longer-term </w:t>
      </w:r>
      <w:r w:rsidR="00526589">
        <w:t>pathway will progress after completion of this shorter-term plan.</w:t>
      </w:r>
    </w:p>
    <w:p w14:paraId="6D311551" w14:textId="77777777" w:rsidR="00BA0D5F" w:rsidRPr="00910D25" w:rsidRDefault="00BA0D5F" w:rsidP="00AF08E8">
      <w:pPr>
        <w:pStyle w:val="Heading3"/>
        <w:numPr>
          <w:ilvl w:val="2"/>
          <w:numId w:val="9"/>
        </w:numPr>
        <w:rPr>
          <w:b/>
          <w:sz w:val="48"/>
        </w:rPr>
      </w:pPr>
      <w:r w:rsidRPr="00910D25">
        <w:rPr>
          <w:b/>
          <w:sz w:val="48"/>
        </w:rPr>
        <w:t>Terms used and complementary plans</w:t>
      </w:r>
    </w:p>
    <w:p w14:paraId="0F0BA2EA" w14:textId="014623F8" w:rsidR="00BA0D5F" w:rsidRPr="00C73963" w:rsidRDefault="00BA0D5F" w:rsidP="00BA0D5F">
      <w:r w:rsidRPr="001A4F6F">
        <w:t>A glossary defining</w:t>
      </w:r>
      <w:r>
        <w:t xml:space="preserve"> </w:t>
      </w:r>
      <w:r w:rsidRPr="001A4F6F">
        <w:t xml:space="preserve">key terms </w:t>
      </w:r>
      <w:r w:rsidR="005E6640">
        <w:t>in</w:t>
      </w:r>
      <w:r w:rsidRPr="001A4F6F">
        <w:t xml:space="preserve"> this </w:t>
      </w:r>
      <w:r w:rsidR="005E6640">
        <w:t>plan</w:t>
      </w:r>
      <w:r w:rsidR="005E6640" w:rsidRPr="001A4F6F">
        <w:t xml:space="preserve"> </w:t>
      </w:r>
      <w:r w:rsidRPr="001A4F6F">
        <w:t xml:space="preserve">is </w:t>
      </w:r>
      <w:r>
        <w:t xml:space="preserve">at the end of this document. </w:t>
      </w:r>
      <w:r w:rsidR="00E33F0D">
        <w:t>Two k</w:t>
      </w:r>
      <w:r>
        <w:t>ey terms used are ‘psychosocial’ and ‘mental wellbeing’.</w:t>
      </w:r>
      <w:r w:rsidR="005E6640">
        <w:t xml:space="preserve"> </w:t>
      </w:r>
      <w:r w:rsidR="00702945" w:rsidRPr="00702945">
        <w:t xml:space="preserve">Derived from emergency planning, </w:t>
      </w:r>
      <w:r w:rsidR="00F67E2B">
        <w:t xml:space="preserve">‘psychosocial’ refers to </w:t>
      </w:r>
      <w:r w:rsidR="00F67E2B" w:rsidRPr="00702945">
        <w:t xml:space="preserve">the physical, psychological and social </w:t>
      </w:r>
      <w:r w:rsidR="00F67E2B">
        <w:t>factors that affect wellbeing. P</w:t>
      </w:r>
      <w:r w:rsidR="00702945" w:rsidRPr="00702945">
        <w:t>sychosocial</w:t>
      </w:r>
      <w:r w:rsidR="004B5649">
        <w:t xml:space="preserve"> </w:t>
      </w:r>
      <w:r w:rsidR="001C515D">
        <w:t xml:space="preserve">response and recovery </w:t>
      </w:r>
      <w:r w:rsidR="00702945" w:rsidRPr="00702945">
        <w:t>refer</w:t>
      </w:r>
      <w:r w:rsidR="003570AF">
        <w:t>s</w:t>
      </w:r>
      <w:r w:rsidR="00702945" w:rsidRPr="00702945">
        <w:t xml:space="preserve"> to efforts to minimise the physical, psychological and social consequences of emergencies to support mental wellbeing and positive adapt</w:t>
      </w:r>
      <w:r w:rsidR="0000624D">
        <w:t>at</w:t>
      </w:r>
      <w:r w:rsidR="00702945" w:rsidRPr="00702945">
        <w:t xml:space="preserve">ion to a changed reality. </w:t>
      </w:r>
    </w:p>
    <w:p w14:paraId="4C75A06E" w14:textId="77777777" w:rsidR="00BA0D5F" w:rsidRPr="00C73963" w:rsidRDefault="00BA0D5F" w:rsidP="00BA0D5F"/>
    <w:p w14:paraId="5798895B" w14:textId="35B24074" w:rsidR="00BA0D5F" w:rsidRDefault="00BA0D5F" w:rsidP="00BA0D5F">
      <w:r>
        <w:t>We have primarily used</w:t>
      </w:r>
      <w:r w:rsidRPr="00C73963">
        <w:t xml:space="preserve"> the term mental wellbeing as the core concept</w:t>
      </w:r>
      <w:r w:rsidR="0047773F">
        <w:t xml:space="preserve"> in </w:t>
      </w:r>
      <w:r w:rsidR="00E1672B" w:rsidRPr="00E1672B">
        <w:rPr>
          <w:i/>
        </w:rPr>
        <w:t>Kia Kaha</w:t>
      </w:r>
      <w:r w:rsidR="005E6640">
        <w:t xml:space="preserve">. In </w:t>
      </w:r>
      <w:r>
        <w:t xml:space="preserve">doing so, </w:t>
      </w:r>
      <w:r w:rsidRPr="00C73963">
        <w:t xml:space="preserve">we </w:t>
      </w:r>
      <w:r w:rsidR="004B0E2A">
        <w:t>also place</w:t>
      </w:r>
      <w:r w:rsidR="004B0E2A" w:rsidRPr="00C73963">
        <w:t xml:space="preserve"> </w:t>
      </w:r>
      <w:r w:rsidRPr="00C73963">
        <w:t xml:space="preserve">a strong emphasis on the wider </w:t>
      </w:r>
      <w:r>
        <w:t>social</w:t>
      </w:r>
      <w:r w:rsidR="0003163E">
        <w:t>, cultural</w:t>
      </w:r>
      <w:r>
        <w:t xml:space="preserve"> and economic </w:t>
      </w:r>
      <w:r w:rsidR="0003163E">
        <w:t>foundations of</w:t>
      </w:r>
      <w:r w:rsidRPr="00C73963">
        <w:t xml:space="preserve"> wellbeing</w:t>
      </w:r>
      <w:r w:rsidR="005E6640">
        <w:t xml:space="preserve">, </w:t>
      </w:r>
      <w:r w:rsidR="004B0E2A">
        <w:t>expressed through</w:t>
      </w:r>
      <w:r w:rsidR="005E6640">
        <w:t xml:space="preserve"> </w:t>
      </w:r>
      <w:r w:rsidR="00D54B84">
        <w:t xml:space="preserve">important </w:t>
      </w:r>
      <w:r w:rsidR="004B0E2A">
        <w:t xml:space="preserve">work that takes place </w:t>
      </w:r>
      <w:r w:rsidR="00710EC4">
        <w:t>outside the health sector.</w:t>
      </w:r>
      <w:r w:rsidR="00F97DD2">
        <w:t xml:space="preserve"> </w:t>
      </w:r>
    </w:p>
    <w:p w14:paraId="11DA4965" w14:textId="77777777" w:rsidR="00BA0D5F" w:rsidRDefault="00BA0D5F" w:rsidP="00BA0D5F"/>
    <w:p w14:paraId="49D3B34C" w14:textId="3C5EB03E" w:rsidR="00D1231D" w:rsidRPr="003D449B" w:rsidRDefault="00E1672B" w:rsidP="00F22E26">
      <w:pPr>
        <w:keepNext/>
      </w:pPr>
      <w:r w:rsidRPr="00E1672B">
        <w:rPr>
          <w:rFonts w:cs="Segoe UI"/>
          <w:i/>
          <w:szCs w:val="21"/>
        </w:rPr>
        <w:t>Kia Kaha</w:t>
      </w:r>
      <w:r w:rsidR="002E4678" w:rsidRPr="002E4678">
        <w:rPr>
          <w:rFonts w:cs="Segoe UI"/>
          <w:szCs w:val="21"/>
        </w:rPr>
        <w:t xml:space="preserve"> </w:t>
      </w:r>
      <w:r w:rsidR="002E4678" w:rsidRPr="00631075">
        <w:rPr>
          <w:rFonts w:cs="Segoe UI"/>
          <w:szCs w:val="21"/>
        </w:rPr>
        <w:t>complement</w:t>
      </w:r>
      <w:r w:rsidR="006037C9">
        <w:rPr>
          <w:rFonts w:cs="Segoe UI"/>
          <w:szCs w:val="21"/>
        </w:rPr>
        <w:t>s a number of other plans,</w:t>
      </w:r>
      <w:r w:rsidR="00BA0D5F" w:rsidRPr="00631075">
        <w:rPr>
          <w:rFonts w:cs="Segoe UI"/>
          <w:szCs w:val="21"/>
        </w:rPr>
        <w:t xml:space="preserve"> in particular</w:t>
      </w:r>
      <w:r w:rsidR="002767FD">
        <w:rPr>
          <w:rFonts w:cs="Segoe UI"/>
          <w:szCs w:val="21"/>
        </w:rPr>
        <w:t xml:space="preserve"> the</w:t>
      </w:r>
      <w:r w:rsidR="002767FD" w:rsidRPr="00107165">
        <w:rPr>
          <w:rFonts w:cs="Segoe UI"/>
          <w:szCs w:val="21"/>
        </w:rPr>
        <w:t xml:space="preserve"> </w:t>
      </w:r>
      <w:hyperlink r:id="rId23" w:history="1">
        <w:r w:rsidR="00BA0D5F" w:rsidRPr="000C0E92">
          <w:rPr>
            <w:rStyle w:val="Hyperlink"/>
            <w:rFonts w:cs="Segoe UI"/>
            <w:b w:val="0"/>
            <w:i/>
            <w:iCs/>
            <w:szCs w:val="21"/>
            <w:lang w:val="en-US"/>
          </w:rPr>
          <w:t>COVID-19 Health and Disability System Response Plan</w:t>
        </w:r>
      </w:hyperlink>
      <w:r w:rsidR="00107165">
        <w:rPr>
          <w:rStyle w:val="Hyperlink"/>
          <w:rFonts w:cs="Segoe UI"/>
          <w:b w:val="0"/>
          <w:i/>
          <w:iCs/>
          <w:szCs w:val="21"/>
          <w:lang w:val="en-US"/>
        </w:rPr>
        <w:t>,</w:t>
      </w:r>
      <w:r w:rsidR="00BA0D5F" w:rsidRPr="000C0E92">
        <w:rPr>
          <w:i/>
          <w:iCs/>
        </w:rPr>
        <w:t xml:space="preserve"> </w:t>
      </w:r>
      <w:r w:rsidR="006037C9" w:rsidRPr="00107165">
        <w:rPr>
          <w:iCs/>
        </w:rPr>
        <w:t xml:space="preserve">which </w:t>
      </w:r>
      <w:r w:rsidR="00BA0D5F" w:rsidRPr="00107165">
        <w:t>provides a framework</w:t>
      </w:r>
      <w:r w:rsidR="00BA0D5F" w:rsidRPr="00C01C35">
        <w:t xml:space="preserve"> </w:t>
      </w:r>
      <w:r w:rsidR="00BA0D5F" w:rsidRPr="00C01C35">
        <w:rPr>
          <w:spacing w:val="-2"/>
        </w:rPr>
        <w:t>for the health and disability sector</w:t>
      </w:r>
      <w:r w:rsidR="005926EF" w:rsidRPr="00C01C35">
        <w:rPr>
          <w:spacing w:val="-2"/>
        </w:rPr>
        <w:t>,</w:t>
      </w:r>
      <w:r w:rsidR="00BA0D5F" w:rsidRPr="00C01C35">
        <w:rPr>
          <w:spacing w:val="-2"/>
        </w:rPr>
        <w:t xml:space="preserve"> and related sectors</w:t>
      </w:r>
      <w:r w:rsidR="005926EF" w:rsidRPr="005F6CAE">
        <w:rPr>
          <w:spacing w:val="-2"/>
        </w:rPr>
        <w:t>,</w:t>
      </w:r>
      <w:r w:rsidR="00BA0D5F" w:rsidRPr="005F6CAE">
        <w:rPr>
          <w:spacing w:val="-2"/>
        </w:rPr>
        <w:t xml:space="preserve"> to manage the national response to COVID–19</w:t>
      </w:r>
      <w:r w:rsidR="002767FD" w:rsidRPr="005F6CAE">
        <w:rPr>
          <w:spacing w:val="-2"/>
        </w:rPr>
        <w:t>.</w:t>
      </w:r>
      <w:r w:rsidR="006037C9" w:rsidRPr="005F6CAE">
        <w:rPr>
          <w:spacing w:val="-2"/>
        </w:rPr>
        <w:t xml:space="preserve"> </w:t>
      </w:r>
      <w:r w:rsidRPr="005F6CAE">
        <w:rPr>
          <w:rFonts w:cs="Segoe UI"/>
          <w:i/>
          <w:szCs w:val="21"/>
        </w:rPr>
        <w:t>Kia Kaha</w:t>
      </w:r>
      <w:r w:rsidR="002A2066" w:rsidRPr="005F6CAE">
        <w:rPr>
          <w:rFonts w:cs="Segoe UI"/>
          <w:szCs w:val="21"/>
        </w:rPr>
        <w:t xml:space="preserve">’s </w:t>
      </w:r>
      <w:r w:rsidR="00D1231D" w:rsidRPr="005F6CAE">
        <w:rPr>
          <w:rFonts w:cs="Segoe UI"/>
          <w:szCs w:val="21"/>
        </w:rPr>
        <w:t>revised mental wellbeing framework is consistent with the Ministry of Health’s</w:t>
      </w:r>
      <w:r w:rsidR="00F22E26" w:rsidRPr="005F6CAE">
        <w:rPr>
          <w:rFonts w:cs="Segoe UI"/>
          <w:szCs w:val="21"/>
        </w:rPr>
        <w:t xml:space="preserve"> </w:t>
      </w:r>
      <w:hyperlink r:id="rId24" w:history="1">
        <w:r w:rsidR="00D1231D" w:rsidRPr="000C0E92">
          <w:rPr>
            <w:rStyle w:val="Hyperlink"/>
            <w:rFonts w:cs="Segoe UI"/>
            <w:b w:val="0"/>
            <w:i/>
            <w:szCs w:val="21"/>
          </w:rPr>
          <w:t>Whakamaua: Māori Health Action Plan 2020–2025</w:t>
        </w:r>
      </w:hyperlink>
      <w:r w:rsidR="00F22E26" w:rsidRPr="00107165">
        <w:t xml:space="preserve"> and </w:t>
      </w:r>
      <w:hyperlink r:id="rId25" w:history="1">
        <w:r w:rsidR="00D1231D" w:rsidRPr="000C0E92">
          <w:rPr>
            <w:rStyle w:val="Hyperlink"/>
            <w:rFonts w:cs="Segoe UI"/>
            <w:b w:val="0"/>
            <w:i/>
            <w:szCs w:val="21"/>
          </w:rPr>
          <w:t>Ola Manuia: Pacific Health and Wellbeing Action Plan 2020</w:t>
        </w:r>
        <w:r w:rsidR="00107165">
          <w:rPr>
            <w:rStyle w:val="Hyperlink"/>
            <w:rFonts w:cs="Segoe UI"/>
            <w:b w:val="0"/>
            <w:i/>
            <w:szCs w:val="21"/>
          </w:rPr>
          <w:t>–</w:t>
        </w:r>
        <w:r w:rsidR="00D1231D" w:rsidRPr="000C0E92">
          <w:rPr>
            <w:rStyle w:val="Hyperlink"/>
            <w:rFonts w:cs="Segoe UI"/>
            <w:b w:val="0"/>
            <w:i/>
            <w:szCs w:val="21"/>
          </w:rPr>
          <w:t>2025</w:t>
        </w:r>
      </w:hyperlink>
      <w:r w:rsidR="00D1231D" w:rsidRPr="00107165">
        <w:t xml:space="preserve">. </w:t>
      </w:r>
    </w:p>
    <w:p w14:paraId="679EFB95" w14:textId="77777777" w:rsidR="009D48CA" w:rsidRDefault="009D48CA" w:rsidP="00BA0D5F">
      <w:pPr>
        <w:rPr>
          <w:rFonts w:cs="Segoe UI"/>
          <w:szCs w:val="21"/>
        </w:rPr>
      </w:pPr>
    </w:p>
    <w:p w14:paraId="5A9EA63D" w14:textId="4D573399" w:rsidR="00BA0D5F" w:rsidRPr="003D449B" w:rsidRDefault="003409B3" w:rsidP="00BA0D5F">
      <w:pPr>
        <w:rPr>
          <w:rFonts w:cs="Segoe UI"/>
          <w:szCs w:val="21"/>
        </w:rPr>
      </w:pPr>
      <w:r>
        <w:rPr>
          <w:rFonts w:cs="Segoe UI"/>
          <w:szCs w:val="21"/>
        </w:rPr>
        <w:t xml:space="preserve">The </w:t>
      </w:r>
      <w:r w:rsidR="00D67D45">
        <w:rPr>
          <w:rFonts w:cs="Segoe UI"/>
          <w:szCs w:val="21"/>
        </w:rPr>
        <w:t xml:space="preserve">actions in </w:t>
      </w:r>
      <w:r w:rsidR="009B30C5">
        <w:rPr>
          <w:rFonts w:cs="Segoe UI"/>
          <w:szCs w:val="21"/>
        </w:rPr>
        <w:t>Kia Kaha</w:t>
      </w:r>
      <w:r w:rsidR="00D67D45">
        <w:rPr>
          <w:rFonts w:cs="Segoe UI"/>
          <w:szCs w:val="21"/>
        </w:rPr>
        <w:t xml:space="preserve"> include references to a range of other relevant strategies</w:t>
      </w:r>
      <w:r>
        <w:rPr>
          <w:rFonts w:cs="Segoe UI"/>
          <w:szCs w:val="21"/>
        </w:rPr>
        <w:t xml:space="preserve"> that will contribute to mental wellbeing</w:t>
      </w:r>
      <w:r w:rsidR="00D67D45">
        <w:rPr>
          <w:rFonts w:cs="Segoe UI"/>
          <w:szCs w:val="21"/>
        </w:rPr>
        <w:t>. Further</w:t>
      </w:r>
      <w:r w:rsidR="00D67D45" w:rsidRPr="00631075">
        <w:rPr>
          <w:rFonts w:cs="Segoe UI"/>
          <w:szCs w:val="21"/>
        </w:rPr>
        <w:t xml:space="preserve"> </w:t>
      </w:r>
      <w:r w:rsidR="00BA0D5F" w:rsidRPr="00631075">
        <w:rPr>
          <w:rFonts w:cs="Segoe UI"/>
          <w:szCs w:val="21"/>
        </w:rPr>
        <w:t xml:space="preserve">resources that may be useful when working to support mental wellbeing </w:t>
      </w:r>
      <w:r w:rsidR="00107165">
        <w:rPr>
          <w:rFonts w:cs="Segoe UI"/>
          <w:szCs w:val="21"/>
        </w:rPr>
        <w:t>are</w:t>
      </w:r>
      <w:r w:rsidR="00BA0D5F" w:rsidRPr="00631075">
        <w:rPr>
          <w:rFonts w:cs="Segoe UI"/>
          <w:szCs w:val="21"/>
        </w:rPr>
        <w:t xml:space="preserve"> in the bibliography.</w:t>
      </w:r>
    </w:p>
    <w:p w14:paraId="1C9314A2" w14:textId="3BF863B8" w:rsidR="00A742D4" w:rsidRPr="00B460A7" w:rsidRDefault="005A546D" w:rsidP="002677B3">
      <w:pPr>
        <w:pStyle w:val="Heading1"/>
      </w:pPr>
      <w:bookmarkStart w:id="16" w:name="_Toc50464480"/>
      <w:bookmarkStart w:id="17" w:name="_Toc59439388"/>
      <w:bookmarkStart w:id="18" w:name="_Hlk51062403"/>
      <w:bookmarkEnd w:id="12"/>
      <w:r>
        <w:t xml:space="preserve">Mental wellbeing </w:t>
      </w:r>
      <w:r w:rsidR="00A742D4">
        <w:t>framework</w:t>
      </w:r>
      <w:bookmarkEnd w:id="16"/>
      <w:bookmarkEnd w:id="17"/>
      <w:r w:rsidR="00A742D4" w:rsidDel="00D064E4">
        <w:t xml:space="preserve"> </w:t>
      </w:r>
    </w:p>
    <w:p w14:paraId="14172177" w14:textId="4971313D" w:rsidR="00D34EC9" w:rsidRDefault="005F77AC" w:rsidP="00D42528">
      <w:r w:rsidRPr="00EA1CF5">
        <w:t xml:space="preserve">The </w:t>
      </w:r>
      <w:r w:rsidR="00475834">
        <w:t>mental wellbeing</w:t>
      </w:r>
      <w:r w:rsidRPr="00EA1CF5">
        <w:t xml:space="preserve"> framework </w:t>
      </w:r>
      <w:r>
        <w:t xml:space="preserve">provides a high-level structure that sets out how we will work and what we are working towards achieving. </w:t>
      </w:r>
      <w:r w:rsidR="00107165" w:rsidRPr="00B03F0C">
        <w:rPr>
          <w:bCs/>
        </w:rPr>
        <w:t>Figure 1</w:t>
      </w:r>
      <w:r w:rsidR="00107165">
        <w:t xml:space="preserve"> is a</w:t>
      </w:r>
      <w:r>
        <w:t xml:space="preserve"> depiction of the framework</w:t>
      </w:r>
      <w:r w:rsidRPr="00107165">
        <w:rPr>
          <w:bCs/>
        </w:rPr>
        <w:t>.</w:t>
      </w:r>
      <w:r>
        <w:t xml:space="preserve"> </w:t>
      </w:r>
    </w:p>
    <w:p w14:paraId="78E648A0" w14:textId="77777777" w:rsidR="00B81024" w:rsidRDefault="00B81024" w:rsidP="00C926A0">
      <w:pPr>
        <w:pStyle w:val="Heading2"/>
      </w:pPr>
      <w:bookmarkStart w:id="19" w:name="_Toc59439389"/>
      <w:r>
        <w:t xml:space="preserve">Our vision: achieving </w:t>
      </w:r>
      <w:r w:rsidRPr="00C926A0">
        <w:t>pae</w:t>
      </w:r>
      <w:r>
        <w:t xml:space="preserve"> ora</w:t>
      </w:r>
      <w:bookmarkEnd w:id="19"/>
      <w:r>
        <w:t xml:space="preserve"> </w:t>
      </w:r>
    </w:p>
    <w:p w14:paraId="70483DCB" w14:textId="34E3ADFB" w:rsidR="00D42528" w:rsidRDefault="00A006FF" w:rsidP="00D42528">
      <w:r>
        <w:t>The mental wellbeing framework has a</w:t>
      </w:r>
      <w:r w:rsidR="00A2731B">
        <w:t xml:space="preserve"> </w:t>
      </w:r>
      <w:r w:rsidR="00D42528" w:rsidRPr="00832567">
        <w:rPr>
          <w:b/>
        </w:rPr>
        <w:t>vision</w:t>
      </w:r>
      <w:r w:rsidR="00A2731B">
        <w:rPr>
          <w:b/>
        </w:rPr>
        <w:t xml:space="preserve"> </w:t>
      </w:r>
      <w:r w:rsidR="00A2731B" w:rsidRPr="00BC5BD0">
        <w:t>of</w:t>
      </w:r>
      <w:r w:rsidR="005F59AF">
        <w:t>:</w:t>
      </w:r>
      <w:r w:rsidR="002F1792">
        <w:t xml:space="preserve"> </w:t>
      </w:r>
    </w:p>
    <w:p w14:paraId="1E779207" w14:textId="77777777" w:rsidR="00D42528" w:rsidRDefault="00D42528" w:rsidP="00D42528"/>
    <w:p w14:paraId="7DA7C4CF" w14:textId="525CE490" w:rsidR="00F875AA" w:rsidRDefault="00A2731B" w:rsidP="00832567">
      <w:pPr>
        <w:pStyle w:val="Introductoryparagraph"/>
      </w:pPr>
      <w:r>
        <w:t>P</w:t>
      </w:r>
      <w:r w:rsidR="00D42528">
        <w:t>ae ora (healthy futures)</w:t>
      </w:r>
      <w:r>
        <w:t>: An equitable and thriving Aotearoa in which mental wellbeing is promoted and protected</w:t>
      </w:r>
      <w:r w:rsidR="00D42528">
        <w:t xml:space="preserve">. </w:t>
      </w:r>
    </w:p>
    <w:p w14:paraId="6C29E4FE" w14:textId="62181855" w:rsidR="00D42528" w:rsidRDefault="00D42528" w:rsidP="00D42528">
      <w:pPr>
        <w:rPr>
          <w:rFonts w:cs="Segoe UI"/>
          <w:szCs w:val="21"/>
        </w:rPr>
      </w:pPr>
      <w:r w:rsidRPr="00230203">
        <w:rPr>
          <w:rFonts w:cs="Segoe UI"/>
          <w:szCs w:val="21"/>
        </w:rPr>
        <w:t>Pae ora is a holistic concept that includes the following interconnected elements</w:t>
      </w:r>
      <w:r w:rsidR="00654F53">
        <w:rPr>
          <w:rFonts w:cs="Segoe UI"/>
          <w:szCs w:val="21"/>
        </w:rPr>
        <w:t>.</w:t>
      </w:r>
      <w:r w:rsidR="00654F53" w:rsidRPr="00230203">
        <w:rPr>
          <w:rFonts w:cs="Segoe UI"/>
          <w:szCs w:val="21"/>
        </w:rPr>
        <w:t xml:space="preserve"> </w:t>
      </w:r>
    </w:p>
    <w:p w14:paraId="1E42C4EF" w14:textId="6C07751B" w:rsidR="00D42528" w:rsidRDefault="00654F53" w:rsidP="00832567">
      <w:pPr>
        <w:pStyle w:val="Bullet"/>
      </w:pPr>
      <w:r>
        <w:t>Ma</w:t>
      </w:r>
      <w:r w:rsidRPr="00230203">
        <w:t xml:space="preserve">uri </w:t>
      </w:r>
      <w:r w:rsidR="00D42528" w:rsidRPr="00230203">
        <w:t xml:space="preserve">ora – healthy individuals: </w:t>
      </w:r>
      <w:r w:rsidR="006105D1">
        <w:t>t</w:t>
      </w:r>
      <w:r w:rsidR="006424E1">
        <w:t>aha t</w:t>
      </w:r>
      <w:r w:rsidR="00A2731B">
        <w:t xml:space="preserve">inana (physical health), </w:t>
      </w:r>
      <w:r w:rsidR="006424E1">
        <w:t xml:space="preserve">taha </w:t>
      </w:r>
      <w:r w:rsidR="00A2731B">
        <w:t xml:space="preserve">wairua (spiritual wellbeing) and </w:t>
      </w:r>
      <w:r w:rsidR="006424E1">
        <w:t xml:space="preserve">taha </w:t>
      </w:r>
      <w:r w:rsidR="00A2731B">
        <w:t>hinengaro (mental wellbeing)</w:t>
      </w:r>
      <w:r w:rsidR="00AD7698">
        <w:t xml:space="preserve"> are important</w:t>
      </w:r>
      <w:r w:rsidR="006424E1">
        <w:t xml:space="preserve"> interconnected</w:t>
      </w:r>
      <w:r w:rsidR="00AD7698">
        <w:t xml:space="preserve"> elements of mauri ora</w:t>
      </w:r>
      <w:r w:rsidR="00465D8C">
        <w:t>.</w:t>
      </w:r>
      <w:r w:rsidR="002F1792">
        <w:t xml:space="preserve"> </w:t>
      </w:r>
      <w:r w:rsidR="00465D8C">
        <w:t xml:space="preserve">Protecting </w:t>
      </w:r>
      <w:r w:rsidR="00AD7698">
        <w:t xml:space="preserve">our </w:t>
      </w:r>
      <w:r w:rsidR="00465D8C">
        <w:t xml:space="preserve">mental wellbeing is </w:t>
      </w:r>
      <w:r w:rsidR="00AD7698">
        <w:t>essential</w:t>
      </w:r>
      <w:r w:rsidR="00465D8C">
        <w:t xml:space="preserve"> for all of us, as is equitable access to effective </w:t>
      </w:r>
      <w:r w:rsidR="00935A42">
        <w:t xml:space="preserve">mental wellbeing support </w:t>
      </w:r>
      <w:r w:rsidR="00465D8C">
        <w:t>when needed</w:t>
      </w:r>
      <w:r>
        <w:t>.</w:t>
      </w:r>
    </w:p>
    <w:p w14:paraId="048A2B11" w14:textId="6CC759E6" w:rsidR="00AD7698" w:rsidRPr="00AD7698" w:rsidRDefault="00654F53" w:rsidP="008E7818">
      <w:pPr>
        <w:pStyle w:val="Bullet"/>
      </w:pPr>
      <w:r>
        <w:t>W</w:t>
      </w:r>
      <w:r w:rsidRPr="00230203">
        <w:t xml:space="preserve">hānau </w:t>
      </w:r>
      <w:r w:rsidR="00D42528" w:rsidRPr="00230203">
        <w:t xml:space="preserve">ora – healthy families: </w:t>
      </w:r>
      <w:r w:rsidR="006105D1">
        <w:t>w</w:t>
      </w:r>
      <w:r w:rsidR="006424E1" w:rsidRPr="00AD7698">
        <w:t xml:space="preserve">hānau </w:t>
      </w:r>
      <w:r w:rsidR="006424E1">
        <w:t>are integral to our wellbeing</w:t>
      </w:r>
      <w:r w:rsidR="00475834">
        <w:t>.</w:t>
      </w:r>
      <w:r w:rsidR="006424E1">
        <w:t xml:space="preserve"> </w:t>
      </w:r>
      <w:r w:rsidR="00AD7698">
        <w:t xml:space="preserve">We all need </w:t>
      </w:r>
      <w:r w:rsidR="00F00162">
        <w:t xml:space="preserve">to </w:t>
      </w:r>
      <w:r w:rsidR="00AD7698" w:rsidRPr="00AD7698">
        <w:t xml:space="preserve">belong, to </w:t>
      </w:r>
      <w:r w:rsidR="006424E1">
        <w:t xml:space="preserve">share, to </w:t>
      </w:r>
      <w:r w:rsidR="00AD7698">
        <w:t xml:space="preserve">feel </w:t>
      </w:r>
      <w:r w:rsidR="00AD7698" w:rsidRPr="00AD7698">
        <w:t>care</w:t>
      </w:r>
      <w:r w:rsidR="00AD7698">
        <w:t>d for</w:t>
      </w:r>
      <w:r w:rsidR="006424E1">
        <w:t>,</w:t>
      </w:r>
      <w:r w:rsidR="00AD7698">
        <w:t xml:space="preserve"> and </w:t>
      </w:r>
      <w:r w:rsidR="006424E1">
        <w:t>to have close relationships</w:t>
      </w:r>
      <w:r w:rsidR="00AD7698" w:rsidRPr="00AD7698">
        <w:t>.</w:t>
      </w:r>
      <w:r w:rsidR="006424E1">
        <w:t xml:space="preserve"> This can apply beyond blood-ties, for instance in rainbow communities, </w:t>
      </w:r>
      <w:r w:rsidR="00475834">
        <w:t xml:space="preserve">where </w:t>
      </w:r>
      <w:r w:rsidR="006424E1">
        <w:t>whānau may be interpreted more widely than people with genealogical links</w:t>
      </w:r>
      <w:r>
        <w:t>.</w:t>
      </w:r>
      <w:r w:rsidR="002F1792">
        <w:t xml:space="preserve"> </w:t>
      </w:r>
    </w:p>
    <w:p w14:paraId="7A479E6F" w14:textId="75248BBC" w:rsidR="00D42528" w:rsidRPr="00230203" w:rsidRDefault="00654F53" w:rsidP="00832567">
      <w:pPr>
        <w:pStyle w:val="Bullet"/>
      </w:pPr>
      <w:r>
        <w:t>W</w:t>
      </w:r>
      <w:r w:rsidRPr="00230203">
        <w:t xml:space="preserve">ai </w:t>
      </w:r>
      <w:r w:rsidR="00D42528" w:rsidRPr="00230203">
        <w:t xml:space="preserve">ora – healthy environments: the communities and wider environments in which </w:t>
      </w:r>
      <w:r w:rsidR="006424E1">
        <w:t>we</w:t>
      </w:r>
      <w:r w:rsidR="006424E1" w:rsidRPr="00230203">
        <w:t xml:space="preserve"> </w:t>
      </w:r>
      <w:r w:rsidR="00D42528" w:rsidRPr="00230203">
        <w:t xml:space="preserve">live, learn, work and play </w:t>
      </w:r>
      <w:r w:rsidR="006424E1">
        <w:t>need to be</w:t>
      </w:r>
      <w:r w:rsidR="006424E1" w:rsidRPr="00230203">
        <w:t xml:space="preserve"> </w:t>
      </w:r>
      <w:r w:rsidR="00D42528" w:rsidRPr="00230203">
        <w:t xml:space="preserve">safe and support </w:t>
      </w:r>
      <w:r w:rsidR="00D42528">
        <w:t>mental wellbeing</w:t>
      </w:r>
      <w:r w:rsidR="00D42528" w:rsidRPr="00230203">
        <w:t xml:space="preserve">. All people </w:t>
      </w:r>
      <w:r w:rsidR="00D42528">
        <w:t xml:space="preserve">should be able </w:t>
      </w:r>
      <w:r w:rsidR="00D42528" w:rsidRPr="00230203">
        <w:t xml:space="preserve">to easily and equitably access social </w:t>
      </w:r>
      <w:r w:rsidR="00CF3E4D">
        <w:t>supports</w:t>
      </w:r>
      <w:r w:rsidR="00D42528" w:rsidRPr="00230203">
        <w:t>, including education, housing and income support.</w:t>
      </w:r>
    </w:p>
    <w:p w14:paraId="2895F067" w14:textId="77777777" w:rsidR="00D42528" w:rsidRDefault="00D42528" w:rsidP="00D42528">
      <w:pPr>
        <w:rPr>
          <w:rFonts w:cs="Segoe UI"/>
          <w:szCs w:val="21"/>
        </w:rPr>
      </w:pPr>
    </w:p>
    <w:p w14:paraId="35C20155" w14:textId="4449BDE5" w:rsidR="00497CE8" w:rsidRDefault="004218B8" w:rsidP="00497CE8">
      <w:r>
        <w:rPr>
          <w:rFonts w:cs="Segoe UI"/>
          <w:szCs w:val="21"/>
        </w:rPr>
        <w:t xml:space="preserve">This vision and its connected elements are consistent with </w:t>
      </w:r>
      <w:hyperlink r:id="rId26" w:history="1">
        <w:r w:rsidR="00F22E26" w:rsidRPr="00D12077">
          <w:rPr>
            <w:rStyle w:val="Hyperlink"/>
            <w:rFonts w:cs="Segoe UI"/>
            <w:b w:val="0"/>
            <w:bCs/>
            <w:i/>
            <w:szCs w:val="21"/>
          </w:rPr>
          <w:t>Whakamaua: Māori Health Action Plan 2020–2025</w:t>
        </w:r>
      </w:hyperlink>
      <w:r w:rsidRPr="00BC6566">
        <w:t>,</w:t>
      </w:r>
      <w:r>
        <w:rPr>
          <w:i/>
        </w:rPr>
        <w:t xml:space="preserve"> </w:t>
      </w:r>
      <w:r>
        <w:t xml:space="preserve">which outlines an approach to </w:t>
      </w:r>
      <w:r w:rsidRPr="00BC6566">
        <w:t>a</w:t>
      </w:r>
      <w:r>
        <w:rPr>
          <w:rFonts w:cs="Segoe UI"/>
          <w:szCs w:val="21"/>
        </w:rPr>
        <w:t xml:space="preserve">chieving pae ora. </w:t>
      </w:r>
      <w:r w:rsidR="00D42528">
        <w:rPr>
          <w:rFonts w:cs="Segoe UI"/>
          <w:szCs w:val="21"/>
        </w:rPr>
        <w:t xml:space="preserve">The path to ensuring wellbeing for </w:t>
      </w:r>
      <w:r w:rsidR="00D42528" w:rsidRPr="00C73963">
        <w:rPr>
          <w:rFonts w:cs="Segoe UI"/>
          <w:szCs w:val="21"/>
        </w:rPr>
        <w:t xml:space="preserve">Māori </w:t>
      </w:r>
      <w:r w:rsidR="00D42528">
        <w:rPr>
          <w:rFonts w:cs="Segoe UI"/>
          <w:szCs w:val="21"/>
        </w:rPr>
        <w:t>provides</w:t>
      </w:r>
      <w:r w:rsidR="00D42528" w:rsidRPr="00C73963">
        <w:rPr>
          <w:rFonts w:cs="Segoe UI"/>
          <w:szCs w:val="21"/>
        </w:rPr>
        <w:t xml:space="preserve"> a platform for </w:t>
      </w:r>
      <w:r w:rsidR="00D42528">
        <w:rPr>
          <w:rFonts w:cs="Segoe UI"/>
          <w:szCs w:val="21"/>
        </w:rPr>
        <w:t>all people</w:t>
      </w:r>
      <w:r w:rsidR="00D42528" w:rsidRPr="00C73963">
        <w:rPr>
          <w:rFonts w:cs="Segoe UI"/>
          <w:szCs w:val="21"/>
        </w:rPr>
        <w:t xml:space="preserve"> </w:t>
      </w:r>
      <w:r w:rsidR="00D42528">
        <w:rPr>
          <w:rFonts w:cs="Segoe UI"/>
          <w:szCs w:val="21"/>
        </w:rPr>
        <w:t xml:space="preserve">in </w:t>
      </w:r>
      <w:r w:rsidR="001570E8">
        <w:rPr>
          <w:rFonts w:cs="Segoe UI"/>
          <w:szCs w:val="21"/>
        </w:rPr>
        <w:t>Aotearoa</w:t>
      </w:r>
      <w:r w:rsidR="00B62C41">
        <w:rPr>
          <w:rFonts w:cs="Segoe UI"/>
          <w:szCs w:val="21"/>
        </w:rPr>
        <w:t xml:space="preserve"> </w:t>
      </w:r>
      <w:r w:rsidR="001570E8">
        <w:rPr>
          <w:rFonts w:cs="Segoe UI"/>
          <w:szCs w:val="21"/>
        </w:rPr>
        <w:t>New Zealand</w:t>
      </w:r>
      <w:r w:rsidR="00D42528">
        <w:rPr>
          <w:rFonts w:cs="Segoe UI"/>
          <w:szCs w:val="21"/>
        </w:rPr>
        <w:t xml:space="preserve"> </w:t>
      </w:r>
      <w:r w:rsidR="00D42528" w:rsidRPr="00C73963">
        <w:rPr>
          <w:rFonts w:cs="Segoe UI"/>
          <w:szCs w:val="21"/>
        </w:rPr>
        <w:t>to live with good health and wellbeing</w:t>
      </w:r>
      <w:r w:rsidR="00497CE8">
        <w:t xml:space="preserve">. </w:t>
      </w:r>
    </w:p>
    <w:p w14:paraId="0310016B" w14:textId="0F6B2975" w:rsidR="00A006FF" w:rsidRDefault="00A006FF" w:rsidP="005F59AF"/>
    <w:p w14:paraId="4B7DF961" w14:textId="048E4251" w:rsidR="00D42528" w:rsidRDefault="00D42528" w:rsidP="005F59AF">
      <w:r>
        <w:t xml:space="preserve">To realise </w:t>
      </w:r>
      <w:r w:rsidR="00A006FF">
        <w:t xml:space="preserve">the </w:t>
      </w:r>
      <w:r>
        <w:t xml:space="preserve">vision, </w:t>
      </w:r>
      <w:r w:rsidR="00DE7E99">
        <w:t xml:space="preserve">our </w:t>
      </w:r>
      <w:r w:rsidRPr="00E34D4F">
        <w:rPr>
          <w:b/>
        </w:rPr>
        <w:t>12</w:t>
      </w:r>
      <w:r w:rsidR="00107165">
        <w:rPr>
          <w:b/>
        </w:rPr>
        <w:t xml:space="preserve"> to </w:t>
      </w:r>
      <w:r w:rsidRPr="00E34D4F">
        <w:rPr>
          <w:b/>
        </w:rPr>
        <w:t>18 month goal</w:t>
      </w:r>
      <w:r>
        <w:t xml:space="preserve"> is ensuring people are </w:t>
      </w:r>
      <w:r w:rsidR="00C33CA1">
        <w:t xml:space="preserve">able </w:t>
      </w:r>
      <w:r>
        <w:t xml:space="preserve">to </w:t>
      </w:r>
      <w:r w:rsidR="006105D1">
        <w:t xml:space="preserve">build and </w:t>
      </w:r>
      <w:r>
        <w:t>sustain mental wellbeing</w:t>
      </w:r>
      <w:r w:rsidR="00607318">
        <w:t xml:space="preserve"> so</w:t>
      </w:r>
      <w:r w:rsidR="00B90A21">
        <w:t xml:space="preserve"> </w:t>
      </w:r>
      <w:r w:rsidR="00C809A4">
        <w:t xml:space="preserve">that they </w:t>
      </w:r>
      <w:r w:rsidR="00607318">
        <w:t xml:space="preserve">can </w:t>
      </w:r>
      <w:r>
        <w:t>adapt and thrive during the response to</w:t>
      </w:r>
      <w:r w:rsidR="00A129F1">
        <w:t>,</w:t>
      </w:r>
      <w:r>
        <w:t xml:space="preserve"> and recovery from COVID-19. </w:t>
      </w:r>
    </w:p>
    <w:p w14:paraId="3F2CF1C1" w14:textId="77777777" w:rsidR="005F59AF" w:rsidRDefault="005F59AF" w:rsidP="00D42528"/>
    <w:bookmarkEnd w:id="18"/>
    <w:p w14:paraId="149FA565" w14:textId="7E0A1957" w:rsidR="00EA1397" w:rsidRDefault="00EA1397" w:rsidP="00E34D4F">
      <w:pPr>
        <w:rPr>
          <w:i/>
        </w:rPr>
      </w:pPr>
    </w:p>
    <w:p w14:paraId="2D9049DA" w14:textId="77777777" w:rsidR="00EA1397" w:rsidRDefault="00EA1397" w:rsidP="00997801">
      <w:pPr>
        <w:rPr>
          <w:rFonts w:asciiTheme="minorHAnsi" w:eastAsiaTheme="minorHAnsi" w:hAnsiTheme="minorHAnsi" w:cstheme="minorBidi"/>
          <w:sz w:val="22"/>
          <w:szCs w:val="22"/>
          <w:lang w:eastAsia="en-US"/>
        </w:rPr>
        <w:sectPr w:rsidR="00EA1397" w:rsidSect="00631075">
          <w:footerReference w:type="even" r:id="rId27"/>
          <w:footerReference w:type="default" r:id="rId28"/>
          <w:endnotePr>
            <w:numFmt w:val="decimal"/>
          </w:endnotePr>
          <w:pgSz w:w="11907" w:h="16840"/>
          <w:pgMar w:top="1134" w:right="1134" w:bottom="1134" w:left="1134" w:header="425" w:footer="425" w:gutter="284"/>
          <w:pgNumType w:start="1"/>
          <w:cols w:space="720"/>
          <w:docGrid w:linePitch="286"/>
        </w:sectPr>
      </w:pPr>
    </w:p>
    <w:p w14:paraId="489361AE" w14:textId="73ADF3FF" w:rsidR="00C12ACA" w:rsidRDefault="005E6640" w:rsidP="00631075">
      <w:pPr>
        <w:jc w:val="center"/>
        <w:rPr>
          <w:b/>
        </w:rPr>
      </w:pPr>
      <w:r>
        <w:rPr>
          <w:noProof/>
        </w:rPr>
        <w:drawing>
          <wp:inline distT="0" distB="0" distL="0" distR="0" wp14:anchorId="6A429346" wp14:editId="2FCAB486">
            <wp:extent cx="9315450" cy="6418219"/>
            <wp:effectExtent l="0" t="0" r="0" b="1905"/>
            <wp:docPr id="4" name="Picture 4" descr="Figure 1: Mental Wellbeing Framework. Principles: Uphold Te Tiriti o Waitangi, Equity, People and whanau at the centre, community focus, uphold human rights, collaboration, innovation. Focus areas: Build the social, cultural and economic foundations for mental wellbeing, foster community-led solution, equip whanau and individuals to look after their mental wellbeing, expand primary mental health and addiction support in communities, strengthen specialist services. Promotion and prevention, mental health and addiction support. Outcomes linked to Mauri ora - healthy individuals, Whanau ora - healthy whanau, and Wai ora - healthy environments. Outcomes: Whanau and communities have access to resources and live in healthy environments that support mental wellbeing. Whanau and communities response to mental distress and lead solutions. Whanau and individuals are strong, healthy, look after their mental wellbeing, and know where to get help if they need it. Whanau and individuals are supported to achieve mental wellbeing through accessible, equitable and high-quality services in their communities. Whanau and individuals experiencing complex mental health and addiction needs are supported to achieve mental wellbeing through accessible, equitable and high-quality services. Short-term goal: People have strong mental wellbeing and adapt and thrive during the response to and recovery from COVID-19. Longer-term vision: Pae ora (healthy futures): An equitable and thriving Aotearoa in which mental wellbeing is promoted and protected. Enablers: workforce, information and data, policy and regulation, investment, technology, leadersh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9320051" cy="6421389"/>
                    </a:xfrm>
                    <a:prstGeom prst="rect">
                      <a:avLst/>
                    </a:prstGeom>
                  </pic:spPr>
                </pic:pic>
              </a:graphicData>
            </a:graphic>
          </wp:inline>
        </w:drawing>
      </w:r>
    </w:p>
    <w:p w14:paraId="7FCBC0B5" w14:textId="41B8ECA2" w:rsidR="002027E3" w:rsidRPr="00BE6BA8" w:rsidRDefault="002027E3" w:rsidP="00753C53">
      <w:pPr>
        <w:jc w:val="center"/>
        <w:rPr>
          <w:b/>
        </w:rPr>
        <w:sectPr w:rsidR="002027E3" w:rsidRPr="00BE6BA8" w:rsidSect="005563F2">
          <w:footerReference w:type="default" r:id="rId30"/>
          <w:endnotePr>
            <w:numFmt w:val="decimal"/>
          </w:endnotePr>
          <w:pgSz w:w="16840" w:h="11907" w:orient="landscape"/>
          <w:pgMar w:top="567" w:right="567" w:bottom="567" w:left="567" w:header="425" w:footer="425" w:gutter="0"/>
          <w:cols w:space="720"/>
          <w:docGrid w:linePitch="286"/>
        </w:sectPr>
      </w:pPr>
    </w:p>
    <w:p w14:paraId="1920875F" w14:textId="766AC2B6" w:rsidR="00621B90" w:rsidRPr="009D3F95" w:rsidRDefault="00C3624A" w:rsidP="009D3F95">
      <w:pPr>
        <w:pStyle w:val="Heading1"/>
      </w:pPr>
      <w:bookmarkStart w:id="20" w:name="_Toc59439390"/>
      <w:r w:rsidRPr="009D3F95">
        <w:rPr>
          <w:rFonts w:eastAsia="MS Gothic"/>
        </w:rPr>
        <w:t xml:space="preserve">Guiding </w:t>
      </w:r>
      <w:r w:rsidR="00BB202C">
        <w:rPr>
          <w:rFonts w:eastAsia="MS Gothic"/>
        </w:rPr>
        <w:t>p</w:t>
      </w:r>
      <w:r w:rsidRPr="009D3F95">
        <w:rPr>
          <w:rFonts w:eastAsia="MS Gothic"/>
        </w:rPr>
        <w:t>rinciples</w:t>
      </w:r>
      <w:bookmarkEnd w:id="0"/>
      <w:bookmarkEnd w:id="1"/>
      <w:bookmarkEnd w:id="20"/>
    </w:p>
    <w:p w14:paraId="7157F94D" w14:textId="39BC99CA" w:rsidR="00286D11" w:rsidRDefault="00C3624A" w:rsidP="00631075">
      <w:pPr>
        <w:pStyle w:val="Introductoryparagraph"/>
      </w:pPr>
      <w:r w:rsidRPr="00361349">
        <w:t>Ngā Tohu Mātāpono:</w:t>
      </w:r>
      <w:r w:rsidR="00621B90">
        <w:t xml:space="preserve"> </w:t>
      </w:r>
      <w:r w:rsidRPr="00361349">
        <w:t>Ko ngā pae tawhiti whaia kia tata, ko ngā pae tata, whakamaua kia tina!</w:t>
      </w:r>
      <w:r w:rsidR="009607D2">
        <w:t xml:space="preserve"> </w:t>
      </w:r>
    </w:p>
    <w:p w14:paraId="0FF5F825" w14:textId="22B4135F" w:rsidR="00C3624A" w:rsidRPr="00361349" w:rsidRDefault="00C3624A" w:rsidP="00750A5F">
      <w:pPr>
        <w:pStyle w:val="Introductoryparagraph"/>
      </w:pPr>
      <w:r w:rsidRPr="00361349">
        <w:t xml:space="preserve">Guiding Principles: </w:t>
      </w:r>
      <w:r w:rsidRPr="00361349">
        <w:rPr>
          <w:rFonts w:cs="Arial"/>
          <w:iCs/>
        </w:rPr>
        <w:t>Seek out distant horizons,</w:t>
      </w:r>
      <w:r w:rsidR="00DC5BB9">
        <w:rPr>
          <w:rFonts w:cs="Arial"/>
          <w:iCs/>
        </w:rPr>
        <w:br/>
      </w:r>
      <w:r w:rsidRPr="00361349">
        <w:rPr>
          <w:rFonts w:cs="Arial"/>
          <w:iCs/>
        </w:rPr>
        <w:t>and cherish those you attain</w:t>
      </w:r>
      <w:r w:rsidR="00E91D36">
        <w:rPr>
          <w:rFonts w:cs="Arial"/>
          <w:iCs/>
        </w:rPr>
        <w:t>!</w:t>
      </w:r>
    </w:p>
    <w:p w14:paraId="740BD8FE" w14:textId="379C39AD" w:rsidR="00F72332" w:rsidRDefault="00104FAC">
      <w:pPr>
        <w:rPr>
          <w:b/>
          <w:color w:val="0A6AB4"/>
          <w:spacing w:val="-5"/>
          <w:sz w:val="48"/>
        </w:rPr>
      </w:pPr>
      <w:bookmarkStart w:id="21" w:name="_Hlk40104080"/>
      <w:r>
        <w:t xml:space="preserve">To be jointly effective, we need common values and sense of direction. These are articulated in the mental wellbeing framework through seven guiding </w:t>
      </w:r>
      <w:r w:rsidRPr="00AC207F">
        <w:rPr>
          <w:bCs/>
        </w:rPr>
        <w:t>principles</w:t>
      </w:r>
      <w:r>
        <w:t xml:space="preserve">, </w:t>
      </w:r>
      <w:r w:rsidR="00A1550B">
        <w:rPr>
          <w:rFonts w:cs="Basic Sans"/>
        </w:rPr>
        <w:t xml:space="preserve">which </w:t>
      </w:r>
      <w:r w:rsidR="00C3624A">
        <w:t>align with international best practice</w:t>
      </w:r>
      <w:r w:rsidR="006037C9">
        <w:t xml:space="preserve"> in psychosocial recovery</w:t>
      </w:r>
      <w:r w:rsidR="00C3624A">
        <w:t xml:space="preserve"> and have been adapted to suit </w:t>
      </w:r>
      <w:r w:rsidR="001570E8">
        <w:t>Aotearoa</w:t>
      </w:r>
      <w:r w:rsidR="00B62C41">
        <w:t xml:space="preserve"> </w:t>
      </w:r>
      <w:r w:rsidR="001570E8">
        <w:t>New Zealand</w:t>
      </w:r>
      <w:r w:rsidR="00621B90">
        <w:t>’</w:t>
      </w:r>
      <w:r w:rsidR="00C3624A">
        <w:t xml:space="preserve">s context. These principles should be embedded </w:t>
      </w:r>
      <w:r w:rsidR="0074663F">
        <w:t xml:space="preserve">within </w:t>
      </w:r>
      <w:r w:rsidR="00C3624A">
        <w:t xml:space="preserve">every </w:t>
      </w:r>
      <w:r w:rsidR="00D064E4">
        <w:t>action</w:t>
      </w:r>
      <w:r w:rsidR="00C3624A">
        <w:t>.</w:t>
      </w:r>
      <w:r w:rsidR="008E3332">
        <w:t xml:space="preserve"> </w:t>
      </w:r>
      <w:bookmarkStart w:id="22" w:name="_Toc50464486"/>
    </w:p>
    <w:p w14:paraId="19084890" w14:textId="77777777" w:rsidR="007F1BB1" w:rsidRDefault="00465724" w:rsidP="00E26F51">
      <w:pPr>
        <w:pStyle w:val="Heading2"/>
        <w:spacing w:after="0"/>
      </w:pPr>
      <w:bookmarkStart w:id="23" w:name="_Toc59439391"/>
      <w:r>
        <w:t>Principle 1:</w:t>
      </w:r>
      <w:bookmarkEnd w:id="23"/>
      <w:r w:rsidR="007F1BB1">
        <w:t xml:space="preserve"> </w:t>
      </w:r>
    </w:p>
    <w:p w14:paraId="01A23BA2" w14:textId="366342D9" w:rsidR="00465724" w:rsidRDefault="00465724" w:rsidP="00E26F51">
      <w:pPr>
        <w:pStyle w:val="Heading2"/>
        <w:spacing w:before="0"/>
      </w:pPr>
      <w:bookmarkStart w:id="24" w:name="_Toc59439392"/>
      <w:r>
        <w:t xml:space="preserve">Uphold Te </w:t>
      </w:r>
      <w:r w:rsidRPr="00170FE3">
        <w:t>Tiriti</w:t>
      </w:r>
      <w:r>
        <w:t xml:space="preserve"> </w:t>
      </w:r>
      <w:r w:rsidR="00613D54">
        <w:t>o</w:t>
      </w:r>
      <w:r>
        <w:t xml:space="preserve"> Waitangi</w:t>
      </w:r>
      <w:bookmarkEnd w:id="22"/>
      <w:bookmarkEnd w:id="24"/>
    </w:p>
    <w:p w14:paraId="0DC0DE92" w14:textId="276189DB" w:rsidR="002346DE" w:rsidRDefault="00465724" w:rsidP="00631075">
      <w:pPr>
        <w:pStyle w:val="Introductoryparagraph"/>
        <w:keepLines/>
      </w:pPr>
      <w:r w:rsidRPr="00647D5C">
        <w:t>Mana motuhake, mana tangata, mana Māori, mana</w:t>
      </w:r>
      <w:r>
        <w:t> </w:t>
      </w:r>
      <w:r w:rsidRPr="00647D5C">
        <w:t>whakahaere</w:t>
      </w:r>
      <w:r>
        <w:t xml:space="preserve"> – </w:t>
      </w:r>
      <w:r w:rsidRPr="00647D5C">
        <w:t>Tihei Mauri Ora!</w:t>
      </w:r>
      <w:r w:rsidR="002346DE">
        <w:t xml:space="preserve"> </w:t>
      </w:r>
    </w:p>
    <w:p w14:paraId="47D67863" w14:textId="6B6E9E6E" w:rsidR="00465724" w:rsidRPr="00647D5C" w:rsidRDefault="00465724" w:rsidP="00465724">
      <w:pPr>
        <w:pStyle w:val="Introductoryparagraph"/>
        <w:keepLines/>
      </w:pPr>
      <w:r>
        <w:t>Māori</w:t>
      </w:r>
      <w:r w:rsidRPr="00647D5C">
        <w:t xml:space="preserve"> </w:t>
      </w:r>
      <w:r>
        <w:t>s</w:t>
      </w:r>
      <w:r w:rsidRPr="00647D5C">
        <w:t>elf-determination and autonomy, Māori equity rights, rights to Māori customary practice, philosophy and mātauranga Māori –</w:t>
      </w:r>
      <w:r>
        <w:t xml:space="preserve"> h</w:t>
      </w:r>
      <w:r w:rsidRPr="00647D5C">
        <w:t>ear this call and the right to speak!</w:t>
      </w:r>
    </w:p>
    <w:p w14:paraId="7572A9B0" w14:textId="4F527FC5" w:rsidR="00A1550B" w:rsidRDefault="005A52CD" w:rsidP="00465724">
      <w:r>
        <w:t xml:space="preserve">It is the Crown’s obligation to uphold Te Tiriti and protect and promote Māori health and equity. </w:t>
      </w:r>
      <w:r w:rsidR="00465724" w:rsidRPr="00B23717">
        <w:t xml:space="preserve">The principles of Te Tiriti, as articulated by the courts and the Waitangi Tribunal, underpin </w:t>
      </w:r>
      <w:r>
        <w:t>all</w:t>
      </w:r>
      <w:r w:rsidR="00465724" w:rsidRPr="00B23717">
        <w:t xml:space="preserve"> actions in </w:t>
      </w:r>
      <w:r w:rsidR="00E1672B" w:rsidRPr="00E1672B">
        <w:rPr>
          <w:i/>
        </w:rPr>
        <w:t>Kia Kaha</w:t>
      </w:r>
      <w:r w:rsidR="00465724" w:rsidRPr="00B23717">
        <w:t>. The principles that apply to work across the health and disability system are</w:t>
      </w:r>
      <w:r w:rsidR="00465724">
        <w:t xml:space="preserve"> </w:t>
      </w:r>
      <w:r w:rsidR="00465724" w:rsidRPr="00193A04">
        <w:t xml:space="preserve">tino rangatiratanga, equitable outcomes, active protection, options and partnership. </w:t>
      </w:r>
    </w:p>
    <w:p w14:paraId="45FE614E" w14:textId="77777777" w:rsidR="00A1550B" w:rsidRDefault="00A1550B" w:rsidP="00465724"/>
    <w:p w14:paraId="5B9F7AB7" w14:textId="3EF16F95" w:rsidR="00465724" w:rsidRDefault="00E1672B" w:rsidP="00465724">
      <w:r w:rsidRPr="00E1672B">
        <w:rPr>
          <w:i/>
        </w:rPr>
        <w:t>Kia Kaha</w:t>
      </w:r>
      <w:r w:rsidR="0074663F">
        <w:t xml:space="preserve"> sits alongside the </w:t>
      </w:r>
      <w:r w:rsidR="00A62A1F">
        <w:t>Ministry of Health’s</w:t>
      </w:r>
      <w:r w:rsidR="00A1550B">
        <w:t xml:space="preserve"> </w:t>
      </w:r>
      <w:r w:rsidR="0074663F" w:rsidRPr="0074663F">
        <w:rPr>
          <w:i/>
        </w:rPr>
        <w:t>Whakamaua: Māori Health Action Plan 2020</w:t>
      </w:r>
      <w:r w:rsidR="00074BC9">
        <w:rPr>
          <w:i/>
        </w:rPr>
        <w:t>–</w:t>
      </w:r>
      <w:r w:rsidR="0074663F" w:rsidRPr="0074663F">
        <w:rPr>
          <w:i/>
        </w:rPr>
        <w:t>2025</w:t>
      </w:r>
      <w:r w:rsidR="009607D2">
        <w:rPr>
          <w:i/>
        </w:rPr>
        <w:t xml:space="preserve"> </w:t>
      </w:r>
      <w:r w:rsidR="0074663F">
        <w:t xml:space="preserve">which </w:t>
      </w:r>
      <w:r w:rsidR="005A322D" w:rsidRPr="005A322D">
        <w:t>set</w:t>
      </w:r>
      <w:r w:rsidR="005A322D">
        <w:t>s</w:t>
      </w:r>
      <w:r w:rsidR="005A322D" w:rsidRPr="005A322D">
        <w:t xml:space="preserve"> the</w:t>
      </w:r>
      <w:r w:rsidR="009607D2">
        <w:t xml:space="preserve"> </w:t>
      </w:r>
      <w:r w:rsidR="005A322D" w:rsidRPr="005A322D">
        <w:t>direction for Māori health advancement over the next five years</w:t>
      </w:r>
      <w:r w:rsidR="005A322D">
        <w:t xml:space="preserve"> and is underpinned by the Ministry of Health’s </w:t>
      </w:r>
      <w:hyperlink r:id="rId31" w:history="1">
        <w:r w:rsidR="005A322D" w:rsidRPr="00D12077">
          <w:rPr>
            <w:rStyle w:val="Hyperlink"/>
            <w:b w:val="0"/>
            <w:bCs/>
            <w:i/>
            <w:iCs/>
          </w:rPr>
          <w:t>Te Tiriti o Waitangi Framework</w:t>
        </w:r>
      </w:hyperlink>
      <w:r w:rsidR="00F22078">
        <w:t>.</w:t>
      </w:r>
      <w:r w:rsidR="00511BD8">
        <w:t xml:space="preserve"> </w:t>
      </w:r>
      <w:r w:rsidR="00511BD8" w:rsidRPr="002D2AAA">
        <w:rPr>
          <w:i/>
          <w:iCs/>
        </w:rPr>
        <w:t>Whakamaua</w:t>
      </w:r>
      <w:r w:rsidR="00511BD8">
        <w:t xml:space="preserve"> </w:t>
      </w:r>
      <w:r w:rsidR="00A1550B">
        <w:t>articulate</w:t>
      </w:r>
      <w:r w:rsidR="00F22078">
        <w:t xml:space="preserve">s </w:t>
      </w:r>
      <w:r w:rsidR="00A1550B">
        <w:t>the importance of ensuring</w:t>
      </w:r>
      <w:r w:rsidR="005A52CD" w:rsidRPr="005A52CD">
        <w:t xml:space="preserve"> </w:t>
      </w:r>
      <w:r w:rsidR="005A52CD">
        <w:t>equity of outcomes for Māori</w:t>
      </w:r>
      <w:r w:rsidR="00CD2D05">
        <w:t>,</w:t>
      </w:r>
      <w:r w:rsidR="005A52CD">
        <w:t xml:space="preserve"> and the ability of i</w:t>
      </w:r>
      <w:r w:rsidR="00A1550B">
        <w:t>wi, hapū, wh</w:t>
      </w:r>
      <w:r w:rsidR="005A52CD">
        <w:t>ā</w:t>
      </w:r>
      <w:r w:rsidR="00A1550B">
        <w:t xml:space="preserve">nau and Māori communities </w:t>
      </w:r>
      <w:r w:rsidR="005A52CD">
        <w:t>to</w:t>
      </w:r>
      <w:r w:rsidR="00A1550B">
        <w:t xml:space="preserve"> exercise their authority </w:t>
      </w:r>
      <w:r w:rsidR="00511BD8">
        <w:t>to improve their health and wellbeing</w:t>
      </w:r>
      <w:r w:rsidR="00797764">
        <w:t>.</w:t>
      </w:r>
    </w:p>
    <w:p w14:paraId="276727F4" w14:textId="77777777" w:rsidR="00465724" w:rsidRPr="00CE5C74" w:rsidRDefault="00465724" w:rsidP="00465724">
      <w:pPr>
        <w:pStyle w:val="Heading3"/>
      </w:pPr>
      <w:r w:rsidRPr="00CE5C74">
        <w:t>How this principle will be demonstrated</w:t>
      </w:r>
    </w:p>
    <w:p w14:paraId="3B747F87" w14:textId="1C6A1CBB" w:rsidR="00465724" w:rsidRPr="00656C25" w:rsidRDefault="009C6FDB" w:rsidP="00465724">
      <w:pPr>
        <w:pStyle w:val="Bullet"/>
      </w:pPr>
      <w:r>
        <w:t xml:space="preserve">Support </w:t>
      </w:r>
      <w:r w:rsidR="00465724" w:rsidRPr="00656C25">
        <w:rPr>
          <w:bCs/>
        </w:rPr>
        <w:t xml:space="preserve">iwi, hapū, whānau and Māori organisations </w:t>
      </w:r>
      <w:r w:rsidR="00465724" w:rsidRPr="00656C25">
        <w:t xml:space="preserve">to respond directly to the increasing health and other needs of their people due to </w:t>
      </w:r>
      <w:r w:rsidR="00465724">
        <w:t>COVID</w:t>
      </w:r>
      <w:r w:rsidR="00465724">
        <w:noBreakHyphen/>
        <w:t>19</w:t>
      </w:r>
      <w:r w:rsidR="00626F9D">
        <w:t>.</w:t>
      </w:r>
    </w:p>
    <w:p w14:paraId="7F4D273F" w14:textId="12AD0A40" w:rsidR="00465724" w:rsidRPr="00656C25" w:rsidRDefault="00B4302D" w:rsidP="00465724">
      <w:pPr>
        <w:pStyle w:val="Bullet"/>
      </w:pPr>
      <w:r>
        <w:rPr>
          <w:bCs/>
        </w:rPr>
        <w:t>Support</w:t>
      </w:r>
      <w:r w:rsidR="00465724" w:rsidRPr="00656C25">
        <w:rPr>
          <w:bCs/>
        </w:rPr>
        <w:t xml:space="preserve"> iwi, hapū, whānau and Māori health organisations to utilise mātauranga Māori </w:t>
      </w:r>
      <w:r w:rsidR="00582CFA">
        <w:rPr>
          <w:bCs/>
        </w:rPr>
        <w:t xml:space="preserve">(Māori knowledge) </w:t>
      </w:r>
      <w:r w:rsidR="00465724" w:rsidRPr="00656C25">
        <w:rPr>
          <w:bCs/>
        </w:rPr>
        <w:t>approaches in the design and delivery of appropriate services for their people</w:t>
      </w:r>
      <w:r w:rsidR="006F179A">
        <w:rPr>
          <w:bCs/>
        </w:rPr>
        <w:t>.</w:t>
      </w:r>
    </w:p>
    <w:p w14:paraId="4DE7877C" w14:textId="6F48A0E8" w:rsidR="00465724" w:rsidRPr="007C7DD1" w:rsidRDefault="00465724" w:rsidP="00465724">
      <w:pPr>
        <w:pStyle w:val="Bullet"/>
      </w:pPr>
      <w:r>
        <w:t>Adopt</w:t>
      </w:r>
      <w:r w:rsidRPr="007C7DD1">
        <w:t xml:space="preserve"> a holistic wellbeing approach that incorporates mental, physical, spiritual, whānau and environmental wellbeing</w:t>
      </w:r>
      <w:r w:rsidR="006F179A">
        <w:t>.</w:t>
      </w:r>
    </w:p>
    <w:p w14:paraId="52D952DC" w14:textId="1FDB9FFF" w:rsidR="00F72332" w:rsidRPr="00AC207F" w:rsidRDefault="00465724" w:rsidP="00C926A0">
      <w:pPr>
        <w:pStyle w:val="Bullet"/>
        <w:rPr>
          <w:b/>
          <w:color w:val="0A6AB4"/>
          <w:spacing w:val="-5"/>
          <w:sz w:val="48"/>
        </w:rPr>
      </w:pPr>
      <w:r w:rsidRPr="007C7DD1">
        <w:t>Monitor delivery and outcomes for Māori and ensure accountability to whānau, hapū and iwi</w:t>
      </w:r>
      <w:bookmarkStart w:id="25" w:name="_Toc50464487"/>
      <w:r w:rsidR="006F179A">
        <w:t>.</w:t>
      </w:r>
    </w:p>
    <w:p w14:paraId="46F4B6F7" w14:textId="1B4061D1" w:rsidR="0055305A" w:rsidRDefault="0055305A" w:rsidP="0055305A">
      <w:pPr>
        <w:pStyle w:val="Heading2"/>
      </w:pPr>
      <w:bookmarkStart w:id="26" w:name="_Toc59439393"/>
      <w:r>
        <w:t>Principle 2:</w:t>
      </w:r>
      <w:r>
        <w:br/>
        <w:t>Equity</w:t>
      </w:r>
      <w:bookmarkEnd w:id="26"/>
      <w:r>
        <w:t xml:space="preserve"> </w:t>
      </w:r>
      <w:bookmarkEnd w:id="25"/>
    </w:p>
    <w:p w14:paraId="351BFC65" w14:textId="77777777" w:rsidR="0055305A" w:rsidRPr="00647D5C" w:rsidRDefault="0055305A" w:rsidP="0055305A">
      <w:pPr>
        <w:pStyle w:val="Introductoryparagraph"/>
        <w:keepNext/>
      </w:pPr>
      <w:r w:rsidRPr="00647D5C">
        <w:t>Mai te iti me te rahi o te hunga rawakore,</w:t>
      </w:r>
      <w:r>
        <w:br/>
      </w:r>
      <w:r w:rsidRPr="00647D5C">
        <w:t>ka kitea te hunga e tika ana</w:t>
      </w:r>
      <w:r>
        <w:t xml:space="preserve"> –</w:t>
      </w:r>
      <w:r>
        <w:br/>
      </w:r>
      <w:r w:rsidRPr="00647D5C">
        <w:t>From the least to the greatest of those in need,</w:t>
      </w:r>
      <w:r>
        <w:br/>
      </w:r>
      <w:r w:rsidRPr="00647D5C">
        <w:t>one will see the most in need.</w:t>
      </w:r>
    </w:p>
    <w:p w14:paraId="0DAE804B" w14:textId="479308DB" w:rsidR="0055305A" w:rsidRDefault="00582CFA" w:rsidP="0055305A">
      <w:bookmarkStart w:id="27" w:name="_Hlk39796443"/>
      <w:r>
        <w:t>The e</w:t>
      </w:r>
      <w:r w:rsidR="0055305A">
        <w:t xml:space="preserve">quity </w:t>
      </w:r>
      <w:r>
        <w:t xml:space="preserve">principle </w:t>
      </w:r>
      <w:r w:rsidR="0055305A">
        <w:t xml:space="preserve">recognises </w:t>
      </w:r>
      <w:r w:rsidR="00074BC9">
        <w:t xml:space="preserve">that </w:t>
      </w:r>
      <w:r w:rsidR="0055305A">
        <w:t xml:space="preserve">people </w:t>
      </w:r>
      <w:r>
        <w:t>have</w:t>
      </w:r>
      <w:r w:rsidR="0055305A">
        <w:t xml:space="preserve"> different levels of advantage and experience </w:t>
      </w:r>
      <w:r>
        <w:t xml:space="preserve">and </w:t>
      </w:r>
      <w:r w:rsidR="0055305A">
        <w:t>require different approaches and resources to get equitable outcom</w:t>
      </w:r>
      <w:r w:rsidR="0055305A" w:rsidRPr="008A7A6F">
        <w:t>es</w:t>
      </w:r>
      <w:bookmarkEnd w:id="27"/>
      <w:r w:rsidR="0055305A" w:rsidRPr="008A7A6F">
        <w:t>.</w:t>
      </w:r>
      <w:r w:rsidR="0055305A">
        <w:t xml:space="preserve"> </w:t>
      </w:r>
      <w:r w:rsidR="00FD64F3">
        <w:t xml:space="preserve">A key driver of health </w:t>
      </w:r>
      <w:r w:rsidR="003E5387">
        <w:t>inequity is d</w:t>
      </w:r>
      <w:r w:rsidR="0055305A">
        <w:t>ifferential access to power and decision</w:t>
      </w:r>
      <w:r w:rsidR="00C01C35">
        <w:t>-</w:t>
      </w:r>
      <w:r w:rsidR="0055305A">
        <w:t>making, resources, and service access and quality on the basis of social identity (</w:t>
      </w:r>
      <w:r w:rsidR="0059635F">
        <w:t>such as</w:t>
      </w:r>
      <w:r w:rsidR="0055305A">
        <w:t xml:space="preserve"> ethnicity, age, gender</w:t>
      </w:r>
      <w:r w:rsidR="0059635F">
        <w:t xml:space="preserve"> and</w:t>
      </w:r>
      <w:r w:rsidR="0055305A">
        <w:t xml:space="preserve"> disability)</w:t>
      </w:r>
      <w:r w:rsidR="008179B0">
        <w:t>.</w:t>
      </w:r>
    </w:p>
    <w:p w14:paraId="7A7C694D" w14:textId="77777777" w:rsidR="0055305A" w:rsidRDefault="0055305A" w:rsidP="0055305A"/>
    <w:p w14:paraId="728DB006" w14:textId="7F5D6428" w:rsidR="0055305A" w:rsidRPr="00193A04" w:rsidRDefault="0055305A" w:rsidP="0055305A">
      <w:r w:rsidRPr="00193A04">
        <w:t xml:space="preserve">All </w:t>
      </w:r>
      <w:r w:rsidR="0059635F">
        <w:t xml:space="preserve">people in </w:t>
      </w:r>
      <w:r w:rsidR="001570E8">
        <w:t>Aotearoa</w:t>
      </w:r>
      <w:r w:rsidR="00B62C41">
        <w:t xml:space="preserve"> </w:t>
      </w:r>
      <w:r w:rsidR="001570E8">
        <w:t>New Zealand</w:t>
      </w:r>
      <w:r w:rsidRPr="00193A04">
        <w:t xml:space="preserve"> should experience the best </w:t>
      </w:r>
      <w:r>
        <w:t>support</w:t>
      </w:r>
      <w:r w:rsidRPr="00193A04">
        <w:t xml:space="preserve"> and care, regardless of where they live or who they are.</w:t>
      </w:r>
    </w:p>
    <w:p w14:paraId="40A6D303" w14:textId="77777777" w:rsidR="0055305A" w:rsidRPr="00CE5C74" w:rsidRDefault="0055305A" w:rsidP="0055305A">
      <w:pPr>
        <w:pStyle w:val="Heading3"/>
      </w:pPr>
      <w:r w:rsidRPr="00CE5C74">
        <w:t>How this principle will be demonstrated</w:t>
      </w:r>
    </w:p>
    <w:p w14:paraId="5AF9E53E" w14:textId="7E36F15A" w:rsidR="0055305A" w:rsidRPr="00193A04" w:rsidRDefault="0055305A" w:rsidP="0055305A">
      <w:pPr>
        <w:pStyle w:val="Bullet"/>
      </w:pPr>
      <w:bookmarkStart w:id="28" w:name="_Hlk39796460"/>
      <w:r w:rsidRPr="00193A04">
        <w:t xml:space="preserve">Acknowledge the cumulative </w:t>
      </w:r>
      <w:r w:rsidR="0075184D">
        <w:t>effect</w:t>
      </w:r>
      <w:r w:rsidR="0075184D" w:rsidRPr="00193A04">
        <w:t xml:space="preserve"> </w:t>
      </w:r>
      <w:r w:rsidRPr="00193A04">
        <w:t>of pre-existing</w:t>
      </w:r>
      <w:r>
        <w:t>, historic</w:t>
      </w:r>
      <w:r w:rsidR="003B0467">
        <w:t>al</w:t>
      </w:r>
      <w:r w:rsidRPr="00193A04">
        <w:t xml:space="preserve"> </w:t>
      </w:r>
      <w:r>
        <w:t>and</w:t>
      </w:r>
      <w:r w:rsidRPr="00193A04">
        <w:t xml:space="preserve"> generational inequities</w:t>
      </w:r>
      <w:r w:rsidR="006F179A">
        <w:t>.</w:t>
      </w:r>
    </w:p>
    <w:p w14:paraId="3FDC5C7B" w14:textId="5B721C1A" w:rsidR="0055305A" w:rsidRPr="00193A04" w:rsidRDefault="0055305A" w:rsidP="0055305A">
      <w:pPr>
        <w:pStyle w:val="Bullet"/>
      </w:pPr>
      <w:r>
        <w:t>Show fairness and respect by directing</w:t>
      </w:r>
      <w:r w:rsidRPr="00193A04">
        <w:t xml:space="preserve"> resources and effort</w:t>
      </w:r>
      <w:r>
        <w:t xml:space="preserve"> in a timely manner</w:t>
      </w:r>
      <w:r w:rsidRPr="00193A04">
        <w:t xml:space="preserve"> to populations </w:t>
      </w:r>
      <w:r>
        <w:t>and</w:t>
      </w:r>
      <w:r w:rsidRPr="00193A04">
        <w:t xml:space="preserve"> groups that most need it</w:t>
      </w:r>
      <w:r w:rsidR="006F179A">
        <w:t>.</w:t>
      </w:r>
    </w:p>
    <w:p w14:paraId="58997726" w14:textId="3CD84938" w:rsidR="00932EA8" w:rsidRDefault="002870C9" w:rsidP="0055305A">
      <w:pPr>
        <w:pStyle w:val="Bullet"/>
      </w:pPr>
      <w:r>
        <w:t>Work to a</w:t>
      </w:r>
      <w:r w:rsidR="00932EA8" w:rsidRPr="00C131F4">
        <w:t>ddress systemic barriers to</w:t>
      </w:r>
      <w:r w:rsidR="00932EA8">
        <w:t xml:space="preserve"> </w:t>
      </w:r>
      <w:r w:rsidR="006F179A">
        <w:t xml:space="preserve">individuals, </w:t>
      </w:r>
      <w:r w:rsidR="00932EA8" w:rsidRPr="00C131F4">
        <w:t>whānau</w:t>
      </w:r>
      <w:r w:rsidR="00932EA8">
        <w:t xml:space="preserve"> and communities </w:t>
      </w:r>
      <w:r w:rsidR="0055305A" w:rsidRPr="00193A04">
        <w:t>achiev</w:t>
      </w:r>
      <w:r w:rsidR="00932EA8">
        <w:t>ing</w:t>
      </w:r>
      <w:r w:rsidR="0055305A" w:rsidRPr="00193A04">
        <w:t xml:space="preserve"> equitable outcomes</w:t>
      </w:r>
      <w:r w:rsidR="006F179A">
        <w:t>.</w:t>
      </w:r>
    </w:p>
    <w:p w14:paraId="469D7760" w14:textId="6D2FC5B0" w:rsidR="00C131F4" w:rsidRPr="00C131F4" w:rsidRDefault="00932EA8" w:rsidP="00E76777">
      <w:pPr>
        <w:pStyle w:val="Bullet"/>
      </w:pPr>
      <w:r>
        <w:t xml:space="preserve">Provide tailored responses for </w:t>
      </w:r>
      <w:bookmarkEnd w:id="28"/>
      <w:r w:rsidR="0055305A" w:rsidRPr="00932EA8">
        <w:t>disadvantaged groups</w:t>
      </w:r>
      <w:bookmarkStart w:id="29" w:name="_Hlk52530640"/>
      <w:r w:rsidR="006F179A">
        <w:t>.</w:t>
      </w:r>
    </w:p>
    <w:bookmarkEnd w:id="29"/>
    <w:p w14:paraId="322CC09D" w14:textId="5A859431" w:rsidR="0055305A" w:rsidRPr="00AC79BA" w:rsidRDefault="002870C9" w:rsidP="00C131F4">
      <w:pPr>
        <w:pStyle w:val="Bullet"/>
        <w:rPr>
          <w:b/>
          <w:spacing w:val="-5"/>
          <w:sz w:val="48"/>
        </w:rPr>
      </w:pPr>
      <w:r>
        <w:t>Work to a</w:t>
      </w:r>
      <w:r w:rsidR="0055305A" w:rsidRPr="00CB1A32">
        <w:t xml:space="preserve">ddress </w:t>
      </w:r>
      <w:r w:rsidR="008E40BC">
        <w:t xml:space="preserve">individual and </w:t>
      </w:r>
      <w:r w:rsidR="0055305A" w:rsidRPr="00CB1A32">
        <w:t xml:space="preserve">institutional </w:t>
      </w:r>
      <w:r w:rsidR="008E40BC">
        <w:t xml:space="preserve">discrimination, including </w:t>
      </w:r>
      <w:r w:rsidR="0055305A" w:rsidRPr="00CB1A32">
        <w:t>racism</w:t>
      </w:r>
      <w:r w:rsidR="00CB1A32" w:rsidRPr="00CB1A32">
        <w:t xml:space="preserve"> and the </w:t>
      </w:r>
      <w:r w:rsidR="00077319" w:rsidRPr="00CB1A32">
        <w:t>influence</w:t>
      </w:r>
      <w:r w:rsidR="00CB1A32" w:rsidRPr="00CB1A32">
        <w:t xml:space="preserve"> of colonisation</w:t>
      </w:r>
      <w:r w:rsidR="0055305A" w:rsidRPr="00CB1A32">
        <w:t xml:space="preserve"> in services and policy design</w:t>
      </w:r>
      <w:r w:rsidR="006F179A">
        <w:t>.</w:t>
      </w:r>
    </w:p>
    <w:p w14:paraId="45F8C03E" w14:textId="77777777" w:rsidR="00FB126A" w:rsidRDefault="00FB126A">
      <w:pPr>
        <w:rPr>
          <w:b/>
          <w:color w:val="0A6AB4"/>
          <w:spacing w:val="-5"/>
          <w:sz w:val="48"/>
        </w:rPr>
      </w:pPr>
      <w:bookmarkStart w:id="30" w:name="_Toc50464488"/>
      <w:r>
        <w:br w:type="page"/>
      </w:r>
    </w:p>
    <w:p w14:paraId="0F43E2D7" w14:textId="453D07FD" w:rsidR="00C3624A" w:rsidRDefault="00750A5F" w:rsidP="00465724">
      <w:pPr>
        <w:pStyle w:val="Heading2"/>
      </w:pPr>
      <w:bookmarkStart w:id="31" w:name="_Toc59439394"/>
      <w:r>
        <w:t xml:space="preserve">Principle </w:t>
      </w:r>
      <w:r w:rsidR="0055305A">
        <w:t>3</w:t>
      </w:r>
      <w:r>
        <w:t>:</w:t>
      </w:r>
      <w:r>
        <w:br/>
        <w:t>People</w:t>
      </w:r>
      <w:r w:rsidR="00E91D36">
        <w:t xml:space="preserve"> </w:t>
      </w:r>
      <w:r>
        <w:t xml:space="preserve">and </w:t>
      </w:r>
      <w:r w:rsidR="00F710BD">
        <w:t xml:space="preserve">whānau at the </w:t>
      </w:r>
      <w:r>
        <w:t>centre</w:t>
      </w:r>
      <w:bookmarkEnd w:id="30"/>
      <w:bookmarkEnd w:id="31"/>
    </w:p>
    <w:p w14:paraId="3A620A3A" w14:textId="5B2C0A40" w:rsidR="00C3624A" w:rsidRPr="00647D5C" w:rsidRDefault="00C3624A" w:rsidP="00750A5F">
      <w:pPr>
        <w:pStyle w:val="Introductoryparagraph"/>
      </w:pPr>
      <w:r w:rsidRPr="00647D5C">
        <w:t xml:space="preserve">Ko te tangata te hā o te whānau </w:t>
      </w:r>
      <w:r w:rsidR="00750A5F">
        <w:t>–</w:t>
      </w:r>
      <w:r w:rsidR="00750A5F">
        <w:br/>
      </w:r>
      <w:r w:rsidR="004D299E">
        <w:t>T</w:t>
      </w:r>
      <w:r w:rsidRPr="00647D5C">
        <w:t>he breath of my being is my whānau.</w:t>
      </w:r>
    </w:p>
    <w:p w14:paraId="7510CCCA" w14:textId="4CA04D8A" w:rsidR="00E62A0A" w:rsidRDefault="00634029" w:rsidP="00E62A0A">
      <w:r w:rsidRPr="004267F3">
        <w:t xml:space="preserve">This principle seeks to strengthen the capacity of </w:t>
      </w:r>
      <w:r w:rsidR="00F45FFC" w:rsidRPr="004267F3">
        <w:t>people</w:t>
      </w:r>
      <w:r w:rsidRPr="004267F3">
        <w:t xml:space="preserve"> and whānau to lead their own </w:t>
      </w:r>
      <w:r w:rsidR="00E820B6" w:rsidRPr="004267F3">
        <w:t xml:space="preserve">pathways to </w:t>
      </w:r>
      <w:r w:rsidRPr="004267F3">
        <w:t xml:space="preserve">wellbeing, while </w:t>
      </w:r>
      <w:r w:rsidR="00C3624A" w:rsidRPr="00594872">
        <w:t xml:space="preserve">ensuring support is easily available and appropriate to </w:t>
      </w:r>
      <w:r w:rsidR="00336846">
        <w:t>the</w:t>
      </w:r>
      <w:r>
        <w:t>ir</w:t>
      </w:r>
      <w:r w:rsidR="00336846">
        <w:t xml:space="preserve"> needs</w:t>
      </w:r>
      <w:r>
        <w:t>,</w:t>
      </w:r>
      <w:r w:rsidR="00336846">
        <w:t xml:space="preserve"> </w:t>
      </w:r>
      <w:r w:rsidR="00E434FD">
        <w:t>across different ages, ethnicities</w:t>
      </w:r>
      <w:r w:rsidR="004252E4">
        <w:t>,</w:t>
      </w:r>
      <w:r w:rsidR="00E434FD">
        <w:t xml:space="preserve"> backgrounds</w:t>
      </w:r>
      <w:r w:rsidR="004252E4">
        <w:t xml:space="preserve"> and circumstances</w:t>
      </w:r>
      <w:r w:rsidR="00C3624A" w:rsidRPr="00594872">
        <w:t xml:space="preserve">. </w:t>
      </w:r>
    </w:p>
    <w:p w14:paraId="66B83959" w14:textId="77777777" w:rsidR="00E62A0A" w:rsidRDefault="00E62A0A" w:rsidP="00E62A0A"/>
    <w:p w14:paraId="6D8058D8" w14:textId="6220A37F" w:rsidR="00E62A0A" w:rsidRPr="00E434FD" w:rsidRDefault="00E62A0A" w:rsidP="00E62A0A">
      <w:r>
        <w:t xml:space="preserve">It </w:t>
      </w:r>
      <w:r w:rsidRPr="00E62A0A">
        <w:t>involves responding to people with respect and empathy</w:t>
      </w:r>
      <w:r w:rsidR="00F43587">
        <w:t xml:space="preserve">, </w:t>
      </w:r>
      <w:r w:rsidRPr="00E62A0A">
        <w:t>seeing the whole person and recognising their aspirations.</w:t>
      </w:r>
      <w:r>
        <w:rPr>
          <w:i/>
          <w:iCs/>
        </w:rPr>
        <w:t xml:space="preserve"> </w:t>
      </w:r>
      <w:r>
        <w:rPr>
          <w:spacing w:val="-2"/>
        </w:rPr>
        <w:t>This includes</w:t>
      </w:r>
      <w:r w:rsidRPr="00DC5BB9">
        <w:rPr>
          <w:spacing w:val="-2"/>
        </w:rPr>
        <w:t xml:space="preserve"> ensur</w:t>
      </w:r>
      <w:r>
        <w:rPr>
          <w:spacing w:val="-2"/>
        </w:rPr>
        <w:t>ing</w:t>
      </w:r>
      <w:r w:rsidRPr="00DC5BB9">
        <w:rPr>
          <w:spacing w:val="-2"/>
        </w:rPr>
        <w:t xml:space="preserve"> that personal, whānau, community</w:t>
      </w:r>
      <w:r>
        <w:rPr>
          <w:spacing w:val="-2"/>
        </w:rPr>
        <w:t>, spiritual</w:t>
      </w:r>
      <w:r w:rsidRPr="00DC5BB9">
        <w:rPr>
          <w:spacing w:val="-2"/>
        </w:rPr>
        <w:t xml:space="preserve"> and cultural values are respected</w:t>
      </w:r>
      <w:r>
        <w:rPr>
          <w:spacing w:val="-2"/>
        </w:rPr>
        <w:t xml:space="preserve"> </w:t>
      </w:r>
      <w:r w:rsidRPr="00DC5BB9">
        <w:rPr>
          <w:spacing w:val="-2"/>
        </w:rPr>
        <w:t xml:space="preserve">and integrated into </w:t>
      </w:r>
      <w:r>
        <w:rPr>
          <w:spacing w:val="-2"/>
        </w:rPr>
        <w:t>the</w:t>
      </w:r>
      <w:r w:rsidRPr="00DC5BB9">
        <w:rPr>
          <w:spacing w:val="-2"/>
        </w:rPr>
        <w:t xml:space="preserve"> design and deliver</w:t>
      </w:r>
      <w:r>
        <w:rPr>
          <w:spacing w:val="-2"/>
        </w:rPr>
        <w:t>y of support</w:t>
      </w:r>
      <w:r w:rsidRPr="00DC5BB9">
        <w:rPr>
          <w:spacing w:val="-2"/>
        </w:rPr>
        <w:t>.</w:t>
      </w:r>
      <w:r>
        <w:rPr>
          <w:spacing w:val="-2"/>
        </w:rPr>
        <w:t xml:space="preserve"> </w:t>
      </w:r>
    </w:p>
    <w:p w14:paraId="57BF2BA1" w14:textId="77777777" w:rsidR="00E62A0A" w:rsidRDefault="00E62A0A" w:rsidP="004252E4">
      <w:pPr>
        <w:pStyle w:val="Bullet"/>
        <w:numPr>
          <w:ilvl w:val="0"/>
          <w:numId w:val="0"/>
        </w:numPr>
      </w:pPr>
    </w:p>
    <w:p w14:paraId="4AADF938" w14:textId="66FA76B6" w:rsidR="00C3624A" w:rsidRDefault="007D6CE4" w:rsidP="00750A5F">
      <w:r>
        <w:t>This principle recognises w</w:t>
      </w:r>
      <w:r w:rsidRPr="00594872">
        <w:t xml:space="preserve">hānau </w:t>
      </w:r>
      <w:r>
        <w:t xml:space="preserve">as </w:t>
      </w:r>
      <w:r w:rsidRPr="00594872">
        <w:t xml:space="preserve">a crucial part of the support network for </w:t>
      </w:r>
      <w:r>
        <w:t>individuals</w:t>
      </w:r>
      <w:r w:rsidRPr="00594872">
        <w:t xml:space="preserve"> experiencing challenges.</w:t>
      </w:r>
      <w:r>
        <w:t xml:space="preserve"> It </w:t>
      </w:r>
      <w:r w:rsidR="00B62802">
        <w:t xml:space="preserve">involves </w:t>
      </w:r>
      <w:bookmarkStart w:id="32" w:name="_Hlk54008746"/>
      <w:r w:rsidR="00B62802">
        <w:t xml:space="preserve">focusing on prevention and early support </w:t>
      </w:r>
      <w:r w:rsidR="00B92B08">
        <w:t>–</w:t>
      </w:r>
      <w:r w:rsidR="00B62802">
        <w:t xml:space="preserve"> by supporting resilience from a young age</w:t>
      </w:r>
      <w:r w:rsidR="003B0467">
        <w:t>,</w:t>
      </w:r>
      <w:r w:rsidR="00B62802">
        <w:t xml:space="preserve"> addressing the social </w:t>
      </w:r>
      <w:r w:rsidR="00F53C5A">
        <w:t xml:space="preserve">and economic </w:t>
      </w:r>
      <w:r w:rsidR="00B62802">
        <w:t>determinants of mental wellbeing</w:t>
      </w:r>
      <w:r w:rsidR="003B0467">
        <w:t xml:space="preserve">, </w:t>
      </w:r>
      <w:r w:rsidR="00B62802">
        <w:t>and supporting people early when they experience distress</w:t>
      </w:r>
      <w:bookmarkEnd w:id="32"/>
      <w:r w:rsidR="00B62802">
        <w:t xml:space="preserve">. It means </w:t>
      </w:r>
      <w:r>
        <w:rPr>
          <w:rFonts w:cstheme="minorHAnsi"/>
        </w:rPr>
        <w:t>involving</w:t>
      </w:r>
      <w:r w:rsidR="004406A3">
        <w:rPr>
          <w:rFonts w:cstheme="minorHAnsi"/>
        </w:rPr>
        <w:t xml:space="preserve"> </w:t>
      </w:r>
      <w:r w:rsidR="00EB57B6">
        <w:rPr>
          <w:rFonts w:cstheme="minorHAnsi"/>
        </w:rPr>
        <w:t xml:space="preserve">people and </w:t>
      </w:r>
      <w:r w:rsidR="004C5C66">
        <w:rPr>
          <w:rFonts w:cstheme="minorHAnsi"/>
        </w:rPr>
        <w:t xml:space="preserve">whānau </w:t>
      </w:r>
      <w:r w:rsidR="004406A3">
        <w:rPr>
          <w:rFonts w:cstheme="minorHAnsi"/>
        </w:rPr>
        <w:t>in making</w:t>
      </w:r>
      <w:r w:rsidR="00E434FD">
        <w:rPr>
          <w:rFonts w:cstheme="minorHAnsi"/>
        </w:rPr>
        <w:t xml:space="preserve"> informed choices </w:t>
      </w:r>
      <w:r w:rsidR="004252E4">
        <w:rPr>
          <w:rFonts w:cstheme="minorHAnsi"/>
        </w:rPr>
        <w:t>and p</w:t>
      </w:r>
      <w:r w:rsidR="004252E4" w:rsidRPr="00CA5755">
        <w:t>romot</w:t>
      </w:r>
      <w:r w:rsidR="000B47D4">
        <w:t>ing</w:t>
      </w:r>
      <w:r w:rsidR="004252E4" w:rsidRPr="00CA5755">
        <w:t xml:space="preserve"> strengths-based </w:t>
      </w:r>
      <w:r w:rsidR="004252E4">
        <w:t>paths to mental wellbeing.</w:t>
      </w:r>
    </w:p>
    <w:p w14:paraId="0F3EC039" w14:textId="77777777" w:rsidR="00C3624A" w:rsidRPr="00CE5C74" w:rsidRDefault="00C3624A" w:rsidP="00E434FD">
      <w:pPr>
        <w:pStyle w:val="Heading3"/>
        <w:numPr>
          <w:ilvl w:val="0"/>
          <w:numId w:val="0"/>
        </w:numPr>
      </w:pPr>
      <w:r w:rsidRPr="00CE5C74">
        <w:t>How this principle will be demonstrated</w:t>
      </w:r>
    </w:p>
    <w:p w14:paraId="75610D3E" w14:textId="48457E69" w:rsidR="00C3624A" w:rsidRDefault="007E0B37" w:rsidP="00750A5F">
      <w:pPr>
        <w:pStyle w:val="Bullet"/>
      </w:pPr>
      <w:r>
        <w:t xml:space="preserve">Support </w:t>
      </w:r>
      <w:r w:rsidR="00C3624A" w:rsidRPr="00193A04">
        <w:t xml:space="preserve">actions that </w:t>
      </w:r>
      <w:r>
        <w:t xml:space="preserve">involve </w:t>
      </w:r>
      <w:r w:rsidR="00C3624A" w:rsidRPr="00193A04">
        <w:t xml:space="preserve">people </w:t>
      </w:r>
      <w:r w:rsidR="00D7204E">
        <w:t>and whānau</w:t>
      </w:r>
      <w:r w:rsidR="00D7204E" w:rsidRPr="00193A04">
        <w:t xml:space="preserve"> </w:t>
      </w:r>
      <w:r>
        <w:t xml:space="preserve">as </w:t>
      </w:r>
      <w:r w:rsidR="00C3624A" w:rsidRPr="00193A04">
        <w:t xml:space="preserve">equal partners </w:t>
      </w:r>
      <w:r w:rsidR="00764E9D">
        <w:t>in</w:t>
      </w:r>
      <w:r w:rsidR="00764E9D" w:rsidRPr="00193A04">
        <w:t xml:space="preserve"> </w:t>
      </w:r>
      <w:r w:rsidR="00C3624A" w:rsidRPr="00193A04">
        <w:t>their wellbeing support</w:t>
      </w:r>
      <w:r w:rsidR="006F179A">
        <w:t>.</w:t>
      </w:r>
    </w:p>
    <w:p w14:paraId="1C0B76A4" w14:textId="2D0F6A4C" w:rsidR="00601DAC" w:rsidRPr="00193A04" w:rsidRDefault="00601DAC" w:rsidP="00750A5F">
      <w:pPr>
        <w:pStyle w:val="Bullet"/>
      </w:pPr>
      <w:r w:rsidRPr="00932EA8">
        <w:t>Promote</w:t>
      </w:r>
      <w:r>
        <w:t xml:space="preserve"> </w:t>
      </w:r>
      <w:r w:rsidRPr="00C131F4">
        <w:t xml:space="preserve">systems, services and processes </w:t>
      </w:r>
      <w:r>
        <w:t xml:space="preserve">that </w:t>
      </w:r>
      <w:r w:rsidRPr="00C131F4">
        <w:t>put people</w:t>
      </w:r>
      <w:r w:rsidR="00EB57B6">
        <w:t xml:space="preserve"> and whānau</w:t>
      </w:r>
      <w:r w:rsidRPr="00C131F4">
        <w:t xml:space="preserve"> at the centre and create space for self-determination</w:t>
      </w:r>
      <w:r w:rsidR="006F179A">
        <w:t>.</w:t>
      </w:r>
    </w:p>
    <w:p w14:paraId="2745E8C1" w14:textId="436DAB85" w:rsidR="00C3624A" w:rsidRPr="00193A04" w:rsidRDefault="00C3624A" w:rsidP="00750A5F">
      <w:pPr>
        <w:pStyle w:val="Bullet"/>
      </w:pPr>
      <w:r w:rsidRPr="00193A04">
        <w:t>Provide support appropriate to people</w:t>
      </w:r>
      <w:r w:rsidR="00621B90">
        <w:t>’</w:t>
      </w:r>
      <w:r w:rsidRPr="00193A04">
        <w:t>s culture, age, background and circumstances</w:t>
      </w:r>
      <w:r w:rsidR="006F179A">
        <w:t>.</w:t>
      </w:r>
    </w:p>
    <w:p w14:paraId="32133C16" w14:textId="6159D2D9" w:rsidR="007310F6" w:rsidRDefault="00C17864" w:rsidP="007310F6">
      <w:pPr>
        <w:pStyle w:val="Bullet"/>
      </w:pPr>
      <w:r>
        <w:t>Include a strong f</w:t>
      </w:r>
      <w:r w:rsidR="007310F6">
        <w:t xml:space="preserve">ocus on </w:t>
      </w:r>
      <w:r w:rsidR="00B62802">
        <w:t>prevention, early support and building resilience</w:t>
      </w:r>
      <w:r w:rsidR="006F179A">
        <w:t>.</w:t>
      </w:r>
    </w:p>
    <w:p w14:paraId="3FFEF6E0" w14:textId="4DFABE40" w:rsidR="00C3624A" w:rsidRDefault="00A16C69" w:rsidP="00750A5F">
      <w:pPr>
        <w:pStyle w:val="Bullet"/>
      </w:pPr>
      <w:r>
        <w:t>P</w:t>
      </w:r>
      <w:r w:rsidR="00C3624A" w:rsidRPr="00193A04">
        <w:t>romote a sense of safety</w:t>
      </w:r>
      <w:r w:rsidR="00582CFA">
        <w:t>,</w:t>
      </w:r>
      <w:r w:rsidR="00C3624A" w:rsidRPr="00193A04">
        <w:t xml:space="preserve"> self-efficacy</w:t>
      </w:r>
      <w:r w:rsidR="00582CFA">
        <w:t>,</w:t>
      </w:r>
      <w:r w:rsidR="007D43B8">
        <w:t xml:space="preserve"> </w:t>
      </w:r>
      <w:r w:rsidR="00C3624A" w:rsidRPr="00193A04">
        <w:t>connectedness</w:t>
      </w:r>
      <w:r w:rsidR="007D43B8">
        <w:t>,</w:t>
      </w:r>
      <w:r w:rsidR="00C3624A" w:rsidRPr="00193A04">
        <w:t xml:space="preserve"> calm and hope</w:t>
      </w:r>
      <w:r w:rsidR="006F179A">
        <w:t>.</w:t>
      </w:r>
    </w:p>
    <w:p w14:paraId="3351C325" w14:textId="712AB320" w:rsidR="00C3624A" w:rsidRPr="00193A04" w:rsidRDefault="00C3624A" w:rsidP="00750A5F">
      <w:pPr>
        <w:pStyle w:val="Bullet"/>
      </w:pPr>
      <w:r>
        <w:t xml:space="preserve">Acknowledge and build on the strengths </w:t>
      </w:r>
      <w:r w:rsidR="00EB57B6">
        <w:t xml:space="preserve">of people </w:t>
      </w:r>
      <w:r w:rsidR="00601DAC">
        <w:t xml:space="preserve">and </w:t>
      </w:r>
      <w:r w:rsidR="00474604">
        <w:t>whānau</w:t>
      </w:r>
      <w:r w:rsidR="006F179A">
        <w:t>.</w:t>
      </w:r>
    </w:p>
    <w:p w14:paraId="62B83F20" w14:textId="24478164" w:rsidR="00C3624A" w:rsidRPr="00193A04" w:rsidRDefault="00C3624A" w:rsidP="00750A5F">
      <w:pPr>
        <w:pStyle w:val="Bullet"/>
      </w:pPr>
      <w:r w:rsidRPr="00193A04">
        <w:t>Adopt a trauma-informed approach</w:t>
      </w:r>
      <w:r w:rsidR="006F179A">
        <w:t>.</w:t>
      </w:r>
    </w:p>
    <w:p w14:paraId="515AA2EA" w14:textId="77777777" w:rsidR="00C3624A" w:rsidRDefault="00C3624A" w:rsidP="00750A5F"/>
    <w:p w14:paraId="129229B1" w14:textId="77777777" w:rsidR="00FB126A" w:rsidRDefault="00FB126A">
      <w:pPr>
        <w:rPr>
          <w:b/>
          <w:color w:val="0A6AB4"/>
          <w:spacing w:val="-5"/>
          <w:sz w:val="48"/>
        </w:rPr>
      </w:pPr>
      <w:bookmarkStart w:id="33" w:name="_Toc50464489"/>
      <w:r>
        <w:br w:type="page"/>
      </w:r>
    </w:p>
    <w:p w14:paraId="1D28C141" w14:textId="75CAD058" w:rsidR="00DC5BB9" w:rsidRDefault="00D90C6C" w:rsidP="00DC5BB9">
      <w:pPr>
        <w:pStyle w:val="Heading2"/>
      </w:pPr>
      <w:bookmarkStart w:id="34" w:name="_Toc59439395"/>
      <w:r>
        <w:t xml:space="preserve">Principle </w:t>
      </w:r>
      <w:r w:rsidR="0055305A">
        <w:t>4</w:t>
      </w:r>
      <w:r>
        <w:t>:</w:t>
      </w:r>
      <w:r>
        <w:br/>
        <w:t>Community</w:t>
      </w:r>
      <w:bookmarkEnd w:id="33"/>
      <w:r w:rsidR="002E0451">
        <w:t xml:space="preserve"> </w:t>
      </w:r>
      <w:r w:rsidR="00E434FD">
        <w:t>focu</w:t>
      </w:r>
      <w:r w:rsidR="00F710BD">
        <w:t>s</w:t>
      </w:r>
      <w:bookmarkEnd w:id="34"/>
    </w:p>
    <w:p w14:paraId="3F8A90B6" w14:textId="1EA73FAD" w:rsidR="00C3624A" w:rsidRPr="00647D5C" w:rsidRDefault="00C3624A" w:rsidP="00D90C6C">
      <w:pPr>
        <w:pStyle w:val="Introductoryparagraph"/>
      </w:pPr>
      <w:r w:rsidRPr="00647D5C">
        <w:t>Ma mua ka kite a muri, mā muri ka ora a mua –</w:t>
      </w:r>
      <w:r w:rsidR="00D90C6C">
        <w:br/>
        <w:t>T</w:t>
      </w:r>
      <w:r w:rsidRPr="00647D5C">
        <w:t>hose who lead give sight to those who follow,</w:t>
      </w:r>
      <w:r w:rsidR="00D90C6C">
        <w:br/>
      </w:r>
      <w:r w:rsidRPr="00647D5C">
        <w:t>those who follow give life to those who lead</w:t>
      </w:r>
      <w:r w:rsidR="00635ECD">
        <w:t>.</w:t>
      </w:r>
    </w:p>
    <w:p w14:paraId="26933A18" w14:textId="574034E8" w:rsidR="004406A3" w:rsidRDefault="002E0451" w:rsidP="00D90C6C">
      <w:r>
        <w:t>Strong communities provide a foundation of support and connection which is vital for mental wellbeing.</w:t>
      </w:r>
      <w:r w:rsidR="004406A3">
        <w:t xml:space="preserve"> Communities </w:t>
      </w:r>
      <w:r>
        <w:t>may be based around a</w:t>
      </w:r>
      <w:r w:rsidR="004406A3">
        <w:t xml:space="preserve"> particular locality</w:t>
      </w:r>
      <w:r w:rsidR="007310F6">
        <w:t xml:space="preserve"> (</w:t>
      </w:r>
      <w:r w:rsidR="00663372">
        <w:t>such as a suburb or town</w:t>
      </w:r>
      <w:r w:rsidR="007310F6">
        <w:t>)</w:t>
      </w:r>
      <w:r w:rsidR="004406A3">
        <w:t xml:space="preserve">, identity </w:t>
      </w:r>
      <w:r w:rsidR="00017B1D">
        <w:t>(such as ethnicity or sexual orientation) or common interests</w:t>
      </w:r>
      <w:r w:rsidR="00663372">
        <w:t>/purpose (such as a profession</w:t>
      </w:r>
      <w:r w:rsidR="002C7373">
        <w:t>, sports club</w:t>
      </w:r>
      <w:r w:rsidR="00663372">
        <w:t xml:space="preserve"> or school)</w:t>
      </w:r>
      <w:r w:rsidR="00017B1D">
        <w:t>.</w:t>
      </w:r>
      <w:r w:rsidR="004406A3">
        <w:t xml:space="preserve"> </w:t>
      </w:r>
    </w:p>
    <w:p w14:paraId="68874EF0" w14:textId="77777777" w:rsidR="00017B1D" w:rsidRDefault="00017B1D" w:rsidP="00D90C6C"/>
    <w:p w14:paraId="76BED338" w14:textId="1CC75C0A" w:rsidR="00017B1D" w:rsidRDefault="00017B1D" w:rsidP="00D90C6C">
      <w:r>
        <w:t xml:space="preserve">The community-focused principle seeks to </w:t>
      </w:r>
      <w:r w:rsidR="002E0451">
        <w:t xml:space="preserve">build on the strengths and assets of communities so that they can best support </w:t>
      </w:r>
      <w:r w:rsidR="004C5C66">
        <w:t xml:space="preserve">whānau </w:t>
      </w:r>
      <w:r w:rsidR="007D43B8">
        <w:t>and individuals</w:t>
      </w:r>
      <w:r w:rsidR="002E0451">
        <w:t xml:space="preserve">. It recognises the value </w:t>
      </w:r>
      <w:r w:rsidR="007D43B8">
        <w:t>of</w:t>
      </w:r>
      <w:r w:rsidR="002E0451">
        <w:t xml:space="preserve"> communities exercising a high degree of self-efficacy</w:t>
      </w:r>
      <w:r w:rsidR="004920FA">
        <w:t xml:space="preserve"> and</w:t>
      </w:r>
      <w:r w:rsidR="002E0451">
        <w:t xml:space="preserve"> self-determination</w:t>
      </w:r>
      <w:r w:rsidR="004920FA">
        <w:t xml:space="preserve"> </w:t>
      </w:r>
      <w:r w:rsidR="002E0451">
        <w:t xml:space="preserve">in implementing solutions to </w:t>
      </w:r>
      <w:r w:rsidR="004E265D">
        <w:t xml:space="preserve">identified </w:t>
      </w:r>
      <w:r w:rsidR="002E0451">
        <w:t>needs.</w:t>
      </w:r>
      <w:r w:rsidR="00D174FB">
        <w:t xml:space="preserve"> </w:t>
      </w:r>
    </w:p>
    <w:p w14:paraId="7762A0F2" w14:textId="6C96E918" w:rsidR="007B47A5" w:rsidRDefault="007B47A5" w:rsidP="00D90C6C"/>
    <w:p w14:paraId="664446C7" w14:textId="3BEC02FE" w:rsidR="007B47A5" w:rsidRDefault="007B47A5" w:rsidP="007B47A5">
      <w:r>
        <w:t>Fostering communities’ ability to support mental wellbeing may involve partnering approaches such as co-design, or community-led processes where grassroots decision-making is supported by information and resources from outside the community.</w:t>
      </w:r>
      <w:r w:rsidR="002F1792">
        <w:t xml:space="preserve"> </w:t>
      </w:r>
    </w:p>
    <w:p w14:paraId="53833BB8" w14:textId="77777777" w:rsidR="007B47A5" w:rsidRDefault="007B47A5" w:rsidP="00D90C6C"/>
    <w:p w14:paraId="02230EEB" w14:textId="6FC940B5" w:rsidR="002E0451" w:rsidRDefault="007B47A5" w:rsidP="00D90C6C">
      <w:r>
        <w:t xml:space="preserve">There is an opportunity for </w:t>
      </w:r>
      <w:r w:rsidR="00E25200">
        <w:t xml:space="preserve">more </w:t>
      </w:r>
      <w:r w:rsidR="00C70050">
        <w:t xml:space="preserve">mental wellbeing </w:t>
      </w:r>
      <w:r>
        <w:t>services to move to community-based delivery models, in which integrated services and supports are provided according to need and matched to population diversity.</w:t>
      </w:r>
    </w:p>
    <w:p w14:paraId="2C586662" w14:textId="77777777" w:rsidR="00C3624A" w:rsidRPr="00CE5C74" w:rsidRDefault="00C3624A" w:rsidP="00D90C6C">
      <w:pPr>
        <w:pStyle w:val="Heading3"/>
      </w:pPr>
      <w:r w:rsidRPr="00CE5C74">
        <w:t>How this principle will be demonstrated</w:t>
      </w:r>
    </w:p>
    <w:p w14:paraId="2773C286" w14:textId="663BB15E" w:rsidR="007B1AE2" w:rsidRDefault="00C3624A" w:rsidP="004F75D6">
      <w:pPr>
        <w:pStyle w:val="Bullet"/>
      </w:pPr>
      <w:r w:rsidRPr="00CA5755">
        <w:t xml:space="preserve">Build on existing </w:t>
      </w:r>
      <w:r w:rsidR="007B1AE2">
        <w:t xml:space="preserve">community </w:t>
      </w:r>
      <w:r w:rsidRPr="00CA5755">
        <w:t>strengths</w:t>
      </w:r>
      <w:r w:rsidR="00F76473">
        <w:t xml:space="preserve">, </w:t>
      </w:r>
      <w:r w:rsidR="007B1AE2">
        <w:t xml:space="preserve">such as </w:t>
      </w:r>
      <w:r w:rsidR="00F76473">
        <w:t>knowledge, networks and resources</w:t>
      </w:r>
      <w:r w:rsidR="006F179A">
        <w:t>.</w:t>
      </w:r>
    </w:p>
    <w:p w14:paraId="2824BCDF" w14:textId="553A7ED3" w:rsidR="00267708" w:rsidRDefault="007B47A5" w:rsidP="004F75D6">
      <w:pPr>
        <w:pStyle w:val="Bullet"/>
      </w:pPr>
      <w:r>
        <w:t xml:space="preserve">Collaborate with and involve communities in </w:t>
      </w:r>
      <w:r w:rsidR="007D43B8">
        <w:t>national</w:t>
      </w:r>
      <w:r>
        <w:t xml:space="preserve"> and regional decision-making</w:t>
      </w:r>
      <w:r w:rsidR="006F179A">
        <w:t>.</w:t>
      </w:r>
    </w:p>
    <w:p w14:paraId="78D3E8F4" w14:textId="5B760B42" w:rsidR="007B47A5" w:rsidRDefault="007B47A5" w:rsidP="004F75D6">
      <w:pPr>
        <w:pStyle w:val="Bullet"/>
      </w:pPr>
      <w:r>
        <w:t>Increase community-based options for supporting mental wellbeing</w:t>
      </w:r>
      <w:r w:rsidR="006F179A">
        <w:t>.</w:t>
      </w:r>
    </w:p>
    <w:p w14:paraId="21225321" w14:textId="5A9ACE93" w:rsidR="00581E71" w:rsidRPr="00CA5755" w:rsidRDefault="00581E71" w:rsidP="00581E71">
      <w:pPr>
        <w:pStyle w:val="Bullet"/>
      </w:pPr>
      <w:r>
        <w:t>Consider and a</w:t>
      </w:r>
      <w:r w:rsidRPr="00C131F4">
        <w:t xml:space="preserve">ddress </w:t>
      </w:r>
      <w:r>
        <w:t>potential</w:t>
      </w:r>
      <w:r w:rsidRPr="00C131F4">
        <w:t xml:space="preserve"> barriers to </w:t>
      </w:r>
      <w:r>
        <w:t>communities implementing their own solutions to local issues</w:t>
      </w:r>
      <w:r w:rsidR="006F179A">
        <w:t>.</w:t>
      </w:r>
    </w:p>
    <w:p w14:paraId="39E5C6DC" w14:textId="72BA03BE" w:rsidR="007B47A5" w:rsidRDefault="007B47A5" w:rsidP="004F75D6">
      <w:pPr>
        <w:pStyle w:val="Bullet"/>
      </w:pPr>
      <w:r>
        <w:t>Support</w:t>
      </w:r>
      <w:r w:rsidRPr="00CA5755">
        <w:t xml:space="preserve"> community-led decision-making</w:t>
      </w:r>
      <w:r>
        <w:t>, l</w:t>
      </w:r>
      <w:r w:rsidR="007B1AE2">
        <w:t>eadership and capacity</w:t>
      </w:r>
      <w:r w:rsidR="006F179A">
        <w:t>.</w:t>
      </w:r>
    </w:p>
    <w:p w14:paraId="6FEA504A" w14:textId="402036A0" w:rsidR="00C3624A" w:rsidRDefault="00C3624A" w:rsidP="004F75D6">
      <w:pPr>
        <w:pStyle w:val="Bullet"/>
      </w:pPr>
      <w:r w:rsidRPr="00CA5755">
        <w:t xml:space="preserve">Encourage social cohesion, sense of belonging, </w:t>
      </w:r>
      <w:r w:rsidR="00F76473">
        <w:t>manaakitanga</w:t>
      </w:r>
      <w:r w:rsidRPr="00CA5755">
        <w:t xml:space="preserve"> and kotahitanga</w:t>
      </w:r>
      <w:r w:rsidR="006F179A">
        <w:t>.</w:t>
      </w:r>
    </w:p>
    <w:p w14:paraId="0B171375" w14:textId="77777777" w:rsidR="00C3624A" w:rsidRDefault="00C3624A" w:rsidP="00D90C6C"/>
    <w:p w14:paraId="6023BBBD" w14:textId="77777777" w:rsidR="00FB126A" w:rsidRDefault="00FB126A">
      <w:pPr>
        <w:rPr>
          <w:b/>
          <w:color w:val="0A6AB4"/>
          <w:spacing w:val="-5"/>
          <w:sz w:val="48"/>
        </w:rPr>
      </w:pPr>
      <w:bookmarkStart w:id="35" w:name="_Toc50464490"/>
      <w:r>
        <w:br w:type="page"/>
      </w:r>
    </w:p>
    <w:p w14:paraId="481C7411" w14:textId="00A7ADF8" w:rsidR="00D90C6C" w:rsidRDefault="00D90C6C" w:rsidP="00D90C6C">
      <w:pPr>
        <w:pStyle w:val="Heading2"/>
      </w:pPr>
      <w:bookmarkStart w:id="36" w:name="_Toc59439396"/>
      <w:r>
        <w:t>Principle 5:</w:t>
      </w:r>
      <w:r>
        <w:br/>
      </w:r>
      <w:r w:rsidR="00F23C5D">
        <w:t xml:space="preserve">Uphold </w:t>
      </w:r>
      <w:r>
        <w:t>human rights</w:t>
      </w:r>
      <w:bookmarkEnd w:id="35"/>
      <w:bookmarkEnd w:id="36"/>
    </w:p>
    <w:p w14:paraId="069D794F" w14:textId="66273E59" w:rsidR="00C3624A" w:rsidRPr="00647D5C" w:rsidRDefault="00C3624A" w:rsidP="00D90C6C">
      <w:pPr>
        <w:pStyle w:val="Introductoryparagraph"/>
        <w:keepNext/>
      </w:pPr>
      <w:r w:rsidRPr="00647D5C">
        <w:t xml:space="preserve">He Tapu te Oranga o ia Tangata </w:t>
      </w:r>
      <w:r>
        <w:t>–</w:t>
      </w:r>
      <w:r w:rsidR="00D90C6C">
        <w:br/>
      </w:r>
      <w:r>
        <w:t>Everybody</w:t>
      </w:r>
      <w:r w:rsidR="00621B90">
        <w:t>’</w:t>
      </w:r>
      <w:r>
        <w:t>s life is meaningful</w:t>
      </w:r>
      <w:r w:rsidR="00635ECD">
        <w:t>.</w:t>
      </w:r>
    </w:p>
    <w:p w14:paraId="5410A065" w14:textId="1ED469B7" w:rsidR="00C3624A" w:rsidRDefault="00C3624A" w:rsidP="003D449B">
      <w:pPr>
        <w:keepLines/>
      </w:pPr>
      <w:r w:rsidRPr="00594872">
        <w:t xml:space="preserve">Human rights place responsibilities on government and others holding public power, and they also place responsibilities on </w:t>
      </w:r>
      <w:r w:rsidR="009E0F7C">
        <w:t xml:space="preserve">organisations when supporting </w:t>
      </w:r>
      <w:r w:rsidR="006F179A">
        <w:t xml:space="preserve">individuals and </w:t>
      </w:r>
      <w:r w:rsidR="004C5C66">
        <w:t>whānau</w:t>
      </w:r>
      <w:r w:rsidRPr="00594872">
        <w:t xml:space="preserve">. </w:t>
      </w:r>
      <w:r w:rsidR="00993F59">
        <w:t>H</w:t>
      </w:r>
      <w:r w:rsidRPr="00594872">
        <w:t xml:space="preserve">uman rights </w:t>
      </w:r>
      <w:r w:rsidR="00993F59">
        <w:t xml:space="preserve">are orientated around such </w:t>
      </w:r>
      <w:r w:rsidRPr="00594872">
        <w:t xml:space="preserve">values </w:t>
      </w:r>
      <w:r w:rsidR="00993F59">
        <w:t>as</w:t>
      </w:r>
      <w:r w:rsidRPr="00594872">
        <w:t xml:space="preserve"> </w:t>
      </w:r>
      <w:r w:rsidRPr="00594872">
        <w:rPr>
          <w:color w:val="000000" w:themeColor="text1"/>
        </w:rPr>
        <w:t>partnership, participation, protection, safety, dignity, decency, fairness, freedom, equality, respect, wellbeing, community and responsibility</w:t>
      </w:r>
      <w:r w:rsidRPr="00594872">
        <w:t xml:space="preserve"> – </w:t>
      </w:r>
      <w:r w:rsidR="00C01C35">
        <w:t xml:space="preserve">and </w:t>
      </w:r>
      <w:r w:rsidRPr="00594872">
        <w:t xml:space="preserve">are central to implementing an effective, equitable and balanced way forward as we respond and recover from </w:t>
      </w:r>
      <w:r w:rsidR="009B7794">
        <w:t>COVID</w:t>
      </w:r>
      <w:r w:rsidR="009B7794">
        <w:noBreakHyphen/>
        <w:t>19</w:t>
      </w:r>
      <w:r w:rsidRPr="00594872">
        <w:t>.</w:t>
      </w:r>
    </w:p>
    <w:p w14:paraId="1CE63077" w14:textId="77777777" w:rsidR="00C3624A" w:rsidRPr="00CE5C74" w:rsidRDefault="00C3624A" w:rsidP="00D90C6C">
      <w:pPr>
        <w:pStyle w:val="Heading3"/>
      </w:pPr>
      <w:r w:rsidRPr="00CE5C74">
        <w:t>How this principle will be demonstrated</w:t>
      </w:r>
    </w:p>
    <w:p w14:paraId="45DDFCAD" w14:textId="44E15119" w:rsidR="00C3624A" w:rsidRDefault="00C3624A" w:rsidP="00D90C6C">
      <w:pPr>
        <w:pStyle w:val="Bullet"/>
      </w:pPr>
      <w:r>
        <w:t xml:space="preserve">Ensure actions adhere to </w:t>
      </w:r>
      <w:r w:rsidRPr="003967BA">
        <w:t xml:space="preserve">human rights values </w:t>
      </w:r>
      <w:r>
        <w:t>–</w:t>
      </w:r>
      <w:r w:rsidRPr="003967BA">
        <w:t xml:space="preserve"> partnership, participation, protection, safety, dignity, decency, fairness, freedom, equality, respect, wellbeing, community and </w:t>
      </w:r>
      <w:r w:rsidRPr="007C47E0">
        <w:t>responsibility</w:t>
      </w:r>
      <w:r w:rsidR="006F179A">
        <w:t>.</w:t>
      </w:r>
    </w:p>
    <w:p w14:paraId="23208E4F" w14:textId="41653859" w:rsidR="007310F6" w:rsidRDefault="00993F59" w:rsidP="007310F6">
      <w:pPr>
        <w:pStyle w:val="Bullet"/>
      </w:pPr>
      <w:r>
        <w:t>Improve</w:t>
      </w:r>
      <w:r w:rsidR="007310F6">
        <w:t xml:space="preserve"> accessibility of information and services</w:t>
      </w:r>
      <w:r>
        <w:t xml:space="preserve"> for diverse groups</w:t>
      </w:r>
      <w:r w:rsidR="00FC5E21">
        <w:t>, for example through inclusive language, design, formats and approaches</w:t>
      </w:r>
      <w:r w:rsidR="009330E0">
        <w:t>.</w:t>
      </w:r>
    </w:p>
    <w:p w14:paraId="1C7DDBCD" w14:textId="632F89D1" w:rsidR="00F363CA" w:rsidRPr="007C47E0" w:rsidRDefault="00F363CA" w:rsidP="00D90C6C">
      <w:pPr>
        <w:pStyle w:val="Bullet"/>
      </w:pPr>
      <w:r>
        <w:t>Abide by the requirements of the Human Rights Act 1993</w:t>
      </w:r>
      <w:r w:rsidR="0029512D">
        <w:t xml:space="preserve"> and </w:t>
      </w:r>
      <w:r w:rsidR="00C54106">
        <w:t xml:space="preserve">New Zealand </w:t>
      </w:r>
      <w:r w:rsidR="0029512D">
        <w:t>Bill of Rights Act 1990</w:t>
      </w:r>
      <w:r w:rsidR="009330E0">
        <w:t>.</w:t>
      </w:r>
    </w:p>
    <w:p w14:paraId="3742F742" w14:textId="548745FF" w:rsidR="00FF6126" w:rsidRPr="00A24550" w:rsidRDefault="00C3624A" w:rsidP="00AF08E8">
      <w:pPr>
        <w:pStyle w:val="Bullet"/>
        <w:numPr>
          <w:ilvl w:val="0"/>
          <w:numId w:val="10"/>
        </w:numPr>
        <w:rPr>
          <w:b/>
          <w:color w:val="0A6AB4"/>
          <w:spacing w:val="-5"/>
          <w:sz w:val="48"/>
        </w:rPr>
      </w:pPr>
      <w:r w:rsidRPr="007C47E0">
        <w:t>Abide by international conventions</w:t>
      </w:r>
      <w:r w:rsidR="00FF6126">
        <w:t xml:space="preserve"> including</w:t>
      </w:r>
      <w:r w:rsidR="008D4173">
        <w:t xml:space="preserve">: </w:t>
      </w:r>
    </w:p>
    <w:p w14:paraId="7029730F" w14:textId="77777777" w:rsidR="00FF6126" w:rsidRPr="00FF6126" w:rsidRDefault="00C3624A" w:rsidP="00FF6126">
      <w:pPr>
        <w:pStyle w:val="Bullet"/>
        <w:tabs>
          <w:tab w:val="clear" w:pos="284"/>
          <w:tab w:val="num" w:pos="568"/>
        </w:tabs>
        <w:ind w:left="568"/>
        <w:rPr>
          <w:b/>
          <w:color w:val="0A6AB4"/>
          <w:spacing w:val="-5"/>
          <w:sz w:val="48"/>
        </w:rPr>
      </w:pPr>
      <w:r w:rsidRPr="00325B7D">
        <w:t>Uni</w:t>
      </w:r>
      <w:r>
        <w:t xml:space="preserve">versal Declaration of Human </w:t>
      </w:r>
      <w:r w:rsidRPr="008A7A6F">
        <w:t>Rights</w:t>
      </w:r>
    </w:p>
    <w:p w14:paraId="4BF22BCC" w14:textId="77F78E28" w:rsidR="00FF6126" w:rsidRPr="00FF6126" w:rsidRDefault="007310F6" w:rsidP="00FF6126">
      <w:pPr>
        <w:pStyle w:val="Bullet"/>
        <w:tabs>
          <w:tab w:val="clear" w:pos="284"/>
          <w:tab w:val="num" w:pos="568"/>
        </w:tabs>
        <w:ind w:left="568"/>
        <w:rPr>
          <w:b/>
          <w:color w:val="0A6AB4"/>
          <w:spacing w:val="-5"/>
          <w:sz w:val="48"/>
        </w:rPr>
      </w:pPr>
      <w:r>
        <w:t xml:space="preserve">United Nations Declaration on the Rights </w:t>
      </w:r>
      <w:r w:rsidR="00C3624A" w:rsidRPr="008A7A6F">
        <w:t>Indigenous Peoples</w:t>
      </w:r>
    </w:p>
    <w:p w14:paraId="3058D5C7" w14:textId="77777777" w:rsidR="00FF6126" w:rsidRPr="00FF6126" w:rsidRDefault="00C3624A" w:rsidP="00FF6126">
      <w:pPr>
        <w:pStyle w:val="Bullet"/>
        <w:tabs>
          <w:tab w:val="clear" w:pos="284"/>
          <w:tab w:val="num" w:pos="568"/>
        </w:tabs>
        <w:ind w:left="568"/>
        <w:rPr>
          <w:b/>
          <w:color w:val="0A6AB4"/>
          <w:spacing w:val="-5"/>
          <w:sz w:val="48"/>
        </w:rPr>
      </w:pPr>
      <w:r w:rsidRPr="008A7A6F">
        <w:t>Convention on the Rights of Persons with Disabilities</w:t>
      </w:r>
    </w:p>
    <w:p w14:paraId="5BF3BB67" w14:textId="77777777" w:rsidR="00FF6126" w:rsidRPr="00FF6126" w:rsidRDefault="00C3624A" w:rsidP="00FF6126">
      <w:pPr>
        <w:pStyle w:val="Bullet"/>
        <w:tabs>
          <w:tab w:val="clear" w:pos="284"/>
          <w:tab w:val="num" w:pos="568"/>
        </w:tabs>
        <w:ind w:left="568"/>
        <w:rPr>
          <w:b/>
          <w:color w:val="0A6AB4"/>
          <w:spacing w:val="-5"/>
          <w:sz w:val="48"/>
        </w:rPr>
      </w:pPr>
      <w:r w:rsidRPr="008A7A6F">
        <w:t>Convention on the Rights of the Child</w:t>
      </w:r>
    </w:p>
    <w:p w14:paraId="61942D16" w14:textId="6F159E06" w:rsidR="00FF6126" w:rsidRPr="00FF6126" w:rsidRDefault="00FF6126" w:rsidP="00FF6126">
      <w:pPr>
        <w:pStyle w:val="Bullet"/>
        <w:tabs>
          <w:tab w:val="clear" w:pos="284"/>
          <w:tab w:val="num" w:pos="568"/>
        </w:tabs>
        <w:ind w:left="568"/>
        <w:rPr>
          <w:b/>
          <w:color w:val="0A6AB4"/>
          <w:spacing w:val="-5"/>
          <w:sz w:val="48"/>
        </w:rPr>
      </w:pPr>
      <w:r>
        <w:t xml:space="preserve">Convention </w:t>
      </w:r>
      <w:r w:rsidR="007310F6">
        <w:t>against</w:t>
      </w:r>
      <w:r>
        <w:t xml:space="preserve"> Torture</w:t>
      </w:r>
      <w:r w:rsidR="007310F6">
        <w:t xml:space="preserve"> and Other Cruel, Inhuman or Degrading Treatment or Punishment</w:t>
      </w:r>
    </w:p>
    <w:p w14:paraId="7E596030" w14:textId="31C70ED0" w:rsidR="00006E21" w:rsidRPr="00753E09" w:rsidRDefault="00FF6126" w:rsidP="00FF6126">
      <w:pPr>
        <w:pStyle w:val="Bullet"/>
        <w:tabs>
          <w:tab w:val="clear" w:pos="284"/>
          <w:tab w:val="num" w:pos="568"/>
        </w:tabs>
        <w:ind w:left="568"/>
        <w:rPr>
          <w:b/>
          <w:color w:val="0A6AB4"/>
          <w:spacing w:val="-5"/>
          <w:sz w:val="48"/>
        </w:rPr>
      </w:pPr>
      <w:r>
        <w:t>Convention on the Elimination of all Forms of Discrimination Against Women</w:t>
      </w:r>
      <w:r w:rsidR="009330E0">
        <w:t>.</w:t>
      </w:r>
    </w:p>
    <w:p w14:paraId="78B6C3CA" w14:textId="77777777" w:rsidR="00FB126A" w:rsidRDefault="00FB126A">
      <w:pPr>
        <w:rPr>
          <w:b/>
          <w:color w:val="0A6AB4"/>
          <w:spacing w:val="-5"/>
          <w:sz w:val="48"/>
        </w:rPr>
      </w:pPr>
      <w:bookmarkStart w:id="37" w:name="_Toc50464491"/>
      <w:r>
        <w:br w:type="page"/>
      </w:r>
    </w:p>
    <w:p w14:paraId="45CC1A08" w14:textId="68F7E94F" w:rsidR="00C3624A" w:rsidRDefault="00D90C6C" w:rsidP="00D90C6C">
      <w:pPr>
        <w:pStyle w:val="Heading2"/>
      </w:pPr>
      <w:bookmarkStart w:id="38" w:name="_Toc59439397"/>
      <w:r>
        <w:t>Principle 6:</w:t>
      </w:r>
      <w:r>
        <w:br/>
      </w:r>
      <w:bookmarkEnd w:id="37"/>
      <w:r w:rsidR="00A8573B">
        <w:t>Collaborat</w:t>
      </w:r>
      <w:r w:rsidR="00F710BD">
        <w:t>ion</w:t>
      </w:r>
      <w:bookmarkEnd w:id="38"/>
    </w:p>
    <w:p w14:paraId="420F83D7" w14:textId="652E8CA1" w:rsidR="00C3624A" w:rsidRDefault="00C3624A" w:rsidP="001B13B1">
      <w:pPr>
        <w:pStyle w:val="Introductoryparagraph"/>
        <w:keepNext/>
      </w:pPr>
      <w:r w:rsidRPr="00F126F6">
        <w:t>Ma tini ma mano, ka rapa te whai –</w:t>
      </w:r>
      <w:r w:rsidR="001B13B1">
        <w:br/>
      </w:r>
      <w:r w:rsidRPr="00F126F6">
        <w:t>Many hands make light work</w:t>
      </w:r>
      <w:r w:rsidR="00C01C35">
        <w:t>;</w:t>
      </w:r>
      <w:r w:rsidRPr="00F126F6">
        <w:t xml:space="preserve"> unity is strength</w:t>
      </w:r>
      <w:r w:rsidR="00635ECD">
        <w:t>.</w:t>
      </w:r>
    </w:p>
    <w:p w14:paraId="51C4AE3E" w14:textId="10D44899" w:rsidR="00C2364D" w:rsidRDefault="00C2364D" w:rsidP="00C2364D">
      <w:pPr>
        <w:pStyle w:val="Introductoryparagraph"/>
        <w:keepNext/>
      </w:pPr>
      <w:r w:rsidRPr="00242F41">
        <w:t>Mā ngā pakiaka ka tū ai te rākau –</w:t>
      </w:r>
      <w:r>
        <w:br/>
      </w:r>
      <w:r w:rsidRPr="00242F41">
        <w:t>With strong roots, a tree is able to stand</w:t>
      </w:r>
      <w:r w:rsidR="00635ECD">
        <w:t>.</w:t>
      </w:r>
    </w:p>
    <w:p w14:paraId="7F694F0A" w14:textId="38CBDD21" w:rsidR="00D055A1" w:rsidRDefault="00C3624A" w:rsidP="00D055A1">
      <w:pPr>
        <w:keepNext/>
      </w:pPr>
      <w:r w:rsidRPr="00B23717">
        <w:t xml:space="preserve">Strong </w:t>
      </w:r>
      <w:r w:rsidR="00753E09">
        <w:t>relationships</w:t>
      </w:r>
      <w:r w:rsidRPr="00B23717">
        <w:t xml:space="preserve"> at all levels</w:t>
      </w:r>
      <w:r w:rsidR="00753E09">
        <w:t xml:space="preserve"> are</w:t>
      </w:r>
      <w:r w:rsidRPr="00B23717">
        <w:t xml:space="preserve"> at the heart of </w:t>
      </w:r>
      <w:r w:rsidR="00F23C5D">
        <w:t>collaboration</w:t>
      </w:r>
      <w:r w:rsidRPr="00B23717">
        <w:t xml:space="preserve">. </w:t>
      </w:r>
      <w:r w:rsidR="00D055A1">
        <w:t>P</w:t>
      </w:r>
      <w:r w:rsidR="00D055A1" w:rsidRPr="00B23717">
        <w:t>revious local disasters</w:t>
      </w:r>
      <w:r w:rsidR="00C01C35">
        <w:t xml:space="preserve"> have</w:t>
      </w:r>
      <w:r w:rsidR="00D055A1" w:rsidRPr="00B23717">
        <w:t xml:space="preserve"> </w:t>
      </w:r>
      <w:r w:rsidR="00D055A1">
        <w:t>showed</w:t>
      </w:r>
      <w:r w:rsidR="00D055A1" w:rsidRPr="00B23717">
        <w:t xml:space="preserve"> that established trusting relationships between and within agencies and communities are protective and stabilising </w:t>
      </w:r>
      <w:r w:rsidR="00D055A1">
        <w:t>factors</w:t>
      </w:r>
      <w:r w:rsidR="00D055A1" w:rsidRPr="00B23717">
        <w:t xml:space="preserve"> during psychosocial recovery.</w:t>
      </w:r>
      <w:r w:rsidR="00D055A1">
        <w:t xml:space="preserve"> </w:t>
      </w:r>
    </w:p>
    <w:p w14:paraId="4E9DE0E3" w14:textId="77777777" w:rsidR="00D055A1" w:rsidRDefault="00D055A1" w:rsidP="00D055A1">
      <w:pPr>
        <w:keepNext/>
      </w:pPr>
    </w:p>
    <w:p w14:paraId="4243BCD9" w14:textId="0DAC5084" w:rsidR="003320D1" w:rsidRDefault="003320D1" w:rsidP="001B13B1">
      <w:pPr>
        <w:keepNext/>
      </w:pPr>
      <w:r>
        <w:t xml:space="preserve">Many organisations and </w:t>
      </w:r>
      <w:r w:rsidRPr="00E820B6">
        <w:t>people</w:t>
      </w:r>
      <w:r>
        <w:t xml:space="preserve"> </w:t>
      </w:r>
      <w:r w:rsidRPr="00B23717">
        <w:t xml:space="preserve">have roles to play in responding to </w:t>
      </w:r>
      <w:r>
        <w:t>COVID</w:t>
      </w:r>
      <w:r>
        <w:noBreakHyphen/>
        <w:t>19</w:t>
      </w:r>
      <w:r w:rsidRPr="00B23717">
        <w:t xml:space="preserve"> and supporting </w:t>
      </w:r>
      <w:r>
        <w:t>mental wellbeing</w:t>
      </w:r>
      <w:r w:rsidRPr="00B23717">
        <w:t xml:space="preserve"> </w:t>
      </w:r>
      <w:r>
        <w:t xml:space="preserve">– including </w:t>
      </w:r>
      <w:r w:rsidRPr="00F2510B">
        <w:t>c</w:t>
      </w:r>
      <w:r w:rsidR="00C3624A" w:rsidRPr="00F2510B">
        <w:t>entral government</w:t>
      </w:r>
      <w:r w:rsidRPr="00F2510B">
        <w:t xml:space="preserve"> agencies</w:t>
      </w:r>
      <w:r w:rsidR="00024E33" w:rsidRPr="00F2510B">
        <w:t>;</w:t>
      </w:r>
      <w:r w:rsidR="00C3624A" w:rsidRPr="00F2510B">
        <w:t xml:space="preserve"> DHBs</w:t>
      </w:r>
      <w:r w:rsidR="00024E33" w:rsidRPr="00F2510B">
        <w:t>;</w:t>
      </w:r>
      <w:r w:rsidR="00C3624A" w:rsidRPr="00F2510B">
        <w:t xml:space="preserve"> </w:t>
      </w:r>
      <w:r w:rsidRPr="00F2510B">
        <w:t xml:space="preserve">local authorities; </w:t>
      </w:r>
      <w:r w:rsidR="00024E33" w:rsidRPr="00F2510B">
        <w:t>whānau, hapū and iwi</w:t>
      </w:r>
      <w:r w:rsidR="007D43B8" w:rsidRPr="00F2510B">
        <w:t xml:space="preserve">; </w:t>
      </w:r>
      <w:r w:rsidR="00C3624A" w:rsidRPr="00F2510B">
        <w:t xml:space="preserve">community </w:t>
      </w:r>
      <w:r w:rsidR="00CD2D05" w:rsidRPr="00F2510B">
        <w:t>organisations</w:t>
      </w:r>
      <w:r w:rsidR="008E40BC" w:rsidRPr="00F2510B">
        <w:t xml:space="preserve"> </w:t>
      </w:r>
      <w:r w:rsidRPr="00F2510B">
        <w:t>(from major non-profit service providers to volunteer groups)</w:t>
      </w:r>
      <w:r w:rsidR="00024E33" w:rsidRPr="00F2510B">
        <w:t xml:space="preserve">; </w:t>
      </w:r>
      <w:r w:rsidRPr="00F2510B">
        <w:t>general practices</w:t>
      </w:r>
      <w:r w:rsidR="00C01C35">
        <w:t>;</w:t>
      </w:r>
      <w:r w:rsidR="00C01C35" w:rsidRPr="00F2510B">
        <w:t xml:space="preserve"> </w:t>
      </w:r>
      <w:r w:rsidR="004E7DEB" w:rsidRPr="00F2510B">
        <w:t>educational institutions</w:t>
      </w:r>
      <w:r w:rsidR="00C01C35">
        <w:t>;</w:t>
      </w:r>
      <w:r w:rsidR="000A15BD">
        <w:t xml:space="preserve"> </w:t>
      </w:r>
      <w:r w:rsidR="00DD1500">
        <w:t>faith communities</w:t>
      </w:r>
      <w:r w:rsidR="00C01C35">
        <w:t>;</w:t>
      </w:r>
      <w:r w:rsidR="004E7DEB" w:rsidRPr="00F2510B">
        <w:t xml:space="preserve"> </w:t>
      </w:r>
      <w:r w:rsidR="00C3624A" w:rsidRPr="00F2510B">
        <w:t xml:space="preserve">businesses </w:t>
      </w:r>
      <w:r w:rsidRPr="00F2510B">
        <w:t>and lived experience networks</w:t>
      </w:r>
      <w:r w:rsidR="00C3624A" w:rsidRPr="00F027C4">
        <w:t>.</w:t>
      </w:r>
      <w:r w:rsidR="00C3624A" w:rsidRPr="00B23717">
        <w:t xml:space="preserve"> </w:t>
      </w:r>
    </w:p>
    <w:p w14:paraId="00855D35" w14:textId="77777777" w:rsidR="003320D1" w:rsidRDefault="003320D1" w:rsidP="001B13B1">
      <w:pPr>
        <w:keepNext/>
      </w:pPr>
    </w:p>
    <w:p w14:paraId="037AD624" w14:textId="7FEF1FC3" w:rsidR="003320D1" w:rsidRDefault="00753E09" w:rsidP="003320D1">
      <w:pPr>
        <w:keepNext/>
      </w:pPr>
      <w:r>
        <w:t>Working together well is vital.</w:t>
      </w:r>
      <w:r w:rsidR="003320D1">
        <w:t xml:space="preserve"> A positive aspect of the initial COVID-19 lockdown was</w:t>
      </w:r>
      <w:r w:rsidR="00C01C35">
        <w:t xml:space="preserve"> the</w:t>
      </w:r>
      <w:r w:rsidR="003320D1">
        <w:t xml:space="preserve"> increased levels of cooperation between government agencies and service providers </w:t>
      </w:r>
      <w:r w:rsidR="00C01C35">
        <w:t xml:space="preserve">that </w:t>
      </w:r>
      <w:r w:rsidR="003320D1">
        <w:t>ensure</w:t>
      </w:r>
      <w:r w:rsidR="00C01C35">
        <w:t>d</w:t>
      </w:r>
      <w:r w:rsidR="003320D1">
        <w:t xml:space="preserve"> speedy and innovative responses. </w:t>
      </w:r>
    </w:p>
    <w:p w14:paraId="5041D151" w14:textId="77777777" w:rsidR="00C2364D" w:rsidRDefault="00C2364D" w:rsidP="00C2364D"/>
    <w:p w14:paraId="3DDB84AB" w14:textId="5D40CF5D" w:rsidR="00C2364D" w:rsidRDefault="00AA336E" w:rsidP="003D449B">
      <w:pPr>
        <w:keepLines/>
      </w:pPr>
      <w:r w:rsidRPr="00B23717">
        <w:t xml:space="preserve">Issues </w:t>
      </w:r>
      <w:r w:rsidR="00F23C5D">
        <w:t>addressed</w:t>
      </w:r>
      <w:r w:rsidR="00F23C5D" w:rsidRPr="00B23717">
        <w:t xml:space="preserve"> </w:t>
      </w:r>
      <w:r w:rsidRPr="00B23717">
        <w:t xml:space="preserve">by different </w:t>
      </w:r>
      <w:r w:rsidR="00F23C5D">
        <w:t>organisations</w:t>
      </w:r>
      <w:r w:rsidRPr="00B23717">
        <w:t xml:space="preserve"> cannot be dealt with in isolation, as they are interlinked. </w:t>
      </w:r>
      <w:r w:rsidR="00662F67">
        <w:t>Having shared goals and outcomes</w:t>
      </w:r>
      <w:r w:rsidR="00C01C35">
        <w:t xml:space="preserve"> –</w:t>
      </w:r>
      <w:r w:rsidR="00662F67">
        <w:t xml:space="preserve"> and sharing information, ideas and plans</w:t>
      </w:r>
      <w:r w:rsidR="00C01C35">
        <w:t xml:space="preserve"> –</w:t>
      </w:r>
      <w:r w:rsidR="00662F67">
        <w:t xml:space="preserve"> can reduce gaps in provision and avoid duplication of effort. </w:t>
      </w:r>
      <w:r w:rsidRPr="00B23717">
        <w:t>Clarity of roles</w:t>
      </w:r>
      <w:r>
        <w:t>, coordination</w:t>
      </w:r>
      <w:r w:rsidRPr="00B23717">
        <w:t xml:space="preserve"> and </w:t>
      </w:r>
      <w:r>
        <w:t xml:space="preserve">effective </w:t>
      </w:r>
      <w:r w:rsidRPr="00B23717">
        <w:t xml:space="preserve">communication are </w:t>
      </w:r>
      <w:r>
        <w:t>important at national, regional and local levels</w:t>
      </w:r>
      <w:r w:rsidRPr="00B23717">
        <w:t>.</w:t>
      </w:r>
      <w:r w:rsidR="000A7F4B">
        <w:t xml:space="preserve"> </w:t>
      </w:r>
    </w:p>
    <w:p w14:paraId="46C45577" w14:textId="77777777" w:rsidR="00C3624A" w:rsidRPr="00CE5C74" w:rsidRDefault="00C3624A" w:rsidP="001B13B1">
      <w:pPr>
        <w:pStyle w:val="Heading3"/>
      </w:pPr>
      <w:r w:rsidRPr="00CE5C74">
        <w:t>How this</w:t>
      </w:r>
      <w:r w:rsidR="001B13B1">
        <w:t xml:space="preserve"> principle will be demonstrated</w:t>
      </w:r>
    </w:p>
    <w:p w14:paraId="750FA366" w14:textId="70206FA6" w:rsidR="00C3624A" w:rsidRPr="006A049A" w:rsidRDefault="001C6D8D" w:rsidP="001B13B1">
      <w:pPr>
        <w:pStyle w:val="Bullet"/>
      </w:pPr>
      <w:r>
        <w:t>Build</w:t>
      </w:r>
      <w:r w:rsidR="00C3624A">
        <w:t xml:space="preserve"> </w:t>
      </w:r>
      <w:r>
        <w:t xml:space="preserve">strong </w:t>
      </w:r>
      <w:r w:rsidR="00C3624A">
        <w:t>relationships and collaboration between</w:t>
      </w:r>
      <w:r w:rsidR="00F23C5D">
        <w:t xml:space="preserve"> organisations</w:t>
      </w:r>
      <w:r w:rsidR="00C3624A">
        <w:t xml:space="preserve"> </w:t>
      </w:r>
      <w:r w:rsidR="00E25200">
        <w:t xml:space="preserve">and networks </w:t>
      </w:r>
      <w:r w:rsidR="00C3624A">
        <w:t>in</w:t>
      </w:r>
      <w:r>
        <w:t>volved</w:t>
      </w:r>
      <w:r w:rsidR="00C3624A">
        <w:t xml:space="preserve"> </w:t>
      </w:r>
      <w:r w:rsidR="00753E09">
        <w:t>in supporting mental wellbeing</w:t>
      </w:r>
      <w:r w:rsidR="00C01C35">
        <w:t>,</w:t>
      </w:r>
      <w:r w:rsidR="00753E09">
        <w:t xml:space="preserve"> and responding to, adapting to and recovering from COVID-19</w:t>
      </w:r>
      <w:r w:rsidR="009330E0">
        <w:t>.</w:t>
      </w:r>
    </w:p>
    <w:p w14:paraId="2788CBD0" w14:textId="1A600159" w:rsidR="00DD4C8F" w:rsidRDefault="00662F67" w:rsidP="001B13B1">
      <w:pPr>
        <w:pStyle w:val="Bullet"/>
      </w:pPr>
      <w:r>
        <w:t>W</w:t>
      </w:r>
      <w:r w:rsidR="007310F6">
        <w:t xml:space="preserve">ork collaboratively </w:t>
      </w:r>
      <w:r>
        <w:t xml:space="preserve">across government agencies </w:t>
      </w:r>
      <w:r w:rsidR="007310F6">
        <w:t xml:space="preserve">to provide unified responses </w:t>
      </w:r>
      <w:r w:rsidR="00C01C35">
        <w:t xml:space="preserve">to </w:t>
      </w:r>
      <w:r>
        <w:t>issues that span portfolios</w:t>
      </w:r>
      <w:r w:rsidR="009330E0">
        <w:t>.</w:t>
      </w:r>
    </w:p>
    <w:p w14:paraId="378DC1C5" w14:textId="073EB0BE" w:rsidR="00E25200" w:rsidRPr="006A049A" w:rsidRDefault="00E25200" w:rsidP="001B13B1">
      <w:pPr>
        <w:pStyle w:val="Bullet"/>
      </w:pPr>
      <w:r>
        <w:t>Listen well to others and seek common ground and joint outcomes</w:t>
      </w:r>
      <w:r w:rsidR="009330E0">
        <w:t>.</w:t>
      </w:r>
    </w:p>
    <w:p w14:paraId="1838EE73" w14:textId="7324A97F" w:rsidR="00C3624A" w:rsidRPr="002436FB" w:rsidRDefault="00C3624A" w:rsidP="0098283F">
      <w:pPr>
        <w:pStyle w:val="Bullet"/>
      </w:pPr>
      <w:r w:rsidRPr="00647D5C">
        <w:t xml:space="preserve">Stay connected, share information and keep checking </w:t>
      </w:r>
      <w:r w:rsidR="00C01C35">
        <w:t xml:space="preserve">that </w:t>
      </w:r>
      <w:r w:rsidRPr="00647D5C">
        <w:t>activities are aligned</w:t>
      </w:r>
      <w:bookmarkStart w:id="39" w:name="_Toc39810264"/>
      <w:bookmarkEnd w:id="21"/>
      <w:r w:rsidR="009330E0">
        <w:t>.</w:t>
      </w:r>
    </w:p>
    <w:p w14:paraId="5B208279" w14:textId="45558DD8" w:rsidR="002D08C6" w:rsidRDefault="002D08C6">
      <w:r>
        <w:br w:type="page"/>
      </w:r>
    </w:p>
    <w:p w14:paraId="62FAFBE7" w14:textId="6CF67600" w:rsidR="002D08C6" w:rsidRDefault="002D08C6" w:rsidP="002D08C6">
      <w:pPr>
        <w:pStyle w:val="Heading2"/>
      </w:pPr>
      <w:bookmarkStart w:id="40" w:name="_Toc59439398"/>
      <w:r>
        <w:t>Principle 7:</w:t>
      </w:r>
      <w:r>
        <w:br/>
      </w:r>
      <w:r w:rsidR="000E36AF">
        <w:t>I</w:t>
      </w:r>
      <w:r>
        <w:t>nnovation</w:t>
      </w:r>
      <w:bookmarkEnd w:id="40"/>
      <w:r>
        <w:t xml:space="preserve"> </w:t>
      </w:r>
    </w:p>
    <w:p w14:paraId="53CC92EF" w14:textId="05DA02E7" w:rsidR="00EF2E42" w:rsidRPr="00EF2E42" w:rsidRDefault="00EF2E42" w:rsidP="003D449B">
      <w:pPr>
        <w:pStyle w:val="Introductoryparagraph"/>
        <w:rPr>
          <w:i w:val="0"/>
        </w:rPr>
      </w:pPr>
      <w:r>
        <w:t>Whāia ngā mahi auaha pēnei te tauira i waihotia mai e ngā tīpuna</w:t>
      </w:r>
      <w:r w:rsidR="00635ECD">
        <w:t xml:space="preserve"> – </w:t>
      </w:r>
      <w:r w:rsidRPr="00EF2E42">
        <w:t>Pursue innovation as the example left to us by our ancestors</w:t>
      </w:r>
      <w:r w:rsidR="00635ECD">
        <w:t>.</w:t>
      </w:r>
    </w:p>
    <w:p w14:paraId="53CD2E7C" w14:textId="77777777" w:rsidR="00412C1B" w:rsidRDefault="00412C1B" w:rsidP="00412C1B">
      <w:pPr>
        <w:pStyle w:val="Bullet"/>
        <w:numPr>
          <w:ilvl w:val="0"/>
          <w:numId w:val="0"/>
        </w:numPr>
      </w:pPr>
    </w:p>
    <w:p w14:paraId="79CD1D46" w14:textId="1FFF014A" w:rsidR="00412C1B" w:rsidRDefault="00412C1B" w:rsidP="00F710BD">
      <w:pPr>
        <w:keepNext/>
      </w:pPr>
      <w:r>
        <w:t xml:space="preserve">Throughout </w:t>
      </w:r>
      <w:r w:rsidR="001570E8">
        <w:t>Aotearoa</w:t>
      </w:r>
      <w:r w:rsidR="00B62C41">
        <w:t xml:space="preserve"> </w:t>
      </w:r>
      <w:r w:rsidR="001570E8">
        <w:t>New Zealand</w:t>
      </w:r>
      <w:r>
        <w:t xml:space="preserve">, </w:t>
      </w:r>
      <w:r w:rsidR="00EB57B6">
        <w:t>people</w:t>
      </w:r>
      <w:r>
        <w:t>, whānau, communities and organisations hav</w:t>
      </w:r>
      <w:r w:rsidR="00F710BD">
        <w:t>e</w:t>
      </w:r>
      <w:r>
        <w:t xml:space="preserve"> responded to the challenges presented by COVID-19 with innovation and ingenuity. </w:t>
      </w:r>
    </w:p>
    <w:p w14:paraId="3B9AAC65" w14:textId="77777777" w:rsidR="00F710BD" w:rsidRDefault="00F710BD" w:rsidP="00F710BD">
      <w:pPr>
        <w:keepNext/>
      </w:pPr>
    </w:p>
    <w:p w14:paraId="5379094E" w14:textId="4258A3F2" w:rsidR="00412C1B" w:rsidRDefault="00412C1B" w:rsidP="00F710BD">
      <w:pPr>
        <w:keepNext/>
      </w:pPr>
      <w:r>
        <w:t xml:space="preserve">This principle is about </w:t>
      </w:r>
      <w:r w:rsidR="006E4EC1">
        <w:t xml:space="preserve">continuing to </w:t>
      </w:r>
      <w:r>
        <w:t>encourag</w:t>
      </w:r>
      <w:r w:rsidR="006E4EC1">
        <w:t>e and support</w:t>
      </w:r>
      <w:r>
        <w:t xml:space="preserve"> innovative and original approaches to supporting mental and social wellbeing</w:t>
      </w:r>
      <w:r w:rsidR="007D43B8">
        <w:t xml:space="preserve">. This includes actions and ideas </w:t>
      </w:r>
      <w:r>
        <w:t>from individuals, whānau and communities through to government</w:t>
      </w:r>
      <w:r w:rsidR="00F710BD">
        <w:t>-</w:t>
      </w:r>
      <w:r>
        <w:t xml:space="preserve">led initiatives. </w:t>
      </w:r>
    </w:p>
    <w:p w14:paraId="6ADC2533" w14:textId="77777777" w:rsidR="00F710BD" w:rsidRDefault="00F710BD" w:rsidP="00F710BD">
      <w:pPr>
        <w:keepNext/>
      </w:pPr>
    </w:p>
    <w:p w14:paraId="6B060BF3" w14:textId="683B91C1" w:rsidR="00BE41AD" w:rsidRDefault="00BE41AD" w:rsidP="005A23C2">
      <w:pPr>
        <w:keepNext/>
      </w:pPr>
      <w:r>
        <w:t xml:space="preserve">Innovation includes changing how we deliver and design our current services to create </w:t>
      </w:r>
      <w:r w:rsidR="00AE6BCF">
        <w:t xml:space="preserve">more effective </w:t>
      </w:r>
      <w:r w:rsidR="00474902">
        <w:t xml:space="preserve">responses </w:t>
      </w:r>
      <w:r w:rsidR="00AE6BCF">
        <w:t>and equitable</w:t>
      </w:r>
      <w:r>
        <w:t xml:space="preserve"> outcomes. </w:t>
      </w:r>
      <w:r w:rsidR="00F710BD">
        <w:t xml:space="preserve">It is an essential feature of work to transform </w:t>
      </w:r>
      <w:r w:rsidR="0014642E">
        <w:t>the landscape of mental health and addiction supports</w:t>
      </w:r>
      <w:r w:rsidR="00F710BD">
        <w:t xml:space="preserve"> in response to </w:t>
      </w:r>
      <w:r w:rsidR="00F710BD" w:rsidRPr="005E5111">
        <w:rPr>
          <w:i/>
        </w:rPr>
        <w:t>He Ara Oranga</w:t>
      </w:r>
      <w:r w:rsidR="00F710BD">
        <w:t>.</w:t>
      </w:r>
    </w:p>
    <w:p w14:paraId="095E8D60" w14:textId="77777777" w:rsidR="00F710BD" w:rsidRDefault="00F710BD" w:rsidP="005A23C2">
      <w:pPr>
        <w:keepNext/>
      </w:pPr>
    </w:p>
    <w:p w14:paraId="5C435605" w14:textId="18E345C3" w:rsidR="00034BB6" w:rsidRPr="005A23C2" w:rsidRDefault="008C5027" w:rsidP="005A23C2">
      <w:pPr>
        <w:keepNext/>
      </w:pPr>
      <w:r>
        <w:t>W</w:t>
      </w:r>
      <w:r w:rsidR="00720134">
        <w:t xml:space="preserve">e must foster </w:t>
      </w:r>
      <w:r w:rsidR="00BE41AD">
        <w:t xml:space="preserve">innovation </w:t>
      </w:r>
      <w:r w:rsidR="00720134">
        <w:t xml:space="preserve">by sharing and encouraging </w:t>
      </w:r>
      <w:r w:rsidR="00BE41AD">
        <w:t>new ideas that work</w:t>
      </w:r>
      <w:r w:rsidR="00720134">
        <w:t xml:space="preserve">, and </w:t>
      </w:r>
      <w:r w:rsidR="00BE41AD">
        <w:t>by</w:t>
      </w:r>
      <w:r w:rsidR="00720134">
        <w:t xml:space="preserve"> learn</w:t>
      </w:r>
      <w:r w:rsidR="00BE41AD">
        <w:t>ing</w:t>
      </w:r>
      <w:r w:rsidR="00720134">
        <w:t xml:space="preserve"> from each other about what is being done</w:t>
      </w:r>
      <w:r w:rsidR="00AE6BCF">
        <w:t>,</w:t>
      </w:r>
      <w:r w:rsidR="00720134">
        <w:t xml:space="preserve"> a</w:t>
      </w:r>
      <w:r w:rsidR="00BE41AD">
        <w:t>s well as</w:t>
      </w:r>
      <w:r w:rsidR="00720134">
        <w:t xml:space="preserve"> respond</w:t>
      </w:r>
      <w:r w:rsidR="002F7C73">
        <w:t>ing</w:t>
      </w:r>
      <w:r w:rsidR="00720134">
        <w:t xml:space="preserve"> to </w:t>
      </w:r>
      <w:r w:rsidR="00BE41AD">
        <w:t>new challenges.</w:t>
      </w:r>
      <w:r w:rsidR="002F1792">
        <w:t xml:space="preserve"> </w:t>
      </w:r>
    </w:p>
    <w:p w14:paraId="4E34AFBB" w14:textId="77777777" w:rsidR="00720134" w:rsidRPr="00CE5C74" w:rsidRDefault="00720134" w:rsidP="00720134">
      <w:pPr>
        <w:pStyle w:val="Heading3"/>
      </w:pPr>
      <w:r w:rsidRPr="00CE5C74">
        <w:t>How this principle will be demonstrated</w:t>
      </w:r>
    </w:p>
    <w:p w14:paraId="12CB9416" w14:textId="711A5B4B" w:rsidR="008C5027" w:rsidRPr="00645BDA" w:rsidRDefault="007D43B8" w:rsidP="001F4202">
      <w:pPr>
        <w:pStyle w:val="Bullet"/>
      </w:pPr>
      <w:r>
        <w:t xml:space="preserve">Be responsive from the national/regional levels </w:t>
      </w:r>
      <w:r w:rsidR="00BE41AD">
        <w:t>to community innovation and</w:t>
      </w:r>
      <w:r w:rsidR="00EE1252">
        <w:t xml:space="preserve"> </w:t>
      </w:r>
      <w:r w:rsidR="008C5027">
        <w:t xml:space="preserve">encourage flexible, adaptive and innovative approaches to </w:t>
      </w:r>
      <w:r w:rsidR="002F7C73">
        <w:t xml:space="preserve">addressing </w:t>
      </w:r>
      <w:r w:rsidR="008C5027">
        <w:t>service pressures</w:t>
      </w:r>
      <w:r w:rsidR="009330E0">
        <w:t>.</w:t>
      </w:r>
    </w:p>
    <w:p w14:paraId="56466A3B" w14:textId="585F9DEA" w:rsidR="00720134" w:rsidRPr="00645BDA" w:rsidRDefault="00EE1252" w:rsidP="00720134">
      <w:pPr>
        <w:pStyle w:val="Bullet"/>
      </w:pPr>
      <w:r>
        <w:t xml:space="preserve">Make </w:t>
      </w:r>
      <w:r w:rsidR="00720134" w:rsidRPr="00645BDA">
        <w:t>use of new ways of delivering services</w:t>
      </w:r>
      <w:r w:rsidR="0011449E">
        <w:t xml:space="preserve">, </w:t>
      </w:r>
      <w:r w:rsidR="00AE6BCF">
        <w:t xml:space="preserve">for </w:t>
      </w:r>
      <w:r w:rsidR="0011449E">
        <w:t>example</w:t>
      </w:r>
      <w:r w:rsidR="00AE6BCF">
        <w:t xml:space="preserve">, </w:t>
      </w:r>
      <w:r w:rsidR="00720134" w:rsidRPr="00645BDA">
        <w:t>ensur</w:t>
      </w:r>
      <w:r w:rsidR="00AE6BCF">
        <w:t>e</w:t>
      </w:r>
      <w:r w:rsidR="00720134" w:rsidRPr="00645BDA">
        <w:t xml:space="preserve"> specialist expertise is available irrespective of where people live or receive </w:t>
      </w:r>
      <w:r w:rsidR="002F7C73">
        <w:t>support</w:t>
      </w:r>
      <w:r w:rsidR="009330E0">
        <w:t>.</w:t>
      </w:r>
    </w:p>
    <w:p w14:paraId="6A73B8AC" w14:textId="33566F79" w:rsidR="00412C1B" w:rsidRDefault="00720134" w:rsidP="00D851E7">
      <w:pPr>
        <w:pStyle w:val="Bullet"/>
      </w:pPr>
      <w:r w:rsidRPr="00720134">
        <w:t xml:space="preserve">Evaluate and disseminate emerging evidence </w:t>
      </w:r>
      <w:r w:rsidR="00412C1B">
        <w:t>of</w:t>
      </w:r>
      <w:r w:rsidRPr="00720134">
        <w:t xml:space="preserve"> innovative solutions</w:t>
      </w:r>
      <w:r w:rsidR="009330E0">
        <w:t>.</w:t>
      </w:r>
    </w:p>
    <w:p w14:paraId="5BCC9494" w14:textId="15FF5312" w:rsidR="008C5027" w:rsidRDefault="0078019E" w:rsidP="00D851E7">
      <w:pPr>
        <w:pStyle w:val="Bullet"/>
      </w:pPr>
      <w:r>
        <w:t>Share</w:t>
      </w:r>
      <w:r w:rsidR="00720134" w:rsidRPr="00720134">
        <w:t xml:space="preserve"> ideas, evidence and resources, </w:t>
      </w:r>
      <w:r>
        <w:t xml:space="preserve">and </w:t>
      </w:r>
      <w:r w:rsidR="00720134" w:rsidRPr="00720134">
        <w:t>learn from each other</w:t>
      </w:r>
      <w:r>
        <w:t>, to</w:t>
      </w:r>
      <w:r w:rsidR="00720134" w:rsidRPr="00720134">
        <w:t xml:space="preserve"> improve </w:t>
      </w:r>
      <w:r w:rsidR="002F7C73">
        <w:t>responses</w:t>
      </w:r>
      <w:r w:rsidR="009330E0">
        <w:t>.</w:t>
      </w:r>
    </w:p>
    <w:p w14:paraId="5FCDBE76" w14:textId="1004331B" w:rsidR="00412C1B" w:rsidRPr="00412C1B" w:rsidRDefault="00412C1B" w:rsidP="00D851E7">
      <w:pPr>
        <w:pStyle w:val="Bullet"/>
      </w:pPr>
      <w:r w:rsidRPr="00412C1B">
        <w:rPr>
          <w:rFonts w:eastAsiaTheme="minorEastAsia"/>
        </w:rPr>
        <w:t>E</w:t>
      </w:r>
      <w:r w:rsidR="008C5027" w:rsidRPr="00412C1B">
        <w:rPr>
          <w:rFonts w:eastAsiaTheme="minorEastAsia"/>
        </w:rPr>
        <w:t xml:space="preserve">mbed new ways of working </w:t>
      </w:r>
      <w:r w:rsidRPr="00412C1B">
        <w:rPr>
          <w:rFonts w:eastAsiaTheme="minorEastAsia"/>
        </w:rPr>
        <w:t>throughout policy development and procurement to ensure actions meet</w:t>
      </w:r>
      <w:r w:rsidR="008C5027" w:rsidRPr="00412C1B">
        <w:rPr>
          <w:rFonts w:eastAsiaTheme="minorEastAsia"/>
        </w:rPr>
        <w:t xml:space="preserve"> need</w:t>
      </w:r>
      <w:r w:rsidR="009330E0">
        <w:rPr>
          <w:rFonts w:eastAsiaTheme="minorEastAsia"/>
        </w:rPr>
        <w:t>.</w:t>
      </w:r>
    </w:p>
    <w:p w14:paraId="4E155E99" w14:textId="0C295CC4" w:rsidR="008C5027" w:rsidRDefault="00D44BFD" w:rsidP="00D851E7">
      <w:pPr>
        <w:pStyle w:val="Bullet"/>
      </w:pPr>
      <w:r>
        <w:t xml:space="preserve">Ensure </w:t>
      </w:r>
      <w:r w:rsidR="008C5027" w:rsidRPr="008C5027">
        <w:t>workforce</w:t>
      </w:r>
      <w:r w:rsidR="00034BB6">
        <w:t>s</w:t>
      </w:r>
      <w:r w:rsidR="008C5027" w:rsidRPr="008C5027">
        <w:t xml:space="preserve"> </w:t>
      </w:r>
      <w:r w:rsidR="0061505B">
        <w:t>ha</w:t>
      </w:r>
      <w:r w:rsidR="00034BB6">
        <w:t>ve</w:t>
      </w:r>
      <w:r w:rsidR="0061505B">
        <w:t xml:space="preserve"> the capability </w:t>
      </w:r>
      <w:r w:rsidR="002B52B3">
        <w:t xml:space="preserve">needed </w:t>
      </w:r>
      <w:r w:rsidR="008C5027" w:rsidRPr="008C5027">
        <w:t xml:space="preserve">to support </w:t>
      </w:r>
      <w:r w:rsidR="0061505B">
        <w:t>innovative approaches</w:t>
      </w:r>
      <w:r w:rsidR="009330E0">
        <w:t>.</w:t>
      </w:r>
    </w:p>
    <w:p w14:paraId="7DCE2026" w14:textId="77777777" w:rsidR="008C5027" w:rsidRPr="00720134" w:rsidRDefault="008C5027" w:rsidP="008C5027">
      <w:pPr>
        <w:pStyle w:val="Bullet"/>
        <w:numPr>
          <w:ilvl w:val="0"/>
          <w:numId w:val="0"/>
        </w:numPr>
        <w:ind w:left="284"/>
        <w:rPr>
          <w:color w:val="0A6AB4"/>
          <w:spacing w:val="-5"/>
          <w:sz w:val="48"/>
        </w:rPr>
      </w:pPr>
    </w:p>
    <w:p w14:paraId="3935ACF0" w14:textId="77777777" w:rsidR="00720134" w:rsidRDefault="00720134" w:rsidP="00720134">
      <w:pPr>
        <w:pStyle w:val="Bullet"/>
        <w:numPr>
          <w:ilvl w:val="0"/>
          <w:numId w:val="0"/>
        </w:numPr>
        <w:ind w:left="284"/>
      </w:pPr>
    </w:p>
    <w:p w14:paraId="5B383E57" w14:textId="77777777" w:rsidR="00720134" w:rsidRDefault="00720134" w:rsidP="00720134">
      <w:pPr>
        <w:pStyle w:val="Bullet"/>
        <w:numPr>
          <w:ilvl w:val="0"/>
          <w:numId w:val="0"/>
        </w:numPr>
        <w:ind w:left="284" w:hanging="284"/>
      </w:pPr>
    </w:p>
    <w:p w14:paraId="74E18918" w14:textId="77777777" w:rsidR="006A1B08" w:rsidRDefault="006A1B08" w:rsidP="006A1B08">
      <w:pPr>
        <w:pStyle w:val="Bullet"/>
        <w:numPr>
          <w:ilvl w:val="0"/>
          <w:numId w:val="0"/>
        </w:numPr>
        <w:ind w:left="284" w:hanging="284"/>
      </w:pPr>
    </w:p>
    <w:p w14:paraId="62F2F012" w14:textId="77777777" w:rsidR="006A1B08" w:rsidRDefault="006A1B08" w:rsidP="006A1B08">
      <w:pPr>
        <w:pStyle w:val="Bullet"/>
        <w:numPr>
          <w:ilvl w:val="0"/>
          <w:numId w:val="0"/>
        </w:numPr>
        <w:ind w:left="284" w:hanging="284"/>
      </w:pPr>
    </w:p>
    <w:p w14:paraId="5E2F1C1A" w14:textId="77777777" w:rsidR="006A1B08" w:rsidRDefault="006A1B08" w:rsidP="006A1B08">
      <w:pPr>
        <w:pStyle w:val="Bullet"/>
        <w:numPr>
          <w:ilvl w:val="0"/>
          <w:numId w:val="0"/>
        </w:numPr>
        <w:ind w:left="284" w:hanging="284"/>
      </w:pPr>
    </w:p>
    <w:p w14:paraId="0DAB649D" w14:textId="77777777" w:rsidR="006A1B08" w:rsidRDefault="006A1B08" w:rsidP="006A1B08">
      <w:pPr>
        <w:pStyle w:val="Bullet"/>
        <w:numPr>
          <w:ilvl w:val="0"/>
          <w:numId w:val="0"/>
        </w:numPr>
        <w:ind w:left="284" w:hanging="284"/>
      </w:pPr>
    </w:p>
    <w:p w14:paraId="39B818D7" w14:textId="77777777" w:rsidR="006A1B08" w:rsidRDefault="006A1B08" w:rsidP="006A1B08">
      <w:pPr>
        <w:pStyle w:val="Bullet"/>
        <w:numPr>
          <w:ilvl w:val="0"/>
          <w:numId w:val="0"/>
        </w:numPr>
        <w:ind w:left="284" w:hanging="284"/>
      </w:pPr>
    </w:p>
    <w:p w14:paraId="669DB0D8" w14:textId="40AEA032" w:rsidR="006A1B08" w:rsidDel="006A45AE" w:rsidRDefault="004E66C0" w:rsidP="006A1B08">
      <w:pPr>
        <w:pStyle w:val="Heading1"/>
        <w:spacing w:after="120" w:line="192" w:lineRule="auto"/>
      </w:pPr>
      <w:bookmarkStart w:id="41" w:name="_Toc59439399"/>
      <w:r>
        <w:t>Effects</w:t>
      </w:r>
      <w:r w:rsidR="006A1B08" w:rsidRPr="00EC6EAD">
        <w:t xml:space="preserve"> of COVID</w:t>
      </w:r>
      <w:r w:rsidR="006A1B08" w:rsidRPr="00EC6EAD">
        <w:noBreakHyphen/>
        <w:t>19 on m</w:t>
      </w:r>
      <w:r w:rsidR="006A1B08" w:rsidRPr="00EC6EAD" w:rsidDel="006A45AE">
        <w:t>ental wellbeing</w:t>
      </w:r>
      <w:bookmarkEnd w:id="41"/>
    </w:p>
    <w:p w14:paraId="4A963CEA" w14:textId="66ED7BAC" w:rsidR="006A1B08" w:rsidRPr="00CE5C74" w:rsidDel="006A45AE" w:rsidRDefault="004E66C0" w:rsidP="006A1B08">
      <w:pPr>
        <w:pStyle w:val="Heading2"/>
      </w:pPr>
      <w:bookmarkStart w:id="42" w:name="_Toc59439400"/>
      <w:r>
        <w:t xml:space="preserve">Effects </w:t>
      </w:r>
      <w:r w:rsidR="006A1B08" w:rsidRPr="00CE5C74" w:rsidDel="006A45AE">
        <w:t xml:space="preserve">of </w:t>
      </w:r>
      <w:r w:rsidR="006A1B08" w:rsidDel="006A45AE">
        <w:t>COVID</w:t>
      </w:r>
      <w:r w:rsidR="006A1B08" w:rsidDel="006A45AE">
        <w:noBreakHyphen/>
        <w:t>19</w:t>
      </w:r>
      <w:bookmarkEnd w:id="42"/>
    </w:p>
    <w:p w14:paraId="028C0EF0" w14:textId="38AEB2A1" w:rsidR="0025234A" w:rsidRDefault="006A1B08" w:rsidP="006A1B08">
      <w:r w:rsidDel="006A45AE">
        <w:t xml:space="preserve">The global pandemic </w:t>
      </w:r>
      <w:r w:rsidR="00710A67">
        <w:t>has</w:t>
      </w:r>
      <w:r w:rsidDel="006A45AE">
        <w:t xml:space="preserve"> affected the lives of all people in </w:t>
      </w:r>
      <w:r>
        <w:t>Aotearoa</w:t>
      </w:r>
      <w:r w:rsidR="00B62C41">
        <w:t xml:space="preserve"> </w:t>
      </w:r>
      <w:r>
        <w:t>New Zealand</w:t>
      </w:r>
      <w:r w:rsidR="004D58DD">
        <w:t xml:space="preserve"> and around the world</w:t>
      </w:r>
      <w:r w:rsidDel="006A45AE">
        <w:t>.</w:t>
      </w:r>
      <w:r>
        <w:t xml:space="preserve"> </w:t>
      </w:r>
      <w:r w:rsidR="00126E22">
        <w:t>T</w:t>
      </w:r>
      <w:r w:rsidR="004D58DD">
        <w:t xml:space="preserve">his section discusses </w:t>
      </w:r>
      <w:r w:rsidR="00201B52">
        <w:t>how</w:t>
      </w:r>
      <w:r w:rsidR="004D58DD">
        <w:t xml:space="preserve"> </w:t>
      </w:r>
      <w:r w:rsidR="008846D9">
        <w:t xml:space="preserve">people </w:t>
      </w:r>
      <w:r w:rsidR="008E2BC2">
        <w:t xml:space="preserve">may </w:t>
      </w:r>
      <w:r w:rsidR="00EB1437">
        <w:t>experience</w:t>
      </w:r>
      <w:r w:rsidR="008E2BC2">
        <w:t xml:space="preserve"> </w:t>
      </w:r>
      <w:r w:rsidR="007657E8">
        <w:t>different</w:t>
      </w:r>
      <w:r w:rsidR="00EB1437" w:rsidRPr="00522C46">
        <w:t xml:space="preserve"> mental wellbeing</w:t>
      </w:r>
      <w:r w:rsidR="004E66C0">
        <w:t xml:space="preserve"> needs and</w:t>
      </w:r>
      <w:r w:rsidR="00EB1437">
        <w:t xml:space="preserve"> outcomes du</w:t>
      </w:r>
      <w:r w:rsidR="008846D9">
        <w:t xml:space="preserve">ring the response to and recovery from </w:t>
      </w:r>
      <w:r w:rsidR="00EB1437">
        <w:t>COVID-19</w:t>
      </w:r>
      <w:r w:rsidR="0025234A">
        <w:t xml:space="preserve">, </w:t>
      </w:r>
      <w:r w:rsidR="00126E22">
        <w:t xml:space="preserve">while noting that information </w:t>
      </w:r>
      <w:r w:rsidR="001E36A9">
        <w:t xml:space="preserve">about </w:t>
      </w:r>
      <w:r w:rsidR="008846D9">
        <w:t xml:space="preserve">the effects of </w:t>
      </w:r>
      <w:r w:rsidR="00EC3B34">
        <w:t>COVID-19</w:t>
      </w:r>
      <w:r w:rsidR="001E36A9">
        <w:t xml:space="preserve"> </w:t>
      </w:r>
      <w:r w:rsidR="008846D9">
        <w:t xml:space="preserve">on mental wellbeing outcomes </w:t>
      </w:r>
      <w:r w:rsidR="00126E22">
        <w:t>is still evolving. This overview is important for helping tailor responses to those</w:t>
      </w:r>
      <w:r w:rsidR="0025234A">
        <w:t xml:space="preserve"> who </w:t>
      </w:r>
      <w:r w:rsidR="00F33FF1">
        <w:t xml:space="preserve">may need targeted </w:t>
      </w:r>
      <w:r w:rsidR="00126E22">
        <w:t xml:space="preserve">support </w:t>
      </w:r>
      <w:r w:rsidR="00F33FF1">
        <w:t xml:space="preserve">for </w:t>
      </w:r>
      <w:r w:rsidR="00126E22">
        <w:t>their mental wellbeing.</w:t>
      </w:r>
      <w:r w:rsidR="009607D2">
        <w:t xml:space="preserve"> </w:t>
      </w:r>
    </w:p>
    <w:p w14:paraId="0C577734" w14:textId="77777777" w:rsidR="0025234A" w:rsidRDefault="0025234A" w:rsidP="006A1B08"/>
    <w:p w14:paraId="01304A8D" w14:textId="77777777" w:rsidR="00EE6CD1" w:rsidRDefault="00EE6CD1" w:rsidP="00EE6CD1">
      <w:r>
        <w:t xml:space="preserve">Our response is focused on </w:t>
      </w:r>
      <w:r w:rsidRPr="005868FC">
        <w:t>enhancing wellbeing</w:t>
      </w:r>
      <w:r>
        <w:t>,</w:t>
      </w:r>
      <w:r w:rsidRPr="005868FC">
        <w:t xml:space="preserve"> </w:t>
      </w:r>
      <w:r>
        <w:t xml:space="preserve">and </w:t>
      </w:r>
      <w:r w:rsidRPr="005868FC">
        <w:t>helping people to recover</w:t>
      </w:r>
      <w:r>
        <w:t>,</w:t>
      </w:r>
      <w:r w:rsidRPr="005868FC">
        <w:t xml:space="preserve"> adapt </w:t>
      </w:r>
      <w:r>
        <w:t xml:space="preserve">and thrive. </w:t>
      </w:r>
    </w:p>
    <w:p w14:paraId="0C5AE94D" w14:textId="524FC6AF" w:rsidR="004D58DD" w:rsidRDefault="00EE6CD1" w:rsidP="006A1B08">
      <w:r>
        <w:t xml:space="preserve">While being alert to groups </w:t>
      </w:r>
      <w:r w:rsidR="006B71BB">
        <w:t xml:space="preserve">who may be </w:t>
      </w:r>
      <w:r w:rsidR="007526B7">
        <w:t>negatively</w:t>
      </w:r>
      <w:r>
        <w:t xml:space="preserve"> </w:t>
      </w:r>
      <w:r w:rsidR="001E36A9">
        <w:t>affected</w:t>
      </w:r>
      <w:r>
        <w:t xml:space="preserve">, </w:t>
      </w:r>
      <w:r w:rsidR="006B71BB">
        <w:t xml:space="preserve">it is crucial to recognise and foster </w:t>
      </w:r>
      <w:r w:rsidR="0011449E">
        <w:t xml:space="preserve">the </w:t>
      </w:r>
      <w:r w:rsidR="00912503">
        <w:t xml:space="preserve">resilience that exists within individuals, whānau and communities. </w:t>
      </w:r>
    </w:p>
    <w:p w14:paraId="336BD271" w14:textId="77777777" w:rsidR="004D58DD" w:rsidRDefault="004D58DD" w:rsidP="006A1B08"/>
    <w:p w14:paraId="54C79758" w14:textId="29D88965" w:rsidR="00095A11" w:rsidRDefault="00610426" w:rsidP="00095A11">
      <w:r>
        <w:t>We have already seen a collective effort to support each other</w:t>
      </w:r>
      <w:r w:rsidR="0011449E">
        <w:t>,</w:t>
      </w:r>
      <w:r>
        <w:t xml:space="preserve"> and </w:t>
      </w:r>
      <w:r w:rsidRPr="00913DBB">
        <w:t>positive examples of increased community cohesion</w:t>
      </w:r>
      <w:r>
        <w:t xml:space="preserve">, </w:t>
      </w:r>
      <w:r w:rsidRPr="00913DBB">
        <w:t>innovatio</w:t>
      </w:r>
      <w:r>
        <w:t>n and resilience</w:t>
      </w:r>
      <w:r w:rsidR="00A74320">
        <w:t>.</w:t>
      </w:r>
      <w:r>
        <w:t xml:space="preserve"> </w:t>
      </w:r>
      <w:r w:rsidR="00095A11">
        <w:t>Being connected</w:t>
      </w:r>
      <w:r w:rsidR="00A75AC5">
        <w:t xml:space="preserve">, </w:t>
      </w:r>
      <w:r w:rsidR="00095A11">
        <w:t xml:space="preserve">cared for and having core needs met </w:t>
      </w:r>
      <w:r w:rsidR="00A75AC5">
        <w:t xml:space="preserve">are important protective factors for </w:t>
      </w:r>
      <w:r w:rsidR="00095A11">
        <w:t xml:space="preserve">people’s wellbeing and resilience. Participating in whānau, employment, cultural and community activities is also </w:t>
      </w:r>
      <w:r w:rsidR="00636260">
        <w:t xml:space="preserve">a protective factor </w:t>
      </w:r>
      <w:r w:rsidR="00095A11">
        <w:t xml:space="preserve">for individual wellbeing and strengthens wider community resilience. </w:t>
      </w:r>
      <w:r w:rsidR="00096DD9" w:rsidRPr="00ED3DA4">
        <w:rPr>
          <w:i/>
          <w:iCs/>
        </w:rPr>
        <w:t>Kia Kaha</w:t>
      </w:r>
      <w:r w:rsidR="00096DD9">
        <w:t xml:space="preserve"> recognises </w:t>
      </w:r>
      <w:r w:rsidR="00D20EF5">
        <w:t xml:space="preserve">that </w:t>
      </w:r>
      <w:r w:rsidR="00095A11" w:rsidRPr="00913DBB">
        <w:t xml:space="preserve">community </w:t>
      </w:r>
      <w:r w:rsidR="00095A11">
        <w:t>action; provision of mental wellbeing resources, supports and services; and addressing wider social, cultural and economic needs</w:t>
      </w:r>
      <w:r w:rsidR="00D20EF5">
        <w:t xml:space="preserve"> </w:t>
      </w:r>
      <w:r w:rsidR="006F394F">
        <w:t xml:space="preserve">are critical </w:t>
      </w:r>
      <w:r w:rsidR="00957834">
        <w:t>actions</w:t>
      </w:r>
      <w:r w:rsidR="006F394F">
        <w:t xml:space="preserve"> to </w:t>
      </w:r>
      <w:r w:rsidR="00957834">
        <w:t>support</w:t>
      </w:r>
      <w:r w:rsidR="00D20EF5">
        <w:t xml:space="preserve"> individuals and whānau</w:t>
      </w:r>
      <w:r w:rsidR="00ED3DA4">
        <w:t>.</w:t>
      </w:r>
    </w:p>
    <w:p w14:paraId="07C612B0" w14:textId="77777777" w:rsidR="00095A11" w:rsidRDefault="00095A11" w:rsidP="00912503"/>
    <w:p w14:paraId="749DDDD2" w14:textId="3EDED1B1" w:rsidR="00912503" w:rsidRPr="00F9413E" w:rsidRDefault="00912503" w:rsidP="00912503">
      <w:pPr>
        <w:rPr>
          <w:rFonts w:eastAsia="Arial Unicode MS" w:cs="Arial Unicode MS"/>
        </w:rPr>
      </w:pPr>
      <w:r>
        <w:t>D</w:t>
      </w:r>
      <w:r w:rsidR="004D58DD">
        <w:t xml:space="preserve">uring </w:t>
      </w:r>
      <w:r w:rsidR="004D58DD" w:rsidRPr="00FE37B7">
        <w:t xml:space="preserve">higher </w:t>
      </w:r>
      <w:r w:rsidR="004D58DD">
        <w:t>COVID-19 A</w:t>
      </w:r>
      <w:r w:rsidR="004D58DD" w:rsidRPr="00FE37B7">
        <w:t xml:space="preserve">lert </w:t>
      </w:r>
      <w:r w:rsidR="004D58DD">
        <w:t>L</w:t>
      </w:r>
      <w:r w:rsidR="004D58DD" w:rsidRPr="00FE37B7">
        <w:t>evels</w:t>
      </w:r>
      <w:r w:rsidR="004D58DD">
        <w:t>,</w:t>
      </w:r>
      <w:r w:rsidR="004D58DD" w:rsidRPr="00FE37B7">
        <w:t xml:space="preserve"> </w:t>
      </w:r>
      <w:r w:rsidR="004D58DD">
        <w:t>we have seen</w:t>
      </w:r>
      <w:r w:rsidR="004D58DD" w:rsidRPr="00FE37B7">
        <w:t xml:space="preserve"> </w:t>
      </w:r>
      <w:r w:rsidR="004D58DD" w:rsidRPr="00FE37B7" w:rsidDel="006A45AE">
        <w:t xml:space="preserve">increases in self-reported symptoms such as anxiety and depression, loneliness, and stress about leaving </w:t>
      </w:r>
      <w:r w:rsidR="004F6D0C">
        <w:t>the house</w:t>
      </w:r>
      <w:r w:rsidR="004D58DD">
        <w:t xml:space="preserve">. </w:t>
      </w:r>
      <w:r>
        <w:t>These</w:t>
      </w:r>
      <w:r>
        <w:rPr>
          <w:rFonts w:eastAsia="Arial Unicode MS" w:cs="Arial Unicode MS"/>
        </w:rPr>
        <w:t xml:space="preserve"> are understandable and normal responses to crisis events. </w:t>
      </w:r>
      <w:r>
        <w:t xml:space="preserve">We have also seen these reported symptoms ease off </w:t>
      </w:r>
      <w:r w:rsidR="00813D15">
        <w:t xml:space="preserve">in the general population </w:t>
      </w:r>
      <w:r>
        <w:t>as the Alert Levels drop. Most people, whānau and communities can recover and adapt in challenging times</w:t>
      </w:r>
      <w:r w:rsidR="008D2C24">
        <w:t xml:space="preserve"> with </w:t>
      </w:r>
      <w:r w:rsidR="0071277E">
        <w:t xml:space="preserve">appropriate </w:t>
      </w:r>
      <w:r w:rsidR="008D2C24">
        <w:t>support</w:t>
      </w:r>
      <w:r w:rsidRPr="00E94272">
        <w:t>.</w:t>
      </w:r>
      <w:r>
        <w:t xml:space="preserve"> </w:t>
      </w:r>
    </w:p>
    <w:p w14:paraId="2EDD89F4" w14:textId="7090C704" w:rsidR="004D58DD" w:rsidRDefault="004D58DD" w:rsidP="006A1B08"/>
    <w:p w14:paraId="6C3CF5A0" w14:textId="1CCBFC3C" w:rsidR="006A1B08" w:rsidRDefault="006A1B08" w:rsidP="006A1B08">
      <w:r>
        <w:t xml:space="preserve">Based on the experience of the COVID-19 outbreak so far, and our knowledge from other significant events, we expect to see mental wellbeing </w:t>
      </w:r>
      <w:r w:rsidR="00A37CF2">
        <w:t>affected</w:t>
      </w:r>
      <w:r>
        <w:t xml:space="preserve">: </w:t>
      </w:r>
    </w:p>
    <w:p w14:paraId="79A7DBB4" w14:textId="08A44455" w:rsidR="006A1B08" w:rsidRPr="00FE37B7" w:rsidRDefault="006A1B08" w:rsidP="006A1B08">
      <w:pPr>
        <w:pStyle w:val="Bullet"/>
      </w:pPr>
      <w:r w:rsidRPr="00FE37B7">
        <w:t xml:space="preserve">as a direct result of COVID-19, including </w:t>
      </w:r>
      <w:r>
        <w:t>di</w:t>
      </w:r>
      <w:r w:rsidRPr="00FE37B7">
        <w:t>stress</w:t>
      </w:r>
      <w:r w:rsidR="00CB211A">
        <w:t xml:space="preserve">, </w:t>
      </w:r>
      <w:r w:rsidRPr="00FE37B7">
        <w:t xml:space="preserve">grief </w:t>
      </w:r>
      <w:r w:rsidR="00CB211A">
        <w:t xml:space="preserve">and stigma </w:t>
      </w:r>
      <w:r w:rsidRPr="00FE37B7">
        <w:t xml:space="preserve">for people who have been unwell </w:t>
      </w:r>
      <w:r w:rsidR="00CB211A">
        <w:t>and the staff who work with them</w:t>
      </w:r>
      <w:r w:rsidR="00813D15">
        <w:t>;</w:t>
      </w:r>
      <w:r w:rsidRPr="00FE37B7">
        <w:t xml:space="preserve"> fear of becoming infected</w:t>
      </w:r>
      <w:r w:rsidR="00813D15">
        <w:t>;</w:t>
      </w:r>
      <w:r w:rsidRPr="00FE37B7">
        <w:t xml:space="preserve"> and fear of resurgence</w:t>
      </w:r>
    </w:p>
    <w:p w14:paraId="32E42ED3" w14:textId="4EB9CCC6" w:rsidR="006A1B08" w:rsidRDefault="006A1B08" w:rsidP="002274E3">
      <w:pPr>
        <w:pStyle w:val="Bullet"/>
      </w:pPr>
      <w:r>
        <w:t xml:space="preserve">by the </w:t>
      </w:r>
      <w:r w:rsidRPr="00FE37B7">
        <w:t>secondary stressors of COVID-19</w:t>
      </w:r>
      <w:r>
        <w:t xml:space="preserve">, related to economic, social and cultural changes people are experiencing. </w:t>
      </w:r>
      <w:r w:rsidR="00C36B5A">
        <w:t xml:space="preserve">This </w:t>
      </w:r>
      <w:r w:rsidR="00BA037D">
        <w:t xml:space="preserve">may </w:t>
      </w:r>
      <w:r w:rsidR="00C36B5A">
        <w:t xml:space="preserve">include </w:t>
      </w:r>
      <w:r w:rsidR="008D221B">
        <w:t>financial hardship, unemployment, disengagement from education, homelessness, a lack of hope and other factors. T</w:t>
      </w:r>
      <w:r w:rsidRPr="00FE37B7">
        <w:t xml:space="preserve">he economic </w:t>
      </w:r>
      <w:r w:rsidR="00C478AA">
        <w:t>repercussions</w:t>
      </w:r>
      <w:r w:rsidRPr="00FE37B7">
        <w:t xml:space="preserve"> </w:t>
      </w:r>
      <w:r w:rsidR="00EE6CD1">
        <w:t>of</w:t>
      </w:r>
      <w:r w:rsidRPr="00FE37B7">
        <w:t xml:space="preserve"> </w:t>
      </w:r>
      <w:r w:rsidRPr="00FE37B7" w:rsidDel="006A45AE">
        <w:t>COVID</w:t>
      </w:r>
      <w:r w:rsidRPr="00FE37B7" w:rsidDel="006A45AE">
        <w:noBreakHyphen/>
        <w:t xml:space="preserve">19 </w:t>
      </w:r>
      <w:r w:rsidR="008D221B">
        <w:t xml:space="preserve">in particular </w:t>
      </w:r>
      <w:r w:rsidRPr="00FE37B7">
        <w:t>ha</w:t>
      </w:r>
      <w:r w:rsidR="00C478AA">
        <w:t>ve</w:t>
      </w:r>
      <w:r w:rsidRPr="00FE37B7">
        <w:t xml:space="preserve"> the potential to </w:t>
      </w:r>
      <w:r w:rsidR="004F563B">
        <w:t>affect</w:t>
      </w:r>
      <w:r w:rsidR="00813D15">
        <w:t xml:space="preserve"> </w:t>
      </w:r>
      <w:r w:rsidR="00755D85">
        <w:t>wellbeing</w:t>
      </w:r>
      <w:r>
        <w:t>.</w:t>
      </w:r>
      <w:r w:rsidRPr="00FE37B7">
        <w:t xml:space="preserve"> </w:t>
      </w:r>
    </w:p>
    <w:p w14:paraId="76E52C8B" w14:textId="77777777" w:rsidR="006A1B08" w:rsidRDefault="006A1B08" w:rsidP="006A1B08"/>
    <w:p w14:paraId="05368ADA" w14:textId="1DAF9A96" w:rsidR="006A1B08" w:rsidRDefault="006A1B08" w:rsidP="006A1B08">
      <w:r>
        <w:t xml:space="preserve">While we have begun to build our understanding </w:t>
      </w:r>
      <w:r w:rsidR="00C00344">
        <w:t xml:space="preserve">of </w:t>
      </w:r>
      <w:r>
        <w:t>how the mental wellbeing of people in Aotearoa</w:t>
      </w:r>
      <w:r w:rsidR="00B62C41">
        <w:t xml:space="preserve"> </w:t>
      </w:r>
      <w:r>
        <w:t xml:space="preserve">New Zealand will be affected by the pandemic, COVID-19 remains an unprecedented event. We </w:t>
      </w:r>
      <w:r w:rsidR="00C131E6">
        <w:t xml:space="preserve">must </w:t>
      </w:r>
      <w:r>
        <w:t xml:space="preserve">continue to learn and be flexible in our responses. </w:t>
      </w:r>
    </w:p>
    <w:p w14:paraId="2D762CB2" w14:textId="3E86DA76" w:rsidR="006A1B08" w:rsidRPr="00CE5C74" w:rsidDel="006A45AE" w:rsidRDefault="006A1B08" w:rsidP="006A1B08">
      <w:pPr>
        <w:pStyle w:val="Heading2"/>
      </w:pPr>
      <w:bookmarkStart w:id="43" w:name="_Toc59439401"/>
      <w:r w:rsidRPr="00CE5C74" w:rsidDel="006A45AE">
        <w:t>Who</w:t>
      </w:r>
      <w:r w:rsidDel="006A45AE">
        <w:t xml:space="preserve"> </w:t>
      </w:r>
      <w:r w:rsidR="00E20C0D">
        <w:t>may be</w:t>
      </w:r>
      <w:r w:rsidR="00E20C0D" w:rsidDel="006A45AE">
        <w:t xml:space="preserve"> </w:t>
      </w:r>
      <w:r w:rsidR="001825B6">
        <w:t>affected</w:t>
      </w:r>
      <w:bookmarkEnd w:id="43"/>
    </w:p>
    <w:p w14:paraId="3752B017" w14:textId="4610AC91" w:rsidR="00D14312" w:rsidRDefault="003D5D79" w:rsidP="003D5D79">
      <w:r>
        <w:t>The effects of COVID-19 are likely to differ according to various factors, such as where people live, their ethnicity or identity, and their current circumstances or stage of life.</w:t>
      </w:r>
      <w:r w:rsidR="00425E00">
        <w:t xml:space="preserve"> The groups affected</w:t>
      </w:r>
      <w:r w:rsidR="0063515E">
        <w:t xml:space="preserve"> are </w:t>
      </w:r>
      <w:r w:rsidR="00636501">
        <w:t xml:space="preserve">likely to </w:t>
      </w:r>
      <w:r w:rsidR="00193A98" w:rsidRPr="002B6947">
        <w:t>change over time</w:t>
      </w:r>
      <w:r w:rsidR="00193A98">
        <w:t xml:space="preserve"> and will depend on the nature of any future outbreaks</w:t>
      </w:r>
      <w:r w:rsidR="00193A98" w:rsidRPr="002B6947">
        <w:t xml:space="preserve">. Certain groups of people, areas and communities </w:t>
      </w:r>
      <w:r w:rsidR="00193A98">
        <w:t>are</w:t>
      </w:r>
      <w:r w:rsidR="00193A98" w:rsidRPr="002B6947">
        <w:t xml:space="preserve"> experienc</w:t>
      </w:r>
      <w:r w:rsidR="00193A98">
        <w:t xml:space="preserve">ing </w:t>
      </w:r>
      <w:r w:rsidR="00BB1D39">
        <w:t>poorer outcomes</w:t>
      </w:r>
      <w:r w:rsidR="00193A98">
        <w:t xml:space="preserve">, </w:t>
      </w:r>
      <w:r w:rsidR="00876B7A">
        <w:t xml:space="preserve">and </w:t>
      </w:r>
      <w:r w:rsidR="00B44913">
        <w:t xml:space="preserve">those </w:t>
      </w:r>
      <w:r w:rsidR="004F2EB1">
        <w:t xml:space="preserve">most at risk may </w:t>
      </w:r>
      <w:r w:rsidR="00B52531">
        <w:t xml:space="preserve">be different </w:t>
      </w:r>
      <w:r w:rsidR="004F2EB1">
        <w:t>for each resurgence</w:t>
      </w:r>
      <w:r w:rsidR="00755D85">
        <w:t xml:space="preserve">. </w:t>
      </w:r>
      <w:r w:rsidR="006D5C52">
        <w:t xml:space="preserve">Monitoring and understanding </w:t>
      </w:r>
      <w:r w:rsidR="00005D22">
        <w:t xml:space="preserve">who may be </w:t>
      </w:r>
      <w:r w:rsidR="001A5B76">
        <w:t>affected</w:t>
      </w:r>
      <w:r w:rsidR="00005D22">
        <w:t xml:space="preserve">, and in what way, can help to determine how our efforts and resources can be targeted. </w:t>
      </w:r>
    </w:p>
    <w:p w14:paraId="27B3D55F" w14:textId="77777777" w:rsidR="00D14312" w:rsidRDefault="00D14312"/>
    <w:p w14:paraId="377E8E53" w14:textId="60285BDB" w:rsidR="005A20D6" w:rsidRDefault="00755D85">
      <w:r>
        <w:t xml:space="preserve">COVID-19 </w:t>
      </w:r>
      <w:r w:rsidR="00B44913">
        <w:t xml:space="preserve">has the potential to </w:t>
      </w:r>
      <w:r>
        <w:t>exacerbat</w:t>
      </w:r>
      <w:r w:rsidR="00B44913">
        <w:t>e</w:t>
      </w:r>
      <w:r>
        <w:t xml:space="preserve"> existing inequitable health, social, educational and economic outcomes for Māori, Pacific peoples and other groups. </w:t>
      </w:r>
      <w:r w:rsidR="004B25FB">
        <w:t xml:space="preserve">Those </w:t>
      </w:r>
      <w:r w:rsidR="0022758C">
        <w:t xml:space="preserve">facing multiple </w:t>
      </w:r>
      <w:r w:rsidR="00940CCA">
        <w:t xml:space="preserve">risk </w:t>
      </w:r>
      <w:r w:rsidR="0022758C">
        <w:t>factors</w:t>
      </w:r>
      <w:r w:rsidR="004B25FB">
        <w:t xml:space="preserve"> are </w:t>
      </w:r>
      <w:r w:rsidR="00927CFB">
        <w:t>more likely</w:t>
      </w:r>
      <w:r w:rsidR="004B25FB">
        <w:t xml:space="preserve"> </w:t>
      </w:r>
      <w:r w:rsidR="00927CFB">
        <w:t>to experience poorer outcomes</w:t>
      </w:r>
      <w:r w:rsidR="004B25FB">
        <w:t xml:space="preserve">. </w:t>
      </w:r>
      <w:r w:rsidR="002A0209">
        <w:t xml:space="preserve">For these groups, it will be important </w:t>
      </w:r>
      <w:r w:rsidR="0043681E">
        <w:t>to ensure holistic support is available to meet their needs, while also supporting the protective factors</w:t>
      </w:r>
      <w:r w:rsidR="008D42E3">
        <w:t xml:space="preserve">, </w:t>
      </w:r>
      <w:r w:rsidR="00D90D24">
        <w:t xml:space="preserve">resilience </w:t>
      </w:r>
      <w:r w:rsidR="008D42E3">
        <w:t xml:space="preserve">and capacity for collective responses </w:t>
      </w:r>
      <w:r w:rsidR="00D90D24">
        <w:t xml:space="preserve">within communities. </w:t>
      </w:r>
    </w:p>
    <w:p w14:paraId="24A5E4E4" w14:textId="77777777" w:rsidR="005A20D6" w:rsidRDefault="005A20D6"/>
    <w:p w14:paraId="71BD44DE" w14:textId="044FEBB9" w:rsidR="006D53E7" w:rsidRDefault="008D42E3">
      <w:r>
        <w:t>Strengthening protective factors around c</w:t>
      </w:r>
      <w:r w:rsidR="000236F6">
        <w:t xml:space="preserve">hildren and young people </w:t>
      </w:r>
      <w:r>
        <w:t xml:space="preserve">is particularly </w:t>
      </w:r>
      <w:r w:rsidR="0071630A">
        <w:t>important</w:t>
      </w:r>
      <w:r>
        <w:t xml:space="preserve"> </w:t>
      </w:r>
      <w:r w:rsidR="001D1257">
        <w:t>because of the potential effects over the course of their lifetime</w:t>
      </w:r>
      <w:r w:rsidR="00B252EA">
        <w:t>. C</w:t>
      </w:r>
      <w:r w:rsidR="001D1257">
        <w:t>hildren in households where resources are diminished or strained may be exposed to stressful developmental environments such as material hardship, unusual levels of anxiety or increased family conflict</w:t>
      </w:r>
      <w:r w:rsidR="00D34D91">
        <w:t xml:space="preserve">. </w:t>
      </w:r>
      <w:bookmarkStart w:id="44" w:name="_Hlk57712372"/>
      <w:r w:rsidR="000236F6">
        <w:t xml:space="preserve">This can </w:t>
      </w:r>
      <w:r w:rsidR="007D22ED">
        <w:t>affect their</w:t>
      </w:r>
      <w:r w:rsidR="00702945">
        <w:t xml:space="preserve"> learning</w:t>
      </w:r>
      <w:r w:rsidR="00B44913">
        <w:t>,</w:t>
      </w:r>
      <w:r w:rsidR="00702945">
        <w:t xml:space="preserve"> and </w:t>
      </w:r>
      <w:r w:rsidR="000236F6">
        <w:t>result</w:t>
      </w:r>
      <w:r w:rsidR="00D14312">
        <w:t xml:space="preserve"> in </w:t>
      </w:r>
      <w:r w:rsidR="000236F6" w:rsidRPr="00997801">
        <w:t>psychological trauma</w:t>
      </w:r>
      <w:r w:rsidR="00702945">
        <w:t xml:space="preserve"> </w:t>
      </w:r>
      <w:r w:rsidR="008C721B">
        <w:t xml:space="preserve">and ongoing negative health and wellbeing </w:t>
      </w:r>
      <w:r w:rsidR="007E35B7">
        <w:t xml:space="preserve">outcomes </w:t>
      </w:r>
      <w:r w:rsidR="000236F6">
        <w:t>over the</w:t>
      </w:r>
      <w:r w:rsidR="00B44913">
        <w:t>ir</w:t>
      </w:r>
      <w:r w:rsidR="000236F6">
        <w:t xml:space="preserve"> life course</w:t>
      </w:r>
      <w:bookmarkEnd w:id="44"/>
      <w:r w:rsidR="000236F6" w:rsidRPr="00997801">
        <w:t xml:space="preserve">, </w:t>
      </w:r>
      <w:r w:rsidR="000236F6">
        <w:t xml:space="preserve">even though the </w:t>
      </w:r>
      <w:r w:rsidR="003C01BC">
        <w:t>e</w:t>
      </w:r>
      <w:r w:rsidR="007E35B7">
        <w:t xml:space="preserve">ffects </w:t>
      </w:r>
      <w:r w:rsidR="000236F6">
        <w:t xml:space="preserve">may not be immediately apparent. </w:t>
      </w:r>
    </w:p>
    <w:p w14:paraId="0E6CD185" w14:textId="7FAE9994" w:rsidR="00EE102D" w:rsidRDefault="00EE102D"/>
    <w:p w14:paraId="6846C0CB" w14:textId="08085B4E" w:rsidR="00EE102D" w:rsidRDefault="00BB0B2F">
      <w:r>
        <w:t xml:space="preserve">The sections below provide examples of </w:t>
      </w:r>
      <w:r w:rsidR="00D96092">
        <w:t xml:space="preserve">groups </w:t>
      </w:r>
      <w:r w:rsidR="00522C46" w:rsidRPr="00522C46">
        <w:t xml:space="preserve">who share a common identity, experience or stage in life that </w:t>
      </w:r>
      <w:r w:rsidR="00522C46">
        <w:t xml:space="preserve">may </w:t>
      </w:r>
      <w:r w:rsidR="00522C46" w:rsidRPr="00522C46">
        <w:t>increase the</w:t>
      </w:r>
      <w:r w:rsidR="00B44913">
        <w:t>ir</w:t>
      </w:r>
      <w:r w:rsidR="00522C46" w:rsidRPr="00522C46">
        <w:t xml:space="preserve"> risk </w:t>
      </w:r>
      <w:r w:rsidR="00B44913">
        <w:t>of</w:t>
      </w:r>
      <w:r w:rsidR="00522C46" w:rsidRPr="00522C46">
        <w:t xml:space="preserve"> experienc</w:t>
      </w:r>
      <w:r w:rsidR="00B44913">
        <w:t>ing</w:t>
      </w:r>
      <w:r w:rsidR="00522C46" w:rsidRPr="00522C46">
        <w:t xml:space="preserve"> disproportionately poorer mental wellbeing</w:t>
      </w:r>
      <w:r w:rsidR="00522C46">
        <w:t xml:space="preserve"> outcomes due to COVID-19. </w:t>
      </w:r>
      <w:r w:rsidR="00362429">
        <w:t xml:space="preserve">This is not an exhaustive list. We must monitor, adapt and respond to emerging needs, with particular attention </w:t>
      </w:r>
      <w:r w:rsidR="00B44913">
        <w:t xml:space="preserve">to </w:t>
      </w:r>
      <w:r w:rsidR="00362429">
        <w:t>locations and communities where outbreaks occur.</w:t>
      </w:r>
    </w:p>
    <w:p w14:paraId="5422524E" w14:textId="77777777" w:rsidR="00052E24" w:rsidRDefault="00052E24"/>
    <w:p w14:paraId="70E57EF0" w14:textId="7497B333" w:rsidR="006A1B08" w:rsidRPr="00997801" w:rsidRDefault="006A1B08" w:rsidP="006A1B08">
      <w:pPr>
        <w:rPr>
          <w:b/>
        </w:rPr>
      </w:pPr>
      <w:r>
        <w:rPr>
          <w:b/>
        </w:rPr>
        <w:t xml:space="preserve">People </w:t>
      </w:r>
      <w:r w:rsidR="00842AD1">
        <w:rPr>
          <w:b/>
        </w:rPr>
        <w:t xml:space="preserve">affected </w:t>
      </w:r>
      <w:r w:rsidR="00953335">
        <w:rPr>
          <w:b/>
        </w:rPr>
        <w:t>due to</w:t>
      </w:r>
      <w:r w:rsidR="00842AD1">
        <w:rPr>
          <w:b/>
        </w:rPr>
        <w:t xml:space="preserve"> </w:t>
      </w:r>
      <w:r>
        <w:rPr>
          <w:b/>
        </w:rPr>
        <w:t xml:space="preserve">reasons associated with health </w:t>
      </w:r>
    </w:p>
    <w:p w14:paraId="231CFD3D" w14:textId="5D58FC8D" w:rsidR="006A1B08" w:rsidRDefault="00F97DD2" w:rsidP="006A1B08">
      <w:r>
        <w:t xml:space="preserve"> </w:t>
      </w:r>
    </w:p>
    <w:p w14:paraId="2A2BD1DF" w14:textId="28DF57E8" w:rsidR="006A1B08" w:rsidRDefault="00B412C8" w:rsidP="006A1B08">
      <w:r>
        <w:t xml:space="preserve">People whose mental wellbeing may be affected by reasons associated with health include </w:t>
      </w:r>
      <w:r w:rsidR="006A1B08">
        <w:t xml:space="preserve">those </w:t>
      </w:r>
      <w:r w:rsidR="006A1B08" w:rsidRPr="004A1A1E" w:rsidDel="006A45AE">
        <w:t>in quarantine or hospital due to contracting COVID</w:t>
      </w:r>
      <w:r w:rsidR="006A1B08" w:rsidRPr="004A1A1E" w:rsidDel="006A45AE">
        <w:noBreakHyphen/>
        <w:t xml:space="preserve">19, </w:t>
      </w:r>
      <w:r w:rsidR="006A1B08">
        <w:t>those</w:t>
      </w:r>
      <w:r w:rsidR="006A1B08" w:rsidRPr="004A1A1E" w:rsidDel="006A45AE">
        <w:t xml:space="preserve"> struggling with after-effects on their health</w:t>
      </w:r>
      <w:r w:rsidR="006A1B08">
        <w:t xml:space="preserve">, </w:t>
      </w:r>
      <w:r w:rsidR="0068154D">
        <w:t xml:space="preserve">and those </w:t>
      </w:r>
      <w:r w:rsidR="006A1B08">
        <w:t xml:space="preserve">who have been bereaved by COVID-19. Heightened stress </w:t>
      </w:r>
      <w:r w:rsidR="00874E3F">
        <w:t xml:space="preserve">and </w:t>
      </w:r>
      <w:r w:rsidR="00926C18">
        <w:t xml:space="preserve">effects on </w:t>
      </w:r>
      <w:r w:rsidR="00874E3F">
        <w:t xml:space="preserve">health </w:t>
      </w:r>
      <w:r w:rsidR="006A1B08">
        <w:t xml:space="preserve">can also occur for those </w:t>
      </w:r>
      <w:r w:rsidR="006A1B08" w:rsidRPr="004A1A1E">
        <w:t>on extended waitlists for</w:t>
      </w:r>
      <w:r w:rsidR="006A1B08" w:rsidRPr="004A1A1E" w:rsidDel="006A45AE">
        <w:t xml:space="preserve"> medical appointments or treatment due to </w:t>
      </w:r>
      <w:r w:rsidR="006A1B08" w:rsidRPr="004A1A1E">
        <w:t xml:space="preserve">delays created by </w:t>
      </w:r>
      <w:r w:rsidR="006A1B08" w:rsidRPr="004A1A1E" w:rsidDel="006A45AE">
        <w:t>Alert Level restrictions</w:t>
      </w:r>
      <w:r w:rsidR="006A1B08">
        <w:t>.</w:t>
      </w:r>
    </w:p>
    <w:p w14:paraId="6E1F2124" w14:textId="77777777" w:rsidR="006A1B08" w:rsidRDefault="006A1B08" w:rsidP="006A1B08"/>
    <w:p w14:paraId="1F2CDF7D" w14:textId="073823B7" w:rsidR="00A676A7" w:rsidRDefault="0046790F" w:rsidP="00997801">
      <w:pPr>
        <w:autoSpaceDE w:val="0"/>
        <w:autoSpaceDN w:val="0"/>
        <w:adjustRightInd w:val="0"/>
      </w:pPr>
      <w:bookmarkStart w:id="45" w:name="_Hlk56758197"/>
      <w:r>
        <w:t xml:space="preserve">Māori </w:t>
      </w:r>
      <w:r w:rsidR="00BD2DE5">
        <w:t xml:space="preserve">as a population </w:t>
      </w:r>
      <w:r w:rsidR="00CC7320">
        <w:t>experience</w:t>
      </w:r>
      <w:r w:rsidR="00E31CFF">
        <w:t xml:space="preserve"> higher </w:t>
      </w:r>
      <w:r w:rsidR="00865D38">
        <w:t>levels</w:t>
      </w:r>
      <w:r w:rsidR="00E31CFF">
        <w:t xml:space="preserve"> of psychological distress than non-Māori, and those </w:t>
      </w:r>
      <w:r w:rsidR="006D53E7">
        <w:t xml:space="preserve">who contract COVID-19 </w:t>
      </w:r>
      <w:r w:rsidR="00650760">
        <w:t xml:space="preserve">may be </w:t>
      </w:r>
      <w:r>
        <w:t xml:space="preserve">likely to </w:t>
      </w:r>
      <w:r w:rsidR="00650760">
        <w:t xml:space="preserve">experience </w:t>
      </w:r>
      <w:r w:rsidR="006D53E7">
        <w:t xml:space="preserve">poorer </w:t>
      </w:r>
      <w:r w:rsidR="00650760">
        <w:t xml:space="preserve">health </w:t>
      </w:r>
      <w:r w:rsidR="006D53E7">
        <w:t>outcome</w:t>
      </w:r>
      <w:r w:rsidR="0068154D">
        <w:t>s</w:t>
      </w:r>
      <w:r w:rsidR="006D53E7">
        <w:t xml:space="preserve"> due to </w:t>
      </w:r>
      <w:r w:rsidR="00C21159">
        <w:t>existing health in</w:t>
      </w:r>
      <w:r w:rsidR="00880CFB">
        <w:t>equities</w:t>
      </w:r>
      <w:r w:rsidR="006D53E7">
        <w:t xml:space="preserve">. </w:t>
      </w:r>
      <w:bookmarkEnd w:id="45"/>
      <w:r w:rsidR="005041D2" w:rsidRPr="00997801">
        <w:t>Pacific people</w:t>
      </w:r>
      <w:r w:rsidR="002165B1">
        <w:t>s</w:t>
      </w:r>
      <w:r w:rsidR="005041D2" w:rsidRPr="00997801">
        <w:t xml:space="preserve"> also </w:t>
      </w:r>
      <w:r w:rsidR="00F509C9">
        <w:t>have</w:t>
      </w:r>
      <w:r w:rsidR="00F509C9" w:rsidRPr="00997801">
        <w:t xml:space="preserve"> </w:t>
      </w:r>
      <w:r w:rsidR="005041D2" w:rsidRPr="00997801">
        <w:t xml:space="preserve">disproportionate </w:t>
      </w:r>
      <w:r w:rsidR="00F509C9">
        <w:t xml:space="preserve">levels of </w:t>
      </w:r>
      <w:r w:rsidR="005041D2" w:rsidRPr="00997801">
        <w:t>long-term health</w:t>
      </w:r>
      <w:r w:rsidR="004C5790" w:rsidRPr="00997801">
        <w:t xml:space="preserve"> </w:t>
      </w:r>
      <w:r w:rsidR="005041D2" w:rsidRPr="00997801">
        <w:t>conditions</w:t>
      </w:r>
      <w:r w:rsidR="00F509C9">
        <w:t xml:space="preserve"> that may increase vulnerability if COVID-19 is contracted</w:t>
      </w:r>
      <w:r w:rsidR="005041D2" w:rsidRPr="00997801">
        <w:t>.</w:t>
      </w:r>
      <w:r w:rsidR="004C5790" w:rsidRPr="00997801">
        <w:t xml:space="preserve"> </w:t>
      </w:r>
      <w:r w:rsidR="00DB6D9E">
        <w:t>Strong connections with</w:t>
      </w:r>
      <w:r w:rsidR="008036BA">
        <w:t>in</w:t>
      </w:r>
      <w:r w:rsidR="00DB6D9E">
        <w:t xml:space="preserve"> whānau and communities are important protective factors for both </w:t>
      </w:r>
      <w:r w:rsidR="008B0CA2">
        <w:t xml:space="preserve">Māori and Pacific </w:t>
      </w:r>
      <w:r w:rsidR="00DB6D9E">
        <w:t xml:space="preserve">populations but may also lead to increased risk of contracting COVID-19. </w:t>
      </w:r>
    </w:p>
    <w:p w14:paraId="1BA684D2" w14:textId="77777777" w:rsidR="00A676A7" w:rsidRDefault="00A676A7" w:rsidP="00997801">
      <w:pPr>
        <w:autoSpaceDE w:val="0"/>
        <w:autoSpaceDN w:val="0"/>
        <w:adjustRightInd w:val="0"/>
      </w:pPr>
    </w:p>
    <w:p w14:paraId="7E82E6C7" w14:textId="114D3A51" w:rsidR="00CC0F09" w:rsidRDefault="00052E24" w:rsidP="00997801">
      <w:pPr>
        <w:autoSpaceDE w:val="0"/>
        <w:autoSpaceDN w:val="0"/>
        <w:adjustRightInd w:val="0"/>
      </w:pPr>
      <w:r>
        <w:t>P</w:t>
      </w:r>
      <w:r w:rsidR="006A1B08">
        <w:t xml:space="preserve">eople </w:t>
      </w:r>
      <w:r w:rsidRPr="004A1A1E" w:rsidDel="006A45AE">
        <w:t xml:space="preserve">who are immunocompromised, older people, </w:t>
      </w:r>
      <w:r>
        <w:t>and those with pre-existing health conditions are</w:t>
      </w:r>
      <w:r w:rsidDel="00052E24">
        <w:t xml:space="preserve"> </w:t>
      </w:r>
      <w:r w:rsidR="0046790F">
        <w:t>susceptible to worsened health effects from COVID-19</w:t>
      </w:r>
      <w:r>
        <w:t xml:space="preserve">, </w:t>
      </w:r>
      <w:r w:rsidR="006A1B08" w:rsidRPr="004A1A1E" w:rsidDel="006A45AE">
        <w:t xml:space="preserve">including </w:t>
      </w:r>
      <w:r w:rsidR="006A1B08">
        <w:t xml:space="preserve">poor </w:t>
      </w:r>
      <w:r w:rsidR="006A1B08" w:rsidRPr="004A1A1E" w:rsidDel="006A45AE">
        <w:t>mental health and addiction outcomes</w:t>
      </w:r>
      <w:r w:rsidR="00A676A7">
        <w:t xml:space="preserve">. </w:t>
      </w:r>
      <w:r w:rsidR="00F509C9">
        <w:t xml:space="preserve">Other groups </w:t>
      </w:r>
      <w:r w:rsidR="004B25FB">
        <w:t>with</w:t>
      </w:r>
      <w:r w:rsidR="00F509C9">
        <w:t xml:space="preserve"> </w:t>
      </w:r>
      <w:r w:rsidR="00820711">
        <w:t xml:space="preserve">potentially </w:t>
      </w:r>
      <w:r w:rsidR="00F509C9">
        <w:t>greater vulnerability include those</w:t>
      </w:r>
      <w:r w:rsidR="00CB211A">
        <w:t xml:space="preserve"> with existing mental health or addiction issues, </w:t>
      </w:r>
      <w:r w:rsidR="006A1B08" w:rsidRPr="004A1A1E" w:rsidDel="006A45AE">
        <w:t>rainbow communities</w:t>
      </w:r>
      <w:r w:rsidR="006A1B08" w:rsidRPr="004A1A1E">
        <w:t>,</w:t>
      </w:r>
      <w:r w:rsidR="006A1B08" w:rsidRPr="004A1A1E" w:rsidDel="006A45AE">
        <w:t xml:space="preserve"> </w:t>
      </w:r>
      <w:r w:rsidR="00DF0092">
        <w:t>people experiencing</w:t>
      </w:r>
      <w:r w:rsidR="00DF0092" w:rsidRPr="004A1A1E" w:rsidDel="006A45AE">
        <w:t xml:space="preserve"> </w:t>
      </w:r>
      <w:r w:rsidR="006A1B08" w:rsidRPr="004A1A1E" w:rsidDel="006A45AE">
        <w:t>homeless</w:t>
      </w:r>
      <w:r w:rsidR="00DF0092">
        <w:t>ness</w:t>
      </w:r>
      <w:r w:rsidR="006A1B08">
        <w:t xml:space="preserve">, disabled people, and people with histories of trauma. </w:t>
      </w:r>
    </w:p>
    <w:p w14:paraId="66B1026B" w14:textId="77777777" w:rsidR="00CC0F09" w:rsidRDefault="00CC0F09" w:rsidP="00CC0F09"/>
    <w:p w14:paraId="673D3BE4" w14:textId="6F390A73" w:rsidR="006A1B08" w:rsidRPr="004A1A1E" w:rsidDel="006A45AE" w:rsidRDefault="006A1B08" w:rsidP="006A1B08">
      <w:r>
        <w:t xml:space="preserve">Many frontline staff, such as those in health and social service roles, are at greater risk of contracting </w:t>
      </w:r>
      <w:r w:rsidRPr="004A1A1E" w:rsidDel="006A45AE">
        <w:t>COVID-19</w:t>
      </w:r>
      <w:r w:rsidR="00F85BAE">
        <w:t xml:space="preserve">. While there are </w:t>
      </w:r>
      <w:r w:rsidR="00302038">
        <w:t xml:space="preserve">positive wellbeing benefits of purpose, agency </w:t>
      </w:r>
      <w:r w:rsidR="00F55147">
        <w:t>and being able to help others, these workforces</w:t>
      </w:r>
      <w:r>
        <w:t xml:space="preserve"> bear the stress and responsibility of increased workloads and heightened distress in the communities they serve.</w:t>
      </w:r>
      <w:r w:rsidRPr="00F47EFD">
        <w:t xml:space="preserve"> </w:t>
      </w:r>
      <w:r>
        <w:t>Other people</w:t>
      </w:r>
      <w:r w:rsidR="00F55147">
        <w:t xml:space="preserve"> who may be</w:t>
      </w:r>
      <w:r>
        <w:t xml:space="preserve"> at greater risk of contracting </w:t>
      </w:r>
      <w:r w:rsidRPr="004A1A1E" w:rsidDel="006A45AE">
        <w:t>COVID-19</w:t>
      </w:r>
      <w:r>
        <w:t xml:space="preserve"> include</w:t>
      </w:r>
      <w:r w:rsidRPr="004A1A1E" w:rsidDel="006A45AE">
        <w:t xml:space="preserve"> people</w:t>
      </w:r>
      <w:r>
        <w:t xml:space="preserve"> in overcrowded homes and those </w:t>
      </w:r>
      <w:r w:rsidRPr="004A1A1E" w:rsidDel="006A45AE">
        <w:t>in geographic</w:t>
      </w:r>
      <w:r>
        <w:t xml:space="preserve"> areas</w:t>
      </w:r>
      <w:r w:rsidRPr="004A1A1E" w:rsidDel="006A45AE">
        <w:t xml:space="preserve"> where the virus has re-emerged</w:t>
      </w:r>
      <w:r>
        <w:t xml:space="preserve">. </w:t>
      </w:r>
    </w:p>
    <w:p w14:paraId="332F7B76" w14:textId="77777777" w:rsidR="006A1B08" w:rsidRDefault="006A1B08" w:rsidP="006A1B08"/>
    <w:p w14:paraId="05D308AF" w14:textId="6E90C124" w:rsidR="006A1B08" w:rsidRPr="00771487" w:rsidDel="006A45AE" w:rsidRDefault="006A1B08" w:rsidP="00E55C16">
      <w:pPr>
        <w:keepNext/>
      </w:pPr>
      <w:r>
        <w:rPr>
          <w:b/>
        </w:rPr>
        <w:t xml:space="preserve">People </w:t>
      </w:r>
      <w:r w:rsidR="00926C18">
        <w:rPr>
          <w:b/>
        </w:rPr>
        <w:t xml:space="preserve">affected </w:t>
      </w:r>
      <w:r w:rsidR="00370EA5">
        <w:rPr>
          <w:b/>
        </w:rPr>
        <w:t>due to</w:t>
      </w:r>
      <w:r>
        <w:rPr>
          <w:b/>
        </w:rPr>
        <w:t xml:space="preserve"> e</w:t>
      </w:r>
      <w:r w:rsidRPr="0038081B">
        <w:rPr>
          <w:b/>
        </w:rPr>
        <w:t>conomic reasons</w:t>
      </w:r>
    </w:p>
    <w:p w14:paraId="0C00CC96" w14:textId="77777777" w:rsidR="006A1B08" w:rsidRDefault="006A1B08" w:rsidP="00E55C16">
      <w:pPr>
        <w:keepNext/>
      </w:pPr>
    </w:p>
    <w:p w14:paraId="15B55403" w14:textId="5EE11207" w:rsidR="006A1B08" w:rsidRDefault="006A1B08" w:rsidP="006A1B08">
      <w:r>
        <w:t>Many people</w:t>
      </w:r>
      <w:r w:rsidRPr="004A1A1E" w:rsidDel="006A45AE">
        <w:t xml:space="preserve"> have lost jobs</w:t>
      </w:r>
      <w:r w:rsidRPr="004A1A1E">
        <w:t>, businesses</w:t>
      </w:r>
      <w:r w:rsidRPr="004A1A1E" w:rsidDel="006A45AE">
        <w:t xml:space="preserve"> or household income as a result of the economic downturn</w:t>
      </w:r>
      <w:r>
        <w:t>. Some</w:t>
      </w:r>
      <w:r w:rsidRPr="0063369B">
        <w:t xml:space="preserve"> </w:t>
      </w:r>
      <w:r>
        <w:t>industries, such as</w:t>
      </w:r>
      <w:r w:rsidRPr="0063369B">
        <w:t xml:space="preserve"> </w:t>
      </w:r>
      <w:r>
        <w:t xml:space="preserve">hospitality and </w:t>
      </w:r>
      <w:r w:rsidRPr="0063369B">
        <w:t>tourism</w:t>
      </w:r>
      <w:r>
        <w:t>, are particularly</w:t>
      </w:r>
      <w:r w:rsidRPr="0063369B">
        <w:t xml:space="preserve"> </w:t>
      </w:r>
      <w:r>
        <w:t xml:space="preserve">hard hit. Many of these people </w:t>
      </w:r>
      <w:r w:rsidR="0048119F">
        <w:t xml:space="preserve">may </w:t>
      </w:r>
      <w:r>
        <w:t>be new to unemployment and hardship.</w:t>
      </w:r>
      <w:r w:rsidR="00A1540B">
        <w:t xml:space="preserve"> </w:t>
      </w:r>
    </w:p>
    <w:p w14:paraId="6864AF6F" w14:textId="77777777" w:rsidR="006A1B08" w:rsidRDefault="006A1B08" w:rsidP="006A1B08"/>
    <w:p w14:paraId="6AEB6A52" w14:textId="3D81789F" w:rsidR="00A80B4C" w:rsidRDefault="00A80B4C" w:rsidP="00FC0692">
      <w:pPr>
        <w:autoSpaceDE w:val="0"/>
        <w:autoSpaceDN w:val="0"/>
        <w:adjustRightInd w:val="0"/>
      </w:pPr>
      <w:r>
        <w:t>P</w:t>
      </w:r>
      <w:r w:rsidR="006A1B08">
        <w:t xml:space="preserve">opulations </w:t>
      </w:r>
      <w:r>
        <w:t xml:space="preserve">that </w:t>
      </w:r>
      <w:r w:rsidR="006A1B08">
        <w:t xml:space="preserve">are already </w:t>
      </w:r>
      <w:r w:rsidR="006A1B08" w:rsidRPr="004A1A1E" w:rsidDel="006A45AE">
        <w:t>experienc</w:t>
      </w:r>
      <w:r w:rsidR="006A1B08">
        <w:t>ing</w:t>
      </w:r>
      <w:r w:rsidR="006A1B08" w:rsidRPr="004A1A1E" w:rsidDel="006A45AE">
        <w:t xml:space="preserve"> hardship or poverty</w:t>
      </w:r>
      <w:r w:rsidR="006A1B08">
        <w:t xml:space="preserve"> are </w:t>
      </w:r>
      <w:r w:rsidR="00F34E6E">
        <w:t>more</w:t>
      </w:r>
      <w:r w:rsidR="006A1B08">
        <w:t xml:space="preserve"> susceptible to </w:t>
      </w:r>
      <w:r w:rsidR="006A1B08" w:rsidRPr="004A1A1E" w:rsidDel="006A45AE">
        <w:t>job loss, reduced household income</w:t>
      </w:r>
      <w:r w:rsidR="006A1B08" w:rsidRPr="004A1A1E">
        <w:t>, and housing instability.</w:t>
      </w:r>
      <w:r w:rsidR="006A1B08">
        <w:t xml:space="preserve"> </w:t>
      </w:r>
      <w:r w:rsidR="006A1B08" w:rsidRPr="0063369B">
        <w:t>Māori</w:t>
      </w:r>
      <w:r w:rsidR="006A1B08">
        <w:t>,</w:t>
      </w:r>
      <w:r w:rsidR="006A1B08" w:rsidRPr="0063369B">
        <w:t xml:space="preserve"> Pa</w:t>
      </w:r>
      <w:r w:rsidR="006A1B08">
        <w:t>cific</w:t>
      </w:r>
      <w:r w:rsidR="001C6AE0">
        <w:t xml:space="preserve"> peoples</w:t>
      </w:r>
      <w:r w:rsidR="00DD1500">
        <w:t>, ethnic and migrant communities,</w:t>
      </w:r>
      <w:r w:rsidR="001C6AE0">
        <w:t xml:space="preserve"> </w:t>
      </w:r>
      <w:r w:rsidR="005041D2">
        <w:t xml:space="preserve">and disabled people </w:t>
      </w:r>
      <w:r w:rsidR="00FF2286">
        <w:t xml:space="preserve">may be </w:t>
      </w:r>
      <w:r w:rsidR="006A1B08">
        <w:t xml:space="preserve">particularly </w:t>
      </w:r>
      <w:r w:rsidR="006A1B08" w:rsidRPr="0063369B">
        <w:t>vulnerable to changes in labour market conditions</w:t>
      </w:r>
      <w:r w:rsidR="006A1B08">
        <w:t>.</w:t>
      </w:r>
      <w:r w:rsidR="005041D2">
        <w:t xml:space="preserve"> </w:t>
      </w:r>
    </w:p>
    <w:p w14:paraId="0568799D" w14:textId="77777777" w:rsidR="00A80B4C" w:rsidRDefault="00A80B4C" w:rsidP="00FC0692">
      <w:pPr>
        <w:autoSpaceDE w:val="0"/>
        <w:autoSpaceDN w:val="0"/>
        <w:adjustRightInd w:val="0"/>
      </w:pPr>
    </w:p>
    <w:p w14:paraId="17F137BA" w14:textId="77777777" w:rsidR="00400647" w:rsidRDefault="00A80B4C" w:rsidP="00997801">
      <w:pPr>
        <w:autoSpaceDE w:val="0"/>
        <w:autoSpaceDN w:val="0"/>
        <w:adjustRightInd w:val="0"/>
      </w:pPr>
      <w:r>
        <w:t xml:space="preserve">Others who </w:t>
      </w:r>
      <w:r w:rsidR="00FF2286">
        <w:t xml:space="preserve">may be </w:t>
      </w:r>
      <w:r>
        <w:t xml:space="preserve">more likely to experience </w:t>
      </w:r>
      <w:r w:rsidR="00FC0692" w:rsidRPr="00997801">
        <w:t xml:space="preserve">significant economic hardship </w:t>
      </w:r>
      <w:r w:rsidRPr="00997801">
        <w:t>include</w:t>
      </w:r>
      <w:r w:rsidR="00400647">
        <w:t>:</w:t>
      </w:r>
    </w:p>
    <w:p w14:paraId="11E54D45" w14:textId="74162EAA" w:rsidR="00400647" w:rsidRDefault="00FC0692" w:rsidP="00291EB8">
      <w:pPr>
        <w:pStyle w:val="Bullet"/>
      </w:pPr>
      <w:r w:rsidRPr="00997801">
        <w:t>older workers (aged 50 and over</w:t>
      </w:r>
      <w:r w:rsidR="00400647" w:rsidRPr="00997801">
        <w:t>)</w:t>
      </w:r>
    </w:p>
    <w:p w14:paraId="22FB1E0E" w14:textId="2A9A14A1" w:rsidR="00400647" w:rsidRDefault="00FC0692" w:rsidP="00291EB8">
      <w:pPr>
        <w:pStyle w:val="Bullet"/>
      </w:pPr>
      <w:r w:rsidRPr="00997801">
        <w:t>young people</w:t>
      </w:r>
      <w:r w:rsidR="00A80B4C">
        <w:t xml:space="preserve"> </w:t>
      </w:r>
      <w:r w:rsidR="00CB211A">
        <w:t>trying to enter</w:t>
      </w:r>
      <w:r w:rsidR="00400647">
        <w:t xml:space="preserve"> the</w:t>
      </w:r>
      <w:r w:rsidR="00CB211A">
        <w:t xml:space="preserve"> job market at a time of high unemployment</w:t>
      </w:r>
    </w:p>
    <w:p w14:paraId="62993346" w14:textId="77777777" w:rsidR="00400647" w:rsidRDefault="00FC0692" w:rsidP="00291EB8">
      <w:pPr>
        <w:pStyle w:val="Bullet"/>
      </w:pPr>
      <w:r w:rsidRPr="00997801">
        <w:t>women, who already earn less on average, are more likely to be in casual and</w:t>
      </w:r>
      <w:r w:rsidR="00A80B4C" w:rsidRPr="00997801">
        <w:t xml:space="preserve"> </w:t>
      </w:r>
      <w:r w:rsidRPr="00997801">
        <w:t xml:space="preserve">part-time work and are more likely to be in </w:t>
      </w:r>
      <w:r w:rsidR="00A80B4C">
        <w:t>vulnerable industries</w:t>
      </w:r>
      <w:r w:rsidRPr="00997801">
        <w:t>.</w:t>
      </w:r>
      <w:r w:rsidR="00A80B4C">
        <w:t xml:space="preserve"> </w:t>
      </w:r>
    </w:p>
    <w:p w14:paraId="7C3AC56C" w14:textId="77777777" w:rsidR="00400647" w:rsidRDefault="00400647" w:rsidP="00997801">
      <w:pPr>
        <w:autoSpaceDE w:val="0"/>
        <w:autoSpaceDN w:val="0"/>
        <w:adjustRightInd w:val="0"/>
      </w:pPr>
    </w:p>
    <w:p w14:paraId="570573EB" w14:textId="2A50E3AA" w:rsidR="00FC0692" w:rsidRDefault="00A80B4C" w:rsidP="00997801">
      <w:pPr>
        <w:autoSpaceDE w:val="0"/>
        <w:autoSpaceDN w:val="0"/>
        <w:adjustRightInd w:val="0"/>
      </w:pPr>
      <w:r w:rsidRPr="00B2693A">
        <w:t xml:space="preserve">Sole parent families </w:t>
      </w:r>
      <w:r w:rsidR="00362694">
        <w:t>may be</w:t>
      </w:r>
      <w:r w:rsidR="00362694" w:rsidRPr="00B2693A">
        <w:t xml:space="preserve"> </w:t>
      </w:r>
      <w:r w:rsidRPr="00B2693A">
        <w:t>particularly likely to experience persistent hardship</w:t>
      </w:r>
      <w:r w:rsidR="000545A1">
        <w:t>,</w:t>
      </w:r>
      <w:r w:rsidRPr="00B2693A">
        <w:t xml:space="preserve"> which may </w:t>
      </w:r>
      <w:r w:rsidR="00C12ACA">
        <w:t xml:space="preserve">be </w:t>
      </w:r>
      <w:r w:rsidRPr="00B2693A">
        <w:t xml:space="preserve">compounded by </w:t>
      </w:r>
      <w:r w:rsidR="007378DF">
        <w:t>the economic effect</w:t>
      </w:r>
      <w:r w:rsidR="002811B0">
        <w:t>s</w:t>
      </w:r>
      <w:r w:rsidR="007378DF">
        <w:t xml:space="preserve"> of </w:t>
      </w:r>
      <w:r w:rsidRPr="00B2693A">
        <w:t>COVID-19.</w:t>
      </w:r>
    </w:p>
    <w:p w14:paraId="2CF17BC5" w14:textId="77777777" w:rsidR="006A1B08" w:rsidRDefault="006A1B08" w:rsidP="006A1B08">
      <w:pPr>
        <w:rPr>
          <w:b/>
        </w:rPr>
      </w:pPr>
    </w:p>
    <w:p w14:paraId="4725FE5F" w14:textId="58F9DC2A" w:rsidR="006A1B08" w:rsidRDefault="006A1B08" w:rsidP="006A1B08">
      <w:r>
        <w:rPr>
          <w:b/>
        </w:rPr>
        <w:t xml:space="preserve">People </w:t>
      </w:r>
      <w:r w:rsidR="00370EA5">
        <w:rPr>
          <w:b/>
        </w:rPr>
        <w:t xml:space="preserve">affected </w:t>
      </w:r>
      <w:r w:rsidR="00A81D2D">
        <w:rPr>
          <w:b/>
        </w:rPr>
        <w:t>due to</w:t>
      </w:r>
      <w:r>
        <w:rPr>
          <w:b/>
        </w:rPr>
        <w:t xml:space="preserve"> s</w:t>
      </w:r>
      <w:r w:rsidRPr="002A3A75" w:rsidDel="006A45AE">
        <w:rPr>
          <w:b/>
        </w:rPr>
        <w:t xml:space="preserve">ocial </w:t>
      </w:r>
      <w:r>
        <w:rPr>
          <w:b/>
        </w:rPr>
        <w:t xml:space="preserve">and cultural </w:t>
      </w:r>
      <w:r w:rsidRPr="002A3A75" w:rsidDel="006A45AE">
        <w:rPr>
          <w:b/>
        </w:rPr>
        <w:t>reason</w:t>
      </w:r>
      <w:r>
        <w:rPr>
          <w:b/>
        </w:rPr>
        <w:t>s</w:t>
      </w:r>
    </w:p>
    <w:p w14:paraId="179C5922" w14:textId="77777777" w:rsidR="006A1B08" w:rsidRDefault="006A1B08" w:rsidP="006A1B08"/>
    <w:p w14:paraId="28A63EA2" w14:textId="12092938" w:rsidR="008A2A13" w:rsidRPr="004A1A1E" w:rsidDel="006A45AE" w:rsidRDefault="00A6793E" w:rsidP="008A2A13">
      <w:r>
        <w:t xml:space="preserve">Higher Alert Levels and border restrictions </w:t>
      </w:r>
      <w:r w:rsidR="00BB7404">
        <w:t xml:space="preserve">can </w:t>
      </w:r>
      <w:r>
        <w:t xml:space="preserve">result in particular stresses. </w:t>
      </w:r>
      <w:r w:rsidR="00C12ACA">
        <w:t>P</w:t>
      </w:r>
      <w:r>
        <w:t xml:space="preserve">eople </w:t>
      </w:r>
      <w:r w:rsidR="00C12ACA">
        <w:t xml:space="preserve">who </w:t>
      </w:r>
      <w:r w:rsidR="0053225E">
        <w:t xml:space="preserve">may </w:t>
      </w:r>
      <w:r w:rsidR="000545A1">
        <w:t xml:space="preserve">feel </w:t>
      </w:r>
      <w:r w:rsidRPr="004A1A1E" w:rsidDel="006A45AE">
        <w:t>socially isolated or cut off from whānau</w:t>
      </w:r>
      <w:r w:rsidRPr="00832567" w:rsidDel="006A45AE">
        <w:t xml:space="preserve"> </w:t>
      </w:r>
      <w:r>
        <w:t>includ</w:t>
      </w:r>
      <w:r w:rsidR="00C12ACA">
        <w:t>e</w:t>
      </w:r>
      <w:r>
        <w:t xml:space="preserve"> those</w:t>
      </w:r>
      <w:r w:rsidRPr="004A1A1E" w:rsidDel="006A45AE">
        <w:t xml:space="preserve"> in managed isolation, those with whānau overseas, </w:t>
      </w:r>
      <w:r>
        <w:t xml:space="preserve">and </w:t>
      </w:r>
      <w:r w:rsidRPr="004A1A1E" w:rsidDel="006A45AE">
        <w:t xml:space="preserve">those unable to </w:t>
      </w:r>
      <w:r>
        <w:t xml:space="preserve">support </w:t>
      </w:r>
      <w:r w:rsidRPr="004A1A1E" w:rsidDel="006A45AE">
        <w:t xml:space="preserve">other </w:t>
      </w:r>
      <w:r>
        <w:t xml:space="preserve">whānau </w:t>
      </w:r>
      <w:r w:rsidR="007A2FEC">
        <w:t xml:space="preserve">members </w:t>
      </w:r>
      <w:r w:rsidRPr="004A1A1E" w:rsidDel="006A45AE">
        <w:t>during lockdown</w:t>
      </w:r>
      <w:r>
        <w:t>s</w:t>
      </w:r>
      <w:r w:rsidRPr="004A1A1E">
        <w:t xml:space="preserve">. </w:t>
      </w:r>
      <w:r w:rsidRPr="00997801">
        <w:t xml:space="preserve">Disabled </w:t>
      </w:r>
      <w:r>
        <w:t xml:space="preserve">people and </w:t>
      </w:r>
      <w:r w:rsidR="00B62C41">
        <w:t>older people</w:t>
      </w:r>
      <w:r>
        <w:t xml:space="preserve"> </w:t>
      </w:r>
      <w:r w:rsidR="0053225E">
        <w:t xml:space="preserve">may be </w:t>
      </w:r>
      <w:r>
        <w:t>particularly susceptible to</w:t>
      </w:r>
      <w:r w:rsidRPr="00997801">
        <w:t xml:space="preserve"> isolation from </w:t>
      </w:r>
      <w:r>
        <w:t>whānau</w:t>
      </w:r>
      <w:r w:rsidRPr="00997801">
        <w:t xml:space="preserve"> and paid carers</w:t>
      </w:r>
      <w:r w:rsidR="00201227">
        <w:t>, and</w:t>
      </w:r>
      <w:r w:rsidR="0086259A">
        <w:t xml:space="preserve"> to</w:t>
      </w:r>
      <w:r w:rsidR="00201227">
        <w:t xml:space="preserve"> loneliness from reduced social connection</w:t>
      </w:r>
      <w:r>
        <w:t xml:space="preserve">. </w:t>
      </w:r>
    </w:p>
    <w:p w14:paraId="64D106CB" w14:textId="77777777" w:rsidR="008A2A13" w:rsidRDefault="008A2A13" w:rsidP="00201227"/>
    <w:p w14:paraId="16B2BDBE" w14:textId="5F2F21BD" w:rsidR="00231527" w:rsidRDefault="00201227" w:rsidP="00201227">
      <w:r>
        <w:t xml:space="preserve">Tensions within whānau bubbles create other </w:t>
      </w:r>
      <w:r w:rsidR="00D97435">
        <w:t>challenges</w:t>
      </w:r>
      <w:r>
        <w:t xml:space="preserve">, </w:t>
      </w:r>
      <w:r w:rsidR="00400647">
        <w:t xml:space="preserve">as indicated by an increase in </w:t>
      </w:r>
      <w:r w:rsidRPr="00B2693A">
        <w:t xml:space="preserve">family violence notifications to </w:t>
      </w:r>
      <w:r w:rsidR="0015628E">
        <w:t>P</w:t>
      </w:r>
      <w:r w:rsidRPr="00B2693A">
        <w:t xml:space="preserve">olice </w:t>
      </w:r>
      <w:r>
        <w:t xml:space="preserve">during lockdowns. </w:t>
      </w:r>
      <w:r w:rsidR="000236F6">
        <w:t>Children and youth</w:t>
      </w:r>
      <w:r w:rsidR="00231527">
        <w:t xml:space="preserve"> need active protection from the </w:t>
      </w:r>
      <w:r w:rsidR="00736F51">
        <w:t xml:space="preserve">effects </w:t>
      </w:r>
      <w:r w:rsidR="00231527">
        <w:t>of parents’/caregivers’/whānau wellbeing</w:t>
      </w:r>
      <w:r w:rsidR="000236F6">
        <w:t xml:space="preserve"> issues, </w:t>
      </w:r>
      <w:r w:rsidR="00637CA7">
        <w:t xml:space="preserve">especially as secondary </w:t>
      </w:r>
      <w:r w:rsidR="00793F91">
        <w:t xml:space="preserve">stressors related to COVID-19 </w:t>
      </w:r>
      <w:r w:rsidR="00D40520">
        <w:t>increase</w:t>
      </w:r>
      <w:r w:rsidR="00231527">
        <w:t xml:space="preserve">. </w:t>
      </w:r>
    </w:p>
    <w:p w14:paraId="6461D44B" w14:textId="77777777" w:rsidR="00231527" w:rsidRDefault="00231527" w:rsidP="00201227"/>
    <w:p w14:paraId="251FE70D" w14:textId="2E2E3544" w:rsidR="00A6793E" w:rsidRDefault="005E1697" w:rsidP="00201227">
      <w:r>
        <w:t>L</w:t>
      </w:r>
      <w:r w:rsidR="00201227">
        <w:t xml:space="preserve">ockdown </w:t>
      </w:r>
      <w:r w:rsidR="007C57AD">
        <w:t xml:space="preserve">periods may </w:t>
      </w:r>
      <w:r>
        <w:t xml:space="preserve">cause </w:t>
      </w:r>
      <w:r w:rsidR="00A6793E">
        <w:t xml:space="preserve">disruptions to </w:t>
      </w:r>
      <w:r w:rsidR="00A6793E" w:rsidRPr="004A1A1E" w:rsidDel="006A45AE">
        <w:t>cultural customs and protocols</w:t>
      </w:r>
      <w:r w:rsidR="003B7CAE">
        <w:t xml:space="preserve">, </w:t>
      </w:r>
      <w:r w:rsidR="00A6793E" w:rsidRPr="004A1A1E" w:rsidDel="006A45AE">
        <w:t>such as tangihanga</w:t>
      </w:r>
      <w:r w:rsidR="00A6793E">
        <w:t xml:space="preserve"> and faith-based practices</w:t>
      </w:r>
      <w:r w:rsidR="003B7CAE">
        <w:t>,</w:t>
      </w:r>
      <w:r w:rsidR="00A80B4C">
        <w:t xml:space="preserve"> or disruptions to </w:t>
      </w:r>
      <w:r w:rsidR="00101AA6">
        <w:t>accessing</w:t>
      </w:r>
      <w:r w:rsidR="00A80B4C">
        <w:t xml:space="preserve"> food </w:t>
      </w:r>
      <w:r w:rsidR="00101AA6">
        <w:t>sources</w:t>
      </w:r>
      <w:r w:rsidR="003B7CAE">
        <w:t>,</w:t>
      </w:r>
      <w:r w:rsidR="00A80B4C">
        <w:t xml:space="preserve"> such as </w:t>
      </w:r>
      <w:r w:rsidR="00A80B4C" w:rsidRPr="00997801">
        <w:t>hunting</w:t>
      </w:r>
      <w:r w:rsidR="00A80B4C">
        <w:t xml:space="preserve"> </w:t>
      </w:r>
      <w:r w:rsidR="00A80B4C" w:rsidRPr="00997801">
        <w:t>and seafood collection</w:t>
      </w:r>
      <w:r w:rsidR="00A6793E">
        <w:t xml:space="preserve">. Lockdowns also bring an added stress and responsibility for those volunteering to meet community needs, such </w:t>
      </w:r>
      <w:r w:rsidR="003B7CAE">
        <w:t xml:space="preserve">as </w:t>
      </w:r>
      <w:r w:rsidR="00A6793E">
        <w:t>through churches or foodbanks.</w:t>
      </w:r>
    </w:p>
    <w:p w14:paraId="6523624C" w14:textId="77777777" w:rsidR="00201227" w:rsidRPr="00832567" w:rsidRDefault="00201227"/>
    <w:p w14:paraId="3A722F63" w14:textId="3414E5F5" w:rsidR="008A2A13" w:rsidRDefault="006A1B08" w:rsidP="008A2A13">
      <w:r>
        <w:t>Some people face</w:t>
      </w:r>
      <w:r w:rsidRPr="004A1A1E" w:rsidDel="006A45AE">
        <w:t xml:space="preserve"> stigma or </w:t>
      </w:r>
      <w:r>
        <w:t>discrimination associated with</w:t>
      </w:r>
      <w:r w:rsidRPr="004A1A1E" w:rsidDel="006A45AE">
        <w:t xml:space="preserve"> the virus</w:t>
      </w:r>
      <w:r>
        <w:t xml:space="preserve">. This may be due to personally contracting </w:t>
      </w:r>
      <w:r w:rsidR="00541086">
        <w:t>COVID-19</w:t>
      </w:r>
      <w:r>
        <w:t xml:space="preserve"> or being part of a</w:t>
      </w:r>
      <w:r w:rsidRPr="004A1A1E" w:rsidDel="006A45AE">
        <w:t xml:space="preserve"> communit</w:t>
      </w:r>
      <w:r>
        <w:t>y</w:t>
      </w:r>
      <w:r w:rsidRPr="004A1A1E" w:rsidDel="006A45AE">
        <w:t xml:space="preserve"> where higher numbers have contracted</w:t>
      </w:r>
      <w:r w:rsidRPr="004A1A1E">
        <w:t xml:space="preserve"> the virus</w:t>
      </w:r>
      <w:r>
        <w:t xml:space="preserve"> </w:t>
      </w:r>
      <w:r>
        <w:rPr>
          <w:rFonts w:cs="Segoe UI"/>
        </w:rPr>
        <w:t>–</w:t>
      </w:r>
      <w:r>
        <w:t xml:space="preserve"> such as the Auckland Pacific community during the August 2020 lockdown. Some people may experience discrimination and </w:t>
      </w:r>
      <w:r w:rsidRPr="004A1A1E" w:rsidDel="006A45AE">
        <w:t xml:space="preserve">racism </w:t>
      </w:r>
      <w:r>
        <w:t xml:space="preserve">due to </w:t>
      </w:r>
      <w:r w:rsidR="00A1540B">
        <w:t xml:space="preserve">perceived connections between COVID-19 and </w:t>
      </w:r>
      <w:r>
        <w:t>ethnicity</w:t>
      </w:r>
      <w:r w:rsidR="00A1540B">
        <w:t xml:space="preserve">, such as people of </w:t>
      </w:r>
      <w:r w:rsidR="00A1540B" w:rsidRPr="00997801">
        <w:t>Chinese or East Asian origin</w:t>
      </w:r>
      <w:r>
        <w:t>.</w:t>
      </w:r>
      <w:r w:rsidR="00533F96">
        <w:t xml:space="preserve"> </w:t>
      </w:r>
      <w:r w:rsidR="008A2A13">
        <w:t>Additional stresses include visa and job uncertainties for some foreign nationals and migrants.</w:t>
      </w:r>
    </w:p>
    <w:p w14:paraId="3CF05ACC" w14:textId="77777777" w:rsidR="00584C6E" w:rsidRPr="004A1A1E" w:rsidDel="006A45AE" w:rsidRDefault="00584C6E" w:rsidP="008A2A13"/>
    <w:p w14:paraId="259D1E2B" w14:textId="05D92988" w:rsidR="006A1B08" w:rsidRDefault="009E0AE2" w:rsidP="00631075">
      <w:bookmarkStart w:id="46" w:name="_Hlk57712719"/>
      <w:r>
        <w:t>T</w:t>
      </w:r>
      <w:r w:rsidR="006A1B08" w:rsidRPr="004A1A1E" w:rsidDel="006A45AE">
        <w:t xml:space="preserve">hose </w:t>
      </w:r>
      <w:r w:rsidR="00594443">
        <w:t>who have</w:t>
      </w:r>
      <w:r w:rsidR="00594443" w:rsidRPr="004A1A1E" w:rsidDel="006A45AE">
        <w:t xml:space="preserve"> </w:t>
      </w:r>
      <w:r w:rsidR="006A1B08" w:rsidRPr="004A1A1E" w:rsidDel="006A45AE">
        <w:t>difficulty accessing digital tools</w:t>
      </w:r>
      <w:r w:rsidR="006A1B08">
        <w:t xml:space="preserve"> (such as</w:t>
      </w:r>
      <w:r w:rsidR="00594443">
        <w:t xml:space="preserve"> people in</w:t>
      </w:r>
      <w:r w:rsidR="006A1B08">
        <w:t xml:space="preserve"> low </w:t>
      </w:r>
      <w:r w:rsidR="00B62C41">
        <w:t>socioeconomic</w:t>
      </w:r>
      <w:r w:rsidR="006A1B08">
        <w:t xml:space="preserve"> and rural communities</w:t>
      </w:r>
      <w:r w:rsidR="00594443">
        <w:t>,</w:t>
      </w:r>
      <w:r w:rsidR="006A1B08">
        <w:t xml:space="preserve"> and older people)</w:t>
      </w:r>
      <w:r>
        <w:t xml:space="preserve"> are less able to </w:t>
      </w:r>
      <w:r w:rsidRPr="004A1A1E" w:rsidDel="006A45AE">
        <w:t>benefit from public communications</w:t>
      </w:r>
      <w:r>
        <w:t xml:space="preserve"> and have inequitable access to virtual health delivery during higher Alert Levels. </w:t>
      </w:r>
      <w:r w:rsidR="00D00803">
        <w:t xml:space="preserve">If </w:t>
      </w:r>
      <w:r w:rsidR="00013995">
        <w:t>children and young people have limited access to digital tools and resources</w:t>
      </w:r>
      <w:r w:rsidR="00584C6E">
        <w:t>,</w:t>
      </w:r>
      <w:r w:rsidR="00013995">
        <w:t xml:space="preserve"> this </w:t>
      </w:r>
      <w:r w:rsidR="002E36BE">
        <w:t xml:space="preserve">affects </w:t>
      </w:r>
      <w:r w:rsidR="00013995">
        <w:t>their learning and connection to their communities</w:t>
      </w:r>
      <w:bookmarkEnd w:id="46"/>
      <w:r w:rsidR="00013995">
        <w:t xml:space="preserve">. </w:t>
      </w:r>
      <w:r>
        <w:t xml:space="preserve">Others with lessened access include ethnic communities </w:t>
      </w:r>
      <w:r w:rsidRPr="004A1A1E" w:rsidDel="006A45AE">
        <w:t>requir</w:t>
      </w:r>
      <w:r w:rsidRPr="004A1A1E">
        <w:t>ing</w:t>
      </w:r>
      <w:r w:rsidRPr="004A1A1E" w:rsidDel="006A45AE">
        <w:t xml:space="preserve"> interpreters</w:t>
      </w:r>
      <w:r>
        <w:t xml:space="preserve"> or translation, and people needing information in more accessible formats.</w:t>
      </w:r>
    </w:p>
    <w:p w14:paraId="0B2E4292" w14:textId="08BC9F74" w:rsidR="002D55CA" w:rsidRDefault="002D55CA" w:rsidP="00631075"/>
    <w:p w14:paraId="7E2F6B9C" w14:textId="272B431E" w:rsidR="00052530" w:rsidRPr="00412C1B" w:rsidRDefault="002D55CA" w:rsidP="00E55C16">
      <w:pPr>
        <w:rPr>
          <w:color w:val="0A6AB4"/>
          <w:spacing w:val="-5"/>
          <w:sz w:val="48"/>
        </w:rPr>
      </w:pPr>
      <w:r>
        <w:t xml:space="preserve">Actions in </w:t>
      </w:r>
      <w:r>
        <w:rPr>
          <w:i/>
          <w:iCs/>
        </w:rPr>
        <w:t xml:space="preserve">Kia Kaha </w:t>
      </w:r>
      <w:r>
        <w:t xml:space="preserve">seek </w:t>
      </w:r>
      <w:r w:rsidR="00824C57">
        <w:t xml:space="preserve">to support the mental wellbeing and resilience of all individuals, whānau and communities, while </w:t>
      </w:r>
      <w:r w:rsidR="00D00803">
        <w:t xml:space="preserve">also </w:t>
      </w:r>
      <w:r w:rsidR="00824C57">
        <w:t xml:space="preserve">ensuring appropriate support is available to those </w:t>
      </w:r>
      <w:r w:rsidR="00695AB8">
        <w:t>with specific needs</w:t>
      </w:r>
      <w:r w:rsidR="00D00803">
        <w:t>.</w:t>
      </w:r>
      <w:r w:rsidR="007E49E7">
        <w:t xml:space="preserve"> </w:t>
      </w:r>
      <w:r w:rsidR="00D00803">
        <w:t>F</w:t>
      </w:r>
      <w:r w:rsidR="007E49E7">
        <w:t xml:space="preserve">lexibility and responsiveness to new and emerging needs will be crucial. </w:t>
      </w:r>
      <w:r w:rsidR="00720134">
        <w:br w:type="page"/>
      </w:r>
    </w:p>
    <w:p w14:paraId="4CB56BA0" w14:textId="03EEA22C" w:rsidR="00C3624A" w:rsidRDefault="00C3624A" w:rsidP="00942CB6">
      <w:pPr>
        <w:pStyle w:val="Heading1"/>
        <w:spacing w:after="120" w:line="192" w:lineRule="auto"/>
      </w:pPr>
      <w:bookmarkStart w:id="47" w:name="_Toc50464492"/>
      <w:bookmarkStart w:id="48" w:name="_Toc59439402"/>
      <w:bookmarkEnd w:id="39"/>
      <w:r w:rsidRPr="00A821E8">
        <w:t>Focus areas and enablers</w:t>
      </w:r>
      <w:bookmarkEnd w:id="47"/>
      <w:bookmarkEnd w:id="48"/>
      <w:r w:rsidR="00D446BB">
        <w:t xml:space="preserve"> </w:t>
      </w:r>
    </w:p>
    <w:p w14:paraId="3679A7B5" w14:textId="0CA71D48" w:rsidR="00875B8C" w:rsidRDefault="00875B8C" w:rsidP="00875B8C">
      <w:pPr>
        <w:pStyle w:val="Heading2"/>
      </w:pPr>
      <w:bookmarkStart w:id="49" w:name="_Toc50464493"/>
      <w:bookmarkStart w:id="50" w:name="_Toc59439403"/>
      <w:r>
        <w:t>Focus areas</w:t>
      </w:r>
      <w:bookmarkEnd w:id="49"/>
      <w:bookmarkEnd w:id="50"/>
    </w:p>
    <w:p w14:paraId="2FECD90C" w14:textId="23C4B345" w:rsidR="00923CE4" w:rsidRDefault="00C3624A" w:rsidP="002761FD">
      <w:r w:rsidRPr="00536D3C">
        <w:t>Th</w:t>
      </w:r>
      <w:r w:rsidR="002B3BDD">
        <w:t>e</w:t>
      </w:r>
      <w:r w:rsidRPr="00536D3C">
        <w:t xml:space="preserve"> </w:t>
      </w:r>
      <w:r w:rsidR="00823877">
        <w:t xml:space="preserve">focus areas </w:t>
      </w:r>
      <w:r w:rsidR="006011F4">
        <w:t xml:space="preserve">in the framework </w:t>
      </w:r>
      <w:r w:rsidR="00823877">
        <w:t>recognise that social</w:t>
      </w:r>
      <w:r w:rsidR="00D32A10">
        <w:t>, cultural</w:t>
      </w:r>
      <w:r w:rsidR="008E40BC">
        <w:t>, environmental</w:t>
      </w:r>
      <w:r w:rsidR="00823877">
        <w:t xml:space="preserve"> and economic factors </w:t>
      </w:r>
      <w:r w:rsidR="007C6359">
        <w:t>form the foundations for mental wellbeing</w:t>
      </w:r>
      <w:r w:rsidR="00E8421A">
        <w:t>,</w:t>
      </w:r>
      <w:r w:rsidR="007E3C0D">
        <w:t xml:space="preserve"> and </w:t>
      </w:r>
      <w:r w:rsidR="00D32A10">
        <w:t xml:space="preserve">reflect </w:t>
      </w:r>
      <w:r w:rsidR="007E3C0D">
        <w:t>the importance of whānau and community leadership in achieving our vision.</w:t>
      </w:r>
      <w:r w:rsidR="002F1792">
        <w:t xml:space="preserve"> </w:t>
      </w:r>
    </w:p>
    <w:p w14:paraId="00922111" w14:textId="77777777" w:rsidR="00923CE4" w:rsidRDefault="00923CE4" w:rsidP="002761FD"/>
    <w:p w14:paraId="32E2D8D4" w14:textId="10945A5A" w:rsidR="008E1AAD" w:rsidRDefault="00E44091" w:rsidP="008E1AAD">
      <w:r>
        <w:t xml:space="preserve">The focus areas also acknowledge the importance of ensuring appropriate support is available </w:t>
      </w:r>
      <w:r w:rsidR="00923CE4">
        <w:t>across</w:t>
      </w:r>
      <w:r>
        <w:t xml:space="preserve"> all levels of need. </w:t>
      </w:r>
      <w:r w:rsidR="003B6549">
        <w:t xml:space="preserve">They </w:t>
      </w:r>
      <w:r>
        <w:t xml:space="preserve">provide the basis for a tiered response, </w:t>
      </w:r>
      <w:r w:rsidR="00923CE4">
        <w:t>from</w:t>
      </w:r>
      <w:r w:rsidR="00823877">
        <w:t xml:space="preserve"> actions focused on </w:t>
      </w:r>
      <w:r w:rsidR="000B75FA">
        <w:t xml:space="preserve">individuals and </w:t>
      </w:r>
      <w:r w:rsidR="00923CE4">
        <w:t>whānau</w:t>
      </w:r>
      <w:r w:rsidR="00B62C41">
        <w:t xml:space="preserve"> </w:t>
      </w:r>
      <w:r w:rsidR="00823877">
        <w:t>in their homes, communities</w:t>
      </w:r>
      <w:r w:rsidR="00DE1AF1">
        <w:t xml:space="preserve"> and workplaces,</w:t>
      </w:r>
      <w:r w:rsidR="00823877">
        <w:t xml:space="preserve"> </w:t>
      </w:r>
      <w:r w:rsidR="004D48E8">
        <w:t xml:space="preserve">to </w:t>
      </w:r>
      <w:r w:rsidR="00823877">
        <w:t xml:space="preserve">primary and specialist mental health </w:t>
      </w:r>
      <w:r>
        <w:t xml:space="preserve">and addiction </w:t>
      </w:r>
      <w:r w:rsidR="004D48E8">
        <w:t>services</w:t>
      </w:r>
      <w:r w:rsidR="00823877">
        <w:t>.</w:t>
      </w:r>
      <w:r w:rsidR="00D740F4">
        <w:t xml:space="preserve"> </w:t>
      </w:r>
      <w:r w:rsidR="008E1AAD">
        <w:t xml:space="preserve">These focus areas acknowledge that people and groups with different needs require different types of support for their mental wellbeing. </w:t>
      </w:r>
    </w:p>
    <w:p w14:paraId="43A50AA4" w14:textId="77777777" w:rsidR="008E1AAD" w:rsidRDefault="008E1AAD" w:rsidP="008E1AAD"/>
    <w:p w14:paraId="45719EB8" w14:textId="00CC0999" w:rsidR="008E1AAD" w:rsidRDefault="008E1AAD" w:rsidP="002761FD">
      <w:r>
        <w:t xml:space="preserve">While the framework represents these focus areas as different layers of a tiered response, people’s needs will span focus areas. For example, people accessing specialist mental health and addiction services also need to have in place the social, cultural and economic foundations of wellbeing, and will benefit from enhanced access to mental wellbeing self-help tools. </w:t>
      </w:r>
    </w:p>
    <w:p w14:paraId="2E98EAC8" w14:textId="3B73B6FA" w:rsidR="00691801" w:rsidRDefault="00691801" w:rsidP="002761FD"/>
    <w:p w14:paraId="613F5C43" w14:textId="5C62CCC8" w:rsidR="00691801" w:rsidRPr="00AC207F" w:rsidRDefault="000968B0" w:rsidP="002761FD">
      <w:r>
        <w:rPr>
          <w:i/>
          <w:iCs/>
        </w:rPr>
        <w:t xml:space="preserve">Kia Kaha </w:t>
      </w:r>
      <w:r>
        <w:t xml:space="preserve">acknowledges that </w:t>
      </w:r>
      <w:r w:rsidR="00E07D7A">
        <w:t xml:space="preserve">many national, regional and local </w:t>
      </w:r>
      <w:r>
        <w:t xml:space="preserve">agencies </w:t>
      </w:r>
      <w:r w:rsidR="00532679">
        <w:t xml:space="preserve">both within and beyond the health and disability sector </w:t>
      </w:r>
      <w:r w:rsidR="0024087A">
        <w:t>contribute to mental wellbeing</w:t>
      </w:r>
      <w:r w:rsidR="00D00803">
        <w:t>. T</w:t>
      </w:r>
      <w:r w:rsidR="00E07D7A">
        <w:t>here are many ways to organise these collective efforts</w:t>
      </w:r>
      <w:r w:rsidR="00D00803">
        <w:t>, such as</w:t>
      </w:r>
      <w:r w:rsidR="003F6208">
        <w:t xml:space="preserve"> by universal, targeted and individualised </w:t>
      </w:r>
      <w:r w:rsidR="008D3339">
        <w:t>interventions; by level and nature of need; or by sector</w:t>
      </w:r>
      <w:r w:rsidR="00FB53ED">
        <w:t xml:space="preserve"> or setting</w:t>
      </w:r>
      <w:r w:rsidR="0024087A">
        <w:t xml:space="preserve">. </w:t>
      </w:r>
      <w:r w:rsidR="00E07D7A">
        <w:t xml:space="preserve">The focus areas in the mental wellbeing framework are not intended to </w:t>
      </w:r>
      <w:r w:rsidR="008D3339">
        <w:t xml:space="preserve">replace these </w:t>
      </w:r>
      <w:r w:rsidR="005363DC">
        <w:t>approaches</w:t>
      </w:r>
      <w:r w:rsidR="008D3339">
        <w:t xml:space="preserve">, but </w:t>
      </w:r>
      <w:r w:rsidR="004C0EDB">
        <w:t xml:space="preserve">rather </w:t>
      </w:r>
      <w:r w:rsidR="008D3339">
        <w:t xml:space="preserve">to complement them and to enable others to consider their contributions against </w:t>
      </w:r>
      <w:r w:rsidR="004C0EDB">
        <w:t xml:space="preserve">a </w:t>
      </w:r>
      <w:r w:rsidR="00DD60A1">
        <w:t xml:space="preserve">national </w:t>
      </w:r>
      <w:r w:rsidR="004C0EDB">
        <w:t>tiered response.</w:t>
      </w:r>
    </w:p>
    <w:p w14:paraId="1F2996BA" w14:textId="119ABE34" w:rsidR="00211CF8" w:rsidRDefault="00EA5380" w:rsidP="00F36436">
      <w:pPr>
        <w:pStyle w:val="Heading3"/>
      </w:pPr>
      <w:r w:rsidRPr="00B605DB">
        <w:t>Progress</w:t>
      </w:r>
      <w:r w:rsidR="007F1840">
        <w:t>,</w:t>
      </w:r>
      <w:r w:rsidRPr="00B605DB">
        <w:t xml:space="preserve"> key actions</w:t>
      </w:r>
      <w:r w:rsidR="007F1840">
        <w:t xml:space="preserve"> and </w:t>
      </w:r>
      <w:r w:rsidR="00B72C59">
        <w:t>lead agencies</w:t>
      </w:r>
    </w:p>
    <w:p w14:paraId="7E131305" w14:textId="67A51A35" w:rsidR="00E44091" w:rsidRDefault="00E44091" w:rsidP="00A03C2A">
      <w:pPr>
        <w:spacing w:after="120"/>
      </w:pPr>
      <w:r>
        <w:t>For each focus area</w:t>
      </w:r>
      <w:r w:rsidR="001F0469">
        <w:t xml:space="preserve">, </w:t>
      </w:r>
      <w:r w:rsidR="00E1672B" w:rsidRPr="00E1672B">
        <w:rPr>
          <w:i/>
        </w:rPr>
        <w:t>Kia Kaha</w:t>
      </w:r>
      <w:r w:rsidR="006011F4">
        <w:t xml:space="preserve"> </w:t>
      </w:r>
      <w:r w:rsidR="001F0469">
        <w:t>set</w:t>
      </w:r>
      <w:r w:rsidR="006011F4">
        <w:t>s</w:t>
      </w:r>
      <w:r w:rsidR="001F0469">
        <w:t xml:space="preserve"> out:</w:t>
      </w:r>
    </w:p>
    <w:p w14:paraId="375F5BA1" w14:textId="5749CB47" w:rsidR="001F0469" w:rsidRDefault="00773631" w:rsidP="00832567">
      <w:pPr>
        <w:pStyle w:val="Bullet"/>
      </w:pPr>
      <w:r>
        <w:t>areas for action</w:t>
      </w:r>
      <w:r w:rsidR="00522CD8">
        <w:t xml:space="preserve"> – </w:t>
      </w:r>
      <w:r w:rsidR="00420890">
        <w:t>themes under which</w:t>
      </w:r>
      <w:r w:rsidR="00CF2A73">
        <w:t xml:space="preserve"> actions </w:t>
      </w:r>
      <w:r w:rsidR="00420890">
        <w:t xml:space="preserve">are categorised </w:t>
      </w:r>
      <w:r w:rsidR="00DA1DAA">
        <w:t xml:space="preserve">for </w:t>
      </w:r>
      <w:r w:rsidR="00AD2661">
        <w:t>each focus area</w:t>
      </w:r>
    </w:p>
    <w:p w14:paraId="0195C664" w14:textId="0D67658B" w:rsidR="00284C3A" w:rsidRDefault="007E6037" w:rsidP="00832567">
      <w:pPr>
        <w:pStyle w:val="Bullet"/>
      </w:pPr>
      <w:r>
        <w:t xml:space="preserve">progress </w:t>
      </w:r>
      <w:r w:rsidR="00773631">
        <w:t>to date</w:t>
      </w:r>
      <w:r w:rsidR="00222515">
        <w:t xml:space="preserve"> –</w:t>
      </w:r>
      <w:r w:rsidR="00AD2661">
        <w:t xml:space="preserve"> actions undertaken to support </w:t>
      </w:r>
      <w:r w:rsidR="003D78A5">
        <w:t xml:space="preserve">mental wellbeing </w:t>
      </w:r>
      <w:r w:rsidR="00222515">
        <w:t xml:space="preserve">during </w:t>
      </w:r>
      <w:r w:rsidR="003D78A5" w:rsidRPr="00465AA9">
        <w:t>January</w:t>
      </w:r>
      <w:r>
        <w:t xml:space="preserve"> to September 2020</w:t>
      </w:r>
      <w:r w:rsidR="00E86F4D">
        <w:t xml:space="preserve"> </w:t>
      </w:r>
      <w:r w:rsidR="00985D9F">
        <w:t>(to cover the initial and recent response to COVID-19)</w:t>
      </w:r>
    </w:p>
    <w:p w14:paraId="04BDC22D" w14:textId="3B2F746B" w:rsidR="003D78A5" w:rsidRPr="00465AA9" w:rsidRDefault="00BC6AF9" w:rsidP="004F75D6">
      <w:pPr>
        <w:pStyle w:val="Bullet"/>
      </w:pPr>
      <w:r>
        <w:t xml:space="preserve">examples of </w:t>
      </w:r>
      <w:r w:rsidR="00773631">
        <w:t xml:space="preserve">priority </w:t>
      </w:r>
      <w:r w:rsidR="001E455F" w:rsidRPr="00465AA9">
        <w:t xml:space="preserve">actions </w:t>
      </w:r>
      <w:r>
        <w:t xml:space="preserve">at the national level </w:t>
      </w:r>
      <w:r w:rsidR="00222515">
        <w:t>– indicating</w:t>
      </w:r>
      <w:r w:rsidR="008E3332">
        <w:t xml:space="preserve"> the priority actions</w:t>
      </w:r>
      <w:r w:rsidR="00222515">
        <w:t xml:space="preserve"> of</w:t>
      </w:r>
      <w:r>
        <w:t xml:space="preserve"> </w:t>
      </w:r>
      <w:r w:rsidR="008E3332">
        <w:t xml:space="preserve">central </w:t>
      </w:r>
      <w:r>
        <w:t xml:space="preserve">government agencies </w:t>
      </w:r>
      <w:r w:rsidR="008E3332">
        <w:t>du</w:t>
      </w:r>
      <w:r w:rsidR="009C7E95">
        <w:t>r</w:t>
      </w:r>
      <w:r w:rsidR="008E3332">
        <w:t>ing</w:t>
      </w:r>
      <w:r w:rsidR="001E455F" w:rsidRPr="00465AA9">
        <w:t xml:space="preserve"> September 2020 to December 2021</w:t>
      </w:r>
      <w:r w:rsidR="00985D9F">
        <w:t xml:space="preserve"> (the immediate recovery period)</w:t>
      </w:r>
      <w:r w:rsidR="008E3332">
        <w:t>.</w:t>
      </w:r>
    </w:p>
    <w:p w14:paraId="3058EDED" w14:textId="77777777" w:rsidR="00CB0D3A" w:rsidRDefault="00CB0D3A" w:rsidP="008E5842"/>
    <w:p w14:paraId="32701849" w14:textId="41ADBFF4" w:rsidR="009C7E95" w:rsidRDefault="00AE7787" w:rsidP="008E5842">
      <w:r w:rsidRPr="001A4021">
        <w:rPr>
          <w:bCs/>
        </w:rPr>
        <w:t>Appendix B</w:t>
      </w:r>
      <w:r>
        <w:t xml:space="preserve"> </w:t>
      </w:r>
      <w:r w:rsidR="00985D9F">
        <w:t>details the many kinds of organisations involved in supporting wellbeing, including specific reference to responsibilities under Alert Levels 2</w:t>
      </w:r>
      <w:r w:rsidR="00222515">
        <w:t xml:space="preserve"> to </w:t>
      </w:r>
      <w:r w:rsidR="00985D9F">
        <w:t>4, as indicated in the relevant legislation.</w:t>
      </w:r>
      <w:r w:rsidR="00F97DD2">
        <w:t xml:space="preserve"> </w:t>
      </w:r>
      <w:r w:rsidR="00985D9F">
        <w:t>A</w:t>
      </w:r>
      <w:r>
        <w:t xml:space="preserve">bbreviations </w:t>
      </w:r>
      <w:r w:rsidR="00985D9F">
        <w:t xml:space="preserve">are </w:t>
      </w:r>
      <w:r>
        <w:t xml:space="preserve">used to indicate the </w:t>
      </w:r>
      <w:r w:rsidR="007F1840">
        <w:t xml:space="preserve">central </w:t>
      </w:r>
      <w:r>
        <w:t xml:space="preserve">agencies responsible for </w:t>
      </w:r>
      <w:r w:rsidR="007F1840">
        <w:t xml:space="preserve">leading </w:t>
      </w:r>
      <w:r>
        <w:t>the listed actions.</w:t>
      </w:r>
      <w:r w:rsidR="00D96566">
        <w:t xml:space="preserve"> </w:t>
      </w:r>
    </w:p>
    <w:p w14:paraId="3CEEE6AF" w14:textId="77777777" w:rsidR="009C7E95" w:rsidRDefault="009C7E95" w:rsidP="008E5842"/>
    <w:p w14:paraId="71BC1F78" w14:textId="3E67EC17" w:rsidR="008E5842" w:rsidRDefault="00985D9F">
      <w:bookmarkStart w:id="51" w:name="_Hlk54882147"/>
      <w:r>
        <w:t xml:space="preserve">While </w:t>
      </w:r>
      <w:r w:rsidR="00E1672B" w:rsidRPr="00E1672B">
        <w:rPr>
          <w:i/>
        </w:rPr>
        <w:t>Kia Kaha</w:t>
      </w:r>
      <w:r>
        <w:t xml:space="preserve"> </w:t>
      </w:r>
      <w:r w:rsidR="00F8647A">
        <w:t xml:space="preserve">specifies </w:t>
      </w:r>
      <w:r w:rsidR="00B12DE4">
        <w:t xml:space="preserve">central government </w:t>
      </w:r>
      <w:r w:rsidR="009745FD">
        <w:t>priorities</w:t>
      </w:r>
      <w:r>
        <w:t xml:space="preserve">, </w:t>
      </w:r>
      <w:r w:rsidR="00CB4288">
        <w:t xml:space="preserve">there are regional and local partners </w:t>
      </w:r>
      <w:r w:rsidR="00CB4288" w:rsidRPr="00F8647A">
        <w:t xml:space="preserve">(DHBs, general practices, iwi, </w:t>
      </w:r>
      <w:r w:rsidR="00CB4288">
        <w:t>educational institutions</w:t>
      </w:r>
      <w:r w:rsidR="00CB4288" w:rsidRPr="00F8647A">
        <w:t>, community organisations and others)</w:t>
      </w:r>
      <w:r w:rsidR="00CB4288">
        <w:t xml:space="preserve"> </w:t>
      </w:r>
      <w:r w:rsidR="002C33AF">
        <w:t xml:space="preserve">which have </w:t>
      </w:r>
      <w:r w:rsidR="00CB4288">
        <w:t>implementation roles associated with many actions. C</w:t>
      </w:r>
      <w:r w:rsidR="00D828FC">
        <w:t xml:space="preserve">oordinated local action </w:t>
      </w:r>
      <w:r w:rsidR="00C22112">
        <w:t>and initiative</w:t>
      </w:r>
      <w:r w:rsidR="00222515">
        <w:t>s are</w:t>
      </w:r>
      <w:r w:rsidR="00D828FC">
        <w:t xml:space="preserve"> </w:t>
      </w:r>
      <w:r w:rsidR="00CB4288">
        <w:t xml:space="preserve">also </w:t>
      </w:r>
      <w:r w:rsidR="00C22112">
        <w:t>essential</w:t>
      </w:r>
      <w:r w:rsidR="00535D26">
        <w:t>.</w:t>
      </w:r>
      <w:r w:rsidR="0050070E">
        <w:t xml:space="preserve"> </w:t>
      </w:r>
      <w:r w:rsidR="00CB43D9">
        <w:t>DHB psychosocial coordinators have roles in coordinating regional responses, particularly during Alert Levels 2</w:t>
      </w:r>
      <w:r w:rsidR="00222515">
        <w:t xml:space="preserve"> to </w:t>
      </w:r>
      <w:r w:rsidR="00CB43D9">
        <w:t xml:space="preserve">4. </w:t>
      </w:r>
      <w:bookmarkStart w:id="52" w:name="_Hlk57651365"/>
      <w:r w:rsidR="00CB43D9">
        <w:t xml:space="preserve">The </w:t>
      </w:r>
      <w:r w:rsidR="00B32F6C">
        <w:t xml:space="preserve">MSD-led </w:t>
      </w:r>
      <w:r w:rsidR="00CB43D9">
        <w:t xml:space="preserve">Caring for Communities </w:t>
      </w:r>
      <w:r w:rsidR="003A1A70">
        <w:t>cross-agency</w:t>
      </w:r>
      <w:r w:rsidR="00D828FC">
        <w:t xml:space="preserve"> </w:t>
      </w:r>
      <w:r w:rsidR="003A1A70">
        <w:t xml:space="preserve">network also provides avenues for coordination of regional-led activity to </w:t>
      </w:r>
      <w:r w:rsidR="006A7618">
        <w:t xml:space="preserve">support </w:t>
      </w:r>
      <w:r w:rsidR="00D828FC">
        <w:t>COVID-19 recovery</w:t>
      </w:r>
      <w:bookmarkEnd w:id="52"/>
      <w:r w:rsidR="00D828FC">
        <w:t>.</w:t>
      </w:r>
      <w:r w:rsidR="003A1A70">
        <w:t xml:space="preserve"> </w:t>
      </w:r>
      <w:r w:rsidR="00013995">
        <w:t>Other agencies have</w:t>
      </w:r>
      <w:r w:rsidR="00372A6C">
        <w:t xml:space="preserve"> leadership </w:t>
      </w:r>
      <w:r w:rsidR="00013995">
        <w:t xml:space="preserve">coordination functions within their sectors, such as regional support </w:t>
      </w:r>
      <w:r w:rsidR="00BC2F8F">
        <w:t xml:space="preserve">provided </w:t>
      </w:r>
      <w:r w:rsidR="00013995">
        <w:t xml:space="preserve">in emergencies through the Ministry of Education’s regional education teams and local education traumatic </w:t>
      </w:r>
      <w:r w:rsidR="00222515">
        <w:t>i</w:t>
      </w:r>
      <w:r w:rsidR="00013995">
        <w:t>ncident services.</w:t>
      </w:r>
    </w:p>
    <w:bookmarkEnd w:id="51"/>
    <w:p w14:paraId="1BA8215A" w14:textId="61776774" w:rsidR="003D78A5" w:rsidRDefault="00B605DB" w:rsidP="00E23E95">
      <w:pPr>
        <w:pStyle w:val="Heading3"/>
        <w:numPr>
          <w:ilvl w:val="0"/>
          <w:numId w:val="0"/>
        </w:numPr>
      </w:pPr>
      <w:r>
        <w:t>Key a</w:t>
      </w:r>
      <w:r w:rsidR="00383237" w:rsidRPr="00B605DB">
        <w:t xml:space="preserve">ctions are </w:t>
      </w:r>
      <w:r w:rsidR="00D670C7" w:rsidRPr="00B605DB">
        <w:t>part of a wider work programme</w:t>
      </w:r>
    </w:p>
    <w:p w14:paraId="06B42633" w14:textId="51B11952" w:rsidR="00A03C2A" w:rsidRDefault="00A03C2A" w:rsidP="00D670C7">
      <w:pPr>
        <w:rPr>
          <w:iCs/>
        </w:rPr>
      </w:pPr>
      <w:r>
        <w:t xml:space="preserve">Many key actions to support people’s mental wellbeing </w:t>
      </w:r>
      <w:r w:rsidR="003A4923">
        <w:t>began before</w:t>
      </w:r>
      <w:r>
        <w:t xml:space="preserve"> COVID-19</w:t>
      </w:r>
      <w:r>
        <w:rPr>
          <w:iCs/>
        </w:rPr>
        <w:t xml:space="preserve">. These remain relevant, perhaps even more so during </w:t>
      </w:r>
      <w:r w:rsidR="002B70C6">
        <w:rPr>
          <w:iCs/>
        </w:rPr>
        <w:t xml:space="preserve">the </w:t>
      </w:r>
      <w:r>
        <w:rPr>
          <w:iCs/>
        </w:rPr>
        <w:t>COVID-19 response and recovery</w:t>
      </w:r>
      <w:r w:rsidR="002B70C6">
        <w:rPr>
          <w:iCs/>
        </w:rPr>
        <w:t xml:space="preserve"> phases</w:t>
      </w:r>
      <w:r>
        <w:rPr>
          <w:iCs/>
        </w:rPr>
        <w:t xml:space="preserve">. The </w:t>
      </w:r>
      <w:r w:rsidRPr="00465AA9">
        <w:rPr>
          <w:iCs/>
        </w:rPr>
        <w:t xml:space="preserve">examples of progress </w:t>
      </w:r>
      <w:r>
        <w:rPr>
          <w:iCs/>
        </w:rPr>
        <w:t xml:space="preserve">and future actions include both </w:t>
      </w:r>
      <w:r w:rsidRPr="00465AA9">
        <w:rPr>
          <w:iCs/>
        </w:rPr>
        <w:t xml:space="preserve">COVID-19 specific </w:t>
      </w:r>
      <w:r>
        <w:rPr>
          <w:iCs/>
        </w:rPr>
        <w:t xml:space="preserve">work </w:t>
      </w:r>
      <w:r w:rsidRPr="00465AA9">
        <w:rPr>
          <w:iCs/>
        </w:rPr>
        <w:t xml:space="preserve">and </w:t>
      </w:r>
      <w:r>
        <w:rPr>
          <w:iCs/>
        </w:rPr>
        <w:t>ongoing work</w:t>
      </w:r>
      <w:r w:rsidRPr="00465AA9">
        <w:rPr>
          <w:iCs/>
        </w:rPr>
        <w:t>.</w:t>
      </w:r>
      <w:r>
        <w:rPr>
          <w:iCs/>
        </w:rPr>
        <w:t xml:space="preserve"> </w:t>
      </w:r>
    </w:p>
    <w:p w14:paraId="12654E0B" w14:textId="77777777" w:rsidR="00A03C2A" w:rsidRDefault="00A03C2A" w:rsidP="00D670C7"/>
    <w:p w14:paraId="55C80083" w14:textId="11D6EB11" w:rsidR="00B605DB" w:rsidRDefault="00D670C7" w:rsidP="00D670C7">
      <w:r>
        <w:t>T</w:t>
      </w:r>
      <w:r w:rsidR="00105667">
        <w:t xml:space="preserve">he </w:t>
      </w:r>
      <w:r w:rsidR="00A03C2A">
        <w:t>examples</w:t>
      </w:r>
      <w:r w:rsidR="00105667">
        <w:t xml:space="preserve"> </w:t>
      </w:r>
      <w:r>
        <w:t xml:space="preserve">do not </w:t>
      </w:r>
      <w:r w:rsidR="00105667">
        <w:t xml:space="preserve">represent </w:t>
      </w:r>
      <w:r>
        <w:t xml:space="preserve">all actions on mental wellbeing </w:t>
      </w:r>
      <w:r w:rsidR="004553EF">
        <w:t xml:space="preserve">being undertaken </w:t>
      </w:r>
      <w:r>
        <w:t>by the Ministry of Health or other agencies</w:t>
      </w:r>
      <w:r w:rsidR="00E920B7">
        <w:t xml:space="preserve">, as the </w:t>
      </w:r>
      <w:r w:rsidR="001711B6">
        <w:t>full picture is extensive and multi-layered</w:t>
      </w:r>
      <w:r>
        <w:t xml:space="preserve">. </w:t>
      </w:r>
      <w:r w:rsidR="00DC2EA8">
        <w:t xml:space="preserve">As noted in </w:t>
      </w:r>
      <w:r w:rsidR="00DC2EA8" w:rsidRPr="009C54BF">
        <w:t xml:space="preserve">the </w:t>
      </w:r>
      <w:r w:rsidR="003A4923">
        <w:t>‘</w:t>
      </w:r>
      <w:r w:rsidR="00DC2EA8" w:rsidRPr="00E26F51">
        <w:t xml:space="preserve">About </w:t>
      </w:r>
      <w:r w:rsidR="00C6798A" w:rsidRPr="00E26F51">
        <w:t>this pla</w:t>
      </w:r>
      <w:r w:rsidR="00DC2EA8" w:rsidRPr="00E26F51">
        <w:t>n</w:t>
      </w:r>
      <w:r w:rsidR="003A4923">
        <w:t>’</w:t>
      </w:r>
      <w:r w:rsidR="00DC2EA8" w:rsidRPr="00E26F51">
        <w:t xml:space="preserve"> section</w:t>
      </w:r>
      <w:r w:rsidR="00DC2EA8">
        <w:t>, t</w:t>
      </w:r>
      <w:r w:rsidR="00B605DB">
        <w:t xml:space="preserve">he </w:t>
      </w:r>
      <w:r w:rsidR="00985D9F">
        <w:t>Government</w:t>
      </w:r>
      <w:r w:rsidR="002367C0">
        <w:t xml:space="preserve"> </w:t>
      </w:r>
      <w:r w:rsidR="00A03C2A">
        <w:t xml:space="preserve">has </w:t>
      </w:r>
      <w:r w:rsidR="001711B6">
        <w:t>a broad programme of work</w:t>
      </w:r>
      <w:r w:rsidR="00A03C2A">
        <w:t xml:space="preserve"> in</w:t>
      </w:r>
      <w:r w:rsidR="003C0868">
        <w:t xml:space="preserve"> respon</w:t>
      </w:r>
      <w:r w:rsidR="00A03C2A">
        <w:t>se</w:t>
      </w:r>
      <w:r w:rsidR="003C0868">
        <w:t xml:space="preserve"> to </w:t>
      </w:r>
      <w:r w:rsidR="003C0868" w:rsidRPr="003C0868">
        <w:rPr>
          <w:i/>
        </w:rPr>
        <w:t>He Ara Oranga</w:t>
      </w:r>
      <w:r w:rsidR="003C0868">
        <w:t>,</w:t>
      </w:r>
      <w:r w:rsidR="00F97DD2">
        <w:t xml:space="preserve"> </w:t>
      </w:r>
      <w:r w:rsidR="00985D9F">
        <w:t>and a longer-term pathway will be developed to articulate future priorities</w:t>
      </w:r>
      <w:r w:rsidR="00707A72">
        <w:t xml:space="preserve"> for supporting mental wellbeing</w:t>
      </w:r>
      <w:r w:rsidR="001711B6">
        <w:t>.</w:t>
      </w:r>
    </w:p>
    <w:p w14:paraId="2E4CB558" w14:textId="41D2D052" w:rsidR="00C3624A" w:rsidRPr="00CE5C74" w:rsidRDefault="00C3624A" w:rsidP="00840075">
      <w:pPr>
        <w:pStyle w:val="Heading3"/>
        <w:numPr>
          <w:ilvl w:val="0"/>
          <w:numId w:val="0"/>
        </w:numPr>
      </w:pPr>
      <w:r w:rsidRPr="00CE5C74">
        <w:t>Focus area 1</w:t>
      </w:r>
      <w:r w:rsidR="007819B9">
        <w:t>:</w:t>
      </w:r>
      <w:r w:rsidRPr="00CE5C74">
        <w:t xml:space="preserve"> </w:t>
      </w:r>
      <w:r w:rsidR="00BE1C23">
        <w:t>B</w:t>
      </w:r>
      <w:r w:rsidRPr="00CE5C74">
        <w:t>uild the social</w:t>
      </w:r>
      <w:r w:rsidR="00BE3F93">
        <w:t xml:space="preserve">, </w:t>
      </w:r>
      <w:r w:rsidR="00BE3F93" w:rsidRPr="00D82FF7">
        <w:t>cultural</w:t>
      </w:r>
      <w:r w:rsidRPr="00CE5C74">
        <w:t xml:space="preserve"> and economic foundations for </w:t>
      </w:r>
      <w:r w:rsidR="006044BA">
        <w:t xml:space="preserve">mental </w:t>
      </w:r>
      <w:r w:rsidRPr="00CE5C74">
        <w:t>wellbeing</w:t>
      </w:r>
    </w:p>
    <w:p w14:paraId="0EA6DDB7" w14:textId="0FDBA884" w:rsidR="00376F70" w:rsidRPr="00A2033D" w:rsidRDefault="00BE3F93" w:rsidP="00BE3F93">
      <w:pPr>
        <w:rPr>
          <w:bCs/>
        </w:rPr>
      </w:pPr>
      <w:r w:rsidRPr="00A2033D">
        <w:t xml:space="preserve">We are all shaped by our environments and circumstances. Income, employment, housing, education, recreation, social connection, cultural identity, relationships, and many other factors </w:t>
      </w:r>
      <w:r w:rsidR="002E36BE">
        <w:t>affect</w:t>
      </w:r>
      <w:r w:rsidRPr="00A2033D">
        <w:t xml:space="preserve"> our wellbeing. </w:t>
      </w:r>
      <w:r w:rsidR="008A6891" w:rsidRPr="00A2033D">
        <w:t xml:space="preserve">Positive mental wellbeing, healthy </w:t>
      </w:r>
      <w:r w:rsidR="008A6891">
        <w:t>whānau</w:t>
      </w:r>
      <w:r w:rsidR="008A6891" w:rsidRPr="00A2033D">
        <w:t xml:space="preserve"> and thriving communities cannot be achieved by the health sector alone.</w:t>
      </w:r>
    </w:p>
    <w:p w14:paraId="61FE097A" w14:textId="77777777" w:rsidR="00BE3F93" w:rsidRDefault="00BE3F93" w:rsidP="00BE3F93"/>
    <w:p w14:paraId="37C2CF37" w14:textId="78DC77F6" w:rsidR="00824E61" w:rsidRDefault="00824E61" w:rsidP="00824E61">
      <w:r>
        <w:t>Meeting social, cultural and economic needs provides an essential buffer against many critical stressors, although mental distress also occurs for personal and interpersonal reasons. Populations and places</w:t>
      </w:r>
      <w:r w:rsidRPr="00A2033D">
        <w:t xml:space="preserve"> which experience disadvantage and hardship </w:t>
      </w:r>
      <w:r w:rsidR="008A6891">
        <w:t xml:space="preserve">may </w:t>
      </w:r>
      <w:r w:rsidRPr="00A2033D">
        <w:t xml:space="preserve">require </w:t>
      </w:r>
      <w:r w:rsidR="008A6891">
        <w:t>additional support</w:t>
      </w:r>
      <w:r w:rsidRPr="00A2033D">
        <w:t xml:space="preserve">. </w:t>
      </w:r>
    </w:p>
    <w:p w14:paraId="1E0A3758" w14:textId="77777777" w:rsidR="00824E61" w:rsidRDefault="00824E61" w:rsidP="00824E61"/>
    <w:p w14:paraId="69BE764B" w14:textId="4117AD8C" w:rsidR="00BE3F93" w:rsidRDefault="00BE3F93" w:rsidP="00BE3F93">
      <w:r w:rsidRPr="00A2033D">
        <w:t xml:space="preserve">This focus area </w:t>
      </w:r>
      <w:r w:rsidR="00FD2501">
        <w:t xml:space="preserve">reflects the importance of </w:t>
      </w:r>
      <w:r w:rsidRPr="00A2033D">
        <w:t xml:space="preserve">working together to ensure that </w:t>
      </w:r>
      <w:r w:rsidR="00B62C41">
        <w:t xml:space="preserve">individuals, </w:t>
      </w:r>
      <w:r w:rsidRPr="00A2033D">
        <w:t xml:space="preserve">whānau and communities have the resources they need to </w:t>
      </w:r>
      <w:r w:rsidR="005D75F2">
        <w:t xml:space="preserve">adapt to the changing world and </w:t>
      </w:r>
      <w:r w:rsidRPr="00A2033D">
        <w:t xml:space="preserve">recover from this pandemic. </w:t>
      </w:r>
      <w:r>
        <w:t>It also involves</w:t>
      </w:r>
      <w:r w:rsidRPr="00A2033D">
        <w:t xml:space="preserve"> supportive </w:t>
      </w:r>
      <w:r>
        <w:t xml:space="preserve">environments – such as </w:t>
      </w:r>
      <w:r w:rsidRPr="00A2033D">
        <w:t>schools and workplaces that prioritise mental wellbeing, green spaces in our neighbourhoods, affordable and connected housing</w:t>
      </w:r>
      <w:r>
        <w:t>,</w:t>
      </w:r>
      <w:r w:rsidRPr="00A2033D">
        <w:t xml:space="preserve"> and connection with marae and places of significance.</w:t>
      </w:r>
    </w:p>
    <w:p w14:paraId="28077FEA" w14:textId="77777777" w:rsidR="00F31C70" w:rsidRDefault="00F31C70" w:rsidP="00BE3F93"/>
    <w:p w14:paraId="14607343" w14:textId="4B96C019" w:rsidR="00A92156" w:rsidRDefault="005210E4" w:rsidP="005E4080">
      <w:bookmarkStart w:id="53" w:name="_Hlk54785284"/>
      <w:r>
        <w:t>The actions outlined highlight examples of programmes or initiatives focused on building the foundations of mental wellbeing</w:t>
      </w:r>
      <w:r w:rsidR="00857C15">
        <w:t>.</w:t>
      </w:r>
      <w:r w:rsidR="00D97E07">
        <w:t xml:space="preserve"> </w:t>
      </w:r>
      <w:r w:rsidR="00AE3A87">
        <w:t>M</w:t>
      </w:r>
      <w:r w:rsidR="0058675A">
        <w:t xml:space="preserve">any cross-agency </w:t>
      </w:r>
      <w:r w:rsidR="00963FF3">
        <w:t xml:space="preserve">programmes and </w:t>
      </w:r>
      <w:r w:rsidR="0058675A">
        <w:t xml:space="preserve">initiatives </w:t>
      </w:r>
      <w:r w:rsidR="00AE3A87">
        <w:t xml:space="preserve">are </w:t>
      </w:r>
      <w:r w:rsidR="0062733C">
        <w:t>multifaceted</w:t>
      </w:r>
      <w:r w:rsidR="00AE3A87">
        <w:t xml:space="preserve"> and involve t</w:t>
      </w:r>
      <w:r w:rsidR="00DB27DD">
        <w:t xml:space="preserve">iered systems of support </w:t>
      </w:r>
      <w:r w:rsidR="00AE3A87">
        <w:t xml:space="preserve">that sit </w:t>
      </w:r>
      <w:r w:rsidR="00E635B3">
        <w:t xml:space="preserve">alongside </w:t>
      </w:r>
      <w:r w:rsidR="00724F47">
        <w:t>the tiers of support</w:t>
      </w:r>
      <w:r w:rsidR="00B43358">
        <w:t xml:space="preserve"> </w:t>
      </w:r>
      <w:r w:rsidR="00E635B3">
        <w:t>provided by the mental health and addiction sector</w:t>
      </w:r>
      <w:r w:rsidR="003C4BF3">
        <w:t xml:space="preserve"> </w:t>
      </w:r>
      <w:r w:rsidR="00AE3A87">
        <w:t>– from self-help information through to specialist services.</w:t>
      </w:r>
      <w:bookmarkEnd w:id="53"/>
      <w:r w:rsidR="009607D2">
        <w:t xml:space="preserve"> </w:t>
      </w:r>
      <w:r w:rsidR="00B43358">
        <w:t>P</w:t>
      </w:r>
      <w:r w:rsidR="008A6891">
        <w:t>rogrammes and initiatives</w:t>
      </w:r>
      <w:r w:rsidR="00B43358" w:rsidRPr="00B43358">
        <w:t xml:space="preserve"> </w:t>
      </w:r>
      <w:r w:rsidR="00B43358">
        <w:t>relevant to the five focus areas</w:t>
      </w:r>
      <w:r w:rsidR="008A6891">
        <w:t xml:space="preserve"> </w:t>
      </w:r>
      <w:r w:rsidR="00B43358">
        <w:t xml:space="preserve">are currently </w:t>
      </w:r>
      <w:r w:rsidR="008A6891">
        <w:t>underway across sectors and agencies</w:t>
      </w:r>
      <w:r w:rsidR="0062733C">
        <w:t>.</w:t>
      </w:r>
    </w:p>
    <w:p w14:paraId="53F019AA" w14:textId="77777777" w:rsidR="00A92156" w:rsidRDefault="00A92156" w:rsidP="005E4080"/>
    <w:p w14:paraId="2F819F18" w14:textId="6A79DA0C" w:rsidR="005E4080" w:rsidRDefault="00E635B3" w:rsidP="005E4080">
      <w:r>
        <w:t>As individuals may receive support from several</w:t>
      </w:r>
      <w:r w:rsidR="00DB27DD">
        <w:t xml:space="preserve"> types of</w:t>
      </w:r>
      <w:r>
        <w:t xml:space="preserve"> services at once, it is important to have strong connections across </w:t>
      </w:r>
      <w:r w:rsidR="00E74BEE">
        <w:t>different parts of the system. M</w:t>
      </w:r>
      <w:r w:rsidR="00F31C70">
        <w:t xml:space="preserve">any of the actions </w:t>
      </w:r>
      <w:r w:rsidR="00BE3F93" w:rsidRPr="00A2033D">
        <w:t>require joined-up policy-making</w:t>
      </w:r>
      <w:r w:rsidR="00F31C70">
        <w:t xml:space="preserve"> and collaborati</w:t>
      </w:r>
      <w:r w:rsidR="00DD5073">
        <w:t>ve implementation</w:t>
      </w:r>
      <w:r w:rsidR="00BE3F93" w:rsidRPr="00423C11">
        <w:t>.</w:t>
      </w:r>
      <w:r w:rsidR="00F45384">
        <w:t xml:space="preserve"> </w:t>
      </w:r>
    </w:p>
    <w:p w14:paraId="3DDA29DC" w14:textId="77777777" w:rsidR="00A24550" w:rsidRDefault="00A24550" w:rsidP="00BE3F93"/>
    <w:p w14:paraId="5C0EE505" w14:textId="77777777" w:rsidR="001279FA" w:rsidRDefault="001279FA" w:rsidP="00BE3F93">
      <w:pPr>
        <w:rPr>
          <w:i/>
          <w:highlight w:val="yellow"/>
        </w:rPr>
      </w:pPr>
    </w:p>
    <w:p w14:paraId="139F1F9E" w14:textId="77777777" w:rsidR="004609D3" w:rsidRDefault="004609D3" w:rsidP="00BE3F93">
      <w:pPr>
        <w:sectPr w:rsidR="004609D3" w:rsidSect="00753C53">
          <w:headerReference w:type="even" r:id="rId32"/>
          <w:headerReference w:type="default" r:id="rId33"/>
          <w:footerReference w:type="default" r:id="rId34"/>
          <w:headerReference w:type="first" r:id="rId35"/>
          <w:endnotePr>
            <w:numFmt w:val="decimal"/>
          </w:endnotePr>
          <w:pgSz w:w="11906" w:h="16838" w:code="9"/>
          <w:pgMar w:top="1134" w:right="1134" w:bottom="1134" w:left="1134" w:header="425" w:footer="425" w:gutter="284"/>
          <w:cols w:space="720"/>
          <w:docGrid w:linePitch="286"/>
        </w:sectPr>
      </w:pPr>
    </w:p>
    <w:p w14:paraId="7AD2ED94" w14:textId="55EAAC7E" w:rsidR="00E46352" w:rsidRPr="00886166" w:rsidRDefault="001150CD" w:rsidP="00C4021B">
      <w:pPr>
        <w:spacing w:after="120"/>
      </w:pPr>
      <w:r>
        <w:rPr>
          <w:b/>
          <w:spacing w:val="-2"/>
        </w:rPr>
        <w:t xml:space="preserve">Focus </w:t>
      </w:r>
      <w:r w:rsidR="00A65FE3">
        <w:rPr>
          <w:b/>
          <w:spacing w:val="-2"/>
        </w:rPr>
        <w:t xml:space="preserve">area 1: </w:t>
      </w:r>
      <w:r w:rsidR="006A6F2E" w:rsidRPr="006A6F2E">
        <w:rPr>
          <w:b/>
          <w:spacing w:val="-2"/>
        </w:rPr>
        <w:t xml:space="preserve">Build the social, cultural and economic foundations for </w:t>
      </w:r>
      <w:r w:rsidR="00B867A8">
        <w:rPr>
          <w:b/>
          <w:spacing w:val="-2"/>
        </w:rPr>
        <w:t>mental</w:t>
      </w:r>
      <w:r w:rsidR="00B867A8" w:rsidRPr="006A6F2E">
        <w:rPr>
          <w:b/>
          <w:spacing w:val="-2"/>
        </w:rPr>
        <w:t xml:space="preserve"> </w:t>
      </w:r>
      <w:r w:rsidR="006A6F2E" w:rsidRPr="006A6F2E">
        <w:rPr>
          <w:b/>
          <w:spacing w:val="-2"/>
        </w:rPr>
        <w:t>wellbeing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2558"/>
        <w:gridCol w:w="5540"/>
        <w:gridCol w:w="7596"/>
      </w:tblGrid>
      <w:tr w:rsidR="00C4021B" w:rsidRPr="00155C3C" w14:paraId="6D3D0AE1" w14:textId="77777777" w:rsidTr="004609D3">
        <w:trPr>
          <w:cantSplit/>
          <w:tblHeader/>
        </w:trPr>
        <w:tc>
          <w:tcPr>
            <w:tcW w:w="5000" w:type="pct"/>
            <w:gridSpan w:val="3"/>
            <w:shd w:val="clear" w:color="auto" w:fill="D9D9D9" w:themeFill="background1" w:themeFillShade="D9"/>
            <w:hideMark/>
          </w:tcPr>
          <w:p w14:paraId="67135F54" w14:textId="74A15530" w:rsidR="00C4021B" w:rsidRPr="00832567" w:rsidRDefault="00C4021B" w:rsidP="002F69D1">
            <w:pPr>
              <w:pStyle w:val="TableText"/>
              <w:rPr>
                <w:b/>
                <w:highlight w:val="cyan"/>
              </w:rPr>
            </w:pPr>
            <w:r w:rsidRPr="006044BA">
              <w:rPr>
                <w:b/>
              </w:rPr>
              <w:t>Outcome:</w:t>
            </w:r>
            <w:r w:rsidR="002F1792">
              <w:rPr>
                <w:b/>
              </w:rPr>
              <w:t xml:space="preserve"> </w:t>
            </w:r>
            <w:r w:rsidRPr="00832567">
              <w:rPr>
                <w:b/>
              </w:rPr>
              <w:t xml:space="preserve">Whānau and communities have access to resources and live in healthy environments that support mental wellbeing </w:t>
            </w:r>
          </w:p>
        </w:tc>
      </w:tr>
      <w:tr w:rsidR="007A4BE9" w:rsidRPr="00155C3C" w14:paraId="11C824F4" w14:textId="77777777" w:rsidTr="004609D3">
        <w:trPr>
          <w:cantSplit/>
          <w:tblHeader/>
        </w:trPr>
        <w:tc>
          <w:tcPr>
            <w:tcW w:w="815" w:type="pct"/>
            <w:shd w:val="clear" w:color="auto" w:fill="auto"/>
            <w:hideMark/>
          </w:tcPr>
          <w:p w14:paraId="59D7531F" w14:textId="77777777" w:rsidR="007A4BE9" w:rsidRPr="007D06C8" w:rsidRDefault="007A4BE9" w:rsidP="002F69D1">
            <w:pPr>
              <w:pStyle w:val="TableText"/>
              <w:rPr>
                <w:b/>
              </w:rPr>
            </w:pPr>
            <w:r w:rsidRPr="007D06C8">
              <w:rPr>
                <w:b/>
              </w:rPr>
              <w:t>Areas for action</w:t>
            </w:r>
          </w:p>
        </w:tc>
        <w:tc>
          <w:tcPr>
            <w:tcW w:w="1765" w:type="pct"/>
          </w:tcPr>
          <w:p w14:paraId="349CAFFE" w14:textId="47955355" w:rsidR="007A4BE9" w:rsidRPr="007D06C8" w:rsidRDefault="007A4BE9" w:rsidP="002F69D1">
            <w:pPr>
              <w:pStyle w:val="TableText"/>
              <w:rPr>
                <w:b/>
              </w:rPr>
            </w:pPr>
            <w:r w:rsidRPr="007D06C8">
              <w:rPr>
                <w:b/>
              </w:rPr>
              <w:t>Examples of progress</w:t>
            </w:r>
            <w:r w:rsidR="002F1792">
              <w:rPr>
                <w:b/>
              </w:rPr>
              <w:t xml:space="preserve"> </w:t>
            </w:r>
          </w:p>
        </w:tc>
        <w:tc>
          <w:tcPr>
            <w:tcW w:w="2420" w:type="pct"/>
          </w:tcPr>
          <w:p w14:paraId="1728C2DC" w14:textId="18B829EF" w:rsidR="007A4BE9" w:rsidRPr="007D06C8" w:rsidRDefault="007A4BE9" w:rsidP="002F69D1">
            <w:pPr>
              <w:pStyle w:val="TableText"/>
              <w:rPr>
                <w:b/>
              </w:rPr>
            </w:pPr>
            <w:r w:rsidRPr="007D06C8">
              <w:rPr>
                <w:b/>
              </w:rPr>
              <w:t>Priorities for national action</w:t>
            </w:r>
          </w:p>
        </w:tc>
      </w:tr>
      <w:tr w:rsidR="007A4BE9" w14:paraId="4DF06D38" w14:textId="77777777" w:rsidTr="004609D3">
        <w:trPr>
          <w:cantSplit/>
        </w:trPr>
        <w:tc>
          <w:tcPr>
            <w:tcW w:w="815" w:type="pct"/>
            <w:shd w:val="clear" w:color="auto" w:fill="auto"/>
          </w:tcPr>
          <w:p w14:paraId="038B5130" w14:textId="2E10F207" w:rsidR="007A4BE9" w:rsidRDefault="00A31D44" w:rsidP="001F4202">
            <w:pPr>
              <w:pStyle w:val="TableText"/>
              <w:rPr>
                <w:b/>
              </w:rPr>
            </w:pPr>
            <w:r>
              <w:rPr>
                <w:b/>
              </w:rPr>
              <w:t>Māori</w:t>
            </w:r>
            <w:r w:rsidR="00F474E5">
              <w:rPr>
                <w:b/>
              </w:rPr>
              <w:t>-</w:t>
            </w:r>
            <w:r w:rsidR="009D0390">
              <w:rPr>
                <w:b/>
              </w:rPr>
              <w:t>specific strategies</w:t>
            </w:r>
            <w:r w:rsidR="002632CD">
              <w:rPr>
                <w:b/>
              </w:rPr>
              <w:t xml:space="preserve"> and initiatives</w:t>
            </w:r>
          </w:p>
          <w:p w14:paraId="0BE46B7A" w14:textId="46AAB148" w:rsidR="00A31D44" w:rsidRPr="00A31D44" w:rsidRDefault="00202365" w:rsidP="001F4202">
            <w:pPr>
              <w:pStyle w:val="TableText"/>
            </w:pPr>
            <w:r>
              <w:t xml:space="preserve">Implement </w:t>
            </w:r>
            <w:r w:rsidR="00A31D44">
              <w:t xml:space="preserve">strategies targeting the needs of </w:t>
            </w:r>
            <w:r w:rsidR="00F474E5">
              <w:t>Māori</w:t>
            </w:r>
          </w:p>
        </w:tc>
        <w:tc>
          <w:tcPr>
            <w:tcW w:w="1765" w:type="pct"/>
          </w:tcPr>
          <w:p w14:paraId="0AFC1A20" w14:textId="47F9F8F3" w:rsidR="007A4BE9" w:rsidRDefault="00482D36" w:rsidP="00F474E5">
            <w:pPr>
              <w:pStyle w:val="TableBullet"/>
            </w:pPr>
            <w:r>
              <w:t xml:space="preserve">Invested in support for </w:t>
            </w:r>
            <w:r w:rsidR="00F474E5" w:rsidRPr="006C0A60">
              <w:t xml:space="preserve">whānau to recover from COVID-19 and build resilience </w:t>
            </w:r>
            <w:r w:rsidR="00E5365C">
              <w:t>(T</w:t>
            </w:r>
            <w:r w:rsidR="00EC0AC3">
              <w:t>P</w:t>
            </w:r>
            <w:r w:rsidR="00E5365C">
              <w:t>K)</w:t>
            </w:r>
          </w:p>
          <w:p w14:paraId="54FBDD6B" w14:textId="5BD06A34" w:rsidR="00E5365C" w:rsidRDefault="00E5365C" w:rsidP="00E5365C">
            <w:pPr>
              <w:pStyle w:val="TableBullet"/>
            </w:pPr>
            <w:r>
              <w:t>Published the</w:t>
            </w:r>
            <w:r w:rsidR="00966944">
              <w:t xml:space="preserve"> </w:t>
            </w:r>
            <w:r w:rsidR="00966944" w:rsidRPr="001D5A3D">
              <w:rPr>
                <w:i/>
              </w:rPr>
              <w:t>Updated COVID-19 Māori Response Action Plan</w:t>
            </w:r>
            <w:r>
              <w:t xml:space="preserve"> </w:t>
            </w:r>
            <w:r w:rsidR="005A322D">
              <w:t xml:space="preserve">and </w:t>
            </w:r>
            <w:r w:rsidR="005A322D" w:rsidRPr="002C5055">
              <w:rPr>
                <w:i/>
              </w:rPr>
              <w:t>Whakamaua: Māori Health Action Plan 2020-2025</w:t>
            </w:r>
            <w:r w:rsidR="005A322D" w:rsidRPr="004267F3">
              <w:t xml:space="preserve"> </w:t>
            </w:r>
            <w:r w:rsidRPr="004267F3">
              <w:t>(M</w:t>
            </w:r>
            <w:r w:rsidR="008665EC">
              <w:t>oH</w:t>
            </w:r>
            <w:r w:rsidR="00EC0AC3">
              <w:t>)</w:t>
            </w:r>
          </w:p>
        </w:tc>
        <w:tc>
          <w:tcPr>
            <w:tcW w:w="2420" w:type="pct"/>
          </w:tcPr>
          <w:p w14:paraId="37981B90" w14:textId="0C86C9E0" w:rsidR="007A4BE9" w:rsidRDefault="00916A1D" w:rsidP="005E5111">
            <w:pPr>
              <w:pStyle w:val="TableBullet"/>
            </w:pPr>
            <w:r>
              <w:t>Implement priority actions from</w:t>
            </w:r>
            <w:r w:rsidR="00966944">
              <w:t xml:space="preserve"> </w:t>
            </w:r>
            <w:hyperlink r:id="rId36" w:history="1">
              <w:r w:rsidR="00966944" w:rsidRPr="004267F3">
                <w:rPr>
                  <w:i/>
                </w:rPr>
                <w:t>Whakamaua: Māori Health Action Plan 2020-2025</w:t>
              </w:r>
            </w:hyperlink>
            <w:r w:rsidR="00966944">
              <w:rPr>
                <w:b/>
                <w:i/>
              </w:rPr>
              <w:t xml:space="preserve"> </w:t>
            </w:r>
            <w:r w:rsidR="007D7871">
              <w:t>(M</w:t>
            </w:r>
            <w:r w:rsidR="008665EC">
              <w:t>oH)</w:t>
            </w:r>
          </w:p>
          <w:p w14:paraId="5D6A3141" w14:textId="29FB5E4F" w:rsidR="002632CD" w:rsidRDefault="002632CD" w:rsidP="001F4202">
            <w:pPr>
              <w:pStyle w:val="TableBullet"/>
            </w:pPr>
            <w:r>
              <w:t xml:space="preserve">Partner with hapū/iwi organisations </w:t>
            </w:r>
            <w:r w:rsidR="00536A25">
              <w:t xml:space="preserve">to </w:t>
            </w:r>
            <w:r>
              <w:t xml:space="preserve">deliver urgent support to </w:t>
            </w:r>
            <w:r w:rsidR="00536A25">
              <w:t xml:space="preserve">whānau </w:t>
            </w:r>
            <w:r>
              <w:t>affected by COVID-19 (M</w:t>
            </w:r>
            <w:r w:rsidR="008665EC">
              <w:t>SD</w:t>
            </w:r>
            <w:r w:rsidR="00EC0AC3">
              <w:t>)</w:t>
            </w:r>
          </w:p>
        </w:tc>
      </w:tr>
      <w:tr w:rsidR="00F474E5" w14:paraId="1441919C" w14:textId="77777777" w:rsidTr="004609D3">
        <w:trPr>
          <w:cantSplit/>
        </w:trPr>
        <w:tc>
          <w:tcPr>
            <w:tcW w:w="815" w:type="pct"/>
            <w:shd w:val="clear" w:color="auto" w:fill="auto"/>
          </w:tcPr>
          <w:p w14:paraId="71C464CC" w14:textId="0F17B249" w:rsidR="00F474E5" w:rsidRDefault="00F474E5" w:rsidP="001F4202">
            <w:pPr>
              <w:pStyle w:val="TableText"/>
              <w:rPr>
                <w:b/>
              </w:rPr>
            </w:pPr>
            <w:r>
              <w:rPr>
                <w:b/>
              </w:rPr>
              <w:t>Population-specific strategies</w:t>
            </w:r>
            <w:r w:rsidR="00B65D61">
              <w:rPr>
                <w:b/>
              </w:rPr>
              <w:t xml:space="preserve"> and initiatives</w:t>
            </w:r>
          </w:p>
          <w:p w14:paraId="5280A95E" w14:textId="5F4C43CC" w:rsidR="00F474E5" w:rsidRDefault="00202365" w:rsidP="001F4202">
            <w:pPr>
              <w:pStyle w:val="TableText"/>
              <w:rPr>
                <w:b/>
              </w:rPr>
            </w:pPr>
            <w:r>
              <w:t xml:space="preserve">Implement </w:t>
            </w:r>
            <w:r w:rsidR="00F474E5">
              <w:t xml:space="preserve">strategies targeting </w:t>
            </w:r>
            <w:r w:rsidR="00536A25">
              <w:t>groups with specific needs</w:t>
            </w:r>
          </w:p>
        </w:tc>
        <w:tc>
          <w:tcPr>
            <w:tcW w:w="1765" w:type="pct"/>
          </w:tcPr>
          <w:p w14:paraId="448AF3A3" w14:textId="7ADABAFA" w:rsidR="00F474E5" w:rsidRDefault="00F474E5" w:rsidP="00D523B8">
            <w:pPr>
              <w:pStyle w:val="TableBullet"/>
            </w:pPr>
            <w:r>
              <w:t xml:space="preserve">Published the </w:t>
            </w:r>
            <w:hyperlink r:id="rId37" w:history="1">
              <w:r w:rsidR="00B8076E" w:rsidRPr="00B635AF">
                <w:rPr>
                  <w:rStyle w:val="Hyperlink"/>
                  <w:b w:val="0"/>
                  <w:bCs/>
                  <w:i/>
                  <w:iCs/>
                </w:rPr>
                <w:t>Youth Plan 2020</w:t>
              </w:r>
              <w:r w:rsidR="005F6CAE">
                <w:rPr>
                  <w:rStyle w:val="Hyperlink"/>
                  <w:b w:val="0"/>
                  <w:bCs/>
                  <w:i/>
                  <w:iCs/>
                </w:rPr>
                <w:t>–</w:t>
              </w:r>
              <w:r w:rsidR="00B8076E" w:rsidRPr="00B635AF">
                <w:rPr>
                  <w:rStyle w:val="Hyperlink"/>
                  <w:b w:val="0"/>
                  <w:bCs/>
                  <w:i/>
                  <w:iCs/>
                </w:rPr>
                <w:t>2022: Turning Voice into Action – Rebuilding and Recovering</w:t>
              </w:r>
            </w:hyperlink>
            <w:r w:rsidR="00E24BDA" w:rsidRPr="00E24BDA">
              <w:rPr>
                <w:i/>
                <w:iCs/>
              </w:rPr>
              <w:t xml:space="preserve"> </w:t>
            </w:r>
            <w:r w:rsidR="00E5365C">
              <w:t xml:space="preserve">which focuses on mitigating the </w:t>
            </w:r>
            <w:r w:rsidR="00E9556A">
              <w:t>effects</w:t>
            </w:r>
            <w:r w:rsidR="002E36BE">
              <w:t xml:space="preserve"> </w:t>
            </w:r>
            <w:r w:rsidR="00E5365C">
              <w:t>of COVID-19 on rangatahi (</w:t>
            </w:r>
            <w:r>
              <w:t>M</w:t>
            </w:r>
            <w:r w:rsidR="008665EC">
              <w:t>YD</w:t>
            </w:r>
            <w:r>
              <w:t>)</w:t>
            </w:r>
          </w:p>
          <w:p w14:paraId="0F4C7BB4" w14:textId="46646730" w:rsidR="007A79E5" w:rsidRDefault="0064409D" w:rsidP="001E136C">
            <w:pPr>
              <w:pStyle w:val="TableBullet"/>
            </w:pPr>
            <w:r>
              <w:t xml:space="preserve">Developed a </w:t>
            </w:r>
            <w:hyperlink r:id="rId38" w:history="1">
              <w:r w:rsidRPr="00B635AF">
                <w:rPr>
                  <w:rStyle w:val="Hyperlink"/>
                  <w:b w:val="0"/>
                  <w:bCs/>
                </w:rPr>
                <w:t xml:space="preserve">Pacific Peoples </w:t>
              </w:r>
              <w:r w:rsidR="00155619" w:rsidRPr="00B635AF">
                <w:rPr>
                  <w:rStyle w:val="Hyperlink"/>
                  <w:b w:val="0"/>
                  <w:bCs/>
                </w:rPr>
                <w:t>COVID-19 recovery p</w:t>
              </w:r>
              <w:r w:rsidRPr="00B635AF">
                <w:rPr>
                  <w:rStyle w:val="Hyperlink"/>
                  <w:b w:val="0"/>
                  <w:bCs/>
                </w:rPr>
                <w:t>lan</w:t>
              </w:r>
            </w:hyperlink>
            <w:r w:rsidRPr="00601F6E">
              <w:rPr>
                <w:b/>
              </w:rPr>
              <w:t xml:space="preserve"> </w:t>
            </w:r>
            <w:r>
              <w:t>(M</w:t>
            </w:r>
            <w:r w:rsidR="00FF723E">
              <w:t>PP</w:t>
            </w:r>
            <w:r>
              <w:t>)</w:t>
            </w:r>
            <w:r w:rsidR="008E7CF0">
              <w:t xml:space="preserve"> </w:t>
            </w:r>
          </w:p>
          <w:p w14:paraId="2CEE6B8B" w14:textId="6B53920F" w:rsidR="00641372" w:rsidRDefault="00641372" w:rsidP="001E136C">
            <w:pPr>
              <w:pStyle w:val="TableBullet"/>
            </w:pPr>
            <w:r>
              <w:t xml:space="preserve">Developed indicators to measure the </w:t>
            </w:r>
            <w:r w:rsidR="00E9556A">
              <w:t>effects</w:t>
            </w:r>
            <w:r w:rsidR="002E36BE">
              <w:t xml:space="preserve"> </w:t>
            </w:r>
            <w:r>
              <w:t>of COVID</w:t>
            </w:r>
            <w:r w:rsidR="00B276A7">
              <w:t>-</w:t>
            </w:r>
            <w:r>
              <w:t>19 on older people</w:t>
            </w:r>
            <w:r w:rsidR="00FF723E">
              <w:t xml:space="preserve"> </w:t>
            </w:r>
            <w:r>
              <w:t>(</w:t>
            </w:r>
            <w:r w:rsidR="003C4555">
              <w:t>OFS</w:t>
            </w:r>
            <w:r>
              <w:t>)</w:t>
            </w:r>
          </w:p>
        </w:tc>
        <w:tc>
          <w:tcPr>
            <w:tcW w:w="2420" w:type="pct"/>
          </w:tcPr>
          <w:p w14:paraId="7D004FF8" w14:textId="5236A4AD" w:rsidR="00844B5E" w:rsidRDefault="00844B5E" w:rsidP="000A15BD">
            <w:pPr>
              <w:pStyle w:val="TableBullet"/>
            </w:pPr>
            <w:r w:rsidRPr="00641372">
              <w:t xml:space="preserve">Implement the </w:t>
            </w:r>
            <w:r w:rsidR="004F6FE5" w:rsidRPr="00641372">
              <w:t xml:space="preserve">cross-sectoral </w:t>
            </w:r>
            <w:hyperlink r:id="rId39" w:history="1">
              <w:r w:rsidRPr="00B635AF">
                <w:rPr>
                  <w:rStyle w:val="Hyperlink"/>
                  <w:b w:val="0"/>
                  <w:bCs/>
                  <w:i/>
                </w:rPr>
                <w:t>Child and Youth Wellbeing Strategy</w:t>
              </w:r>
            </w:hyperlink>
            <w:r w:rsidRPr="00B635AF">
              <w:rPr>
                <w:b/>
                <w:bCs/>
              </w:rPr>
              <w:t xml:space="preserve"> </w:t>
            </w:r>
            <w:r w:rsidR="00E52AF3">
              <w:t xml:space="preserve">and programme of action </w:t>
            </w:r>
            <w:r w:rsidR="004F6FE5" w:rsidRPr="00641372">
              <w:t xml:space="preserve">across housing, income and employment, </w:t>
            </w:r>
            <w:r w:rsidR="00E52AF3">
              <w:t xml:space="preserve">social support, </w:t>
            </w:r>
            <w:r w:rsidR="004F6FE5" w:rsidRPr="00641372">
              <w:t>health and safety, and the education and justice systems</w:t>
            </w:r>
            <w:r w:rsidR="000A32E5">
              <w:t>, including</w:t>
            </w:r>
            <w:r w:rsidR="005F6CAE">
              <w:t xml:space="preserve"> developing</w:t>
            </w:r>
            <w:r w:rsidR="000A32E5">
              <w:t>:</w:t>
            </w:r>
          </w:p>
          <w:p w14:paraId="2C58118C" w14:textId="6A43EC6C" w:rsidR="000A32E5" w:rsidRPr="00641372" w:rsidRDefault="000A32E5" w:rsidP="000A32E5">
            <w:pPr>
              <w:pStyle w:val="TableBullet"/>
              <w:ind w:left="568"/>
            </w:pPr>
            <w:r>
              <w:t>a national strategy and action plan to eliminate family violence and sexual violence (Joint Venture</w:t>
            </w:r>
            <w:r w:rsidR="008D711F">
              <w:t xml:space="preserve"> </w:t>
            </w:r>
            <w:r w:rsidR="002A38C7" w:rsidRPr="002A38C7">
              <w:t>for Family Violence and Sexual Violence</w:t>
            </w:r>
            <w:r>
              <w:t>)</w:t>
            </w:r>
          </w:p>
          <w:p w14:paraId="590C3969" w14:textId="0D24886E" w:rsidR="000A32E5" w:rsidRDefault="000A32E5" w:rsidP="000A32E5">
            <w:pPr>
              <w:pStyle w:val="TableBullet"/>
              <w:ind w:left="568"/>
            </w:pPr>
            <w:r>
              <w:t>a cross-sector action plan on physical activity and play (</w:t>
            </w:r>
            <w:r w:rsidR="00E52AF3">
              <w:t>Sport NZ, MoH, DPMC</w:t>
            </w:r>
            <w:r>
              <w:t>)</w:t>
            </w:r>
          </w:p>
          <w:p w14:paraId="44EF9A74" w14:textId="0674C549" w:rsidR="000A15BD" w:rsidRPr="00641372" w:rsidRDefault="00345368" w:rsidP="000A15BD">
            <w:pPr>
              <w:pStyle w:val="TableBullet"/>
            </w:pPr>
            <w:bookmarkStart w:id="54" w:name="_Hlk53585704"/>
            <w:r>
              <w:t>Develop the</w:t>
            </w:r>
            <w:r w:rsidR="009607D2">
              <w:t xml:space="preserve"> </w:t>
            </w:r>
            <w:r w:rsidR="000A15BD">
              <w:t xml:space="preserve">all-of-government </w:t>
            </w:r>
            <w:r w:rsidR="000A15BD" w:rsidRPr="00641372">
              <w:rPr>
                <w:i/>
              </w:rPr>
              <w:t>Oranga Tamariki Action Plan</w:t>
            </w:r>
            <w:r w:rsidR="000A15BD" w:rsidRPr="00641372">
              <w:t xml:space="preserve"> </w:t>
            </w:r>
            <w:r>
              <w:t>and e</w:t>
            </w:r>
            <w:r w:rsidRPr="00641372">
              <w:t xml:space="preserve">nsure </w:t>
            </w:r>
            <w:r>
              <w:t xml:space="preserve">actions within the plan </w:t>
            </w:r>
            <w:r w:rsidR="000A15BD" w:rsidRPr="00641372">
              <w:t xml:space="preserve">include outcomes for populations </w:t>
            </w:r>
            <w:r w:rsidR="0047752A" w:rsidRPr="0047752A">
              <w:t>of interest to Oranga Tamariki</w:t>
            </w:r>
            <w:r w:rsidR="0047752A">
              <w:rPr>
                <w:rFonts w:ascii="Calibri Light" w:hAnsi="Calibri Light" w:cs="Calibri Light"/>
                <w:color w:val="FF0000"/>
              </w:rPr>
              <w:t xml:space="preserve"> </w:t>
            </w:r>
            <w:r w:rsidR="000A15BD" w:rsidRPr="00641372">
              <w:t>and take into account COVID-19 recovery</w:t>
            </w:r>
            <w:r w:rsidR="000A15BD" w:rsidRPr="00641372" w:rsidDel="00C91C73">
              <w:t xml:space="preserve"> </w:t>
            </w:r>
            <w:r w:rsidR="000A15BD" w:rsidRPr="00641372">
              <w:t>(OT)</w:t>
            </w:r>
          </w:p>
          <w:p w14:paraId="1CA53254" w14:textId="49F44DFB" w:rsidR="000A15BD" w:rsidRPr="00206EA5" w:rsidRDefault="000A15BD" w:rsidP="000A15BD">
            <w:pPr>
              <w:pStyle w:val="TableBullet"/>
            </w:pPr>
            <w:r>
              <w:t xml:space="preserve">Develop the first action plan to support implementation of </w:t>
            </w:r>
            <w:hyperlink r:id="rId40" w:history="1">
              <w:r w:rsidRPr="00B635AF">
                <w:rPr>
                  <w:rStyle w:val="Hyperlink"/>
                  <w:rFonts w:cs="Segoe UI"/>
                  <w:b w:val="0"/>
                  <w:bCs/>
                  <w:i/>
                </w:rPr>
                <w:t>Better Later Life – He Oranga Kaumātua 2019 to 2034 strategy</w:t>
              </w:r>
            </w:hyperlink>
            <w:r w:rsidRPr="00601F6E">
              <w:t xml:space="preserve"> </w:t>
            </w:r>
            <w:r w:rsidRPr="00172819">
              <w:t>(O</w:t>
            </w:r>
            <w:r w:rsidRPr="00206EA5">
              <w:t>FS)</w:t>
            </w:r>
          </w:p>
          <w:p w14:paraId="0EB6F2E7" w14:textId="48C148B4" w:rsidR="00B20164" w:rsidRPr="009A484F" w:rsidRDefault="00073D77" w:rsidP="000A15BD">
            <w:pPr>
              <w:pStyle w:val="TableBullet"/>
            </w:pPr>
            <w:r w:rsidRPr="00641372">
              <w:t>Implement</w:t>
            </w:r>
            <w:r w:rsidR="00F474E5" w:rsidRPr="00641372">
              <w:rPr>
                <w:lang w:val="mi-NZ"/>
              </w:rPr>
              <w:t xml:space="preserve"> </w:t>
            </w:r>
            <w:hyperlink r:id="rId41" w:history="1">
              <w:r w:rsidR="00844B5E" w:rsidRPr="00B635AF">
                <w:rPr>
                  <w:rStyle w:val="Hyperlink"/>
                  <w:rFonts w:cs="Segoe UI"/>
                  <w:b w:val="0"/>
                  <w:bCs/>
                  <w:i/>
                  <w:lang w:val="mi-NZ"/>
                </w:rPr>
                <w:t>Ola Manuia: Pacific Health and Wellbeing Action Plan 2020–2025</w:t>
              </w:r>
            </w:hyperlink>
            <w:r w:rsidR="00844B5E" w:rsidRPr="00601F6E">
              <w:rPr>
                <w:b/>
                <w:lang w:val="mi-NZ"/>
              </w:rPr>
              <w:t xml:space="preserve"> </w:t>
            </w:r>
            <w:r w:rsidR="00844B5E" w:rsidRPr="00641372">
              <w:rPr>
                <w:lang w:val="mi-NZ"/>
              </w:rPr>
              <w:t>(M</w:t>
            </w:r>
            <w:r w:rsidR="008665EC">
              <w:rPr>
                <w:lang w:val="mi-NZ"/>
              </w:rPr>
              <w:t>oH</w:t>
            </w:r>
            <w:r w:rsidR="00844B5E" w:rsidRPr="00641372">
              <w:rPr>
                <w:lang w:val="mi-NZ"/>
              </w:rPr>
              <w:t xml:space="preserve">) </w:t>
            </w:r>
          </w:p>
          <w:p w14:paraId="4DA481B8" w14:textId="3A0EEA4C" w:rsidR="00857515" w:rsidRDefault="009A484F" w:rsidP="000A15BD">
            <w:pPr>
              <w:pStyle w:val="TableBullet"/>
            </w:pPr>
            <w:r w:rsidRPr="00E55C16">
              <w:t xml:space="preserve">Implement </w:t>
            </w:r>
            <w:bookmarkStart w:id="55" w:name="_Hlk56090096"/>
            <w:r w:rsidRPr="00E55C16">
              <w:t xml:space="preserve">the </w:t>
            </w:r>
            <w:r w:rsidR="00A25856" w:rsidRPr="00E55C16">
              <w:t>all-of-government</w:t>
            </w:r>
            <w:r w:rsidR="00A25856">
              <w:rPr>
                <w:lang w:val="mi-NZ"/>
              </w:rPr>
              <w:t xml:space="preserve"> </w:t>
            </w:r>
            <w:r w:rsidRPr="00172819">
              <w:rPr>
                <w:iCs/>
              </w:rPr>
              <w:t>Pacific Wellbeing Strategy (</w:t>
            </w:r>
            <w:r w:rsidR="00A25856">
              <w:rPr>
                <w:iCs/>
              </w:rPr>
              <w:t>MP</w:t>
            </w:r>
            <w:bookmarkEnd w:id="55"/>
            <w:r w:rsidR="008665EC">
              <w:rPr>
                <w:iCs/>
              </w:rPr>
              <w:t>P</w:t>
            </w:r>
            <w:r w:rsidRPr="00206EA5">
              <w:rPr>
                <w:iCs/>
              </w:rPr>
              <w:t>)</w:t>
            </w:r>
          </w:p>
          <w:bookmarkEnd w:id="54"/>
          <w:p w14:paraId="079B2840" w14:textId="2B748364" w:rsidR="00F474E5" w:rsidRPr="00641372" w:rsidRDefault="00533F96" w:rsidP="000A15BD">
            <w:pPr>
              <w:pStyle w:val="TableBullet"/>
            </w:pPr>
            <w:r>
              <w:t>D</w:t>
            </w:r>
            <w:r w:rsidR="006B35CF" w:rsidRPr="00641372">
              <w:t>evelop a National Action Plan Against Racism</w:t>
            </w:r>
            <w:r w:rsidR="006B35CF" w:rsidRPr="00641372">
              <w:rPr>
                <w:sz w:val="22"/>
                <w:szCs w:val="22"/>
              </w:rPr>
              <w:t xml:space="preserve"> </w:t>
            </w:r>
            <w:r w:rsidR="006B35CF" w:rsidRPr="00641372">
              <w:t>(M</w:t>
            </w:r>
            <w:r w:rsidR="008665EC">
              <w:t>o</w:t>
            </w:r>
            <w:r w:rsidR="006B35CF" w:rsidRPr="00641372">
              <w:t>J)</w:t>
            </w:r>
            <w:r w:rsidR="00B70CDA">
              <w:t xml:space="preserve"> </w:t>
            </w:r>
          </w:p>
          <w:p w14:paraId="51A078A7" w14:textId="5D533DD3" w:rsidR="00365972" w:rsidRDefault="00020908" w:rsidP="000A15BD">
            <w:pPr>
              <w:pStyle w:val="TableBullet"/>
            </w:pPr>
            <w:bookmarkStart w:id="56" w:name="_Hlk53664316"/>
            <w:r w:rsidRPr="00641372">
              <w:t>Continue to implement the</w:t>
            </w:r>
            <w:r w:rsidRPr="00B635AF">
              <w:rPr>
                <w:b/>
                <w:bCs/>
              </w:rPr>
              <w:t xml:space="preserve"> </w:t>
            </w:r>
            <w:hyperlink r:id="rId42" w:history="1">
              <w:r w:rsidRPr="00B635AF">
                <w:rPr>
                  <w:rStyle w:val="Hyperlink"/>
                  <w:rFonts w:cs="Segoe UI"/>
                  <w:b w:val="0"/>
                  <w:bCs/>
                  <w:i/>
                </w:rPr>
                <w:t>Disability Action Plan 2019</w:t>
              </w:r>
              <w:r w:rsidR="005F6CAE">
                <w:rPr>
                  <w:rStyle w:val="Hyperlink"/>
                  <w:rFonts w:cs="Segoe UI"/>
                  <w:b w:val="0"/>
                  <w:bCs/>
                  <w:i/>
                </w:rPr>
                <w:t>–</w:t>
              </w:r>
              <w:r w:rsidRPr="00B635AF">
                <w:rPr>
                  <w:rStyle w:val="Hyperlink"/>
                  <w:rFonts w:cs="Segoe UI"/>
                  <w:b w:val="0"/>
                  <w:bCs/>
                  <w:i/>
                </w:rPr>
                <w:t>2022</w:t>
              </w:r>
            </w:hyperlink>
            <w:r w:rsidR="000330E0" w:rsidRPr="00B635AF">
              <w:rPr>
                <w:b/>
                <w:bCs/>
              </w:rPr>
              <w:t xml:space="preserve"> </w:t>
            </w:r>
            <w:r w:rsidR="000330E0" w:rsidRPr="005F6CAE">
              <w:t>and</w:t>
            </w:r>
            <w:r w:rsidR="001E136C" w:rsidRPr="00B635AF">
              <w:rPr>
                <w:b/>
                <w:bCs/>
              </w:rPr>
              <w:t xml:space="preserve"> </w:t>
            </w:r>
            <w:hyperlink r:id="rId43" w:history="1">
              <w:r w:rsidR="001E136C" w:rsidRPr="00B635AF">
                <w:rPr>
                  <w:rStyle w:val="Hyperlink"/>
                  <w:rFonts w:cs="Segoe UI"/>
                  <w:b w:val="0"/>
                  <w:bCs/>
                  <w:i/>
                </w:rPr>
                <w:t>Disability Employment Action Plan</w:t>
              </w:r>
            </w:hyperlink>
            <w:r w:rsidR="000330E0" w:rsidRPr="00641372">
              <w:t xml:space="preserve"> (cross-government)</w:t>
            </w:r>
            <w:r w:rsidRPr="00641372">
              <w:t xml:space="preserve"> and train government agencies in the Accessibility Charter </w:t>
            </w:r>
            <w:r w:rsidR="00E90305" w:rsidRPr="00641372">
              <w:t>(ODI)</w:t>
            </w:r>
            <w:bookmarkEnd w:id="56"/>
          </w:p>
        </w:tc>
      </w:tr>
      <w:tr w:rsidR="007A4BE9" w14:paraId="4BC00115" w14:textId="77777777" w:rsidTr="004609D3">
        <w:trPr>
          <w:cantSplit/>
        </w:trPr>
        <w:tc>
          <w:tcPr>
            <w:tcW w:w="815" w:type="pct"/>
            <w:shd w:val="clear" w:color="auto" w:fill="auto"/>
          </w:tcPr>
          <w:p w14:paraId="74EE85B6" w14:textId="394D4029" w:rsidR="007A4BE9" w:rsidRPr="007A4BE9" w:rsidRDefault="007A4BE9" w:rsidP="002F69D1">
            <w:pPr>
              <w:pStyle w:val="TableText"/>
              <w:rPr>
                <w:b/>
              </w:rPr>
            </w:pPr>
            <w:bookmarkStart w:id="57" w:name="_Hlk57646215"/>
            <w:r w:rsidRPr="007A4BE9">
              <w:rPr>
                <w:b/>
              </w:rPr>
              <w:t>Housing</w:t>
            </w:r>
          </w:p>
          <w:p w14:paraId="280EC685" w14:textId="17EEC3AF" w:rsidR="007A4BE9" w:rsidRPr="00443371" w:rsidRDefault="007A4BE9" w:rsidP="002F69D1">
            <w:pPr>
              <w:pStyle w:val="TableText"/>
            </w:pPr>
            <w:r>
              <w:t>S</w:t>
            </w:r>
            <w:r w:rsidRPr="00111637">
              <w:t>upport</w:t>
            </w:r>
            <w:r>
              <w:t xml:space="preserve"> </w:t>
            </w:r>
            <w:r w:rsidRPr="00111637">
              <w:t xml:space="preserve">people in </w:t>
            </w:r>
            <w:r>
              <w:t>Aotearoa</w:t>
            </w:r>
            <w:r w:rsidR="00ED613C">
              <w:t xml:space="preserve"> </w:t>
            </w:r>
            <w:r>
              <w:t>New Zealand</w:t>
            </w:r>
            <w:r w:rsidRPr="00111637">
              <w:t xml:space="preserve"> to have warm, dry, healthy and safe accommodation</w:t>
            </w:r>
          </w:p>
        </w:tc>
        <w:tc>
          <w:tcPr>
            <w:tcW w:w="1765" w:type="pct"/>
          </w:tcPr>
          <w:p w14:paraId="03E95E85" w14:textId="7A9C3FFB" w:rsidR="00565BB2" w:rsidRDefault="007A79E5" w:rsidP="00565BB2">
            <w:pPr>
              <w:pStyle w:val="TableBullet"/>
            </w:pPr>
            <w:r>
              <w:t xml:space="preserve">Provided </w:t>
            </w:r>
            <w:r w:rsidR="00C3272F">
              <w:t>motel accommodation for rough sleepers during the COVID-19 period (M</w:t>
            </w:r>
            <w:r w:rsidR="008665EC">
              <w:t>HUD)</w:t>
            </w:r>
            <w:r w:rsidR="00C3272F">
              <w:t xml:space="preserve"> and emergency housing for </w:t>
            </w:r>
            <w:r>
              <w:t>vulnerable populations (M</w:t>
            </w:r>
            <w:r w:rsidR="008665EC">
              <w:t>SD</w:t>
            </w:r>
            <w:r>
              <w:t>)</w:t>
            </w:r>
          </w:p>
          <w:p w14:paraId="05B80E02" w14:textId="42A4B340" w:rsidR="00565BB2" w:rsidRDefault="00565BB2" w:rsidP="00565BB2">
            <w:pPr>
              <w:pStyle w:val="TableBullet"/>
              <w:rPr>
                <w:rFonts w:ascii="Times New Roman" w:hAnsi="Times New Roman"/>
                <w:sz w:val="24"/>
                <w:szCs w:val="24"/>
                <w:lang w:eastAsia="en-NZ"/>
              </w:rPr>
            </w:pPr>
            <w:r>
              <w:t>Expanded rent arrear</w:t>
            </w:r>
            <w:r w:rsidR="005F6CAE">
              <w:t>s</w:t>
            </w:r>
            <w:r>
              <w:t xml:space="preserve"> assistance for a temporary period (M</w:t>
            </w:r>
            <w:r w:rsidR="008665EC">
              <w:t>SD</w:t>
            </w:r>
            <w:r>
              <w:t>)</w:t>
            </w:r>
          </w:p>
          <w:p w14:paraId="7FD1B463" w14:textId="1A662453" w:rsidR="00CF667B" w:rsidRDefault="00565BB2" w:rsidP="00565BB2">
            <w:pPr>
              <w:pStyle w:val="TableBullet"/>
            </w:pPr>
            <w:r w:rsidRPr="00565BB2">
              <w:t>Continued to increase transitional housing with a pre COVID-19 target of 1,000 new places by the end of 2020</w:t>
            </w:r>
            <w:r>
              <w:t xml:space="preserve"> (M</w:t>
            </w:r>
            <w:r w:rsidR="008665EC">
              <w:t>HUD</w:t>
            </w:r>
            <w:r>
              <w:t>)</w:t>
            </w:r>
          </w:p>
          <w:p w14:paraId="6DBA7BE6" w14:textId="6B1DE66A" w:rsidR="009A484F" w:rsidRDefault="007A79E5" w:rsidP="00565BB2">
            <w:pPr>
              <w:pStyle w:val="TableBullet"/>
            </w:pPr>
            <w:r>
              <w:t>Established the Local Innovation and Partnership Fund to support local initiatives to reduce and prevent homelessness (M</w:t>
            </w:r>
            <w:r w:rsidR="008665EC">
              <w:t>HUD</w:t>
            </w:r>
            <w:r w:rsidR="000F789A">
              <w:t>)</w:t>
            </w:r>
          </w:p>
          <w:p w14:paraId="23034F35" w14:textId="2C8F950D" w:rsidR="00565BB2" w:rsidRPr="00565BB2" w:rsidRDefault="00565BB2" w:rsidP="00565BB2">
            <w:pPr>
              <w:pStyle w:val="TableBullet"/>
            </w:pPr>
            <w:r w:rsidRPr="00565BB2">
              <w:t xml:space="preserve">Accelerated </w:t>
            </w:r>
            <w:r>
              <w:t>immediate responses to</w:t>
            </w:r>
            <w:r w:rsidRPr="00565BB2">
              <w:t xml:space="preserve"> Māori homelessness, including financial support to Māori housing providers and work with </w:t>
            </w:r>
            <w:r>
              <w:t>i</w:t>
            </w:r>
            <w:r w:rsidRPr="00565BB2">
              <w:t>wi and Māori partners on housing supply</w:t>
            </w:r>
            <w:r>
              <w:t xml:space="preserve"> projects (M</w:t>
            </w:r>
            <w:r w:rsidR="008665EC">
              <w:t>HUD</w:t>
            </w:r>
            <w:r>
              <w:t>)</w:t>
            </w:r>
          </w:p>
          <w:p w14:paraId="6833DC8E" w14:textId="1B55DBF5" w:rsidR="007A4BE9" w:rsidRPr="007D06C8" w:rsidRDefault="009A484F" w:rsidP="00565BB2">
            <w:pPr>
              <w:pStyle w:val="TableBullet"/>
            </w:pPr>
            <w:r w:rsidRPr="009A484F">
              <w:t>Invested in a Budget 2020 support package to improve Pacific peoples’ housing (M</w:t>
            </w:r>
            <w:r w:rsidR="008665EC">
              <w:t>PP</w:t>
            </w:r>
            <w:r w:rsidRPr="009A484F">
              <w:t>)</w:t>
            </w:r>
          </w:p>
        </w:tc>
        <w:tc>
          <w:tcPr>
            <w:tcW w:w="2420" w:type="pct"/>
          </w:tcPr>
          <w:p w14:paraId="66072B5C" w14:textId="37ABEE37" w:rsidR="00897E56" w:rsidRDefault="007A79E5" w:rsidP="00D9777D">
            <w:pPr>
              <w:pStyle w:val="TableBullet"/>
            </w:pPr>
            <w:bookmarkStart w:id="58" w:name="_Hlk57654350"/>
            <w:r>
              <w:t xml:space="preserve">Implement </w:t>
            </w:r>
            <w:hyperlink r:id="rId44" w:history="1">
              <w:r w:rsidRPr="00CA6952">
                <w:rPr>
                  <w:rStyle w:val="Hyperlink"/>
                  <w:b w:val="0"/>
                  <w:bCs/>
                  <w:i/>
                </w:rPr>
                <w:t>Aotearoa</w:t>
              </w:r>
              <w:r w:rsidR="00ED613C" w:rsidRPr="00CA6952">
                <w:rPr>
                  <w:rStyle w:val="Hyperlink"/>
                  <w:b w:val="0"/>
                  <w:bCs/>
                  <w:i/>
                </w:rPr>
                <w:t xml:space="preserve"> </w:t>
              </w:r>
              <w:r w:rsidRPr="00CA6952">
                <w:rPr>
                  <w:rStyle w:val="Hyperlink"/>
                  <w:b w:val="0"/>
                  <w:bCs/>
                  <w:i/>
                </w:rPr>
                <w:t>New Zealand Homelessness Act</w:t>
              </w:r>
              <w:r w:rsidR="00C91C73" w:rsidRPr="00CA6952">
                <w:rPr>
                  <w:rStyle w:val="Hyperlink"/>
                  <w:b w:val="0"/>
                  <w:bCs/>
                  <w:i/>
                </w:rPr>
                <w:t>i</w:t>
              </w:r>
              <w:r w:rsidRPr="00CA6952">
                <w:rPr>
                  <w:rStyle w:val="Hyperlink"/>
                  <w:b w:val="0"/>
                  <w:bCs/>
                  <w:i/>
                </w:rPr>
                <w:t>on Plan</w:t>
              </w:r>
            </w:hyperlink>
            <w:r>
              <w:t xml:space="preserve"> </w:t>
            </w:r>
            <w:r w:rsidR="00C91C73">
              <w:t xml:space="preserve">Phase One: </w:t>
            </w:r>
          </w:p>
          <w:p w14:paraId="68020C2C" w14:textId="77777777" w:rsidR="00300374" w:rsidRDefault="00693592" w:rsidP="00897E56">
            <w:pPr>
              <w:pStyle w:val="TableBullet"/>
              <w:ind w:left="568"/>
            </w:pPr>
            <w:r>
              <w:t xml:space="preserve">progress </w:t>
            </w:r>
            <w:r w:rsidR="007A79E5">
              <w:t xml:space="preserve">18 immediate actions in </w:t>
            </w:r>
            <w:r w:rsidR="007A79E5" w:rsidRPr="00E411C2">
              <w:t xml:space="preserve">2020 </w:t>
            </w:r>
          </w:p>
          <w:p w14:paraId="29D49612" w14:textId="2596F865" w:rsidR="00D9777D" w:rsidRPr="00E411C2" w:rsidRDefault="00693592" w:rsidP="00897E56">
            <w:pPr>
              <w:pStyle w:val="TableBullet"/>
              <w:ind w:left="568"/>
            </w:pPr>
            <w:r w:rsidRPr="00E411C2">
              <w:t>accelerate additional actions to respond</w:t>
            </w:r>
            <w:r w:rsidR="005F6CAE">
              <w:t xml:space="preserve"> to</w:t>
            </w:r>
            <w:r w:rsidRPr="00E411C2">
              <w:t xml:space="preserve"> </w:t>
            </w:r>
            <w:r w:rsidR="00897E56" w:rsidRPr="00E411C2">
              <w:t>COVID-19, including applying kaupapa Māori approaches to all responses</w:t>
            </w:r>
            <w:r w:rsidR="005F6CAE">
              <w:t>,</w:t>
            </w:r>
            <w:r w:rsidR="005F6CAE" w:rsidRPr="00E411C2">
              <w:t xml:space="preserve"> </w:t>
            </w:r>
            <w:r w:rsidR="00897E56" w:rsidRPr="00E411C2">
              <w:t>developing further initiatives (early intervention, young people and Pacific peoples</w:t>
            </w:r>
            <w:r w:rsidR="005F6CAE" w:rsidRPr="00E411C2">
              <w:t>)</w:t>
            </w:r>
            <w:r w:rsidR="005F6CAE">
              <w:t>,</w:t>
            </w:r>
            <w:r w:rsidR="005F6CAE" w:rsidRPr="00E411C2">
              <w:t xml:space="preserve"> </w:t>
            </w:r>
            <w:r w:rsidR="00897E56" w:rsidRPr="00E411C2">
              <w:t>enhancing assessment and referral processes</w:t>
            </w:r>
            <w:r w:rsidR="005F6CAE">
              <w:t>,</w:t>
            </w:r>
            <w:r w:rsidR="005F6CAE" w:rsidRPr="00E411C2">
              <w:t xml:space="preserve"> </w:t>
            </w:r>
            <w:r w:rsidR="00897E56" w:rsidRPr="00E411C2">
              <w:t>and supporting the capacity and capability of providers (</w:t>
            </w:r>
            <w:r w:rsidR="009A0E89">
              <w:t>c</w:t>
            </w:r>
            <w:r w:rsidR="00897E56" w:rsidRPr="00E411C2">
              <w:t>ross-government)</w:t>
            </w:r>
          </w:p>
          <w:bookmarkEnd w:id="58"/>
          <w:p w14:paraId="50C0DE2C" w14:textId="4B5B74A1" w:rsidR="007A4BE9" w:rsidRPr="00C30C5B" w:rsidRDefault="007A79E5" w:rsidP="00D9777D">
            <w:pPr>
              <w:pStyle w:val="TableBullet"/>
            </w:pPr>
            <w:r>
              <w:t xml:space="preserve">Implement </w:t>
            </w:r>
            <w:r w:rsidRPr="00601F6E">
              <w:rPr>
                <w:i/>
              </w:rPr>
              <w:t>Creating Positive Pathways: A long-term housing initiative for people released from prison</w:t>
            </w:r>
            <w:r>
              <w:t xml:space="preserve"> (Corrections)</w:t>
            </w:r>
            <w:r>
              <w:rPr>
                <w:rFonts w:ascii="Times New Roman" w:hAnsi="Times New Roman"/>
                <w:sz w:val="24"/>
                <w:szCs w:val="24"/>
                <w:lang w:eastAsia="en-NZ"/>
              </w:rPr>
              <w:t xml:space="preserve"> </w:t>
            </w:r>
          </w:p>
          <w:p w14:paraId="24DCF56C" w14:textId="436A739B" w:rsidR="00C30C5B" w:rsidRPr="007D06C8" w:rsidRDefault="00C30C5B" w:rsidP="00D9777D">
            <w:pPr>
              <w:pStyle w:val="TableBullet"/>
            </w:pPr>
            <w:bookmarkStart w:id="59" w:name="_Hlk56777410"/>
            <w:r w:rsidRPr="00C30C5B">
              <w:t xml:space="preserve">Continue work through the </w:t>
            </w:r>
            <w:hyperlink r:id="rId45" w:history="1">
              <w:r w:rsidRPr="00CA6952">
                <w:rPr>
                  <w:rStyle w:val="Hyperlink"/>
                  <w:b w:val="0"/>
                  <w:bCs/>
                </w:rPr>
                <w:t>Healthy Homes Initiative</w:t>
              </w:r>
            </w:hyperlink>
            <w:r w:rsidRPr="00C30C5B">
              <w:t xml:space="preserve"> to provide education and access to interventions which will create warm, dry and uncrowded homes (M</w:t>
            </w:r>
            <w:r w:rsidR="008665EC">
              <w:t>oH</w:t>
            </w:r>
            <w:r w:rsidRPr="00C30C5B">
              <w:t>)</w:t>
            </w:r>
            <w:bookmarkEnd w:id="59"/>
          </w:p>
        </w:tc>
      </w:tr>
      <w:bookmarkEnd w:id="57"/>
      <w:tr w:rsidR="007A4BE9" w14:paraId="4185DFE6" w14:textId="77777777" w:rsidTr="004609D3">
        <w:trPr>
          <w:cantSplit/>
        </w:trPr>
        <w:tc>
          <w:tcPr>
            <w:tcW w:w="815" w:type="pct"/>
            <w:shd w:val="clear" w:color="auto" w:fill="auto"/>
          </w:tcPr>
          <w:p w14:paraId="14E97E4C" w14:textId="38A66335" w:rsidR="007A4BE9" w:rsidRPr="007A4BE9" w:rsidRDefault="007A4BE9" w:rsidP="002F69D1">
            <w:pPr>
              <w:pStyle w:val="TableText"/>
              <w:rPr>
                <w:b/>
              </w:rPr>
            </w:pPr>
            <w:r>
              <w:rPr>
                <w:b/>
              </w:rPr>
              <w:t>Hardship/e</w:t>
            </w:r>
            <w:r w:rsidRPr="007A4BE9">
              <w:rPr>
                <w:b/>
              </w:rPr>
              <w:t>mployment</w:t>
            </w:r>
          </w:p>
          <w:p w14:paraId="1FF65C18" w14:textId="50B46B85" w:rsidR="007A4BE9" w:rsidRPr="00111637" w:rsidRDefault="007A4BE9" w:rsidP="002F69D1">
            <w:pPr>
              <w:pStyle w:val="TableText"/>
            </w:pPr>
            <w:r>
              <w:t xml:space="preserve">Provide </w:t>
            </w:r>
            <w:r w:rsidRPr="00111637">
              <w:t xml:space="preserve">support </w:t>
            </w:r>
            <w:r>
              <w:t>for</w:t>
            </w:r>
            <w:r w:rsidR="006105D1">
              <w:t xml:space="preserve"> people in</w:t>
            </w:r>
            <w:r>
              <w:t xml:space="preserve"> Aotearoa</w:t>
            </w:r>
            <w:r w:rsidR="00ED613C">
              <w:t xml:space="preserve"> </w:t>
            </w:r>
            <w:r>
              <w:t xml:space="preserve">New Zealand who are facing financial hardship or </w:t>
            </w:r>
            <w:r w:rsidR="002156DF">
              <w:t xml:space="preserve">changed </w:t>
            </w:r>
            <w:r>
              <w:t>employment</w:t>
            </w:r>
            <w:r w:rsidR="002156DF">
              <w:t xml:space="preserve"> circumstances</w:t>
            </w:r>
          </w:p>
        </w:tc>
        <w:tc>
          <w:tcPr>
            <w:tcW w:w="1765" w:type="pct"/>
          </w:tcPr>
          <w:p w14:paraId="416C7548" w14:textId="0892A973" w:rsidR="00B47CB2" w:rsidRPr="004B59B4" w:rsidRDefault="00B47CB2" w:rsidP="00AF08E8">
            <w:pPr>
              <w:pStyle w:val="TableBullet"/>
              <w:numPr>
                <w:ilvl w:val="0"/>
                <w:numId w:val="12"/>
              </w:numPr>
              <w:rPr>
                <w:rFonts w:ascii="Verdana" w:hAnsi="Verdana"/>
                <w:szCs w:val="18"/>
                <w:lang w:eastAsia="en-US"/>
              </w:rPr>
            </w:pPr>
            <w:r w:rsidRPr="004B59B4">
              <w:rPr>
                <w:szCs w:val="18"/>
              </w:rPr>
              <w:t>T</w:t>
            </w:r>
            <w:r w:rsidR="00474BCA">
              <w:rPr>
                <w:szCs w:val="18"/>
              </w:rPr>
              <w:t>emporarily doubled t</w:t>
            </w:r>
            <w:r w:rsidRPr="004B59B4">
              <w:rPr>
                <w:szCs w:val="18"/>
              </w:rPr>
              <w:t>he Winter Energy Payment</w:t>
            </w:r>
            <w:r w:rsidR="00D070DC">
              <w:rPr>
                <w:szCs w:val="18"/>
              </w:rPr>
              <w:t xml:space="preserve"> and increased food grants</w:t>
            </w:r>
            <w:r w:rsidR="005F6CAE">
              <w:rPr>
                <w:szCs w:val="18"/>
              </w:rPr>
              <w:t>,</w:t>
            </w:r>
            <w:r w:rsidR="005F6CAE" w:rsidRPr="004B59B4">
              <w:rPr>
                <w:szCs w:val="18"/>
              </w:rPr>
              <w:t xml:space="preserve"> </w:t>
            </w:r>
            <w:r w:rsidR="00474BCA">
              <w:rPr>
                <w:szCs w:val="18"/>
              </w:rPr>
              <w:t xml:space="preserve">introduced </w:t>
            </w:r>
            <w:r w:rsidRPr="004B59B4">
              <w:rPr>
                <w:szCs w:val="18"/>
              </w:rPr>
              <w:t>COVID</w:t>
            </w:r>
            <w:r w:rsidR="00D070DC">
              <w:rPr>
                <w:szCs w:val="18"/>
              </w:rPr>
              <w:t>-19</w:t>
            </w:r>
            <w:r w:rsidRPr="004B59B4">
              <w:rPr>
                <w:szCs w:val="18"/>
              </w:rPr>
              <w:t xml:space="preserve"> Income Relief Payment and wage subsidies</w:t>
            </w:r>
            <w:r w:rsidR="005F6CAE">
              <w:rPr>
                <w:szCs w:val="18"/>
              </w:rPr>
              <w:t>,</w:t>
            </w:r>
            <w:r w:rsidR="005F6CAE" w:rsidRPr="004B59B4">
              <w:rPr>
                <w:szCs w:val="18"/>
              </w:rPr>
              <w:t xml:space="preserve"> </w:t>
            </w:r>
            <w:r w:rsidR="00ED6223">
              <w:rPr>
                <w:szCs w:val="18"/>
              </w:rPr>
              <w:t xml:space="preserve">and </w:t>
            </w:r>
            <w:r w:rsidR="00474BCA">
              <w:rPr>
                <w:szCs w:val="18"/>
              </w:rPr>
              <w:t xml:space="preserve">deferred requirements for </w:t>
            </w:r>
            <w:r w:rsidRPr="004B59B4">
              <w:rPr>
                <w:szCs w:val="18"/>
              </w:rPr>
              <w:t xml:space="preserve">medical certificates and reapplications </w:t>
            </w:r>
            <w:r w:rsidR="00474BCA">
              <w:rPr>
                <w:szCs w:val="18"/>
              </w:rPr>
              <w:t>to</w:t>
            </w:r>
            <w:r w:rsidRPr="004B59B4">
              <w:rPr>
                <w:szCs w:val="18"/>
              </w:rPr>
              <w:t xml:space="preserve"> access main benefits </w:t>
            </w:r>
            <w:r w:rsidR="00A8445D" w:rsidRPr="004B59B4">
              <w:rPr>
                <w:szCs w:val="18"/>
              </w:rPr>
              <w:t>(M</w:t>
            </w:r>
            <w:r w:rsidR="008665EC">
              <w:rPr>
                <w:szCs w:val="18"/>
              </w:rPr>
              <w:t>SD</w:t>
            </w:r>
            <w:r w:rsidR="00A8445D" w:rsidRPr="004B59B4">
              <w:rPr>
                <w:szCs w:val="18"/>
              </w:rPr>
              <w:t>)</w:t>
            </w:r>
            <w:r w:rsidRPr="004B59B4">
              <w:rPr>
                <w:szCs w:val="18"/>
              </w:rPr>
              <w:t xml:space="preserve"> </w:t>
            </w:r>
          </w:p>
          <w:p w14:paraId="2EF1AE6A" w14:textId="7D1CF860" w:rsidR="00B47CB2" w:rsidRPr="004B59B4" w:rsidRDefault="00B47CB2" w:rsidP="00AF08E8">
            <w:pPr>
              <w:pStyle w:val="TableBullet"/>
              <w:numPr>
                <w:ilvl w:val="0"/>
                <w:numId w:val="12"/>
              </w:numPr>
              <w:rPr>
                <w:szCs w:val="18"/>
              </w:rPr>
            </w:pPr>
            <w:r w:rsidRPr="004B59B4">
              <w:rPr>
                <w:szCs w:val="18"/>
              </w:rPr>
              <w:t xml:space="preserve">Created new redundancy and employment supports </w:t>
            </w:r>
            <w:r w:rsidR="00A8445D" w:rsidRPr="004B59B4">
              <w:rPr>
                <w:szCs w:val="18"/>
              </w:rPr>
              <w:t>for</w:t>
            </w:r>
            <w:r w:rsidRPr="004B59B4">
              <w:rPr>
                <w:szCs w:val="18"/>
              </w:rPr>
              <w:t xml:space="preserve"> people affected by COVID-19, including Rapid Response Teams</w:t>
            </w:r>
            <w:r w:rsidR="00A8445D" w:rsidRPr="004B59B4">
              <w:rPr>
                <w:szCs w:val="18"/>
              </w:rPr>
              <w:t xml:space="preserve"> and</w:t>
            </w:r>
            <w:r w:rsidRPr="004B59B4">
              <w:rPr>
                <w:szCs w:val="18"/>
              </w:rPr>
              <w:t xml:space="preserve"> the Apprenticeship Boost Initiative </w:t>
            </w:r>
            <w:r w:rsidR="00A8445D" w:rsidRPr="004B59B4">
              <w:rPr>
                <w:szCs w:val="18"/>
              </w:rPr>
              <w:t>(M</w:t>
            </w:r>
            <w:r w:rsidR="008665EC">
              <w:rPr>
                <w:szCs w:val="18"/>
              </w:rPr>
              <w:t>SD)</w:t>
            </w:r>
          </w:p>
          <w:p w14:paraId="3CB7043F" w14:textId="2ADF07C6" w:rsidR="00CD29C3" w:rsidRPr="009C5B9B" w:rsidRDefault="000330E0" w:rsidP="00206EA5">
            <w:pPr>
              <w:pStyle w:val="TableBullet"/>
            </w:pPr>
            <w:r w:rsidRPr="008A23CE">
              <w:rPr>
                <w:szCs w:val="18"/>
              </w:rPr>
              <w:t xml:space="preserve">Continued </w:t>
            </w:r>
            <w:r w:rsidR="005A6962" w:rsidRPr="008A23CE">
              <w:rPr>
                <w:szCs w:val="18"/>
              </w:rPr>
              <w:t xml:space="preserve">employment support trials for </w:t>
            </w:r>
            <w:r w:rsidRPr="008A23CE">
              <w:rPr>
                <w:szCs w:val="18"/>
              </w:rPr>
              <w:t>disabled people and people with health conditions, including</w:t>
            </w:r>
            <w:r w:rsidR="00F268E2" w:rsidRPr="008A23CE">
              <w:rPr>
                <w:szCs w:val="18"/>
              </w:rPr>
              <w:t xml:space="preserve"> </w:t>
            </w:r>
            <w:r w:rsidR="007F1840" w:rsidRPr="00F268E2">
              <w:rPr>
                <w:szCs w:val="18"/>
              </w:rPr>
              <w:t>i</w:t>
            </w:r>
            <w:r w:rsidR="00B47CB2" w:rsidRPr="00F268E2">
              <w:rPr>
                <w:szCs w:val="18"/>
              </w:rPr>
              <w:t>ncreas</w:t>
            </w:r>
            <w:r w:rsidR="00494749">
              <w:rPr>
                <w:szCs w:val="18"/>
              </w:rPr>
              <w:t>ing</w:t>
            </w:r>
            <w:r w:rsidR="00B47CB2" w:rsidRPr="00F268E2">
              <w:rPr>
                <w:szCs w:val="18"/>
              </w:rPr>
              <w:t xml:space="preserve"> capacity of two Individual Placement Support trials</w:t>
            </w:r>
            <w:r w:rsidR="003A1A70">
              <w:rPr>
                <w:szCs w:val="18"/>
              </w:rPr>
              <w:t>,</w:t>
            </w:r>
            <w:r w:rsidR="00F268E2">
              <w:rPr>
                <w:szCs w:val="18"/>
              </w:rPr>
              <w:t xml:space="preserve"> and i</w:t>
            </w:r>
            <w:r w:rsidR="007F1840" w:rsidRPr="004B59B4">
              <w:rPr>
                <w:szCs w:val="18"/>
              </w:rPr>
              <w:t>mplement</w:t>
            </w:r>
            <w:r w:rsidR="00F268E2">
              <w:rPr>
                <w:szCs w:val="18"/>
              </w:rPr>
              <w:t>ing</w:t>
            </w:r>
            <w:r w:rsidR="00B47CB2" w:rsidRPr="004B59B4">
              <w:rPr>
                <w:szCs w:val="18"/>
              </w:rPr>
              <w:t xml:space="preserve"> </w:t>
            </w:r>
            <w:r w:rsidR="007F1840" w:rsidRPr="004B59B4">
              <w:rPr>
                <w:szCs w:val="18"/>
              </w:rPr>
              <w:t xml:space="preserve">integrated support in two regions </w:t>
            </w:r>
            <w:r w:rsidR="00B47CB2" w:rsidRPr="004B59B4">
              <w:rPr>
                <w:szCs w:val="18"/>
              </w:rPr>
              <w:t>(M</w:t>
            </w:r>
            <w:r w:rsidR="008665EC">
              <w:rPr>
                <w:szCs w:val="18"/>
              </w:rPr>
              <w:t>SD</w:t>
            </w:r>
            <w:r w:rsidR="00B47CB2" w:rsidRPr="004B59B4">
              <w:rPr>
                <w:szCs w:val="18"/>
              </w:rPr>
              <w:t>)</w:t>
            </w:r>
          </w:p>
          <w:p w14:paraId="4937D9E9" w14:textId="493A0202" w:rsidR="009C5B9B" w:rsidRPr="007D06C8" w:rsidRDefault="009C5B9B" w:rsidP="00206EA5">
            <w:pPr>
              <w:pStyle w:val="TableBullet"/>
            </w:pPr>
            <w:bookmarkStart w:id="60" w:name="_Hlk57649671"/>
            <w:r>
              <w:rPr>
                <w:szCs w:val="18"/>
              </w:rPr>
              <w:t>Provided additional funding for phone and online counselling (</w:t>
            </w:r>
            <w:r>
              <w:t xml:space="preserve">Puāwaitanga) </w:t>
            </w:r>
            <w:r>
              <w:rPr>
                <w:szCs w:val="18"/>
              </w:rPr>
              <w:t>for people with mental health concerns (M</w:t>
            </w:r>
            <w:r w:rsidR="008665EC">
              <w:rPr>
                <w:szCs w:val="18"/>
              </w:rPr>
              <w:t>SD</w:t>
            </w:r>
            <w:r>
              <w:rPr>
                <w:szCs w:val="18"/>
              </w:rPr>
              <w:t>)</w:t>
            </w:r>
            <w:bookmarkEnd w:id="60"/>
          </w:p>
        </w:tc>
        <w:tc>
          <w:tcPr>
            <w:tcW w:w="2420" w:type="pct"/>
          </w:tcPr>
          <w:p w14:paraId="47A6D6B7" w14:textId="735046B7" w:rsidR="0050070E" w:rsidRDefault="0050070E" w:rsidP="00D167B2">
            <w:pPr>
              <w:pStyle w:val="TableBullet"/>
            </w:pPr>
            <w:r>
              <w:t>Continue to ensure eligible New Zealanders have access to income support (M</w:t>
            </w:r>
            <w:r w:rsidR="008665EC">
              <w:t>SD</w:t>
            </w:r>
            <w:r>
              <w:t>)</w:t>
            </w:r>
          </w:p>
          <w:p w14:paraId="53BD74DF" w14:textId="69B5BDC2" w:rsidR="00B47CB2" w:rsidRDefault="00B47CB2" w:rsidP="00A67AA5">
            <w:pPr>
              <w:pStyle w:val="TableBullet"/>
            </w:pPr>
            <w:r>
              <w:t>Continue to ensure New Zealanders</w:t>
            </w:r>
            <w:r w:rsidR="000330E0">
              <w:t xml:space="preserve">, </w:t>
            </w:r>
            <w:r>
              <w:t>particularly those disadvantaged in the labour market</w:t>
            </w:r>
            <w:r w:rsidR="000330E0">
              <w:t>,</w:t>
            </w:r>
            <w:r>
              <w:t xml:space="preserve"> are </w:t>
            </w:r>
            <w:r w:rsidRPr="00A67AA5">
              <w:t>able</w:t>
            </w:r>
            <w:r>
              <w:t xml:space="preserve"> to access employment services and support by ensuring these supports are adaptable and resilient to change (M</w:t>
            </w:r>
            <w:r w:rsidR="008665EC">
              <w:t>SD</w:t>
            </w:r>
            <w:r>
              <w:t>)</w:t>
            </w:r>
          </w:p>
          <w:p w14:paraId="34A538EE" w14:textId="4E70AB47" w:rsidR="009C36BC" w:rsidRPr="007D06C8" w:rsidRDefault="009C36BC" w:rsidP="000330E0">
            <w:pPr>
              <w:pStyle w:val="TableBullet"/>
              <w:numPr>
                <w:ilvl w:val="0"/>
                <w:numId w:val="0"/>
              </w:numPr>
              <w:ind w:left="284"/>
            </w:pPr>
          </w:p>
        </w:tc>
      </w:tr>
      <w:tr w:rsidR="007A4BE9" w14:paraId="3093FFE0" w14:textId="53ABEDAD" w:rsidTr="004609D3">
        <w:trPr>
          <w:cantSplit/>
        </w:trPr>
        <w:tc>
          <w:tcPr>
            <w:tcW w:w="815" w:type="pct"/>
            <w:shd w:val="clear" w:color="auto" w:fill="auto"/>
          </w:tcPr>
          <w:p w14:paraId="36A8E253" w14:textId="78E2DCA0" w:rsidR="007A4BE9" w:rsidRPr="007A4BE9" w:rsidRDefault="007A4BE9" w:rsidP="002F69D1">
            <w:pPr>
              <w:pStyle w:val="TableText"/>
              <w:rPr>
                <w:b/>
              </w:rPr>
            </w:pPr>
            <w:r w:rsidRPr="007A4BE9">
              <w:rPr>
                <w:b/>
              </w:rPr>
              <w:t>Health and safety</w:t>
            </w:r>
          </w:p>
          <w:p w14:paraId="47EB4170" w14:textId="7BE2C5D8" w:rsidR="007A4BE9" w:rsidRPr="00111637" w:rsidRDefault="007A4BE9" w:rsidP="002F69D1">
            <w:pPr>
              <w:pStyle w:val="TableText"/>
            </w:pPr>
            <w:r>
              <w:t>Promote mental wellbeing through safe and healthy workplaces</w:t>
            </w:r>
          </w:p>
        </w:tc>
        <w:tc>
          <w:tcPr>
            <w:tcW w:w="1765" w:type="pct"/>
          </w:tcPr>
          <w:p w14:paraId="353CEFD9" w14:textId="09B246E9" w:rsidR="007A4BE9" w:rsidRDefault="005F1D1C" w:rsidP="002F69D1">
            <w:pPr>
              <w:pStyle w:val="TableBullet"/>
            </w:pPr>
            <w:bookmarkStart w:id="61" w:name="_Hlk53660566"/>
            <w:r w:rsidRPr="00CF5B6F">
              <w:t xml:space="preserve">Disseminated </w:t>
            </w:r>
            <w:hyperlink r:id="rId46" w:history="1">
              <w:r w:rsidR="007A4BE9" w:rsidRPr="00DD0D89">
                <w:rPr>
                  <w:rStyle w:val="Hyperlink"/>
                  <w:b w:val="0"/>
                  <w:bCs/>
                </w:rPr>
                <w:t>guidance for workplaces</w:t>
              </w:r>
            </w:hyperlink>
            <w:r w:rsidR="007A4BE9" w:rsidRPr="00DD0D89">
              <w:rPr>
                <w:b/>
                <w:bCs/>
              </w:rPr>
              <w:t xml:space="preserve"> </w:t>
            </w:r>
            <w:r w:rsidR="007A4BE9" w:rsidRPr="00CF5B6F">
              <w:t>o</w:t>
            </w:r>
            <w:r w:rsidR="007A4BE9" w:rsidRPr="008B07B6">
              <w:t xml:space="preserve">n how to keep workers safe and promoting mental wellbeing </w:t>
            </w:r>
            <w:r w:rsidR="001279FA" w:rsidRPr="004267F3">
              <w:t>(</w:t>
            </w:r>
            <w:r w:rsidR="007D76F0" w:rsidRPr="00E55C16">
              <w:t>WorkSafe</w:t>
            </w:r>
            <w:r w:rsidR="001279FA" w:rsidRPr="004267F3">
              <w:t>)</w:t>
            </w:r>
            <w:bookmarkEnd w:id="61"/>
          </w:p>
          <w:p w14:paraId="6A39EA76" w14:textId="18CB3E1E" w:rsidR="004B59B4" w:rsidRDefault="004B59B4" w:rsidP="002F69D1">
            <w:pPr>
              <w:pStyle w:val="TableBullet"/>
            </w:pPr>
            <w:r>
              <w:t xml:space="preserve">Released an </w:t>
            </w:r>
            <w:r w:rsidR="009B0FC0">
              <w:t>i</w:t>
            </w:r>
            <w:r>
              <w:t xml:space="preserve">ssues </w:t>
            </w:r>
            <w:r w:rsidR="009B0FC0">
              <w:t>p</w:t>
            </w:r>
            <w:r>
              <w:t xml:space="preserve">aper inviting feedback on </w:t>
            </w:r>
            <w:r w:rsidR="009B0FC0">
              <w:t xml:space="preserve">the </w:t>
            </w:r>
            <w:r>
              <w:t>effective</w:t>
            </w:r>
            <w:r w:rsidR="009B0FC0">
              <w:t>ness of</w:t>
            </w:r>
            <w:r>
              <w:t xml:space="preserve"> systems that prevent and respond to bullying and harassment (including sexual harassment) at work (M</w:t>
            </w:r>
            <w:r w:rsidR="008665EC">
              <w:t>BIE</w:t>
            </w:r>
            <w:r>
              <w:t>)</w:t>
            </w:r>
          </w:p>
          <w:p w14:paraId="273A3916" w14:textId="6105B4A4" w:rsidR="000E0614" w:rsidRPr="00CF5B6F" w:rsidRDefault="000E0614" w:rsidP="000E0614">
            <w:pPr>
              <w:pStyle w:val="TableBullet"/>
            </w:pPr>
            <w:r>
              <w:t>Amend</w:t>
            </w:r>
            <w:r w:rsidR="00B93191">
              <w:t>ed</w:t>
            </w:r>
            <w:r>
              <w:t xml:space="preserve"> legislation to allow people affected by domestic violence to vary their working arrangements and access paid leave </w:t>
            </w:r>
            <w:r w:rsidR="00CF667B">
              <w:t>(M</w:t>
            </w:r>
            <w:r w:rsidR="008665EC">
              <w:t>BIE</w:t>
            </w:r>
            <w:r w:rsidR="00CF667B">
              <w:t xml:space="preserve">) </w:t>
            </w:r>
          </w:p>
        </w:tc>
        <w:tc>
          <w:tcPr>
            <w:tcW w:w="2420" w:type="pct"/>
          </w:tcPr>
          <w:p w14:paraId="04205BFA" w14:textId="3443FE02" w:rsidR="0023537D" w:rsidRDefault="0023537D" w:rsidP="004B59B4">
            <w:pPr>
              <w:pStyle w:val="TableBullet"/>
            </w:pPr>
            <w:r>
              <w:t xml:space="preserve">Continue implementing the </w:t>
            </w:r>
            <w:hyperlink r:id="rId47" w:history="1">
              <w:r w:rsidRPr="00DD0D89">
                <w:rPr>
                  <w:rStyle w:val="Hyperlink"/>
                  <w:b w:val="0"/>
                  <w:bCs/>
                  <w:i/>
                </w:rPr>
                <w:t>Health and Safety at Work Strategy 2018</w:t>
              </w:r>
              <w:r w:rsidR="009B0FC0">
                <w:rPr>
                  <w:rStyle w:val="Hyperlink"/>
                  <w:b w:val="0"/>
                  <w:bCs/>
                  <w:i/>
                </w:rPr>
                <w:t>–</w:t>
              </w:r>
              <w:r w:rsidRPr="00DD0D89">
                <w:rPr>
                  <w:rStyle w:val="Hyperlink"/>
                  <w:b w:val="0"/>
                  <w:bCs/>
                  <w:i/>
                </w:rPr>
                <w:t>2028</w:t>
              </w:r>
            </w:hyperlink>
            <w:r w:rsidRPr="00DD0D89">
              <w:rPr>
                <w:b/>
                <w:bCs/>
              </w:rPr>
              <w:t xml:space="preserve"> </w:t>
            </w:r>
            <w:r>
              <w:t>to address drivers of work-related harm (</w:t>
            </w:r>
            <w:r w:rsidR="00CF667B">
              <w:t>M</w:t>
            </w:r>
            <w:r w:rsidR="008665EC">
              <w:t>BIE</w:t>
            </w:r>
            <w:r w:rsidR="008B1897">
              <w:t xml:space="preserve">, </w:t>
            </w:r>
            <w:r>
              <w:t>WorkSafe)</w:t>
            </w:r>
          </w:p>
          <w:p w14:paraId="20888646" w14:textId="283B2745" w:rsidR="007A4BE9" w:rsidRPr="009E0F7C" w:rsidRDefault="00585E96" w:rsidP="00997801">
            <w:pPr>
              <w:pStyle w:val="TableBullet"/>
            </w:pPr>
            <w:r w:rsidRPr="00585E96">
              <w:t>Scop</w:t>
            </w:r>
            <w:r w:rsidR="007D7383">
              <w:t>e</w:t>
            </w:r>
            <w:r w:rsidRPr="00585E96">
              <w:t xml:space="preserve"> guidelines on minimum practice standards for mentally healthy work </w:t>
            </w:r>
            <w:r w:rsidRPr="004267F3">
              <w:t>(</w:t>
            </w:r>
            <w:r w:rsidR="005A34A9" w:rsidRPr="00E55C16">
              <w:t>WorkSafe</w:t>
            </w:r>
            <w:r w:rsidRPr="004267F3">
              <w:t>)</w:t>
            </w:r>
          </w:p>
        </w:tc>
      </w:tr>
      <w:tr w:rsidR="007A4BE9" w14:paraId="4766B09F" w14:textId="77777777" w:rsidTr="004609D3">
        <w:trPr>
          <w:cantSplit/>
        </w:trPr>
        <w:tc>
          <w:tcPr>
            <w:tcW w:w="815" w:type="pct"/>
            <w:shd w:val="clear" w:color="auto" w:fill="auto"/>
          </w:tcPr>
          <w:p w14:paraId="05C66F83" w14:textId="3EED0F7D" w:rsidR="007A4BE9" w:rsidRPr="007A4BE9" w:rsidRDefault="007A4BE9" w:rsidP="002F69D1">
            <w:pPr>
              <w:pStyle w:val="TableText"/>
              <w:rPr>
                <w:b/>
              </w:rPr>
            </w:pPr>
            <w:bookmarkStart w:id="62" w:name="_Hlk54697767"/>
            <w:r w:rsidRPr="007A4BE9">
              <w:rPr>
                <w:b/>
              </w:rPr>
              <w:t>Education</w:t>
            </w:r>
          </w:p>
          <w:p w14:paraId="38CC030D" w14:textId="236571AB" w:rsidR="007A4BE9" w:rsidRPr="00111637" w:rsidRDefault="007A4BE9" w:rsidP="002F69D1">
            <w:pPr>
              <w:pStyle w:val="TableText"/>
            </w:pPr>
            <w:r>
              <w:t xml:space="preserve">Ensure tamariki and rangatahi have access to an </w:t>
            </w:r>
            <w:r w:rsidRPr="00814D51">
              <w:t xml:space="preserve">education system that delivers equitable and excellent </w:t>
            </w:r>
            <w:r>
              <w:t xml:space="preserve">outcomes </w:t>
            </w:r>
          </w:p>
        </w:tc>
        <w:tc>
          <w:tcPr>
            <w:tcW w:w="1765" w:type="pct"/>
          </w:tcPr>
          <w:p w14:paraId="079D797E" w14:textId="0F3F3F88" w:rsidR="00F8647A" w:rsidRDefault="00E52AF3" w:rsidP="009A484F">
            <w:pPr>
              <w:pStyle w:val="TableBullet"/>
            </w:pPr>
            <w:bookmarkStart w:id="63" w:name="_Hlk57288660"/>
            <w:r>
              <w:t>Supported</w:t>
            </w:r>
            <w:r w:rsidR="007A4BE9">
              <w:t xml:space="preserve"> </w:t>
            </w:r>
            <w:r>
              <w:t>the wellbeing of</w:t>
            </w:r>
            <w:r w:rsidR="007A4BE9" w:rsidRPr="007D06C8">
              <w:t xml:space="preserve"> students and teachers, including</w:t>
            </w:r>
            <w:r w:rsidR="007A4BE9">
              <w:t xml:space="preserve"> enabl</w:t>
            </w:r>
            <w:r>
              <w:t>ing</w:t>
            </w:r>
            <w:r w:rsidR="007A4BE9">
              <w:t xml:space="preserve"> </w:t>
            </w:r>
            <w:r w:rsidR="007A4BE9" w:rsidRPr="007D06C8">
              <w:t>remote learning</w:t>
            </w:r>
            <w:r>
              <w:t>,</w:t>
            </w:r>
            <w:r w:rsidR="00CF667B">
              <w:t xml:space="preserve"> </w:t>
            </w:r>
            <w:r w:rsidR="007A4BE9">
              <w:t>promot</w:t>
            </w:r>
            <w:r>
              <w:t>ing</w:t>
            </w:r>
            <w:r w:rsidR="007A4BE9">
              <w:t xml:space="preserve"> </w:t>
            </w:r>
            <w:r w:rsidR="007A4BE9" w:rsidRPr="007D06C8">
              <w:t>mental wellbeing support in schools</w:t>
            </w:r>
            <w:r w:rsidR="00C2727F">
              <w:t>,</w:t>
            </w:r>
            <w:r>
              <w:t xml:space="preserve"> and funding counselling services for educators </w:t>
            </w:r>
            <w:r w:rsidR="0066341A">
              <w:t>(M</w:t>
            </w:r>
            <w:r w:rsidR="008665EC">
              <w:t>oE</w:t>
            </w:r>
            <w:r w:rsidR="0066341A">
              <w:t>)</w:t>
            </w:r>
          </w:p>
          <w:bookmarkEnd w:id="63"/>
          <w:p w14:paraId="059DD8ED" w14:textId="0874ED9F" w:rsidR="000B6A03" w:rsidRPr="007D06C8" w:rsidRDefault="009A484F" w:rsidP="00997801">
            <w:pPr>
              <w:pStyle w:val="TableBullet"/>
            </w:pPr>
            <w:r>
              <w:t>Established the Pacific Education Innovation Fund to</w:t>
            </w:r>
            <w:r w:rsidRPr="009A484F">
              <w:t xml:space="preserve"> support curriculum and wellbeing </w:t>
            </w:r>
            <w:r w:rsidR="00F268E2">
              <w:t xml:space="preserve">of </w:t>
            </w:r>
            <w:r w:rsidRPr="009A484F">
              <w:t xml:space="preserve">Pacific learners </w:t>
            </w:r>
            <w:r w:rsidR="00F268E2">
              <w:t xml:space="preserve">where needs have increased due to </w:t>
            </w:r>
            <w:r w:rsidRPr="009A484F">
              <w:t>COVID-19</w:t>
            </w:r>
            <w:r>
              <w:t xml:space="preserve"> </w:t>
            </w:r>
            <w:r w:rsidR="00CF667B">
              <w:t>(M</w:t>
            </w:r>
            <w:r w:rsidR="008665EC">
              <w:t>oE</w:t>
            </w:r>
            <w:r w:rsidR="00CF667B">
              <w:t xml:space="preserve">) </w:t>
            </w:r>
          </w:p>
        </w:tc>
        <w:tc>
          <w:tcPr>
            <w:tcW w:w="2420" w:type="pct"/>
          </w:tcPr>
          <w:p w14:paraId="5B001659" w14:textId="08CC9C7F" w:rsidR="007A4BE9" w:rsidRDefault="007A4BE9" w:rsidP="002F69D1">
            <w:pPr>
              <w:pStyle w:val="TableBullet"/>
            </w:pPr>
            <w:r>
              <w:t xml:space="preserve">Implement </w:t>
            </w:r>
            <w:r w:rsidR="00B54984" w:rsidRPr="00E55C16">
              <w:t xml:space="preserve">the </w:t>
            </w:r>
            <w:hyperlink r:id="rId48" w:history="1">
              <w:r w:rsidR="00B54984" w:rsidRPr="00DD0D89">
                <w:rPr>
                  <w:rStyle w:val="Hyperlink"/>
                  <w:b w:val="0"/>
                  <w:bCs/>
                </w:rPr>
                <w:t>urgent response fund</w:t>
              </w:r>
            </w:hyperlink>
            <w:r w:rsidRPr="0017642D">
              <w:t xml:space="preserve"> to support early learning services, schools and kura to improve attendance, and to help manage any learning, social, emotional, mental, or other child and youth wellbeing needs directly related to COVID-19</w:t>
            </w:r>
            <w:r w:rsidR="0066341A">
              <w:t xml:space="preserve"> (M</w:t>
            </w:r>
            <w:r w:rsidR="008665EC">
              <w:t>oE</w:t>
            </w:r>
            <w:r w:rsidR="0066341A">
              <w:t>)</w:t>
            </w:r>
            <w:r>
              <w:t xml:space="preserve"> </w:t>
            </w:r>
          </w:p>
          <w:p w14:paraId="2D663C1C" w14:textId="058DB73D" w:rsidR="00453344" w:rsidRDefault="00453344" w:rsidP="00453344">
            <w:pPr>
              <w:pStyle w:val="TableBullet"/>
            </w:pPr>
            <w:r>
              <w:t>Implement joint work programme to address racism and discrimination experienced by children and young people (M</w:t>
            </w:r>
            <w:r w:rsidR="008665EC">
              <w:t>oE</w:t>
            </w:r>
            <w:r w:rsidR="008B1897">
              <w:t xml:space="preserve">, </w:t>
            </w:r>
            <w:r>
              <w:t>M</w:t>
            </w:r>
            <w:r w:rsidR="008665EC">
              <w:t>oJ</w:t>
            </w:r>
            <w:r>
              <w:t>)</w:t>
            </w:r>
          </w:p>
          <w:p w14:paraId="3D2ECC76" w14:textId="00874CFD" w:rsidR="000B6A03" w:rsidRPr="007D06C8" w:rsidRDefault="00453344" w:rsidP="006B6056">
            <w:pPr>
              <w:pStyle w:val="TableBullet"/>
            </w:pPr>
            <w:r>
              <w:t xml:space="preserve">Implement </w:t>
            </w:r>
            <w:r w:rsidR="00412C6B">
              <w:t xml:space="preserve">the </w:t>
            </w:r>
            <w:r w:rsidRPr="00601F6E">
              <w:rPr>
                <w:i/>
                <w:iCs/>
              </w:rPr>
              <w:t>Bullying Prevention and Response Work Programme 2019</w:t>
            </w:r>
            <w:r w:rsidR="009B0FC0">
              <w:rPr>
                <w:i/>
                <w:iCs/>
              </w:rPr>
              <w:t>–</w:t>
            </w:r>
            <w:r w:rsidRPr="00601F6E">
              <w:rPr>
                <w:i/>
                <w:iCs/>
              </w:rPr>
              <w:t>2022</w:t>
            </w:r>
            <w:r>
              <w:t xml:space="preserve"> (M</w:t>
            </w:r>
            <w:r w:rsidR="008665EC">
              <w:t>oE</w:t>
            </w:r>
            <w:r>
              <w:t>)</w:t>
            </w:r>
          </w:p>
        </w:tc>
      </w:tr>
      <w:tr w:rsidR="007A4BE9" w14:paraId="529F3C4A" w14:textId="77777777" w:rsidTr="004609D3">
        <w:trPr>
          <w:cantSplit/>
        </w:trPr>
        <w:tc>
          <w:tcPr>
            <w:tcW w:w="815" w:type="pct"/>
            <w:shd w:val="clear" w:color="auto" w:fill="auto"/>
          </w:tcPr>
          <w:p w14:paraId="5A7E8EA2" w14:textId="218CB5FC" w:rsidR="007A4BE9" w:rsidRPr="00101AA6" w:rsidRDefault="007A4BE9" w:rsidP="001F4202">
            <w:pPr>
              <w:pStyle w:val="TableText"/>
              <w:rPr>
                <w:b/>
              </w:rPr>
            </w:pPr>
            <w:bookmarkStart w:id="64" w:name="_Hlk54277602"/>
            <w:bookmarkEnd w:id="62"/>
            <w:r w:rsidRPr="00101AA6">
              <w:rPr>
                <w:b/>
              </w:rPr>
              <w:t xml:space="preserve">Justice </w:t>
            </w:r>
          </w:p>
          <w:p w14:paraId="4432D32A" w14:textId="77777777" w:rsidR="007A4BE9" w:rsidRPr="00997801" w:rsidRDefault="007A4BE9" w:rsidP="001F4202">
            <w:pPr>
              <w:pStyle w:val="TableText"/>
            </w:pPr>
            <w:r w:rsidRPr="00101AA6">
              <w:t>Keep communities safe and deliver better outcomes for everyone who experiences the justice system</w:t>
            </w:r>
          </w:p>
        </w:tc>
        <w:tc>
          <w:tcPr>
            <w:tcW w:w="1765" w:type="pct"/>
          </w:tcPr>
          <w:p w14:paraId="461AD94C" w14:textId="3E5F0C5F" w:rsidR="00F20417" w:rsidRPr="00101AA6" w:rsidRDefault="00F85634" w:rsidP="00CF5B6F">
            <w:pPr>
              <w:pStyle w:val="TableBullet"/>
            </w:pPr>
            <w:bookmarkStart w:id="65" w:name="_Hlk57283244"/>
            <w:r>
              <w:rPr>
                <w:szCs w:val="24"/>
              </w:rPr>
              <w:t>Supported the</w:t>
            </w:r>
            <w:r w:rsidR="009C0412">
              <w:rPr>
                <w:szCs w:val="24"/>
              </w:rPr>
              <w:t xml:space="preserve"> wellbeing of people in prison during social distancing, such as ensuring continued recreation time</w:t>
            </w:r>
            <w:r>
              <w:rPr>
                <w:szCs w:val="24"/>
              </w:rPr>
              <w:t xml:space="preserve"> and improving access to </w:t>
            </w:r>
            <w:r w:rsidR="00900E31">
              <w:rPr>
                <w:szCs w:val="24"/>
              </w:rPr>
              <w:t>audio-visual</w:t>
            </w:r>
            <w:r>
              <w:rPr>
                <w:szCs w:val="24"/>
              </w:rPr>
              <w:t xml:space="preserve"> facilities for appointments and therapeutic programmes</w:t>
            </w:r>
            <w:bookmarkEnd w:id="65"/>
            <w:r w:rsidR="00CF667B">
              <w:rPr>
                <w:szCs w:val="24"/>
              </w:rPr>
              <w:t xml:space="preserve"> </w:t>
            </w:r>
            <w:r w:rsidR="009C0412">
              <w:rPr>
                <w:szCs w:val="24"/>
              </w:rPr>
              <w:t>(Corrections)</w:t>
            </w:r>
            <w:r w:rsidR="009C0412" w:rsidRPr="00101AA6" w:rsidDel="00915837">
              <w:t xml:space="preserve"> </w:t>
            </w:r>
          </w:p>
        </w:tc>
        <w:tc>
          <w:tcPr>
            <w:tcW w:w="2420" w:type="pct"/>
          </w:tcPr>
          <w:p w14:paraId="19B9FB08" w14:textId="73FF20E5" w:rsidR="00E86A19" w:rsidRPr="00101AA6" w:rsidRDefault="006B35CF" w:rsidP="00B72C59">
            <w:pPr>
              <w:pStyle w:val="TableBullet"/>
            </w:pPr>
            <w:r w:rsidRPr="00101AA6">
              <w:t>Continue to ensure shared parenting arrangements are provided for at elevated Alert Levels</w:t>
            </w:r>
            <w:r w:rsidR="00206EA5" w:rsidRPr="00101AA6">
              <w:t>, with</w:t>
            </w:r>
            <w:r w:rsidRPr="00101AA6">
              <w:t xml:space="preserve"> associated guidance to parents and caregivers (M</w:t>
            </w:r>
            <w:r w:rsidR="008665EC">
              <w:t>oJ</w:t>
            </w:r>
            <w:r w:rsidRPr="00101AA6">
              <w:t>)</w:t>
            </w:r>
          </w:p>
          <w:p w14:paraId="751907CE" w14:textId="62EEA413" w:rsidR="00900E31" w:rsidRDefault="00F474E5" w:rsidP="00B72C59">
            <w:pPr>
              <w:pStyle w:val="TableBullet"/>
            </w:pPr>
            <w:r w:rsidRPr="00101AA6">
              <w:t xml:space="preserve">Implement the </w:t>
            </w:r>
            <w:hyperlink r:id="rId49" w:history="1">
              <w:r w:rsidRPr="00DD0D89">
                <w:rPr>
                  <w:rStyle w:val="Hyperlink"/>
                  <w:b w:val="0"/>
                  <w:bCs/>
                  <w:i/>
                </w:rPr>
                <w:t>Hōkai Rangi Strategy 2019</w:t>
              </w:r>
              <w:r w:rsidR="009B0FC0">
                <w:rPr>
                  <w:rStyle w:val="Hyperlink"/>
                  <w:b w:val="0"/>
                  <w:bCs/>
                  <w:i/>
                </w:rPr>
                <w:t>–</w:t>
              </w:r>
              <w:r w:rsidRPr="00DD0D89">
                <w:rPr>
                  <w:rStyle w:val="Hyperlink"/>
                  <w:b w:val="0"/>
                  <w:bCs/>
                  <w:i/>
                </w:rPr>
                <w:t>2024</w:t>
              </w:r>
            </w:hyperlink>
            <w:r w:rsidR="00900E31" w:rsidRPr="00601F6E">
              <w:rPr>
                <w:b/>
              </w:rPr>
              <w:t xml:space="preserve"> </w:t>
            </w:r>
            <w:r w:rsidR="00900E31" w:rsidRPr="00101AA6">
              <w:t>(</w:t>
            </w:r>
            <w:r w:rsidR="008665EC">
              <w:t>C</w:t>
            </w:r>
            <w:r w:rsidR="00900E31" w:rsidRPr="00101AA6">
              <w:t>orrections)</w:t>
            </w:r>
          </w:p>
          <w:p w14:paraId="0FD4E243" w14:textId="78196010" w:rsidR="007A4BE9" w:rsidRPr="00101AA6" w:rsidRDefault="00900E31" w:rsidP="00B72C59">
            <w:pPr>
              <w:pStyle w:val="TableBullet"/>
            </w:pPr>
            <w:r>
              <w:t>Complete</w:t>
            </w:r>
            <w:r w:rsidR="00B817EE" w:rsidRPr="00101AA6">
              <w:t xml:space="preserve"> the </w:t>
            </w:r>
            <w:r w:rsidR="00B817EE" w:rsidRPr="00AA6B48">
              <w:rPr>
                <w:i/>
              </w:rPr>
              <w:t>Alcohol and Other Drugs Strategy 2021</w:t>
            </w:r>
            <w:r w:rsidR="009B0FC0">
              <w:rPr>
                <w:i/>
              </w:rPr>
              <w:t>–</w:t>
            </w:r>
            <w:r w:rsidR="00B817EE" w:rsidRPr="00AA6B48">
              <w:rPr>
                <w:i/>
              </w:rPr>
              <w:t>2026</w:t>
            </w:r>
            <w:r>
              <w:rPr>
                <w:i/>
              </w:rPr>
              <w:t xml:space="preserve"> </w:t>
            </w:r>
            <w:r w:rsidR="00F474E5" w:rsidRPr="00101AA6">
              <w:t>(Corrections</w:t>
            </w:r>
            <w:r w:rsidR="00E13B6E" w:rsidRPr="00101AA6">
              <w:t>)</w:t>
            </w:r>
          </w:p>
          <w:p w14:paraId="0F0F2230" w14:textId="0B58A73B" w:rsidR="00D167B2" w:rsidRPr="00101AA6" w:rsidRDefault="00D167B2" w:rsidP="00B72C59">
            <w:pPr>
              <w:pStyle w:val="TableBullet"/>
            </w:pPr>
            <w:r w:rsidRPr="00101AA6">
              <w:t xml:space="preserve">Develop a suicide prevention/postvention action plan for </w:t>
            </w:r>
            <w:r w:rsidR="00900E31">
              <w:t>people in Corrections’ care</w:t>
            </w:r>
            <w:r w:rsidR="00900E31" w:rsidRPr="00101AA6">
              <w:t xml:space="preserve"> </w:t>
            </w:r>
            <w:r w:rsidRPr="00101AA6">
              <w:t>(Corrections</w:t>
            </w:r>
            <w:r w:rsidR="006D06DF">
              <w:t>)</w:t>
            </w:r>
          </w:p>
        </w:tc>
      </w:tr>
      <w:bookmarkEnd w:id="64"/>
    </w:tbl>
    <w:p w14:paraId="33EC5D97" w14:textId="77777777" w:rsidR="009611E0" w:rsidRDefault="009611E0" w:rsidP="009E79B7">
      <w:pPr>
        <w:spacing w:after="120"/>
        <w:ind w:right="-284"/>
        <w:rPr>
          <w:b/>
          <w:spacing w:val="-2"/>
        </w:rPr>
        <w:sectPr w:rsidR="009611E0" w:rsidSect="00230DDC">
          <w:footerReference w:type="default" r:id="rId50"/>
          <w:endnotePr>
            <w:numFmt w:val="decimal"/>
          </w:endnotePr>
          <w:pgSz w:w="16838" w:h="11906" w:orient="landscape" w:code="9"/>
          <w:pgMar w:top="567" w:right="567" w:bottom="567" w:left="567" w:header="425" w:footer="425" w:gutter="284"/>
          <w:cols w:space="720"/>
          <w:docGrid w:linePitch="286"/>
        </w:sectPr>
      </w:pPr>
    </w:p>
    <w:p w14:paraId="25EAAB43" w14:textId="0A023688" w:rsidR="002D57E4" w:rsidRPr="002D57E4" w:rsidRDefault="00C3624A" w:rsidP="008148E6">
      <w:pPr>
        <w:pStyle w:val="Heading3"/>
        <w:ind w:right="-284"/>
        <w:rPr>
          <w:color w:val="auto"/>
          <w:spacing w:val="0"/>
          <w:sz w:val="21"/>
        </w:rPr>
      </w:pPr>
      <w:bookmarkStart w:id="66" w:name="_Hlk49502239"/>
      <w:bookmarkStart w:id="67" w:name="_Hlk55833674"/>
      <w:r w:rsidRPr="00CE5C74">
        <w:t>Focus area 2</w:t>
      </w:r>
      <w:r w:rsidR="00155C3C" w:rsidRPr="00753E09">
        <w:t>:</w:t>
      </w:r>
      <w:r w:rsidRPr="00753E09">
        <w:t xml:space="preserve"> </w:t>
      </w:r>
      <w:r w:rsidR="00BE1C23" w:rsidRPr="00753E09">
        <w:t>Foster</w:t>
      </w:r>
      <w:r w:rsidR="00BE1C23" w:rsidRPr="00CE5C74">
        <w:t xml:space="preserve"> </w:t>
      </w:r>
      <w:r w:rsidRPr="00CE5C74">
        <w:t xml:space="preserve">community-led </w:t>
      </w:r>
      <w:r w:rsidR="00F021AD">
        <w:t>solutions</w:t>
      </w:r>
    </w:p>
    <w:p w14:paraId="44AC919D" w14:textId="0A53B4A4" w:rsidR="002D57E4" w:rsidRDefault="002D57E4" w:rsidP="00320679">
      <w:r w:rsidRPr="002D57E4">
        <w:t xml:space="preserve">This focus area aims to </w:t>
      </w:r>
      <w:r w:rsidR="00D35E48">
        <w:t xml:space="preserve">build on and </w:t>
      </w:r>
      <w:r w:rsidRPr="002D57E4">
        <w:t xml:space="preserve">strengthen community-led responses to mental wellbeing needs, particularly initiatives led by community organisations; whānau, hapū and iwi; and tāngata whaiora (people </w:t>
      </w:r>
      <w:r w:rsidR="007D6CE4">
        <w:t>seeking wellness</w:t>
      </w:r>
      <w:r w:rsidRPr="002D57E4">
        <w:t>).</w:t>
      </w:r>
    </w:p>
    <w:p w14:paraId="19025D31" w14:textId="77777777" w:rsidR="00320679" w:rsidRPr="002D57E4" w:rsidRDefault="00320679" w:rsidP="005A23C2"/>
    <w:p w14:paraId="5DC5EC57" w14:textId="139AF3E0" w:rsidR="002D57E4" w:rsidRPr="00A2033D" w:rsidRDefault="002D57E4" w:rsidP="002D57E4">
      <w:pPr>
        <w:rPr>
          <w:b/>
        </w:rPr>
      </w:pPr>
      <w:r>
        <w:t>Whānau,</w:t>
      </w:r>
      <w:r w:rsidRPr="00A2033D">
        <w:t xml:space="preserve"> friends</w:t>
      </w:r>
      <w:r>
        <w:t>, neighbours, n</w:t>
      </w:r>
      <w:r w:rsidRPr="00A2033D">
        <w:t>etworks</w:t>
      </w:r>
      <w:r>
        <w:t>, volunteers</w:t>
      </w:r>
      <w:r w:rsidR="00036484">
        <w:t xml:space="preserve"> </w:t>
      </w:r>
      <w:r w:rsidRPr="00A2033D">
        <w:t xml:space="preserve">and </w:t>
      </w:r>
      <w:r>
        <w:t>community organisations</w:t>
      </w:r>
      <w:r w:rsidRPr="00A2033D">
        <w:t xml:space="preserve"> (such as marae, sport and recreation clubs, arts groups, playcentres </w:t>
      </w:r>
      <w:r w:rsidR="008A2A13">
        <w:t xml:space="preserve">and </w:t>
      </w:r>
      <w:r w:rsidR="00AA1E74">
        <w:t>faith-based groups</w:t>
      </w:r>
      <w:r w:rsidR="008A2A13">
        <w:t xml:space="preserve">) </w:t>
      </w:r>
      <w:r w:rsidR="00A84CA4">
        <w:t xml:space="preserve">and workplaces </w:t>
      </w:r>
      <w:r w:rsidRPr="00A2033D">
        <w:t xml:space="preserve">play a vital role in helping </w:t>
      </w:r>
      <w:r w:rsidR="009A0E89">
        <w:t>people</w:t>
      </w:r>
      <w:r w:rsidR="009A0E89" w:rsidRPr="00A2033D">
        <w:t xml:space="preserve"> </w:t>
      </w:r>
      <w:r w:rsidRPr="00A2033D">
        <w:t>find positive path</w:t>
      </w:r>
      <w:r>
        <w:t>s</w:t>
      </w:r>
      <w:r w:rsidRPr="00A2033D">
        <w:t xml:space="preserve"> through challenging times. </w:t>
      </w:r>
    </w:p>
    <w:p w14:paraId="0D08B387" w14:textId="77777777" w:rsidR="002D57E4" w:rsidRDefault="002D57E4" w:rsidP="002D57E4"/>
    <w:p w14:paraId="21DC076E" w14:textId="0FBAAF01" w:rsidR="002D57E4" w:rsidRDefault="002D57E4" w:rsidP="002D57E4">
      <w:pPr>
        <w:ind w:right="-284"/>
        <w:rPr>
          <w:spacing w:val="-2"/>
        </w:rPr>
      </w:pPr>
      <w:r>
        <w:t xml:space="preserve">Community-led </w:t>
      </w:r>
      <w:r w:rsidR="001A15B8">
        <w:t xml:space="preserve">development involves drawing on and enhancing the strengths and assets that exist within communities. It </w:t>
      </w:r>
      <w:r>
        <w:t xml:space="preserve">is often </w:t>
      </w:r>
      <w:r w:rsidR="009A0E89">
        <w:t xml:space="preserve">boosted </w:t>
      </w:r>
      <w:r>
        <w:t xml:space="preserve">by </w:t>
      </w:r>
      <w:r w:rsidRPr="0034663F">
        <w:rPr>
          <w:spacing w:val="-2"/>
        </w:rPr>
        <w:t>support</w:t>
      </w:r>
      <w:r>
        <w:rPr>
          <w:spacing w:val="-2"/>
        </w:rPr>
        <w:t xml:space="preserve"> from iwi, local authorities, DHBs, branches of national community organisations, philanthropic trusts, businesses or central government. This ensures communities have the information and resources necessary to meet their goals.</w:t>
      </w:r>
    </w:p>
    <w:p w14:paraId="1115C215" w14:textId="77777777" w:rsidR="002D57E4" w:rsidRPr="00421C59" w:rsidRDefault="002D57E4" w:rsidP="002D57E4">
      <w:pPr>
        <w:ind w:right="-284"/>
      </w:pPr>
    </w:p>
    <w:p w14:paraId="65022EA8" w14:textId="77777777" w:rsidR="00342353" w:rsidRPr="00342353" w:rsidRDefault="002D57E4" w:rsidP="00421C59">
      <w:pPr>
        <w:ind w:right="-284"/>
      </w:pPr>
      <w:r w:rsidRPr="00342353">
        <w:t xml:space="preserve">During the initial Alert Level 4, community-led activity came to the fore, with remarkable acts of kindness and innovation. Diverse initiatives included hygiene buckets and precooked meals for older Māori, health care mobile units and testing stations led by Pacific communities, virtual parenting programmes and wellbeing events, and phone and video sessions for people with addiction challenges. </w:t>
      </w:r>
    </w:p>
    <w:p w14:paraId="6FB246E7" w14:textId="77777777" w:rsidR="005249E2" w:rsidRDefault="005249E2" w:rsidP="00421C59">
      <w:pPr>
        <w:ind w:right="-284"/>
      </w:pPr>
    </w:p>
    <w:p w14:paraId="3CE7AA9A" w14:textId="77777777" w:rsidR="003A3DE9" w:rsidRDefault="003A3DE9" w:rsidP="00421C59">
      <w:pPr>
        <w:ind w:right="-284"/>
      </w:pPr>
    </w:p>
    <w:p w14:paraId="1D814927" w14:textId="77777777" w:rsidR="00A56912" w:rsidRDefault="00A56912" w:rsidP="00BE21B6">
      <w:pPr>
        <w:rPr>
          <w:b/>
          <w:spacing w:val="-2"/>
        </w:rPr>
      </w:pPr>
    </w:p>
    <w:p w14:paraId="607EAF69" w14:textId="77777777" w:rsidR="00DE045E" w:rsidRDefault="00DE045E">
      <w:pPr>
        <w:rPr>
          <w:b/>
          <w:spacing w:val="-2"/>
        </w:rPr>
        <w:sectPr w:rsidR="00DE045E" w:rsidSect="004968E3">
          <w:endnotePr>
            <w:numFmt w:val="decimal"/>
          </w:endnotePr>
          <w:pgSz w:w="11906" w:h="16838" w:code="9"/>
          <w:pgMar w:top="1134" w:right="1134" w:bottom="1134" w:left="1134" w:header="425" w:footer="425" w:gutter="284"/>
          <w:cols w:space="720"/>
          <w:docGrid w:linePitch="286"/>
        </w:sectPr>
      </w:pPr>
    </w:p>
    <w:p w14:paraId="27D31E0C" w14:textId="713CEDC7" w:rsidR="00F10866" w:rsidRDefault="00A65FE3" w:rsidP="00C4021B">
      <w:pPr>
        <w:spacing w:after="120"/>
        <w:rPr>
          <w:highlight w:val="yellow"/>
        </w:rPr>
      </w:pPr>
      <w:r>
        <w:rPr>
          <w:b/>
          <w:spacing w:val="-2"/>
        </w:rPr>
        <w:t xml:space="preserve">Focus area 2: </w:t>
      </w:r>
      <w:r w:rsidR="006A6F2E" w:rsidRPr="006A6F2E">
        <w:rPr>
          <w:b/>
          <w:spacing w:val="-2"/>
        </w:rPr>
        <w:t xml:space="preserve">Foster community-led </w:t>
      </w:r>
      <w:r w:rsidR="00284E15">
        <w:rPr>
          <w:b/>
          <w:spacing w:val="-2"/>
        </w:rPr>
        <w:t>solutions</w:t>
      </w:r>
    </w:p>
    <w:tbl>
      <w:tblPr>
        <w:tblW w:w="15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551"/>
        <w:gridCol w:w="6091"/>
        <w:gridCol w:w="7005"/>
      </w:tblGrid>
      <w:tr w:rsidR="00C4021B" w:rsidRPr="00155C3C" w14:paraId="6F00D1C3" w14:textId="77777777" w:rsidTr="002F69D1">
        <w:trPr>
          <w:cantSplit/>
          <w:tblHeader/>
        </w:trPr>
        <w:tc>
          <w:tcPr>
            <w:tcW w:w="15647" w:type="dxa"/>
            <w:gridSpan w:val="3"/>
            <w:shd w:val="clear" w:color="auto" w:fill="D9D9D9" w:themeFill="background1" w:themeFillShade="D9"/>
            <w:hideMark/>
          </w:tcPr>
          <w:p w14:paraId="314995B3" w14:textId="2A67F0D6" w:rsidR="00C4021B" w:rsidRPr="007D06C8" w:rsidRDefault="00C4021B" w:rsidP="002F69D1">
            <w:pPr>
              <w:pStyle w:val="TableText"/>
              <w:rPr>
                <w:b/>
              </w:rPr>
            </w:pPr>
            <w:bookmarkStart w:id="68" w:name="_Hlk53750243"/>
            <w:r w:rsidRPr="007D06C8">
              <w:rPr>
                <w:b/>
              </w:rPr>
              <w:t>Outcome:</w:t>
            </w:r>
            <w:r w:rsidR="002F1792">
              <w:rPr>
                <w:b/>
              </w:rPr>
              <w:t xml:space="preserve"> </w:t>
            </w:r>
            <w:r w:rsidRPr="00284E15">
              <w:rPr>
                <w:b/>
              </w:rPr>
              <w:t>Whānau and communities respond to mental distress and lead solutions</w:t>
            </w:r>
          </w:p>
        </w:tc>
      </w:tr>
      <w:tr w:rsidR="007A4BE9" w:rsidRPr="00155C3C" w14:paraId="3E8BCB12" w14:textId="77777777" w:rsidTr="007A4BE9">
        <w:trPr>
          <w:cantSplit/>
        </w:trPr>
        <w:tc>
          <w:tcPr>
            <w:tcW w:w="2551" w:type="dxa"/>
            <w:shd w:val="clear" w:color="auto" w:fill="auto"/>
            <w:hideMark/>
          </w:tcPr>
          <w:p w14:paraId="0D7C0899" w14:textId="77777777" w:rsidR="007A4BE9" w:rsidRPr="007D06C8" w:rsidRDefault="007A4BE9" w:rsidP="002F69D1">
            <w:pPr>
              <w:pStyle w:val="TableText"/>
              <w:rPr>
                <w:b/>
              </w:rPr>
            </w:pPr>
            <w:r w:rsidRPr="007D06C8">
              <w:rPr>
                <w:b/>
              </w:rPr>
              <w:t>Areas for action</w:t>
            </w:r>
          </w:p>
        </w:tc>
        <w:tc>
          <w:tcPr>
            <w:tcW w:w="6091" w:type="dxa"/>
          </w:tcPr>
          <w:p w14:paraId="6A6298A4" w14:textId="77777777" w:rsidR="007A4BE9" w:rsidRPr="007D06C8" w:rsidRDefault="007A4BE9" w:rsidP="002F69D1">
            <w:pPr>
              <w:pStyle w:val="TableText"/>
              <w:rPr>
                <w:b/>
              </w:rPr>
            </w:pPr>
            <w:r w:rsidRPr="007D06C8">
              <w:rPr>
                <w:b/>
              </w:rPr>
              <w:t xml:space="preserve">Examples of progress </w:t>
            </w:r>
          </w:p>
        </w:tc>
        <w:tc>
          <w:tcPr>
            <w:tcW w:w="7005" w:type="dxa"/>
          </w:tcPr>
          <w:p w14:paraId="42C945E9" w14:textId="7D3E901C" w:rsidR="007A4BE9" w:rsidRPr="007D06C8" w:rsidRDefault="007A4BE9" w:rsidP="002F69D1">
            <w:pPr>
              <w:pStyle w:val="TableText"/>
              <w:rPr>
                <w:b/>
              </w:rPr>
            </w:pPr>
            <w:r w:rsidRPr="007D06C8">
              <w:rPr>
                <w:b/>
              </w:rPr>
              <w:t>Priorities for national action</w:t>
            </w:r>
          </w:p>
        </w:tc>
      </w:tr>
      <w:tr w:rsidR="00616BDF" w14:paraId="1085DD57" w14:textId="77777777" w:rsidTr="007A4BE9">
        <w:trPr>
          <w:cantSplit/>
        </w:trPr>
        <w:tc>
          <w:tcPr>
            <w:tcW w:w="2551" w:type="dxa"/>
            <w:shd w:val="clear" w:color="auto" w:fill="auto"/>
          </w:tcPr>
          <w:p w14:paraId="4DE33570" w14:textId="138A1654" w:rsidR="00616BDF" w:rsidRDefault="00616BDF" w:rsidP="002F69D1">
            <w:pPr>
              <w:pStyle w:val="TableText"/>
            </w:pPr>
            <w:bookmarkStart w:id="69" w:name="_Hlk53749000"/>
            <w:bookmarkStart w:id="70" w:name="_Hlk53750176"/>
            <w:bookmarkEnd w:id="68"/>
            <w:r>
              <w:t>Support iwi</w:t>
            </w:r>
            <w:r w:rsidR="00F5535D">
              <w:t>, hapū, wh</w:t>
            </w:r>
            <w:r w:rsidR="00281F8A">
              <w:t>ā</w:t>
            </w:r>
            <w:r w:rsidR="00F5535D">
              <w:t xml:space="preserve">nau </w:t>
            </w:r>
            <w:r>
              <w:t>and Māori organisations</w:t>
            </w:r>
            <w:r w:rsidR="00F5535D">
              <w:t xml:space="preserve"> to lead </w:t>
            </w:r>
            <w:bookmarkEnd w:id="69"/>
          </w:p>
        </w:tc>
        <w:tc>
          <w:tcPr>
            <w:tcW w:w="6091" w:type="dxa"/>
          </w:tcPr>
          <w:p w14:paraId="1573AB04" w14:textId="512ED124" w:rsidR="002632CD" w:rsidRDefault="00045152" w:rsidP="00C548ED">
            <w:pPr>
              <w:pStyle w:val="TableBullet"/>
            </w:pPr>
            <w:r w:rsidRPr="00B817EE">
              <w:t xml:space="preserve">Invested in </w:t>
            </w:r>
            <w:r w:rsidR="004C0445">
              <w:t xml:space="preserve">a </w:t>
            </w:r>
            <w:r w:rsidRPr="00B817EE">
              <w:t xml:space="preserve">COVID-19 Māori Mental Health and Addiction Provider Support Fund </w:t>
            </w:r>
            <w:r w:rsidR="000C4778">
              <w:t>and</w:t>
            </w:r>
            <w:r w:rsidR="004C0445">
              <w:t xml:space="preserve"> c</w:t>
            </w:r>
            <w:r w:rsidR="00FE33BE">
              <w:t>ontributed f</w:t>
            </w:r>
            <w:r w:rsidR="00FE33BE" w:rsidRPr="00B817EE">
              <w:t>und</w:t>
            </w:r>
            <w:r w:rsidR="00FE33BE">
              <w:t xml:space="preserve">ing to iwi to provide </w:t>
            </w:r>
            <w:r w:rsidRPr="00B817EE">
              <w:t>COVID-19 psychosocial support for kaumātua and kuia (M</w:t>
            </w:r>
            <w:r w:rsidR="008665EC">
              <w:t>oH</w:t>
            </w:r>
            <w:r w:rsidRPr="00B817EE">
              <w:t>)</w:t>
            </w:r>
            <w:r w:rsidR="0018118A">
              <w:t xml:space="preserve"> </w:t>
            </w:r>
          </w:p>
          <w:p w14:paraId="2085DC90" w14:textId="0C1A2028" w:rsidR="00FE33BE" w:rsidRPr="00B817EE" w:rsidRDefault="004C0445" w:rsidP="00E55C16">
            <w:pPr>
              <w:pStyle w:val="TableBullet"/>
            </w:pPr>
            <w:r>
              <w:t>Supported</w:t>
            </w:r>
            <w:r w:rsidRPr="00B8729B">
              <w:t xml:space="preserve"> iwi and Māori organisations to respond to the needs of local communities </w:t>
            </w:r>
            <w:r w:rsidRPr="00586574">
              <w:t>through COVID-19</w:t>
            </w:r>
            <w:r w:rsidR="004B0E2A">
              <w:t xml:space="preserve">, including Budget 2020 investment in </w:t>
            </w:r>
            <w:r w:rsidR="004B0E2A" w:rsidRPr="006C0A60">
              <w:t>Whānau Ora</w:t>
            </w:r>
            <w:r w:rsidRPr="00586574">
              <w:t xml:space="preserve"> (T</w:t>
            </w:r>
            <w:r w:rsidR="008665EC">
              <w:t>PK</w:t>
            </w:r>
            <w:r w:rsidRPr="00586574">
              <w:t>)</w:t>
            </w:r>
          </w:p>
        </w:tc>
        <w:tc>
          <w:tcPr>
            <w:tcW w:w="7005" w:type="dxa"/>
          </w:tcPr>
          <w:p w14:paraId="4D892E67" w14:textId="41A96239" w:rsidR="002F6735" w:rsidRDefault="00BB577A" w:rsidP="005E5111">
            <w:pPr>
              <w:pStyle w:val="TableBullet"/>
            </w:pPr>
            <w:r>
              <w:t xml:space="preserve">Top-up funding </w:t>
            </w:r>
            <w:r w:rsidR="00045152" w:rsidRPr="00B817EE">
              <w:t xml:space="preserve">for </w:t>
            </w:r>
            <w:r w:rsidR="00E65852" w:rsidRPr="00B817EE">
              <w:t>COVID-19 Māori Mental Health and Addiction Provider Support Fund</w:t>
            </w:r>
            <w:r w:rsidR="009A0E89">
              <w:t>,</w:t>
            </w:r>
            <w:r w:rsidR="00E65852" w:rsidRPr="00B817EE">
              <w:t xml:space="preserve"> </w:t>
            </w:r>
            <w:r w:rsidR="00045152" w:rsidRPr="00B817EE">
              <w:t xml:space="preserve">and </w:t>
            </w:r>
            <w:r w:rsidR="0097534E" w:rsidRPr="00B817EE">
              <w:t>psychosocial support for kaum</w:t>
            </w:r>
            <w:r w:rsidR="00E931D7" w:rsidRPr="00B817EE">
              <w:t>ā</w:t>
            </w:r>
            <w:r w:rsidR="0097534E" w:rsidRPr="00B817EE">
              <w:t>tua and kuia (</w:t>
            </w:r>
            <w:r w:rsidR="00476DBC">
              <w:t>MoH</w:t>
            </w:r>
            <w:r w:rsidR="0097534E" w:rsidRPr="00B817EE">
              <w:t>)</w:t>
            </w:r>
          </w:p>
          <w:p w14:paraId="5816A1D5" w14:textId="35E37F5B" w:rsidR="00B659D1" w:rsidRDefault="00B659D1" w:rsidP="005E5111">
            <w:pPr>
              <w:pStyle w:val="TableBullet"/>
            </w:pPr>
            <w:r>
              <w:t xml:space="preserve">Implement the </w:t>
            </w:r>
            <w:r w:rsidRPr="00342353">
              <w:t>Māori Suicide Prevention Community Fund</w:t>
            </w:r>
            <w:r>
              <w:t xml:space="preserve"> (S</w:t>
            </w:r>
            <w:r w:rsidR="00476DBC">
              <w:t>PO</w:t>
            </w:r>
            <w:r>
              <w:t>)</w:t>
            </w:r>
          </w:p>
          <w:p w14:paraId="7F491873" w14:textId="7399A19E" w:rsidR="00281F8A" w:rsidRDefault="00517A76" w:rsidP="00517A76">
            <w:pPr>
              <w:pStyle w:val="TableBullet"/>
            </w:pPr>
            <w:r w:rsidRPr="00395A2E">
              <w:t>Continue to advocate for</w:t>
            </w:r>
            <w:r w:rsidR="0076209F">
              <w:t>,</w:t>
            </w:r>
            <w:r w:rsidRPr="00395A2E">
              <w:t xml:space="preserve"> and support Whānau Ora as a Treaty</w:t>
            </w:r>
            <w:r w:rsidR="00DD4C8F">
              <w:t>-</w:t>
            </w:r>
            <w:r w:rsidRPr="00395A2E">
              <w:t xml:space="preserve">based approach that gives whānau control over their own lives </w:t>
            </w:r>
            <w:r w:rsidR="00CF1E6C">
              <w:t>through</w:t>
            </w:r>
            <w:r w:rsidRPr="00395A2E">
              <w:t xml:space="preserve"> invest</w:t>
            </w:r>
            <w:r w:rsidR="00CF1E6C">
              <w:t>ment</w:t>
            </w:r>
            <w:r w:rsidRPr="00395A2E">
              <w:t xml:space="preserve"> in services and initiatives that </w:t>
            </w:r>
            <w:r w:rsidR="00CF1E6C">
              <w:t>support</w:t>
            </w:r>
            <w:r w:rsidRPr="00395A2E">
              <w:t xml:space="preserve"> </w:t>
            </w:r>
            <w:r w:rsidR="00CF1E6C">
              <w:t xml:space="preserve">their </w:t>
            </w:r>
            <w:r w:rsidRPr="00395A2E">
              <w:t xml:space="preserve">aspirations </w:t>
            </w:r>
            <w:r w:rsidR="0076209F" w:rsidRPr="00586574">
              <w:t>(T</w:t>
            </w:r>
            <w:r w:rsidR="00476DBC">
              <w:t>PK</w:t>
            </w:r>
            <w:r w:rsidR="0076209F" w:rsidRPr="00586574">
              <w:t>)</w:t>
            </w:r>
            <w:r w:rsidR="0076209F" w:rsidRPr="00395A2E">
              <w:t xml:space="preserve"> </w:t>
            </w:r>
          </w:p>
          <w:p w14:paraId="4A6B46BF" w14:textId="1FFF0AD4" w:rsidR="00900E31" w:rsidRPr="00B817EE" w:rsidRDefault="00900E31" w:rsidP="00517A76">
            <w:pPr>
              <w:pStyle w:val="TableBullet"/>
            </w:pPr>
            <w:r>
              <w:t xml:space="preserve">Continue to partner with Māori organisations for delivery of </w:t>
            </w:r>
            <w:r w:rsidR="009A0E89">
              <w:t>d</w:t>
            </w:r>
            <w:r>
              <w:t xml:space="preserve">rug </w:t>
            </w:r>
            <w:r w:rsidR="009A0E89">
              <w:t>t</w:t>
            </w:r>
            <w:r>
              <w:t>reatment programmes (Corrections)</w:t>
            </w:r>
          </w:p>
        </w:tc>
      </w:tr>
      <w:bookmarkEnd w:id="70"/>
      <w:tr w:rsidR="007A4BE9" w14:paraId="26A80399" w14:textId="77777777" w:rsidTr="007A4BE9">
        <w:trPr>
          <w:cantSplit/>
        </w:trPr>
        <w:tc>
          <w:tcPr>
            <w:tcW w:w="2551" w:type="dxa"/>
            <w:shd w:val="clear" w:color="auto" w:fill="auto"/>
          </w:tcPr>
          <w:p w14:paraId="4BCF1819" w14:textId="3DA48D24" w:rsidR="007A4BE9" w:rsidRPr="00443371" w:rsidRDefault="00AD1BB9" w:rsidP="002F69D1">
            <w:pPr>
              <w:pStyle w:val="TableText"/>
            </w:pPr>
            <w:r>
              <w:t>Support</w:t>
            </w:r>
            <w:r w:rsidRPr="005E7CAC">
              <w:t xml:space="preserve"> </w:t>
            </w:r>
            <w:r w:rsidR="00011DDB">
              <w:t>the capacity of communities to lead</w:t>
            </w:r>
            <w:r w:rsidRPr="005E7CAC">
              <w:t xml:space="preserve"> </w:t>
            </w:r>
            <w:r>
              <w:t>initiatives</w:t>
            </w:r>
            <w:r w:rsidRPr="005E7CAC">
              <w:t xml:space="preserve"> </w:t>
            </w:r>
            <w:r w:rsidR="00A3020C">
              <w:t>that enhance</w:t>
            </w:r>
            <w:r w:rsidRPr="005E7CAC">
              <w:t xml:space="preserve"> mental wellbeing</w:t>
            </w:r>
          </w:p>
        </w:tc>
        <w:tc>
          <w:tcPr>
            <w:tcW w:w="6091" w:type="dxa"/>
          </w:tcPr>
          <w:p w14:paraId="607469D6" w14:textId="5CF4A2C4" w:rsidR="00A24B78" w:rsidRDefault="00135250" w:rsidP="00CE1C1E">
            <w:pPr>
              <w:pStyle w:val="TableBullet"/>
            </w:pPr>
            <w:r>
              <w:t>Establish</w:t>
            </w:r>
            <w:r w:rsidR="003B5FF3">
              <w:t>ed</w:t>
            </w:r>
            <w:r>
              <w:t xml:space="preserve"> grant</w:t>
            </w:r>
            <w:r w:rsidR="00724F47">
              <w:t xml:space="preserve"> funds</w:t>
            </w:r>
            <w:r>
              <w:t xml:space="preserve"> to support community COVID-19 response and recovery</w:t>
            </w:r>
            <w:r w:rsidR="000E4BFD">
              <w:t xml:space="preserve"> </w:t>
            </w:r>
            <w:r w:rsidR="00093CE8">
              <w:t>(</w:t>
            </w:r>
            <w:r w:rsidR="003B5FF3">
              <w:t>including</w:t>
            </w:r>
            <w:r w:rsidR="00093CE8">
              <w:t xml:space="preserve"> </w:t>
            </w:r>
            <w:r w:rsidR="00A24B78">
              <w:t xml:space="preserve">through the </w:t>
            </w:r>
            <w:r w:rsidRPr="00342353">
              <w:t>Lottery Grants Board</w:t>
            </w:r>
            <w:r w:rsidR="00A24B78">
              <w:t xml:space="preserve">, </w:t>
            </w:r>
            <w:r>
              <w:t>M</w:t>
            </w:r>
            <w:r w:rsidR="00476DBC">
              <w:t>SD</w:t>
            </w:r>
            <w:r w:rsidR="00A24B78">
              <w:t xml:space="preserve">, </w:t>
            </w:r>
            <w:r w:rsidR="00146EF5">
              <w:t xml:space="preserve">MCH, </w:t>
            </w:r>
            <w:r w:rsidR="00A24B78">
              <w:t>Sport NZ</w:t>
            </w:r>
            <w:r w:rsidR="00FF723E">
              <w:t>)</w:t>
            </w:r>
          </w:p>
          <w:p w14:paraId="288212CE" w14:textId="7B891FA0" w:rsidR="00A3020C" w:rsidRPr="007D06C8" w:rsidRDefault="00616BDF" w:rsidP="00AA6B48">
            <w:pPr>
              <w:pStyle w:val="TableBullet"/>
              <w:ind w:right="-284"/>
            </w:pPr>
            <w:r>
              <w:t xml:space="preserve">Established </w:t>
            </w:r>
            <w:r w:rsidR="007A4BE9">
              <w:t xml:space="preserve">the </w:t>
            </w:r>
            <w:hyperlink r:id="rId51" w:history="1">
              <w:r w:rsidR="007A4BE9" w:rsidRPr="00135250">
                <w:t>Whai Ora, Whiti Ora Fund</w:t>
              </w:r>
            </w:hyperlink>
            <w:r w:rsidR="007A4BE9" w:rsidRPr="00135250">
              <w:t xml:space="preserve"> </w:t>
            </w:r>
            <w:r>
              <w:t xml:space="preserve">to </w:t>
            </w:r>
            <w:r w:rsidR="006B6056">
              <w:t>support people living with mental health and addiction challenges</w:t>
            </w:r>
            <w:r w:rsidR="00E56E76">
              <w:t xml:space="preserve"> </w:t>
            </w:r>
            <w:r w:rsidR="00EA1129">
              <w:t>(M</w:t>
            </w:r>
            <w:r w:rsidR="00476DBC">
              <w:t>oH</w:t>
            </w:r>
            <w:r w:rsidR="00EA1129">
              <w:t>)</w:t>
            </w:r>
            <w:r w:rsidR="0018118A">
              <w:t xml:space="preserve"> </w:t>
            </w:r>
          </w:p>
        </w:tc>
        <w:tc>
          <w:tcPr>
            <w:tcW w:w="7005" w:type="dxa"/>
          </w:tcPr>
          <w:p w14:paraId="7BECAF0C" w14:textId="568F26D9" w:rsidR="00B6633D" w:rsidRDefault="00C208B9" w:rsidP="009C5B9B">
            <w:pPr>
              <w:pStyle w:val="TableBullet"/>
            </w:pPr>
            <w:r>
              <w:t xml:space="preserve">Review evidence of what works in strengthening community resilience in the New Zealand context </w:t>
            </w:r>
            <w:r w:rsidR="00B6633D">
              <w:t>(M</w:t>
            </w:r>
            <w:r w:rsidR="00476DBC">
              <w:t>SD</w:t>
            </w:r>
            <w:r w:rsidR="00B6633D">
              <w:t>)</w:t>
            </w:r>
          </w:p>
          <w:p w14:paraId="2DC610F5" w14:textId="0219E62F" w:rsidR="009C5B9B" w:rsidRDefault="009C5B9B" w:rsidP="009C5B9B">
            <w:pPr>
              <w:pStyle w:val="TableBullet"/>
            </w:pPr>
            <w:bookmarkStart w:id="71" w:name="_Hlk57649974"/>
            <w:r>
              <w:t xml:space="preserve">Continue the </w:t>
            </w:r>
            <w:hyperlink r:id="rId52" w:history="1">
              <w:r w:rsidRPr="001D3401">
                <w:rPr>
                  <w:rStyle w:val="Hyperlink"/>
                  <w:b w:val="0"/>
                  <w:bCs/>
                </w:rPr>
                <w:t>Social Sector Commissioning work programme</w:t>
              </w:r>
            </w:hyperlink>
            <w:r>
              <w:t xml:space="preserve">, including implementing </w:t>
            </w:r>
            <w:r w:rsidR="009A0E89">
              <w:t xml:space="preserve">10 </w:t>
            </w:r>
            <w:r>
              <w:t>key actions (M</w:t>
            </w:r>
            <w:r w:rsidR="00476DBC">
              <w:t>SD/OT</w:t>
            </w:r>
            <w:r>
              <w:t xml:space="preserve">, cross-government). </w:t>
            </w:r>
          </w:p>
          <w:p w14:paraId="1719665C" w14:textId="62E3DB35" w:rsidR="002767FD" w:rsidRDefault="00B6633D" w:rsidP="009C5B9B">
            <w:pPr>
              <w:pStyle w:val="TableBullet"/>
            </w:pPr>
            <w:bookmarkStart w:id="72" w:name="_Hlk56762411"/>
            <w:bookmarkEnd w:id="71"/>
            <w:r>
              <w:t>C</w:t>
            </w:r>
            <w:r w:rsidR="00F63C77">
              <w:t>ontinue supporting local community-led action</w:t>
            </w:r>
            <w:r w:rsidR="00B202E7">
              <w:t>,</w:t>
            </w:r>
            <w:r w:rsidR="00F63C77">
              <w:t xml:space="preserve"> including mental wellbeing initiatives</w:t>
            </w:r>
            <w:r>
              <w:t xml:space="preserve">, through the </w:t>
            </w:r>
            <w:hyperlink r:id="rId53" w:history="1">
              <w:r w:rsidRPr="001D3401">
                <w:rPr>
                  <w:rStyle w:val="Hyperlink"/>
                  <w:b w:val="0"/>
                  <w:bCs/>
                </w:rPr>
                <w:t>Healthy Families NZ</w:t>
              </w:r>
            </w:hyperlink>
            <w:r>
              <w:t xml:space="preserve"> programme</w:t>
            </w:r>
            <w:r w:rsidR="00F63C77">
              <w:t xml:space="preserve"> (M</w:t>
            </w:r>
            <w:r w:rsidR="00476DBC">
              <w:t>oH</w:t>
            </w:r>
            <w:r w:rsidR="00F63C77">
              <w:t>)</w:t>
            </w:r>
          </w:p>
          <w:bookmarkEnd w:id="72"/>
          <w:p w14:paraId="6D0652EB" w14:textId="5A5D5A04" w:rsidR="00677C5D" w:rsidRPr="007D06C8" w:rsidRDefault="00677C5D" w:rsidP="009C5B9B">
            <w:pPr>
              <w:pStyle w:val="TableBullet"/>
            </w:pPr>
            <w:r>
              <w:t xml:space="preserve">Top-up funding for the </w:t>
            </w:r>
            <w:r w:rsidRPr="000901FB">
              <w:t>Whai Ora, Whiti Ora Fund</w:t>
            </w:r>
            <w:r>
              <w:t xml:space="preserve"> to support additional community organisations (M</w:t>
            </w:r>
            <w:r w:rsidR="00476DBC">
              <w:t>oH</w:t>
            </w:r>
            <w:r>
              <w:t>)</w:t>
            </w:r>
          </w:p>
        </w:tc>
      </w:tr>
      <w:tr w:rsidR="00AD1BB9" w14:paraId="569C1F1B" w14:textId="77777777" w:rsidTr="007A4BE9">
        <w:trPr>
          <w:cantSplit/>
        </w:trPr>
        <w:tc>
          <w:tcPr>
            <w:tcW w:w="2551" w:type="dxa"/>
            <w:shd w:val="clear" w:color="auto" w:fill="auto"/>
          </w:tcPr>
          <w:p w14:paraId="4ACAF596" w14:textId="3D409430" w:rsidR="00AD1BB9" w:rsidRDefault="006B6056" w:rsidP="00AD1BB9">
            <w:pPr>
              <w:pStyle w:val="TableText"/>
            </w:pPr>
            <w:r>
              <w:t>Support i</w:t>
            </w:r>
            <w:r w:rsidR="00AD1BB9">
              <w:t xml:space="preserve">nitiatives for </w:t>
            </w:r>
            <w:r w:rsidR="00093CE8">
              <w:t xml:space="preserve">populations </w:t>
            </w:r>
            <w:r w:rsidR="0047501F">
              <w:t>with specific needs</w:t>
            </w:r>
          </w:p>
        </w:tc>
        <w:tc>
          <w:tcPr>
            <w:tcW w:w="6091" w:type="dxa"/>
          </w:tcPr>
          <w:p w14:paraId="682F757F" w14:textId="36A03F5D" w:rsidR="00BA5C03" w:rsidRDefault="00035313" w:rsidP="00AE372D">
            <w:pPr>
              <w:pStyle w:val="TableBullet"/>
            </w:pPr>
            <w:r>
              <w:t xml:space="preserve">Provided funding to support mental </w:t>
            </w:r>
            <w:r w:rsidR="00A24B78">
              <w:t>wellbeing</w:t>
            </w:r>
            <w:r>
              <w:t xml:space="preserve"> initiatives for </w:t>
            </w:r>
            <w:r w:rsidR="008B21C6">
              <w:t xml:space="preserve">the </w:t>
            </w:r>
            <w:r w:rsidR="009A0E89">
              <w:t>D</w:t>
            </w:r>
            <w:r w:rsidR="00AD1BB9" w:rsidRPr="00F474E5">
              <w:t>eaf</w:t>
            </w:r>
            <w:r w:rsidR="00AD1BB9">
              <w:t xml:space="preserve"> community</w:t>
            </w:r>
            <w:r w:rsidR="000E4BFD">
              <w:t xml:space="preserve">, and </w:t>
            </w:r>
            <w:r w:rsidR="00BA5C03">
              <w:t>COVID-19-related campaigns (see focus area 3) and services (see focus area 4) targeting specific communities (M</w:t>
            </w:r>
            <w:r w:rsidR="00476DBC">
              <w:t>oH</w:t>
            </w:r>
            <w:r w:rsidR="00BA5C03">
              <w:t>)</w:t>
            </w:r>
          </w:p>
          <w:p w14:paraId="4FBEE629" w14:textId="764597D3" w:rsidR="00617AB7" w:rsidRDefault="00617AB7" w:rsidP="00AE372D">
            <w:pPr>
              <w:pStyle w:val="TableBullet"/>
            </w:pPr>
            <w:r>
              <w:t xml:space="preserve">Established the </w:t>
            </w:r>
            <w:r w:rsidRPr="007F2E7A">
              <w:t>Pacific Aotearoa Community COVID-19 Recovery Fund (M</w:t>
            </w:r>
            <w:r w:rsidR="00476DBC">
              <w:t>PP</w:t>
            </w:r>
            <w:r w:rsidRPr="007F2E7A">
              <w:t>)</w:t>
            </w:r>
          </w:p>
          <w:p w14:paraId="018E4939" w14:textId="66DE6DDD" w:rsidR="00C6469F" w:rsidRPr="00C6469F" w:rsidRDefault="00C6469F" w:rsidP="00AE372D">
            <w:pPr>
              <w:pStyle w:val="TableBullet"/>
            </w:pPr>
            <w:r w:rsidRPr="00C6469F">
              <w:t xml:space="preserve">Funded additional </w:t>
            </w:r>
            <w:hyperlink r:id="rId54" w:history="1">
              <w:r w:rsidRPr="001D3401">
                <w:rPr>
                  <w:rStyle w:val="Hyperlink"/>
                  <w:b w:val="0"/>
                  <w:bCs/>
                </w:rPr>
                <w:t>rural-specific</w:t>
              </w:r>
            </w:hyperlink>
            <w:r w:rsidRPr="00C6469F">
              <w:t xml:space="preserve"> wellbeing supports for individuals, families and communities affected by multiple adverse events (M</w:t>
            </w:r>
            <w:r w:rsidR="00476DBC">
              <w:t>oH</w:t>
            </w:r>
            <w:r w:rsidRPr="00C6469F">
              <w:t>)</w:t>
            </w:r>
          </w:p>
          <w:p w14:paraId="673C4957" w14:textId="25746C06" w:rsidR="00AE372D" w:rsidRDefault="00AE372D" w:rsidP="00AE372D">
            <w:pPr>
              <w:pStyle w:val="TableBullet"/>
            </w:pPr>
            <w:r>
              <w:t>Realigned priorities for the Ethnic Communities Development Fund to respond to COVID-19</w:t>
            </w:r>
            <w:r w:rsidR="009A0E89">
              <w:t>,</w:t>
            </w:r>
            <w:r>
              <w:t xml:space="preserve"> </w:t>
            </w:r>
            <w:r w:rsidR="008A2A13">
              <w:t xml:space="preserve">including a focus on community resilience and recovery </w:t>
            </w:r>
            <w:r>
              <w:t>(O</w:t>
            </w:r>
            <w:r w:rsidR="00476DBC">
              <w:t>EC</w:t>
            </w:r>
            <w:r>
              <w:t>)</w:t>
            </w:r>
          </w:p>
        </w:tc>
        <w:tc>
          <w:tcPr>
            <w:tcW w:w="7005" w:type="dxa"/>
          </w:tcPr>
          <w:p w14:paraId="4EC360EE" w14:textId="1121E8B1" w:rsidR="008A23CE" w:rsidRDefault="008A23CE" w:rsidP="008A23CE">
            <w:pPr>
              <w:pStyle w:val="TableBullet"/>
            </w:pPr>
            <w:r>
              <w:t>Support</w:t>
            </w:r>
            <w:r w:rsidRPr="008D5D5C">
              <w:rPr>
                <w:color w:val="000000" w:themeColor="text1"/>
              </w:rPr>
              <w:t xml:space="preserve"> tailored </w:t>
            </w:r>
            <w:r>
              <w:t xml:space="preserve">initiatives for groups with specific needs </w:t>
            </w:r>
            <w:r w:rsidRPr="008D5D5C">
              <w:rPr>
                <w:color w:val="000000" w:themeColor="text1"/>
              </w:rPr>
              <w:t xml:space="preserve">as we </w:t>
            </w:r>
            <w:r w:rsidR="002352A6">
              <w:rPr>
                <w:color w:val="000000" w:themeColor="text1"/>
              </w:rPr>
              <w:t xml:space="preserve">build our understanding </w:t>
            </w:r>
            <w:r w:rsidRPr="008D5D5C">
              <w:rPr>
                <w:color w:val="000000" w:themeColor="text1"/>
              </w:rPr>
              <w:t xml:space="preserve">about the </w:t>
            </w:r>
            <w:r w:rsidR="00A57A15">
              <w:rPr>
                <w:color w:val="000000" w:themeColor="text1"/>
              </w:rPr>
              <w:t>effects</w:t>
            </w:r>
            <w:r w:rsidR="00A57A15" w:rsidRPr="008D5D5C">
              <w:rPr>
                <w:color w:val="000000" w:themeColor="text1"/>
              </w:rPr>
              <w:t xml:space="preserve"> </w:t>
            </w:r>
            <w:r w:rsidRPr="008D5D5C">
              <w:rPr>
                <w:color w:val="000000" w:themeColor="text1"/>
              </w:rPr>
              <w:t xml:space="preserve">of COVID-19 on different populations </w:t>
            </w:r>
            <w:r>
              <w:t>(M</w:t>
            </w:r>
            <w:r w:rsidR="00476DBC">
              <w:t>oH</w:t>
            </w:r>
            <w:r>
              <w:t>)</w:t>
            </w:r>
          </w:p>
          <w:p w14:paraId="46547627" w14:textId="39CDFE7A" w:rsidR="00B659D1" w:rsidRDefault="00B659D1" w:rsidP="00B659D1">
            <w:pPr>
              <w:pStyle w:val="TableBullet"/>
            </w:pPr>
            <w:r>
              <w:t xml:space="preserve">Implement the </w:t>
            </w:r>
            <w:r w:rsidRPr="00342353">
              <w:t>Pacific Suicide Prevention Community Fund</w:t>
            </w:r>
            <w:r>
              <w:t xml:space="preserve"> (S</w:t>
            </w:r>
            <w:r w:rsidR="00476DBC">
              <w:t>P</w:t>
            </w:r>
            <w:r w:rsidR="00FF723E">
              <w:t>O</w:t>
            </w:r>
            <w:r>
              <w:t>)</w:t>
            </w:r>
          </w:p>
          <w:p w14:paraId="05D36EBF" w14:textId="2EA85C66" w:rsidR="005E4F7A" w:rsidRDefault="005E4F7A" w:rsidP="00B659D1">
            <w:pPr>
              <w:pStyle w:val="TableBullet"/>
            </w:pPr>
            <w:r>
              <w:t>Implement the</w:t>
            </w:r>
            <w:r w:rsidRPr="00342353">
              <w:t xml:space="preserve"> Rangatahi Suicide Prevention Fund</w:t>
            </w:r>
            <w:r>
              <w:t xml:space="preserve"> </w:t>
            </w:r>
            <w:r w:rsidR="00CE7929" w:rsidRPr="00586574">
              <w:t>(T</w:t>
            </w:r>
            <w:r w:rsidR="00476DBC">
              <w:t>PK</w:t>
            </w:r>
            <w:r w:rsidR="00CE7929" w:rsidRPr="00586574">
              <w:t>)</w:t>
            </w:r>
            <w:r w:rsidR="00CE7929">
              <w:t xml:space="preserve"> </w:t>
            </w:r>
          </w:p>
          <w:p w14:paraId="61856DB8" w14:textId="10D51C92" w:rsidR="009007A5" w:rsidRDefault="009A484F" w:rsidP="00AD1BB9">
            <w:pPr>
              <w:pStyle w:val="TableBullet"/>
            </w:pPr>
            <w:r w:rsidRPr="009A484F">
              <w:t>Administer the Pacific Community Health Fund (M</w:t>
            </w:r>
            <w:r w:rsidR="00476DBC">
              <w:t>oH</w:t>
            </w:r>
            <w:r w:rsidRPr="009A484F">
              <w:t>, M</w:t>
            </w:r>
            <w:r w:rsidR="00476DBC">
              <w:t>PP</w:t>
            </w:r>
            <w:r w:rsidRPr="009A484F">
              <w:t>)</w:t>
            </w:r>
          </w:p>
          <w:p w14:paraId="0ED6843F" w14:textId="3CA0DBB8" w:rsidR="00F12C41" w:rsidRDefault="00F12C41" w:rsidP="00AD1BB9">
            <w:pPr>
              <w:pStyle w:val="TableBullet"/>
            </w:pPr>
            <w:r>
              <w:rPr>
                <w:color w:val="000000"/>
                <w:lang w:val="en-US" w:eastAsia="en-NZ"/>
              </w:rPr>
              <w:t xml:space="preserve">Continue to support rangatahi to get into long-term employment through </w:t>
            </w:r>
            <w:r w:rsidRPr="001D3401">
              <w:rPr>
                <w:bCs/>
                <w:color w:val="000000"/>
                <w:lang w:val="en-US" w:eastAsia="en-NZ"/>
              </w:rPr>
              <w:t>He</w:t>
            </w:r>
            <w:r w:rsidRPr="00601F6E">
              <w:rPr>
                <w:b/>
                <w:color w:val="000000"/>
                <w:lang w:val="en-US" w:eastAsia="en-NZ"/>
              </w:rPr>
              <w:t xml:space="preserve"> </w:t>
            </w:r>
            <w:hyperlink r:id="rId55" w:history="1">
              <w:r w:rsidRPr="001D3401">
                <w:rPr>
                  <w:rStyle w:val="Hyperlink"/>
                  <w:b w:val="0"/>
                  <w:bCs/>
                  <w:lang w:val="en-US" w:eastAsia="en-NZ"/>
                </w:rPr>
                <w:t xml:space="preserve">Poutama Rangatahi </w:t>
              </w:r>
              <w:r w:rsidR="009A0E89">
                <w:rPr>
                  <w:rStyle w:val="Hyperlink"/>
                  <w:b w:val="0"/>
                  <w:bCs/>
                  <w:lang w:val="en-US" w:eastAsia="en-NZ"/>
                </w:rPr>
                <w:t>–</w:t>
              </w:r>
              <w:r w:rsidRPr="001D3401">
                <w:rPr>
                  <w:rStyle w:val="Hyperlink"/>
                  <w:b w:val="0"/>
                  <w:bCs/>
                  <w:lang w:val="en-US" w:eastAsia="en-NZ"/>
                </w:rPr>
                <w:t xml:space="preserve"> Youth Employment Pathways</w:t>
              </w:r>
            </w:hyperlink>
            <w:r>
              <w:rPr>
                <w:color w:val="000000"/>
                <w:lang w:val="en-US" w:eastAsia="en-NZ"/>
              </w:rPr>
              <w:t xml:space="preserve"> (M</w:t>
            </w:r>
            <w:r w:rsidR="00476DBC">
              <w:rPr>
                <w:color w:val="000000"/>
                <w:lang w:val="en-US" w:eastAsia="en-NZ"/>
              </w:rPr>
              <w:t>BIE</w:t>
            </w:r>
            <w:r>
              <w:rPr>
                <w:color w:val="000000"/>
                <w:lang w:val="en-US" w:eastAsia="en-NZ"/>
              </w:rPr>
              <w:t>)</w:t>
            </w:r>
          </w:p>
        </w:tc>
      </w:tr>
      <w:tr w:rsidR="007A4BE9" w14:paraId="138568B3" w14:textId="77777777" w:rsidTr="007A4BE9">
        <w:trPr>
          <w:cantSplit/>
        </w:trPr>
        <w:tc>
          <w:tcPr>
            <w:tcW w:w="2551" w:type="dxa"/>
            <w:shd w:val="clear" w:color="auto" w:fill="auto"/>
          </w:tcPr>
          <w:p w14:paraId="169ED2BC" w14:textId="174224A4" w:rsidR="007A4BE9" w:rsidRPr="00111637" w:rsidRDefault="007A4BE9" w:rsidP="002F69D1">
            <w:pPr>
              <w:pStyle w:val="TableText"/>
            </w:pPr>
            <w:r w:rsidRPr="005E7CAC">
              <w:t xml:space="preserve">Support </w:t>
            </w:r>
            <w:r>
              <w:t xml:space="preserve">community organisations to adapt to the COVID-19 </w:t>
            </w:r>
            <w:r w:rsidR="00E74DA9">
              <w:t xml:space="preserve">environment </w:t>
            </w:r>
            <w:r>
              <w:t>and sustain delivery</w:t>
            </w:r>
          </w:p>
        </w:tc>
        <w:tc>
          <w:tcPr>
            <w:tcW w:w="6091" w:type="dxa"/>
          </w:tcPr>
          <w:p w14:paraId="66073B14" w14:textId="42C852D8" w:rsidR="007A4BE9" w:rsidRDefault="007A4BE9" w:rsidP="002F69D1">
            <w:pPr>
              <w:pStyle w:val="TableBullet"/>
            </w:pPr>
            <w:r>
              <w:t>Provided w</w:t>
            </w:r>
            <w:r w:rsidRPr="00342353">
              <w:t xml:space="preserve">age subsidies </w:t>
            </w:r>
            <w:r w:rsidR="00CF0490">
              <w:t>(</w:t>
            </w:r>
            <w:r w:rsidR="00583ABA">
              <w:t>M</w:t>
            </w:r>
            <w:r w:rsidR="00476DBC">
              <w:t>SD</w:t>
            </w:r>
            <w:r w:rsidR="00CF0490">
              <w:t xml:space="preserve">) </w:t>
            </w:r>
            <w:r w:rsidRPr="00342353">
              <w:t>and small business cash flow loans</w:t>
            </w:r>
            <w:r>
              <w:t xml:space="preserve"> </w:t>
            </w:r>
            <w:r w:rsidR="00CF0490">
              <w:t>(I</w:t>
            </w:r>
            <w:r w:rsidR="00476DBC">
              <w:t>R)</w:t>
            </w:r>
            <w:r w:rsidR="00CF0490">
              <w:t xml:space="preserve"> </w:t>
            </w:r>
            <w:r>
              <w:t>to support community organisations</w:t>
            </w:r>
          </w:p>
          <w:p w14:paraId="12D92BEC" w14:textId="59BE7436" w:rsidR="00AF5D85" w:rsidRDefault="00CF0490" w:rsidP="00983584">
            <w:pPr>
              <w:pStyle w:val="TableBullet"/>
            </w:pPr>
            <w:r>
              <w:t xml:space="preserve">Secured funding </w:t>
            </w:r>
            <w:r w:rsidR="00CC33A0">
              <w:t xml:space="preserve">to </w:t>
            </w:r>
            <w:r>
              <w:t xml:space="preserve">support resilience and recovery </w:t>
            </w:r>
            <w:r w:rsidR="00BF2DC9">
              <w:t xml:space="preserve">initiatives by </w:t>
            </w:r>
            <w:r>
              <w:t>social service providers through COVID-19</w:t>
            </w:r>
            <w:r w:rsidR="009A0E89">
              <w:t>,</w:t>
            </w:r>
            <w:r>
              <w:t xml:space="preserve"> </w:t>
            </w:r>
            <w:r w:rsidR="00583ABA">
              <w:t xml:space="preserve">including the Community Capability and Resilience Fund, the Provider Capability and Resilience Fund, and the Community Connection Service </w:t>
            </w:r>
            <w:r>
              <w:t>(M</w:t>
            </w:r>
            <w:r w:rsidR="00476DBC">
              <w:t>SD</w:t>
            </w:r>
            <w:r>
              <w:t>)</w:t>
            </w:r>
            <w:r w:rsidR="00AE372D">
              <w:t xml:space="preserve"> </w:t>
            </w:r>
          </w:p>
          <w:p w14:paraId="3E7264BA" w14:textId="2FE8220F" w:rsidR="00E16892" w:rsidRPr="007D06C8" w:rsidRDefault="00E16892" w:rsidP="00983584">
            <w:pPr>
              <w:pStyle w:val="TableBullet"/>
            </w:pPr>
            <w:r w:rsidRPr="00011DDB">
              <w:rPr>
                <w:color w:val="000000" w:themeColor="text1"/>
                <w:lang w:eastAsia="en-NZ"/>
              </w:rPr>
              <w:t xml:space="preserve">Increased the number of available places in mental health and addiction literacy training programmes </w:t>
            </w:r>
            <w:r w:rsidR="00F63C77" w:rsidRPr="00011DDB">
              <w:rPr>
                <w:color w:val="000000" w:themeColor="text1"/>
                <w:lang w:eastAsia="en-NZ"/>
              </w:rPr>
              <w:t xml:space="preserve">in </w:t>
            </w:r>
            <w:r w:rsidRPr="00011DDB">
              <w:rPr>
                <w:color w:val="000000" w:themeColor="text1"/>
                <w:lang w:eastAsia="en-NZ"/>
              </w:rPr>
              <w:t>communities (M</w:t>
            </w:r>
            <w:r w:rsidR="00476DBC">
              <w:rPr>
                <w:color w:val="000000" w:themeColor="text1"/>
                <w:lang w:eastAsia="en-NZ"/>
              </w:rPr>
              <w:t>oH</w:t>
            </w:r>
            <w:r w:rsidRPr="00011DDB">
              <w:rPr>
                <w:color w:val="000000" w:themeColor="text1"/>
                <w:lang w:eastAsia="en-NZ"/>
              </w:rPr>
              <w:t>)</w:t>
            </w:r>
          </w:p>
        </w:tc>
        <w:tc>
          <w:tcPr>
            <w:tcW w:w="7005" w:type="dxa"/>
          </w:tcPr>
          <w:p w14:paraId="0A58D4A6" w14:textId="601431A7" w:rsidR="007A4BE9" w:rsidRDefault="007A4BE9">
            <w:pPr>
              <w:pStyle w:val="TableBullet"/>
            </w:pPr>
            <w:r>
              <w:t xml:space="preserve">Strengthen partnerships with iwi, national providers, networks and umbrella </w:t>
            </w:r>
            <w:r w:rsidR="00CE7929">
              <w:t xml:space="preserve">non-governmental organisations </w:t>
            </w:r>
            <w:r>
              <w:t>to provide leadership and coordination during COVID-19 response and recovery</w:t>
            </w:r>
            <w:r w:rsidR="00CC33A0">
              <w:t xml:space="preserve"> (</w:t>
            </w:r>
            <w:r w:rsidR="009A0E89">
              <w:t>c</w:t>
            </w:r>
            <w:r w:rsidR="000E4BFD">
              <w:t>ross-government</w:t>
            </w:r>
            <w:r w:rsidR="00CC33A0">
              <w:t>)</w:t>
            </w:r>
          </w:p>
          <w:p w14:paraId="74DE6995" w14:textId="6F04DCDD" w:rsidR="005220A9" w:rsidRPr="007D06C8" w:rsidRDefault="005220A9">
            <w:pPr>
              <w:pStyle w:val="TableBullet"/>
            </w:pPr>
            <w:r w:rsidRPr="00011DDB">
              <w:t xml:space="preserve">Continue to support evidence-informed mental health, addiction and suicide prevention literacy programmes </w:t>
            </w:r>
            <w:r w:rsidR="00F63C77" w:rsidRPr="00011DDB">
              <w:t>in</w:t>
            </w:r>
            <w:r w:rsidRPr="00011DDB">
              <w:t xml:space="preserve"> communities </w:t>
            </w:r>
            <w:r w:rsidR="0007094C" w:rsidRPr="00011DDB">
              <w:t>(M</w:t>
            </w:r>
            <w:r w:rsidR="00C221C6">
              <w:t>oH</w:t>
            </w:r>
            <w:r w:rsidR="0007094C" w:rsidRPr="00011DDB">
              <w:t>)</w:t>
            </w:r>
          </w:p>
        </w:tc>
      </w:tr>
    </w:tbl>
    <w:p w14:paraId="14FF05A4" w14:textId="77777777" w:rsidR="0034663F" w:rsidRDefault="0034663F" w:rsidP="0034663F"/>
    <w:bookmarkEnd w:id="66"/>
    <w:p w14:paraId="04F5D130" w14:textId="77777777" w:rsidR="00DE045E" w:rsidRDefault="00DE045E">
      <w:pPr>
        <w:rPr>
          <w:color w:val="0A6AB4"/>
          <w:spacing w:val="-5"/>
          <w:sz w:val="36"/>
        </w:rPr>
        <w:sectPr w:rsidR="00DE045E" w:rsidSect="009203ED">
          <w:endnotePr>
            <w:numFmt w:val="decimal"/>
          </w:endnotePr>
          <w:pgSz w:w="16838" w:h="11906" w:orient="landscape" w:code="9"/>
          <w:pgMar w:top="567" w:right="567" w:bottom="567" w:left="567" w:header="425" w:footer="425" w:gutter="284"/>
          <w:cols w:space="720"/>
          <w:docGrid w:linePitch="286"/>
        </w:sectPr>
      </w:pPr>
    </w:p>
    <w:bookmarkEnd w:id="67"/>
    <w:p w14:paraId="168810B7" w14:textId="2FBAD10E" w:rsidR="00C3624A" w:rsidRPr="00CE5C74" w:rsidRDefault="00C3624A" w:rsidP="0034663F">
      <w:pPr>
        <w:pStyle w:val="Heading3"/>
        <w:rPr>
          <w:b/>
          <w:bCs/>
        </w:rPr>
      </w:pPr>
      <w:r w:rsidRPr="006C309A">
        <w:t>Focus</w:t>
      </w:r>
      <w:r w:rsidRPr="00CE5C74">
        <w:t xml:space="preserve"> area 3</w:t>
      </w:r>
      <w:r w:rsidR="0034663F">
        <w:t>:</w:t>
      </w:r>
      <w:r w:rsidRPr="00CE5C74">
        <w:t xml:space="preserve"> Equip </w:t>
      </w:r>
      <w:r w:rsidR="003D7251" w:rsidRPr="00C4021B">
        <w:t>whānau</w:t>
      </w:r>
      <w:r w:rsidR="003D7251">
        <w:t xml:space="preserve"> </w:t>
      </w:r>
      <w:r w:rsidR="00C4021B">
        <w:t xml:space="preserve">and individuals </w:t>
      </w:r>
      <w:r w:rsidRPr="00CE5C74">
        <w:t>to look after their mental wellbeing</w:t>
      </w:r>
    </w:p>
    <w:p w14:paraId="4FB49BF2" w14:textId="74679874" w:rsidR="006B1369" w:rsidRDefault="006B1369" w:rsidP="006B1369">
      <w:r>
        <w:rPr>
          <w:lang w:eastAsia="en-NZ"/>
        </w:rPr>
        <w:t>Many organisations</w:t>
      </w:r>
      <w:r w:rsidRPr="00342353">
        <w:rPr>
          <w:lang w:eastAsia="en-NZ"/>
        </w:rPr>
        <w:t xml:space="preserve"> have been working hard </w:t>
      </w:r>
      <w:r>
        <w:rPr>
          <w:lang w:eastAsia="en-NZ"/>
        </w:rPr>
        <w:t xml:space="preserve">during the response to COVID-19 </w:t>
      </w:r>
      <w:r w:rsidRPr="00342353">
        <w:rPr>
          <w:lang w:eastAsia="en-NZ"/>
        </w:rPr>
        <w:t>to continue to support people and whānau and equip them with the tools, resources, knowledge and support they need to look after their mental wellbeing.</w:t>
      </w:r>
    </w:p>
    <w:p w14:paraId="56D9964B" w14:textId="77777777" w:rsidR="006B1369" w:rsidRDefault="006B1369" w:rsidP="001F2C84"/>
    <w:p w14:paraId="366AB16F" w14:textId="1858FE0C" w:rsidR="001F2C84" w:rsidRPr="00621B90" w:rsidRDefault="001F2C84" w:rsidP="001F2C84">
      <w:r>
        <w:t>S</w:t>
      </w:r>
      <w:r w:rsidRPr="00621B90">
        <w:t xml:space="preserve">upporting </w:t>
      </w:r>
      <w:r w:rsidRPr="006B6CF2">
        <w:t>whānau</w:t>
      </w:r>
      <w:r w:rsidRPr="00621B90">
        <w:t xml:space="preserve"> </w:t>
      </w:r>
      <w:r w:rsidR="00581E71">
        <w:t xml:space="preserve">and individuals </w:t>
      </w:r>
      <w:r w:rsidRPr="00621B90">
        <w:t>to nurture and look after their own and each other’s mental wellbeing</w:t>
      </w:r>
      <w:r>
        <w:t xml:space="preserve"> can </w:t>
      </w:r>
      <w:r w:rsidRPr="00621B90">
        <w:t>reduc</w:t>
      </w:r>
      <w:r>
        <w:t>e</w:t>
      </w:r>
      <w:r w:rsidRPr="00621B90">
        <w:t xml:space="preserve"> the </w:t>
      </w:r>
      <w:r w:rsidR="00FE0D9D">
        <w:t>effects</w:t>
      </w:r>
      <w:r w:rsidR="00FE0D9D" w:rsidRPr="00621B90">
        <w:t xml:space="preserve"> </w:t>
      </w:r>
      <w:r w:rsidRPr="00621B90">
        <w:t>of stress</w:t>
      </w:r>
      <w:r w:rsidR="00724F47">
        <w:t>,</w:t>
      </w:r>
      <w:r w:rsidRPr="0034663F">
        <w:t xml:space="preserve"> </w:t>
      </w:r>
      <w:r>
        <w:t xml:space="preserve">and </w:t>
      </w:r>
      <w:r w:rsidRPr="0034663F">
        <w:t>prevent and protect</w:t>
      </w:r>
      <w:r>
        <w:t xml:space="preserve"> people</w:t>
      </w:r>
      <w:r w:rsidRPr="0034663F">
        <w:t xml:space="preserve"> from developing long-lasting or more severe mental distress</w:t>
      </w:r>
      <w:r w:rsidRPr="00621B90">
        <w:t>.</w:t>
      </w:r>
      <w:r>
        <w:t xml:space="preserve"> </w:t>
      </w:r>
    </w:p>
    <w:p w14:paraId="3625CC9C" w14:textId="77777777" w:rsidR="001F2C84" w:rsidRDefault="001F2C84" w:rsidP="001F2C84"/>
    <w:p w14:paraId="63275BFB" w14:textId="024E2EE5" w:rsidR="001F2C84" w:rsidRDefault="001F2C84" w:rsidP="001F2C84">
      <w:r>
        <w:t>Building k</w:t>
      </w:r>
      <w:r w:rsidRPr="00F024B7">
        <w:t xml:space="preserve">nowledge </w:t>
      </w:r>
      <w:r>
        <w:t xml:space="preserve">about mental health and addiction, and encouraging openness </w:t>
      </w:r>
      <w:r w:rsidRPr="00F024B7">
        <w:t xml:space="preserve">about mental </w:t>
      </w:r>
      <w:r>
        <w:t>distress,</w:t>
      </w:r>
      <w:r w:rsidRPr="00F024B7">
        <w:t xml:space="preserve"> substance </w:t>
      </w:r>
      <w:r>
        <w:t xml:space="preserve">use </w:t>
      </w:r>
      <w:r w:rsidRPr="00F024B7">
        <w:t>and gambling harm</w:t>
      </w:r>
      <w:r>
        <w:t xml:space="preserve">, can </w:t>
      </w:r>
      <w:r w:rsidRPr="00F024B7">
        <w:t>reduc</w:t>
      </w:r>
      <w:r>
        <w:t xml:space="preserve">e </w:t>
      </w:r>
      <w:r w:rsidRPr="00F024B7">
        <w:t>stigma</w:t>
      </w:r>
      <w:r>
        <w:t xml:space="preserve"> </w:t>
      </w:r>
      <w:r w:rsidRPr="00F024B7">
        <w:t>and enhanc</w:t>
      </w:r>
      <w:r>
        <w:t xml:space="preserve">e </w:t>
      </w:r>
      <w:r w:rsidRPr="00F024B7">
        <w:t>access to informal and formal support.</w:t>
      </w:r>
      <w:r w:rsidR="002F1792">
        <w:t xml:space="preserve"> </w:t>
      </w:r>
    </w:p>
    <w:p w14:paraId="780087D1" w14:textId="77777777" w:rsidR="001F2C84" w:rsidRDefault="001F2C84" w:rsidP="001F2C84"/>
    <w:p w14:paraId="25C41DDB" w14:textId="376E0C11" w:rsidR="00DE045E" w:rsidRDefault="001F2C84" w:rsidP="006B4D4F">
      <w:pPr>
        <w:rPr>
          <w:b/>
          <w:spacing w:val="-2"/>
        </w:rPr>
        <w:sectPr w:rsidR="00DE045E" w:rsidSect="004968E3">
          <w:endnotePr>
            <w:numFmt w:val="decimal"/>
          </w:endnotePr>
          <w:pgSz w:w="11906" w:h="16838" w:code="9"/>
          <w:pgMar w:top="1134" w:right="1134" w:bottom="1134" w:left="1134" w:header="425" w:footer="425" w:gutter="284"/>
          <w:cols w:space="720"/>
          <w:docGrid w:linePitch="286"/>
        </w:sectPr>
      </w:pPr>
      <w:r>
        <w:t xml:space="preserve">Equipping people and whānau involves </w:t>
      </w:r>
      <w:r w:rsidRPr="00F024B7">
        <w:t xml:space="preserve">promotion of public messages </w:t>
      </w:r>
      <w:r>
        <w:t xml:space="preserve">and </w:t>
      </w:r>
      <w:r w:rsidRPr="00F024B7">
        <w:t xml:space="preserve">access to evidence-informed self-help tools and educational resources. Design and delivery of tools, resources and messaging should be accessible and tailored to meet </w:t>
      </w:r>
      <w:r>
        <w:t xml:space="preserve">the needs of </w:t>
      </w:r>
      <w:r w:rsidRPr="00F024B7">
        <w:t xml:space="preserve">diverse </w:t>
      </w:r>
      <w:r>
        <w:t>population groups</w:t>
      </w:r>
      <w:r w:rsidRPr="00F024B7">
        <w:t>.</w:t>
      </w:r>
    </w:p>
    <w:p w14:paraId="3B075033" w14:textId="6C733535" w:rsidR="00A65FE3" w:rsidRDefault="00A65FE3" w:rsidP="00C4021B">
      <w:pPr>
        <w:spacing w:after="120"/>
        <w:rPr>
          <w:b/>
          <w:spacing w:val="-2"/>
        </w:rPr>
      </w:pPr>
      <w:r>
        <w:rPr>
          <w:b/>
          <w:spacing w:val="-2"/>
        </w:rPr>
        <w:t xml:space="preserve">Focus area 3: </w:t>
      </w:r>
      <w:bookmarkStart w:id="73" w:name="_Hlk54698692"/>
      <w:r w:rsidR="006A6F2E" w:rsidRPr="006A6F2E">
        <w:rPr>
          <w:b/>
          <w:spacing w:val="-2"/>
        </w:rPr>
        <w:t xml:space="preserve">Equip whānau </w:t>
      </w:r>
      <w:r w:rsidR="00C4021B">
        <w:rPr>
          <w:b/>
          <w:spacing w:val="-2"/>
        </w:rPr>
        <w:t xml:space="preserve">and individuals </w:t>
      </w:r>
      <w:r w:rsidR="006A6F2E" w:rsidRPr="006A6F2E">
        <w:rPr>
          <w:b/>
          <w:spacing w:val="-2"/>
        </w:rPr>
        <w:t>to look after their mental wellbeing</w:t>
      </w:r>
      <w:bookmarkEnd w:id="73"/>
    </w:p>
    <w:tbl>
      <w:tblPr>
        <w:tblW w:w="15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551"/>
        <w:gridCol w:w="5524"/>
        <w:gridCol w:w="7572"/>
      </w:tblGrid>
      <w:tr w:rsidR="00F70C28" w:rsidRPr="00155C3C" w14:paraId="0A2EDDBD" w14:textId="77777777" w:rsidTr="002F69D1">
        <w:trPr>
          <w:cantSplit/>
          <w:tblHeader/>
        </w:trPr>
        <w:tc>
          <w:tcPr>
            <w:tcW w:w="15647" w:type="dxa"/>
            <w:gridSpan w:val="3"/>
            <w:shd w:val="clear" w:color="auto" w:fill="D9D9D9" w:themeFill="background1" w:themeFillShade="D9"/>
            <w:hideMark/>
          </w:tcPr>
          <w:p w14:paraId="51ECF2E3" w14:textId="0C69C6F5" w:rsidR="00F70C28" w:rsidRPr="007D06C8" w:rsidRDefault="00F70C28" w:rsidP="002F69D1">
            <w:pPr>
              <w:pStyle w:val="TableText"/>
              <w:rPr>
                <w:b/>
              </w:rPr>
            </w:pPr>
            <w:r w:rsidRPr="007D06C8">
              <w:rPr>
                <w:b/>
              </w:rPr>
              <w:t>Outcome:</w:t>
            </w:r>
            <w:r w:rsidR="002F1792">
              <w:rPr>
                <w:b/>
              </w:rPr>
              <w:t xml:space="preserve"> </w:t>
            </w:r>
            <w:r w:rsidRPr="00962204">
              <w:rPr>
                <w:b/>
              </w:rPr>
              <w:t xml:space="preserve">Whānau and individuals are strong, healthy, look after their mental wellbeing, and know where to get help if they need it </w:t>
            </w:r>
          </w:p>
        </w:tc>
      </w:tr>
      <w:tr w:rsidR="007A4BE9" w:rsidRPr="00155C3C" w14:paraId="7B076C74" w14:textId="77777777" w:rsidTr="004267F3">
        <w:trPr>
          <w:cantSplit/>
        </w:trPr>
        <w:tc>
          <w:tcPr>
            <w:tcW w:w="2551" w:type="dxa"/>
            <w:shd w:val="clear" w:color="auto" w:fill="auto"/>
            <w:hideMark/>
          </w:tcPr>
          <w:p w14:paraId="42FD4505" w14:textId="77777777" w:rsidR="007A4BE9" w:rsidRPr="007D06C8" w:rsidRDefault="007A4BE9" w:rsidP="002F69D1">
            <w:pPr>
              <w:pStyle w:val="TableText"/>
              <w:rPr>
                <w:b/>
              </w:rPr>
            </w:pPr>
            <w:bookmarkStart w:id="74" w:name="_Hlk54697827"/>
            <w:r w:rsidRPr="007D06C8">
              <w:rPr>
                <w:b/>
              </w:rPr>
              <w:t>Areas for action</w:t>
            </w:r>
          </w:p>
        </w:tc>
        <w:tc>
          <w:tcPr>
            <w:tcW w:w="5524" w:type="dxa"/>
          </w:tcPr>
          <w:p w14:paraId="094DB4D9" w14:textId="77777777" w:rsidR="007A4BE9" w:rsidRPr="005A23C2" w:rsidRDefault="007A4BE9" w:rsidP="002F69D1">
            <w:pPr>
              <w:pStyle w:val="TableText"/>
              <w:rPr>
                <w:b/>
                <w:color w:val="000000" w:themeColor="text1"/>
              </w:rPr>
            </w:pPr>
            <w:r w:rsidRPr="005A23C2">
              <w:rPr>
                <w:b/>
                <w:color w:val="000000" w:themeColor="text1"/>
              </w:rPr>
              <w:t xml:space="preserve">Examples of progress </w:t>
            </w:r>
          </w:p>
        </w:tc>
        <w:tc>
          <w:tcPr>
            <w:tcW w:w="7572" w:type="dxa"/>
          </w:tcPr>
          <w:p w14:paraId="2B8DD3E9" w14:textId="18E521CF" w:rsidR="007A4BE9" w:rsidRPr="005A23C2" w:rsidRDefault="007A4BE9" w:rsidP="002F69D1">
            <w:pPr>
              <w:pStyle w:val="TableText"/>
              <w:rPr>
                <w:b/>
                <w:color w:val="000000" w:themeColor="text1"/>
              </w:rPr>
            </w:pPr>
            <w:r w:rsidRPr="005A23C2">
              <w:rPr>
                <w:b/>
                <w:color w:val="000000" w:themeColor="text1"/>
              </w:rPr>
              <w:t>Priorities for national action</w:t>
            </w:r>
          </w:p>
        </w:tc>
      </w:tr>
      <w:bookmarkEnd w:id="74"/>
      <w:tr w:rsidR="002F3F9C" w14:paraId="3A600BEC" w14:textId="77777777" w:rsidTr="004267F3">
        <w:trPr>
          <w:cantSplit/>
        </w:trPr>
        <w:tc>
          <w:tcPr>
            <w:tcW w:w="2551" w:type="dxa"/>
            <w:shd w:val="clear" w:color="auto" w:fill="auto"/>
          </w:tcPr>
          <w:p w14:paraId="5B5A1B43" w14:textId="77777777" w:rsidR="002F3F9C" w:rsidRDefault="002F3F9C" w:rsidP="00A5654F">
            <w:pPr>
              <w:pStyle w:val="TableText"/>
            </w:pPr>
            <w:r>
              <w:t>Provide tailored wellbeing resources for Māori</w:t>
            </w:r>
          </w:p>
        </w:tc>
        <w:tc>
          <w:tcPr>
            <w:tcW w:w="5524" w:type="dxa"/>
          </w:tcPr>
          <w:p w14:paraId="3194FCA0" w14:textId="69F42A92" w:rsidR="0018118A" w:rsidRDefault="003A0585" w:rsidP="0018118A">
            <w:pPr>
              <w:pStyle w:val="TableBullet"/>
              <w:rPr>
                <w:color w:val="000000" w:themeColor="text1"/>
              </w:rPr>
            </w:pPr>
            <w:r>
              <w:rPr>
                <w:color w:val="000000" w:themeColor="text1"/>
              </w:rPr>
              <w:t xml:space="preserve">Distributed </w:t>
            </w:r>
            <w:r w:rsidR="002F3F9C">
              <w:rPr>
                <w:color w:val="000000" w:themeColor="text1"/>
              </w:rPr>
              <w:t xml:space="preserve">phones and data packages </w:t>
            </w:r>
            <w:r>
              <w:rPr>
                <w:color w:val="000000" w:themeColor="text1"/>
              </w:rPr>
              <w:t xml:space="preserve">to tāngata whai ora to </w:t>
            </w:r>
            <w:r w:rsidR="002F3F9C">
              <w:rPr>
                <w:color w:val="000000" w:themeColor="text1"/>
              </w:rPr>
              <w:t xml:space="preserve">enable </w:t>
            </w:r>
            <w:r w:rsidR="00164BE3">
              <w:rPr>
                <w:color w:val="000000" w:themeColor="text1"/>
              </w:rPr>
              <w:t xml:space="preserve">access </w:t>
            </w:r>
            <w:r w:rsidR="00AB26A1">
              <w:rPr>
                <w:color w:val="000000" w:themeColor="text1"/>
              </w:rPr>
              <w:t xml:space="preserve">to </w:t>
            </w:r>
            <w:r w:rsidR="00164BE3">
              <w:rPr>
                <w:color w:val="000000" w:themeColor="text1"/>
              </w:rPr>
              <w:t xml:space="preserve">mental wellbeing </w:t>
            </w:r>
            <w:r w:rsidR="002F3F9C">
              <w:rPr>
                <w:color w:val="000000" w:themeColor="text1"/>
              </w:rPr>
              <w:t>care workers and</w:t>
            </w:r>
            <w:r w:rsidR="00091BE6">
              <w:rPr>
                <w:color w:val="000000" w:themeColor="text1"/>
              </w:rPr>
              <w:t xml:space="preserve"> </w:t>
            </w:r>
            <w:r w:rsidR="002F3F9C">
              <w:rPr>
                <w:color w:val="000000" w:themeColor="text1"/>
              </w:rPr>
              <w:t>online resources</w:t>
            </w:r>
            <w:r w:rsidR="00474604">
              <w:rPr>
                <w:color w:val="000000" w:themeColor="text1"/>
              </w:rPr>
              <w:t xml:space="preserve"> </w:t>
            </w:r>
            <w:r w:rsidR="00474604">
              <w:rPr>
                <w:color w:val="000000" w:themeColor="text1"/>
                <w:lang w:eastAsia="en-NZ"/>
              </w:rPr>
              <w:t>(M</w:t>
            </w:r>
            <w:r w:rsidR="00476DBC">
              <w:rPr>
                <w:color w:val="000000" w:themeColor="text1"/>
                <w:lang w:eastAsia="en-NZ"/>
              </w:rPr>
              <w:t>oH</w:t>
            </w:r>
            <w:r w:rsidR="00474604">
              <w:rPr>
                <w:color w:val="000000" w:themeColor="text1"/>
                <w:lang w:eastAsia="en-NZ"/>
              </w:rPr>
              <w:t>)</w:t>
            </w:r>
          </w:p>
          <w:p w14:paraId="3DD392E8" w14:textId="57120E7C" w:rsidR="00411588" w:rsidRPr="00581E71" w:rsidRDefault="00411588" w:rsidP="0018118A">
            <w:pPr>
              <w:pStyle w:val="TableBullet"/>
              <w:rPr>
                <w:color w:val="000000" w:themeColor="text1"/>
              </w:rPr>
            </w:pPr>
            <w:r w:rsidRPr="005A23C2">
              <w:rPr>
                <w:color w:val="000000" w:themeColor="text1"/>
              </w:rPr>
              <w:t xml:space="preserve">Funded </w:t>
            </w:r>
            <w:r w:rsidRPr="005A23C2">
              <w:rPr>
                <w:color w:val="000000" w:themeColor="text1"/>
                <w:lang w:eastAsia="en-NZ"/>
              </w:rPr>
              <w:t>tailored</w:t>
            </w:r>
            <w:r>
              <w:rPr>
                <w:color w:val="000000" w:themeColor="text1"/>
                <w:lang w:eastAsia="en-NZ"/>
              </w:rPr>
              <w:t xml:space="preserve"> </w:t>
            </w:r>
            <w:hyperlink r:id="rId56" w:history="1">
              <w:r w:rsidRPr="00601F6E">
                <w:rPr>
                  <w:rStyle w:val="Hyperlink"/>
                  <w:b w:val="0"/>
                  <w:color w:val="auto"/>
                  <w:lang w:eastAsia="en-NZ"/>
                </w:rPr>
                <w:t>COVID-19 related mental wellbeing messaging</w:t>
              </w:r>
            </w:hyperlink>
            <w:r w:rsidRPr="00601F6E">
              <w:rPr>
                <w:lang w:eastAsia="en-NZ"/>
              </w:rPr>
              <w:t xml:space="preserve"> </w:t>
            </w:r>
            <w:r>
              <w:rPr>
                <w:color w:val="000000" w:themeColor="text1"/>
                <w:lang w:eastAsia="en-NZ"/>
              </w:rPr>
              <w:t>for Māori</w:t>
            </w:r>
            <w:r w:rsidR="00164BE3">
              <w:rPr>
                <w:color w:val="000000" w:themeColor="text1"/>
                <w:lang w:eastAsia="en-NZ"/>
              </w:rPr>
              <w:t xml:space="preserve"> (M</w:t>
            </w:r>
            <w:r w:rsidR="00476DBC">
              <w:rPr>
                <w:color w:val="000000" w:themeColor="text1"/>
                <w:lang w:eastAsia="en-NZ"/>
              </w:rPr>
              <w:t>oH</w:t>
            </w:r>
            <w:r w:rsidR="00164BE3">
              <w:rPr>
                <w:color w:val="000000" w:themeColor="text1"/>
                <w:lang w:eastAsia="en-NZ"/>
              </w:rPr>
              <w:t>)</w:t>
            </w:r>
          </w:p>
        </w:tc>
        <w:tc>
          <w:tcPr>
            <w:tcW w:w="7572" w:type="dxa"/>
          </w:tcPr>
          <w:p w14:paraId="78B7B322" w14:textId="6AC29704" w:rsidR="00FF27B9" w:rsidRPr="005A23C2" w:rsidRDefault="00A35844" w:rsidP="007526B7">
            <w:pPr>
              <w:pStyle w:val="TableBullet"/>
            </w:pPr>
            <w:r>
              <w:t xml:space="preserve">Continue </w:t>
            </w:r>
            <w:r w:rsidRPr="005A23C2">
              <w:rPr>
                <w:color w:val="000000" w:themeColor="text1"/>
              </w:rPr>
              <w:t>tailored messaging and resources for</w:t>
            </w:r>
            <w:r>
              <w:rPr>
                <w:color w:val="000000" w:themeColor="text1"/>
              </w:rPr>
              <w:t xml:space="preserve"> Māori</w:t>
            </w:r>
            <w:r w:rsidRPr="005A23C2">
              <w:rPr>
                <w:color w:val="000000" w:themeColor="text1"/>
              </w:rPr>
              <w:t xml:space="preserve"> </w:t>
            </w:r>
            <w:r w:rsidR="00FF27B9">
              <w:t>(M</w:t>
            </w:r>
            <w:r w:rsidR="00476DBC">
              <w:t>oH</w:t>
            </w:r>
            <w:r w:rsidR="00FF27B9">
              <w:t>)</w:t>
            </w:r>
          </w:p>
        </w:tc>
      </w:tr>
      <w:tr w:rsidR="004441EB" w14:paraId="6C9F8F84" w14:textId="77777777" w:rsidTr="004267F3">
        <w:trPr>
          <w:cantSplit/>
        </w:trPr>
        <w:tc>
          <w:tcPr>
            <w:tcW w:w="2551" w:type="dxa"/>
            <w:shd w:val="clear" w:color="auto" w:fill="auto"/>
          </w:tcPr>
          <w:p w14:paraId="66D8A409" w14:textId="48AEB193" w:rsidR="004441EB" w:rsidRPr="007D06C8" w:rsidRDefault="004441EB" w:rsidP="004441EB">
            <w:pPr>
              <w:pStyle w:val="TableText"/>
            </w:pPr>
            <w:bookmarkStart w:id="75" w:name="_Hlk56526186"/>
            <w:r>
              <w:t xml:space="preserve">Promote wellbeing for all </w:t>
            </w:r>
            <w:r w:rsidR="006105D1">
              <w:t>people in Aotearoa</w:t>
            </w:r>
            <w:r w:rsidR="00ED613C">
              <w:t xml:space="preserve"> </w:t>
            </w:r>
            <w:r>
              <w:t xml:space="preserve">New Zealand through national campaigns and practical self-help resources </w:t>
            </w:r>
          </w:p>
        </w:tc>
        <w:tc>
          <w:tcPr>
            <w:tcW w:w="5524" w:type="dxa"/>
          </w:tcPr>
          <w:p w14:paraId="6455B82B" w14:textId="265AE1E0" w:rsidR="00F45FFC" w:rsidRPr="00601F6E" w:rsidRDefault="004441EB" w:rsidP="003A0585">
            <w:pPr>
              <w:pStyle w:val="TableBullet"/>
            </w:pPr>
            <w:r w:rsidRPr="00601F6E">
              <w:t xml:space="preserve">Expanded free access to </w:t>
            </w:r>
            <w:hyperlink r:id="rId57" w:history="1">
              <w:r w:rsidRPr="00601F6E">
                <w:rPr>
                  <w:rStyle w:val="Hyperlink"/>
                  <w:b w:val="0"/>
                  <w:color w:val="auto"/>
                  <w:lang w:eastAsia="en-NZ"/>
                </w:rPr>
                <w:t xml:space="preserve">digital mental wellbeing resources </w:t>
              </w:r>
            </w:hyperlink>
            <w:r w:rsidR="0018118A" w:rsidRPr="00601F6E">
              <w:rPr>
                <w:lang w:eastAsia="en-NZ"/>
              </w:rPr>
              <w:t>including</w:t>
            </w:r>
            <w:r w:rsidR="003A0585" w:rsidRPr="00601F6E">
              <w:rPr>
                <w:lang w:eastAsia="en-NZ"/>
              </w:rPr>
              <w:t xml:space="preserve"> </w:t>
            </w:r>
            <w:hyperlink r:id="rId58" w:history="1">
              <w:r w:rsidR="0014360A" w:rsidRPr="00601F6E">
                <w:rPr>
                  <w:rStyle w:val="Hyperlink"/>
                  <w:b w:val="0"/>
                  <w:color w:val="auto"/>
                  <w:lang w:eastAsia="en-NZ"/>
                </w:rPr>
                <w:t>Mentemia</w:t>
              </w:r>
            </w:hyperlink>
            <w:r w:rsidR="0014360A" w:rsidRPr="00601F6E">
              <w:rPr>
                <w:lang w:eastAsia="en-NZ"/>
              </w:rPr>
              <w:t xml:space="preserve"> and </w:t>
            </w:r>
            <w:hyperlink r:id="rId59" w:history="1">
              <w:r w:rsidR="0014360A" w:rsidRPr="00601F6E">
                <w:rPr>
                  <w:rStyle w:val="Hyperlink"/>
                  <w:b w:val="0"/>
                  <w:color w:val="auto"/>
                  <w:lang w:eastAsia="en-NZ"/>
                </w:rPr>
                <w:t>Melon</w:t>
              </w:r>
            </w:hyperlink>
            <w:r w:rsidR="00411588" w:rsidRPr="00601F6E">
              <w:rPr>
                <w:lang w:eastAsia="en-NZ"/>
              </w:rPr>
              <w:t xml:space="preserve"> apps</w:t>
            </w:r>
            <w:r w:rsidR="003A0585" w:rsidRPr="00601F6E">
              <w:rPr>
                <w:lang w:eastAsia="en-NZ"/>
              </w:rPr>
              <w:t xml:space="preserve">, and </w:t>
            </w:r>
            <w:r w:rsidR="00411588" w:rsidRPr="00601F6E">
              <w:rPr>
                <w:lang w:eastAsia="en-NZ"/>
              </w:rPr>
              <w:t xml:space="preserve">web resources such as </w:t>
            </w:r>
            <w:hyperlink r:id="rId60" w:history="1">
              <w:r w:rsidR="0018118A" w:rsidRPr="00601F6E">
                <w:rPr>
                  <w:rStyle w:val="Hyperlink"/>
                  <w:b w:val="0"/>
                  <w:color w:val="auto"/>
                </w:rPr>
                <w:t>Staying on Track</w:t>
              </w:r>
            </w:hyperlink>
            <w:r w:rsidR="00411588" w:rsidRPr="00601F6E">
              <w:t xml:space="preserve">, </w:t>
            </w:r>
            <w:hyperlink r:id="rId61" w:history="1">
              <w:r w:rsidR="00FC60A8" w:rsidRPr="00601F6E">
                <w:rPr>
                  <w:rStyle w:val="Hyperlink"/>
                  <w:b w:val="0"/>
                  <w:color w:val="auto"/>
                </w:rPr>
                <w:t>Getting Through Together</w:t>
              </w:r>
            </w:hyperlink>
            <w:r w:rsidR="00411588" w:rsidRPr="00601F6E">
              <w:t xml:space="preserve"> and </w:t>
            </w:r>
            <w:hyperlink r:id="rId62" w:history="1">
              <w:r w:rsidR="00FC60A8" w:rsidRPr="00601F6E">
                <w:rPr>
                  <w:rStyle w:val="Hyperlink"/>
                  <w:b w:val="0"/>
                  <w:color w:val="auto"/>
                </w:rPr>
                <w:t>Best Bubble</w:t>
              </w:r>
            </w:hyperlink>
            <w:r w:rsidR="00FC60A8" w:rsidRPr="00601F6E">
              <w:t xml:space="preserve"> </w:t>
            </w:r>
            <w:r w:rsidR="003A0585" w:rsidRPr="00601F6E">
              <w:t>(M</w:t>
            </w:r>
            <w:r w:rsidR="00476DBC">
              <w:t>oH)</w:t>
            </w:r>
          </w:p>
          <w:p w14:paraId="47C353B0" w14:textId="2D07FD1B" w:rsidR="003A0585" w:rsidRDefault="004441EB">
            <w:pPr>
              <w:pStyle w:val="TableBullet"/>
              <w:rPr>
                <w:color w:val="000000" w:themeColor="text1"/>
              </w:rPr>
            </w:pPr>
            <w:r w:rsidRPr="00932965">
              <w:rPr>
                <w:color w:val="000000" w:themeColor="text1"/>
                <w:lang w:eastAsia="en-NZ"/>
              </w:rPr>
              <w:t>Established sponsored data partnership to remove mobile data charges for people accessing COVID-19 information</w:t>
            </w:r>
            <w:r w:rsidR="00474604" w:rsidRPr="00932965">
              <w:rPr>
                <w:color w:val="000000" w:themeColor="text1"/>
                <w:lang w:eastAsia="en-NZ"/>
              </w:rPr>
              <w:t xml:space="preserve"> (M</w:t>
            </w:r>
            <w:r w:rsidR="00476DBC">
              <w:rPr>
                <w:color w:val="000000" w:themeColor="text1"/>
                <w:lang w:eastAsia="en-NZ"/>
              </w:rPr>
              <w:t>oH</w:t>
            </w:r>
            <w:r w:rsidR="00474604" w:rsidRPr="00932965">
              <w:rPr>
                <w:color w:val="000000" w:themeColor="text1"/>
                <w:lang w:eastAsia="en-NZ"/>
              </w:rPr>
              <w:t>)</w:t>
            </w:r>
          </w:p>
          <w:p w14:paraId="1F934C9F" w14:textId="27A555EB" w:rsidR="00E262BC" w:rsidRPr="005A23C2" w:rsidRDefault="00E262BC">
            <w:pPr>
              <w:pStyle w:val="TableBullet"/>
              <w:rPr>
                <w:color w:val="000000" w:themeColor="text1"/>
              </w:rPr>
            </w:pPr>
            <w:r>
              <w:t>Developed a Let Nature In programme to enc</w:t>
            </w:r>
            <w:r w:rsidRPr="00B31B8A">
              <w:t xml:space="preserve">ourage Kiwis to </w:t>
            </w:r>
            <w:r>
              <w:t xml:space="preserve">improve wellbeing by </w:t>
            </w:r>
            <w:r w:rsidRPr="00B31B8A">
              <w:t>connect</w:t>
            </w:r>
            <w:r>
              <w:t>ing</w:t>
            </w:r>
            <w:r w:rsidRPr="00B31B8A">
              <w:t xml:space="preserve"> with nature </w:t>
            </w:r>
            <w:r>
              <w:t>(D</w:t>
            </w:r>
            <w:r w:rsidR="00476DBC">
              <w:t>OC</w:t>
            </w:r>
            <w:r w:rsidR="008D49FA">
              <w:t>)</w:t>
            </w:r>
          </w:p>
        </w:tc>
        <w:tc>
          <w:tcPr>
            <w:tcW w:w="7572" w:type="dxa"/>
          </w:tcPr>
          <w:p w14:paraId="779CA207" w14:textId="64309615" w:rsidR="004441EB" w:rsidRDefault="004441EB" w:rsidP="004441EB">
            <w:pPr>
              <w:pStyle w:val="TableBullet"/>
              <w:rPr>
                <w:color w:val="000000" w:themeColor="text1"/>
              </w:rPr>
            </w:pPr>
            <w:r w:rsidRPr="005A23C2">
              <w:rPr>
                <w:color w:val="000000" w:themeColor="text1"/>
              </w:rPr>
              <w:t xml:space="preserve">Extend funding to maintain free access to wellbeing information campaigns and digital self-help tools </w:t>
            </w:r>
            <w:r w:rsidR="00015C88">
              <w:rPr>
                <w:color w:val="000000" w:themeColor="text1"/>
              </w:rPr>
              <w:t>related to</w:t>
            </w:r>
            <w:r w:rsidR="002742E1">
              <w:rPr>
                <w:color w:val="000000" w:themeColor="text1"/>
              </w:rPr>
              <w:t xml:space="preserve"> mental health and substance </w:t>
            </w:r>
            <w:r w:rsidR="00015C88">
              <w:rPr>
                <w:color w:val="000000" w:themeColor="text1"/>
              </w:rPr>
              <w:t xml:space="preserve">use </w:t>
            </w:r>
            <w:r w:rsidR="00B16079">
              <w:rPr>
                <w:color w:val="000000" w:themeColor="text1"/>
              </w:rPr>
              <w:t>(MoH)</w:t>
            </w:r>
          </w:p>
          <w:p w14:paraId="4F00E10D" w14:textId="36FA9E96" w:rsidR="004441EB" w:rsidRDefault="004441EB" w:rsidP="004441EB">
            <w:pPr>
              <w:pStyle w:val="TableBullet"/>
              <w:rPr>
                <w:color w:val="000000" w:themeColor="text1"/>
              </w:rPr>
            </w:pPr>
            <w:r w:rsidRPr="005A23C2">
              <w:rPr>
                <w:color w:val="000000" w:themeColor="text1"/>
              </w:rPr>
              <w:t xml:space="preserve">Update mental wellbeing information on Ministry of Health and COVID-19 websites regularly and use mainstream media and social media channels to promote awareness and access to this information </w:t>
            </w:r>
            <w:r w:rsidR="009F71ED">
              <w:rPr>
                <w:color w:val="000000" w:themeColor="text1"/>
              </w:rPr>
              <w:t xml:space="preserve">(MoH and </w:t>
            </w:r>
            <w:r w:rsidR="00323AAC">
              <w:rPr>
                <w:color w:val="000000" w:themeColor="text1"/>
              </w:rPr>
              <w:t>cross-</w:t>
            </w:r>
            <w:r w:rsidR="00437EE4">
              <w:rPr>
                <w:color w:val="000000" w:themeColor="text1"/>
              </w:rPr>
              <w:t>government</w:t>
            </w:r>
            <w:r w:rsidR="009F71ED">
              <w:rPr>
                <w:color w:val="000000" w:themeColor="text1"/>
              </w:rPr>
              <w:t>)</w:t>
            </w:r>
          </w:p>
          <w:p w14:paraId="51ADA42D" w14:textId="47A2BD1A" w:rsidR="00C017D9" w:rsidRPr="005A23C2" w:rsidRDefault="00C017D9" w:rsidP="004441EB">
            <w:pPr>
              <w:pStyle w:val="TableBullet"/>
              <w:rPr>
                <w:color w:val="000000" w:themeColor="text1"/>
              </w:rPr>
            </w:pPr>
            <w:r>
              <w:rPr>
                <w:color w:val="000000" w:themeColor="text1"/>
              </w:rPr>
              <w:t xml:space="preserve">Support improved governance, coordination and quality of </w:t>
            </w:r>
            <w:r w:rsidR="003D518A">
              <w:rPr>
                <w:color w:val="000000" w:themeColor="text1"/>
              </w:rPr>
              <w:t xml:space="preserve">mental </w:t>
            </w:r>
            <w:r>
              <w:rPr>
                <w:color w:val="000000" w:themeColor="text1"/>
              </w:rPr>
              <w:t>wellbeing promotion efforts (MoH)</w:t>
            </w:r>
          </w:p>
          <w:p w14:paraId="6FC688F6" w14:textId="361AADC1" w:rsidR="004441EB" w:rsidRPr="005A23C2" w:rsidRDefault="004441EB" w:rsidP="004441EB">
            <w:pPr>
              <w:pStyle w:val="TableBullet"/>
              <w:rPr>
                <w:color w:val="000000" w:themeColor="text1"/>
              </w:rPr>
            </w:pPr>
            <w:r w:rsidRPr="005A23C2">
              <w:rPr>
                <w:color w:val="000000" w:themeColor="text1"/>
              </w:rPr>
              <w:t>Provide guidance to media</w:t>
            </w:r>
            <w:r w:rsidR="00C30C5B">
              <w:rPr>
                <w:color w:val="000000" w:themeColor="text1"/>
              </w:rPr>
              <w:t xml:space="preserve">, </w:t>
            </w:r>
            <w:r w:rsidRPr="005A23C2">
              <w:rPr>
                <w:color w:val="000000" w:themeColor="text1"/>
              </w:rPr>
              <w:t>journalis</w:t>
            </w:r>
            <w:r w:rsidR="00C30C5B">
              <w:rPr>
                <w:color w:val="000000" w:themeColor="text1"/>
              </w:rPr>
              <w:t>ts and broadcasters</w:t>
            </w:r>
            <w:r w:rsidRPr="005A23C2">
              <w:rPr>
                <w:color w:val="000000" w:themeColor="text1"/>
              </w:rPr>
              <w:t xml:space="preserve"> that promotes mental wellbeing</w:t>
            </w:r>
            <w:r w:rsidR="00BE2796">
              <w:rPr>
                <w:color w:val="000000" w:themeColor="text1"/>
              </w:rPr>
              <w:t>,</w:t>
            </w:r>
            <w:r w:rsidRPr="005A23C2">
              <w:rPr>
                <w:color w:val="000000" w:themeColor="text1"/>
              </w:rPr>
              <w:t xml:space="preserve"> including </w:t>
            </w:r>
            <w:r w:rsidR="00C30C5B">
              <w:rPr>
                <w:color w:val="000000" w:themeColor="text1"/>
              </w:rPr>
              <w:t xml:space="preserve">joint development of </w:t>
            </w:r>
            <w:r w:rsidRPr="005A23C2">
              <w:rPr>
                <w:color w:val="000000" w:themeColor="text1"/>
              </w:rPr>
              <w:t>guidelines</w:t>
            </w:r>
            <w:r w:rsidR="00C30C5B">
              <w:rPr>
                <w:color w:val="000000" w:themeColor="text1"/>
              </w:rPr>
              <w:t xml:space="preserve"> to ensure responsible reporting and depiction of suicide</w:t>
            </w:r>
            <w:r w:rsidR="009F71ED">
              <w:rPr>
                <w:color w:val="000000" w:themeColor="text1"/>
              </w:rPr>
              <w:t xml:space="preserve"> (MoH</w:t>
            </w:r>
            <w:r w:rsidR="0090643F">
              <w:rPr>
                <w:color w:val="000000" w:themeColor="text1"/>
              </w:rPr>
              <w:t xml:space="preserve">, </w:t>
            </w:r>
            <w:r w:rsidR="009F71ED">
              <w:rPr>
                <w:color w:val="000000" w:themeColor="text1"/>
              </w:rPr>
              <w:t>SPO)</w:t>
            </w:r>
          </w:p>
          <w:p w14:paraId="12BB0757" w14:textId="44D857DE" w:rsidR="00561237" w:rsidRDefault="004441EB" w:rsidP="001E3C01">
            <w:pPr>
              <w:pStyle w:val="TableBullet"/>
              <w:rPr>
                <w:color w:val="000000" w:themeColor="text1"/>
              </w:rPr>
            </w:pPr>
            <w:r w:rsidRPr="005A23C2">
              <w:rPr>
                <w:color w:val="000000" w:themeColor="text1"/>
              </w:rPr>
              <w:t xml:space="preserve">Increase availability of suicide prevention resources for family and </w:t>
            </w:r>
            <w:r w:rsidR="00476DBC">
              <w:rPr>
                <w:color w:val="000000" w:themeColor="text1"/>
              </w:rPr>
              <w:t>wh</w:t>
            </w:r>
            <w:r w:rsidR="00DC52C5">
              <w:rPr>
                <w:color w:val="000000" w:themeColor="text1"/>
              </w:rPr>
              <w:t>ā</w:t>
            </w:r>
            <w:r w:rsidR="00476DBC">
              <w:rPr>
                <w:color w:val="000000" w:themeColor="text1"/>
              </w:rPr>
              <w:t>nau</w:t>
            </w:r>
            <w:r w:rsidR="009F71ED">
              <w:rPr>
                <w:color w:val="000000" w:themeColor="text1"/>
              </w:rPr>
              <w:t xml:space="preserve"> (SPO)</w:t>
            </w:r>
          </w:p>
          <w:p w14:paraId="0B62E95F" w14:textId="090C9D85" w:rsidR="00E262BC" w:rsidRPr="001E3C01" w:rsidRDefault="00C5433F">
            <w:pPr>
              <w:pStyle w:val="TableBullet"/>
              <w:rPr>
                <w:color w:val="000000" w:themeColor="text1"/>
              </w:rPr>
            </w:pPr>
            <w:bookmarkStart w:id="76" w:name="_Hlk56777136"/>
            <w:r>
              <w:t xml:space="preserve">Develop guidance on </w:t>
            </w:r>
            <w:r w:rsidR="00BE2796">
              <w:t>s</w:t>
            </w:r>
            <w:r>
              <w:t xml:space="preserve">tress in the </w:t>
            </w:r>
            <w:r w:rsidR="00BE2796">
              <w:t>w</w:t>
            </w:r>
            <w:r>
              <w:t xml:space="preserve">orkplace </w:t>
            </w:r>
            <w:r w:rsidRPr="004267F3">
              <w:t>(</w:t>
            </w:r>
            <w:r w:rsidRPr="00E55C16">
              <w:t>WorkSafe</w:t>
            </w:r>
            <w:r w:rsidRPr="004267F3">
              <w:t>)</w:t>
            </w:r>
            <w:r w:rsidR="00E262BC">
              <w:t xml:space="preserve"> </w:t>
            </w:r>
            <w:bookmarkEnd w:id="76"/>
          </w:p>
        </w:tc>
      </w:tr>
      <w:tr w:rsidR="004441EB" w14:paraId="666F6CC1" w14:textId="77777777" w:rsidTr="004267F3">
        <w:trPr>
          <w:cantSplit/>
        </w:trPr>
        <w:tc>
          <w:tcPr>
            <w:tcW w:w="2551" w:type="dxa"/>
            <w:shd w:val="clear" w:color="auto" w:fill="auto"/>
          </w:tcPr>
          <w:p w14:paraId="4051A906" w14:textId="4D12EA3C" w:rsidR="004441EB" w:rsidRPr="00443371" w:rsidRDefault="004441EB" w:rsidP="004441EB">
            <w:pPr>
              <w:pStyle w:val="TableText"/>
            </w:pPr>
            <w:bookmarkStart w:id="77" w:name="_Hlk54697782"/>
            <w:r>
              <w:t xml:space="preserve">Provide tailored wellbeing </w:t>
            </w:r>
            <w:r w:rsidR="00B8729B">
              <w:t xml:space="preserve">campaigns and </w:t>
            </w:r>
            <w:r>
              <w:t>resources for groups with specific needs</w:t>
            </w:r>
          </w:p>
        </w:tc>
        <w:tc>
          <w:tcPr>
            <w:tcW w:w="5524" w:type="dxa"/>
          </w:tcPr>
          <w:p w14:paraId="1A2C37DA" w14:textId="3316D8E0" w:rsidR="0071686D" w:rsidRPr="00FF723E" w:rsidRDefault="004441EB" w:rsidP="002C60E8">
            <w:pPr>
              <w:pStyle w:val="TableBullet"/>
              <w:tabs>
                <w:tab w:val="num" w:pos="1821"/>
              </w:tabs>
            </w:pPr>
            <w:r w:rsidRPr="00601F6E">
              <w:t xml:space="preserve">Funded </w:t>
            </w:r>
            <w:r w:rsidRPr="00601F6E">
              <w:rPr>
                <w:lang w:eastAsia="en-NZ"/>
              </w:rPr>
              <w:t>tailored</w:t>
            </w:r>
            <w:r w:rsidR="002F3F9C" w:rsidRPr="00601F6E">
              <w:rPr>
                <w:lang w:eastAsia="en-NZ"/>
              </w:rPr>
              <w:t xml:space="preserve"> </w:t>
            </w:r>
            <w:hyperlink r:id="rId63" w:history="1">
              <w:r w:rsidR="002F3F9C" w:rsidRPr="00601F6E">
                <w:rPr>
                  <w:rStyle w:val="Hyperlink"/>
                  <w:b w:val="0"/>
                  <w:color w:val="auto"/>
                  <w:lang w:eastAsia="en-NZ"/>
                </w:rPr>
                <w:t>COVID-19 related mental wellbeing</w:t>
              </w:r>
              <w:r w:rsidRPr="00601F6E">
                <w:rPr>
                  <w:rStyle w:val="Hyperlink"/>
                  <w:b w:val="0"/>
                  <w:color w:val="auto"/>
                  <w:lang w:eastAsia="en-NZ"/>
                </w:rPr>
                <w:t xml:space="preserve"> messaging</w:t>
              </w:r>
            </w:hyperlink>
            <w:r w:rsidRPr="00601F6E">
              <w:rPr>
                <w:lang w:eastAsia="en-NZ"/>
              </w:rPr>
              <w:t xml:space="preserve"> and resources for specific groups</w:t>
            </w:r>
            <w:r w:rsidR="00475FBF" w:rsidRPr="00601F6E">
              <w:rPr>
                <w:lang w:eastAsia="en-NZ"/>
              </w:rPr>
              <w:t xml:space="preserve"> </w:t>
            </w:r>
            <w:r w:rsidRPr="00601F6E">
              <w:rPr>
                <w:lang w:eastAsia="en-NZ"/>
              </w:rPr>
              <w:t>including</w:t>
            </w:r>
            <w:r w:rsidR="00411588" w:rsidRPr="00601F6E">
              <w:rPr>
                <w:lang w:eastAsia="en-NZ"/>
              </w:rPr>
              <w:t xml:space="preserve"> </w:t>
            </w:r>
            <w:r w:rsidR="002C60E8" w:rsidRPr="00601F6E">
              <w:rPr>
                <w:lang w:eastAsia="en-NZ"/>
              </w:rPr>
              <w:t xml:space="preserve">youth, </w:t>
            </w:r>
            <w:r w:rsidR="006932FB" w:rsidRPr="00FF723E">
              <w:t>older people</w:t>
            </w:r>
            <w:r w:rsidR="002C60E8" w:rsidRPr="00FF723E">
              <w:t xml:space="preserve">, </w:t>
            </w:r>
            <w:r w:rsidR="006932FB" w:rsidRPr="00F271CC">
              <w:t>Pacific people</w:t>
            </w:r>
            <w:r w:rsidR="00BE2796">
              <w:t>s</w:t>
            </w:r>
            <w:r w:rsidR="002C60E8" w:rsidRPr="00F271CC">
              <w:t xml:space="preserve">, </w:t>
            </w:r>
            <w:r w:rsidR="00B817EE" w:rsidRPr="00D55586">
              <w:t>people wit</w:t>
            </w:r>
            <w:r w:rsidR="00B817EE" w:rsidRPr="00476DBC">
              <w:t>h chronic health conditions</w:t>
            </w:r>
            <w:r w:rsidR="001D3401">
              <w:t xml:space="preserve">, </w:t>
            </w:r>
            <w:hyperlink r:id="rId64" w:history="1">
              <w:r w:rsidR="001D3401" w:rsidRPr="001D3401">
                <w:rPr>
                  <w:rStyle w:val="Hyperlink"/>
                  <w:b w:val="0"/>
                  <w:bCs/>
                </w:rPr>
                <w:t>remote communities</w:t>
              </w:r>
            </w:hyperlink>
            <w:r w:rsidR="002C60E8" w:rsidRPr="001D3401">
              <w:rPr>
                <w:b/>
                <w:bCs/>
              </w:rPr>
              <w:t>,</w:t>
            </w:r>
            <w:r w:rsidR="001D3401">
              <w:t xml:space="preserve"> p</w:t>
            </w:r>
            <w:r w:rsidR="006932FB" w:rsidRPr="00FF723E">
              <w:t>regnant women</w:t>
            </w:r>
            <w:r w:rsidR="002C60E8" w:rsidRPr="00FF723E">
              <w:t xml:space="preserve">, </w:t>
            </w:r>
            <w:r w:rsidR="00B8729B" w:rsidRPr="00F271CC">
              <w:t>parents</w:t>
            </w:r>
            <w:r w:rsidR="005C361F" w:rsidRPr="00F271CC">
              <w:t xml:space="preserve"> and</w:t>
            </w:r>
            <w:r w:rsidR="00B8729B" w:rsidRPr="00D55586">
              <w:t xml:space="preserve"> caregivers</w:t>
            </w:r>
            <w:r w:rsidR="000D039A" w:rsidRPr="00476DBC">
              <w:t xml:space="preserve">, </w:t>
            </w:r>
            <w:r w:rsidR="002165B1">
              <w:t xml:space="preserve">and </w:t>
            </w:r>
            <w:r w:rsidR="000D039A" w:rsidRPr="00476DBC">
              <w:t xml:space="preserve">people financially </w:t>
            </w:r>
            <w:r w:rsidR="00FE0D9D">
              <w:t>affected</w:t>
            </w:r>
            <w:r w:rsidR="00FE0D9D" w:rsidRPr="00FF723E">
              <w:t xml:space="preserve"> </w:t>
            </w:r>
            <w:r w:rsidR="002C60E8" w:rsidRPr="00601F6E">
              <w:rPr>
                <w:lang w:eastAsia="en-NZ"/>
              </w:rPr>
              <w:t>(MoH)</w:t>
            </w:r>
          </w:p>
          <w:p w14:paraId="11F1289D" w14:textId="61668D3C" w:rsidR="004441EB" w:rsidRPr="00601F6E" w:rsidRDefault="004441EB" w:rsidP="004441EB">
            <w:pPr>
              <w:pStyle w:val="TableBullet"/>
            </w:pPr>
            <w:r w:rsidRPr="00601F6E">
              <w:rPr>
                <w:lang w:eastAsia="en-NZ"/>
              </w:rPr>
              <w:t>Funded mental health and wellbeing support for frontline health professionals</w:t>
            </w:r>
            <w:r w:rsidR="00475FBF" w:rsidRPr="00601F6E">
              <w:rPr>
                <w:lang w:eastAsia="en-NZ"/>
              </w:rPr>
              <w:t xml:space="preserve"> </w:t>
            </w:r>
            <w:r w:rsidR="001E3C01" w:rsidRPr="00601F6E">
              <w:rPr>
                <w:lang w:eastAsia="en-NZ"/>
              </w:rPr>
              <w:t xml:space="preserve">and care workers </w:t>
            </w:r>
            <w:r w:rsidR="00475FBF" w:rsidRPr="00601F6E">
              <w:rPr>
                <w:lang w:eastAsia="en-NZ"/>
              </w:rPr>
              <w:t>(MoH)</w:t>
            </w:r>
          </w:p>
          <w:p w14:paraId="06E15F4D" w14:textId="4F20CEC2" w:rsidR="00967B29" w:rsidRPr="00601F6E" w:rsidRDefault="00967B29" w:rsidP="004441EB">
            <w:pPr>
              <w:pStyle w:val="TableBullet"/>
            </w:pPr>
            <w:bookmarkStart w:id="78" w:name="_Hlk57815931"/>
            <w:r w:rsidRPr="00601F6E">
              <w:t>Funded</w:t>
            </w:r>
            <w:r w:rsidR="00A8258C">
              <w:t xml:space="preserve"> Le Va’s </w:t>
            </w:r>
            <w:hyperlink r:id="rId65" w:history="1">
              <w:r w:rsidR="00A8258C" w:rsidRPr="00A8258C">
                <w:rPr>
                  <w:rStyle w:val="Hyperlink"/>
                  <w:b w:val="0"/>
                  <w:bCs/>
                </w:rPr>
                <w:t>Catch Yourself</w:t>
              </w:r>
            </w:hyperlink>
            <w:r w:rsidR="008D7849">
              <w:rPr>
                <w:rStyle w:val="CommentReference"/>
              </w:rPr>
              <w:t>,</w:t>
            </w:r>
            <w:r w:rsidR="00A8258C">
              <w:rPr>
                <w:rStyle w:val="CommentReference"/>
              </w:rPr>
              <w:t xml:space="preserve"> </w:t>
            </w:r>
            <w:r w:rsidR="00550BF9" w:rsidRPr="00601F6E">
              <w:t xml:space="preserve">to equip Pacific families to maintain respectful relationships during </w:t>
            </w:r>
            <w:r w:rsidR="00566BFD" w:rsidRPr="00601F6E">
              <w:t>COVID-19</w:t>
            </w:r>
            <w:r w:rsidR="00550BF9" w:rsidRPr="00601F6E">
              <w:t xml:space="preserve"> </w:t>
            </w:r>
            <w:r w:rsidRPr="00601F6E">
              <w:t>(ACC)</w:t>
            </w:r>
          </w:p>
          <w:bookmarkEnd w:id="78"/>
          <w:p w14:paraId="2979F975" w14:textId="12908F68" w:rsidR="009A484F" w:rsidRPr="00601F6E" w:rsidRDefault="009A484F" w:rsidP="004441EB">
            <w:pPr>
              <w:pStyle w:val="TableBullet"/>
            </w:pPr>
            <w:r w:rsidRPr="00601F6E">
              <w:rPr>
                <w:lang w:eastAsia="en-NZ"/>
              </w:rPr>
              <w:t>Developed COVID-19 Pacific languages community content (MPP)</w:t>
            </w:r>
            <w:r w:rsidR="00F445B4" w:rsidRPr="00601F6E">
              <w:rPr>
                <w:lang w:eastAsia="en-NZ"/>
              </w:rPr>
              <w:t xml:space="preserve"> </w:t>
            </w:r>
          </w:p>
          <w:p w14:paraId="5977CD9C" w14:textId="38A8BF8B" w:rsidR="00900E31" w:rsidRPr="005A23C2" w:rsidRDefault="00900E31" w:rsidP="004441EB">
            <w:pPr>
              <w:pStyle w:val="TableBullet"/>
              <w:rPr>
                <w:color w:val="000000" w:themeColor="text1"/>
              </w:rPr>
            </w:pPr>
            <w:bookmarkStart w:id="79" w:name="_Hlk57283140"/>
            <w:r w:rsidRPr="00601F6E">
              <w:rPr>
                <w:lang w:eastAsia="en-NZ"/>
              </w:rPr>
              <w:t xml:space="preserve">Provided </w:t>
            </w:r>
            <w:r w:rsidRPr="00FF723E">
              <w:rPr>
                <w:szCs w:val="24"/>
              </w:rPr>
              <w:t>self-led wellbeing and educational material to people in Corrections’ care (Corrections)</w:t>
            </w:r>
            <w:bookmarkEnd w:id="79"/>
          </w:p>
        </w:tc>
        <w:tc>
          <w:tcPr>
            <w:tcW w:w="7572" w:type="dxa"/>
          </w:tcPr>
          <w:p w14:paraId="7A885932" w14:textId="0738D8C6" w:rsidR="009007A5" w:rsidRDefault="00411375" w:rsidP="009007A5">
            <w:pPr>
              <w:pStyle w:val="TableBullet"/>
              <w:rPr>
                <w:color w:val="000000" w:themeColor="text1"/>
              </w:rPr>
            </w:pPr>
            <w:r>
              <w:rPr>
                <w:color w:val="000000" w:themeColor="text1"/>
              </w:rPr>
              <w:t>M</w:t>
            </w:r>
            <w:r w:rsidR="004441EB" w:rsidRPr="005A23C2">
              <w:rPr>
                <w:color w:val="000000" w:themeColor="text1"/>
              </w:rPr>
              <w:t xml:space="preserve">aintain </w:t>
            </w:r>
            <w:r w:rsidR="007F0F3C">
              <w:rPr>
                <w:color w:val="000000" w:themeColor="text1"/>
              </w:rPr>
              <w:t xml:space="preserve">access to </w:t>
            </w:r>
            <w:r w:rsidR="004441EB" w:rsidRPr="005A23C2">
              <w:rPr>
                <w:color w:val="000000" w:themeColor="text1"/>
              </w:rPr>
              <w:t xml:space="preserve">tailored messaging and resources for specific groups as we </w:t>
            </w:r>
            <w:r w:rsidR="002352A6">
              <w:rPr>
                <w:color w:val="000000" w:themeColor="text1"/>
              </w:rPr>
              <w:t>build our understanding about</w:t>
            </w:r>
            <w:r w:rsidR="004441EB" w:rsidRPr="005A23C2">
              <w:rPr>
                <w:color w:val="000000" w:themeColor="text1"/>
              </w:rPr>
              <w:t xml:space="preserve"> the </w:t>
            </w:r>
            <w:r w:rsidR="00FE0D9D">
              <w:rPr>
                <w:color w:val="000000" w:themeColor="text1"/>
              </w:rPr>
              <w:t>effect</w:t>
            </w:r>
            <w:r w:rsidR="00FE0D9D" w:rsidRPr="005A23C2">
              <w:rPr>
                <w:color w:val="000000" w:themeColor="text1"/>
              </w:rPr>
              <w:t xml:space="preserve">s </w:t>
            </w:r>
            <w:r w:rsidR="004441EB" w:rsidRPr="005A23C2">
              <w:rPr>
                <w:color w:val="000000" w:themeColor="text1"/>
              </w:rPr>
              <w:t xml:space="preserve">of COVID-19 on different populations </w:t>
            </w:r>
            <w:r w:rsidR="00BC58D8">
              <w:rPr>
                <w:color w:val="000000" w:themeColor="text1"/>
              </w:rPr>
              <w:t>(MoH)</w:t>
            </w:r>
          </w:p>
          <w:p w14:paraId="03D663A1" w14:textId="335CD523" w:rsidR="009007A5" w:rsidRDefault="009007A5" w:rsidP="009007A5">
            <w:pPr>
              <w:pStyle w:val="TableBullet"/>
              <w:rPr>
                <w:color w:val="000000" w:themeColor="text1"/>
              </w:rPr>
            </w:pPr>
            <w:bookmarkStart w:id="80" w:name="_Hlk56777171"/>
            <w:r w:rsidRPr="009007A5">
              <w:rPr>
                <w:color w:val="000000" w:themeColor="text1"/>
              </w:rPr>
              <w:t>Provide access to mental wellbeing and resilience-building supports for children and young people in schools (MoH, MoE)</w:t>
            </w:r>
          </w:p>
          <w:bookmarkEnd w:id="80"/>
          <w:p w14:paraId="5C081DA0" w14:textId="5EA67AA0" w:rsidR="00E262BC" w:rsidRPr="00533F96" w:rsidRDefault="00E52AF3" w:rsidP="00E262BC">
            <w:pPr>
              <w:pStyle w:val="TableBullet"/>
              <w:rPr>
                <w:color w:val="000000" w:themeColor="text1"/>
              </w:rPr>
            </w:pPr>
            <w:r>
              <w:t>Work across government to e</w:t>
            </w:r>
            <w:r w:rsidR="00BD6053">
              <w:t>nsure parents and whānau have the confidence, capacity and resources to support healthy development and resilience of their young children</w:t>
            </w:r>
            <w:r w:rsidR="000A32E5">
              <w:t>,</w:t>
            </w:r>
            <w:r w:rsidR="00BD6053">
              <w:t xml:space="preserve"> includ</w:t>
            </w:r>
            <w:r w:rsidR="000A32E5">
              <w:t>ing</w:t>
            </w:r>
            <w:r w:rsidR="00BD6053">
              <w:t xml:space="preserve"> awareness of brain development and how to support it</w:t>
            </w:r>
            <w:r>
              <w:t xml:space="preserve">, and more holistic support </w:t>
            </w:r>
            <w:r w:rsidR="00751D35">
              <w:t>during pregnancy and in the very early years</w:t>
            </w:r>
            <w:r w:rsidR="000A32E5">
              <w:t xml:space="preserve"> (DPMC Child Wellbeing Unit)</w:t>
            </w:r>
          </w:p>
          <w:p w14:paraId="7427BEE1" w14:textId="12076944" w:rsidR="00533F96" w:rsidRPr="00827CA1" w:rsidRDefault="00533F96" w:rsidP="00E262BC">
            <w:pPr>
              <w:pStyle w:val="TableBullet"/>
              <w:rPr>
                <w:color w:val="000000" w:themeColor="text1"/>
              </w:rPr>
            </w:pPr>
            <w:r w:rsidRPr="00641372">
              <w:t xml:space="preserve">Continue to support the </w:t>
            </w:r>
            <w:hyperlink r:id="rId66" w:history="1">
              <w:r w:rsidRPr="001D3401">
                <w:rPr>
                  <w:rStyle w:val="Hyperlink"/>
                  <w:b w:val="0"/>
                  <w:bCs/>
                </w:rPr>
                <w:t>Give Nothing to Racism</w:t>
              </w:r>
            </w:hyperlink>
            <w:r w:rsidRPr="00641372">
              <w:t xml:space="preserve"> campaign (cross-government)</w:t>
            </w:r>
            <w:r>
              <w:t xml:space="preserve"> and the </w:t>
            </w:r>
            <w:hyperlink r:id="rId67" w:history="1">
              <w:r w:rsidRPr="001D3401">
                <w:rPr>
                  <w:rStyle w:val="Hyperlink"/>
                  <w:b w:val="0"/>
                  <w:bCs/>
                </w:rPr>
                <w:t>Racism is no Joke</w:t>
              </w:r>
            </w:hyperlink>
            <w:r>
              <w:t xml:space="preserve"> campaign</w:t>
            </w:r>
            <w:r w:rsidRPr="00641372">
              <w:t xml:space="preserve"> </w:t>
            </w:r>
            <w:r>
              <w:t>(H</w:t>
            </w:r>
            <w:r w:rsidR="002D2AAA">
              <w:t>RC</w:t>
            </w:r>
            <w:r>
              <w:t>)</w:t>
            </w:r>
          </w:p>
          <w:p w14:paraId="619D310B" w14:textId="3D45DC38" w:rsidR="00D91992" w:rsidRPr="005A23C2" w:rsidRDefault="00E262BC">
            <w:pPr>
              <w:pStyle w:val="TableBullet"/>
              <w:rPr>
                <w:color w:val="000000" w:themeColor="text1"/>
              </w:rPr>
            </w:pPr>
            <w:r>
              <w:t>Develop app and web-based resources to enable people of different abilities to get information about walkways and cycleways, and access the level of support they may need to experience the outdoors (D</w:t>
            </w:r>
            <w:r w:rsidR="00C208B9">
              <w:t>O</w:t>
            </w:r>
            <w:r>
              <w:t>C)</w:t>
            </w:r>
          </w:p>
        </w:tc>
      </w:tr>
      <w:bookmarkEnd w:id="75"/>
      <w:bookmarkEnd w:id="77"/>
    </w:tbl>
    <w:p w14:paraId="65730D95" w14:textId="77777777" w:rsidR="00C4021B" w:rsidRDefault="00C4021B" w:rsidP="00C4021B"/>
    <w:p w14:paraId="289CE771" w14:textId="77777777" w:rsidR="00F70C28" w:rsidRDefault="00F70C28" w:rsidP="00C4021B">
      <w:pPr>
        <w:sectPr w:rsidR="00F70C28" w:rsidSect="009203ED">
          <w:endnotePr>
            <w:numFmt w:val="decimal"/>
          </w:endnotePr>
          <w:pgSz w:w="16838" w:h="11906" w:orient="landscape" w:code="9"/>
          <w:pgMar w:top="567" w:right="567" w:bottom="567" w:left="567" w:header="425" w:footer="425" w:gutter="284"/>
          <w:cols w:space="720"/>
          <w:docGrid w:linePitch="286"/>
        </w:sectPr>
      </w:pPr>
    </w:p>
    <w:p w14:paraId="10E599F5" w14:textId="60C4FD83" w:rsidR="00F70C28" w:rsidRPr="00CE5C74" w:rsidRDefault="00F70C28" w:rsidP="00F70C28">
      <w:pPr>
        <w:pStyle w:val="Heading3"/>
      </w:pPr>
      <w:r w:rsidRPr="00CE5C74">
        <w:t>Focus area 4</w:t>
      </w:r>
      <w:r>
        <w:t>:</w:t>
      </w:r>
      <w:r w:rsidRPr="00CE5C74">
        <w:t xml:space="preserve"> </w:t>
      </w:r>
      <w:r>
        <w:t>Expand</w:t>
      </w:r>
      <w:r w:rsidRPr="00CE5C74">
        <w:t xml:space="preserve"> primary mental health and addiction support in communities</w:t>
      </w:r>
    </w:p>
    <w:p w14:paraId="534FFB82" w14:textId="6745AFF3" w:rsidR="00F70C28" w:rsidRPr="00A2033D" w:rsidRDefault="00F70C28" w:rsidP="00F70C28">
      <w:pPr>
        <w:rPr>
          <w:bCs/>
        </w:rPr>
      </w:pPr>
      <w:r w:rsidRPr="00A2033D">
        <w:t xml:space="preserve">This focus area seeks to address the need for more accessible and affordable mental wellbeing support for people with </w:t>
      </w:r>
      <w:bookmarkStart w:id="81" w:name="_Hlk54353972"/>
      <w:r w:rsidRPr="00A2033D">
        <w:t>mild to moderate mental health needs</w:t>
      </w:r>
      <w:r w:rsidR="00586574">
        <w:t xml:space="preserve"> and </w:t>
      </w:r>
      <w:r w:rsidR="00015C88">
        <w:t>addiction</w:t>
      </w:r>
      <w:r w:rsidR="00586574">
        <w:t xml:space="preserve"> challenges</w:t>
      </w:r>
      <w:bookmarkEnd w:id="81"/>
      <w:r w:rsidRPr="00A2033D">
        <w:t>. While this work was under</w:t>
      </w:r>
      <w:r w:rsidR="009F7213">
        <w:t>way</w:t>
      </w:r>
      <w:r w:rsidRPr="00A2033D">
        <w:t xml:space="preserve"> </w:t>
      </w:r>
      <w:r w:rsidR="002165B1">
        <w:t>before</w:t>
      </w:r>
      <w:r w:rsidRPr="00A2033D">
        <w:t xml:space="preserve"> </w:t>
      </w:r>
      <w:r>
        <w:t>COVID</w:t>
      </w:r>
      <w:r>
        <w:noBreakHyphen/>
        <w:t>19</w:t>
      </w:r>
      <w:r w:rsidRPr="00A2033D">
        <w:t xml:space="preserve">, increased mental wellbeing needs due to the pandemic </w:t>
      </w:r>
      <w:r w:rsidR="002165B1">
        <w:t>have made</w:t>
      </w:r>
      <w:r w:rsidRPr="00A2033D">
        <w:t xml:space="preserve"> this focus</w:t>
      </w:r>
      <w:r w:rsidR="002165B1">
        <w:t xml:space="preserve"> area </w:t>
      </w:r>
      <w:r w:rsidR="00763149">
        <w:t xml:space="preserve">even </w:t>
      </w:r>
      <w:r w:rsidR="002165B1">
        <w:t>more important</w:t>
      </w:r>
      <w:r w:rsidRPr="00A2033D">
        <w:t>.</w:t>
      </w:r>
    </w:p>
    <w:p w14:paraId="3E708A36" w14:textId="77777777" w:rsidR="00F70C28" w:rsidRDefault="00F70C28" w:rsidP="00F70C28"/>
    <w:p w14:paraId="7E73073D" w14:textId="470AED12" w:rsidR="00F70C28" w:rsidRPr="00D52809" w:rsidRDefault="00F70C28" w:rsidP="00F70C28">
      <w:r w:rsidRPr="00A2033D">
        <w:t xml:space="preserve">An increased and diversified range of </w:t>
      </w:r>
      <w:r w:rsidR="00291CC5">
        <w:t>national</w:t>
      </w:r>
      <w:r w:rsidR="00291CC5" w:rsidRPr="00A2033D">
        <w:t xml:space="preserve"> </w:t>
      </w:r>
      <w:r w:rsidRPr="00A2033D">
        <w:t xml:space="preserve">and community-based responses will be provided across the country. Good information will help people find support that works for them, and there will be clear links between </w:t>
      </w:r>
      <w:r>
        <w:t xml:space="preserve">mental health and addiction </w:t>
      </w:r>
      <w:r w:rsidRPr="00A2033D">
        <w:t>services</w:t>
      </w:r>
      <w:r>
        <w:t>, and with other services that support wellbeing</w:t>
      </w:r>
      <w:r w:rsidRPr="00A2033D">
        <w:t>.</w:t>
      </w:r>
    </w:p>
    <w:p w14:paraId="1DE9B642" w14:textId="77777777" w:rsidR="00F70C28" w:rsidRDefault="00F70C28" w:rsidP="00F70C28"/>
    <w:p w14:paraId="2A01C8A3" w14:textId="1CAAE2AC" w:rsidR="00F70C28" w:rsidRDefault="00F70C28" w:rsidP="00F70C28">
      <w:r w:rsidRPr="00A2033D">
        <w:t>There will be more choice of services and increased accessibility,</w:t>
      </w:r>
      <w:r w:rsidR="00586574">
        <w:t xml:space="preserve"> and people will be supported to transition between services and supports that meet their needs</w:t>
      </w:r>
      <w:r w:rsidRPr="00A2033D">
        <w:t>. People of different ages, ethnicities and identities will easily find support that is appropriate for them, no matter where they live. Kaupapa Māori services, designed by and for Māori, will be expanded.</w:t>
      </w:r>
    </w:p>
    <w:p w14:paraId="217AD3B5" w14:textId="77777777" w:rsidR="00F70C28" w:rsidRDefault="00F70C28" w:rsidP="00F70C28"/>
    <w:p w14:paraId="00188CF7" w14:textId="77777777" w:rsidR="00F70C28" w:rsidRDefault="00F70C28" w:rsidP="00F70C28">
      <w:r w:rsidRPr="00A2033D">
        <w:t>Effective evaluation and workforce support will supplement this focus area. Services will be designed collaboratively, including input from people with lived experience of mental health and addiction services.</w:t>
      </w:r>
    </w:p>
    <w:p w14:paraId="79A84E05" w14:textId="6E9015B0" w:rsidR="00C4021B" w:rsidRPr="00C4021B" w:rsidRDefault="00C4021B" w:rsidP="00C4021B">
      <w:pPr>
        <w:sectPr w:rsidR="00C4021B" w:rsidRPr="00C4021B" w:rsidSect="004D20E9">
          <w:endnotePr>
            <w:numFmt w:val="decimal"/>
          </w:endnotePr>
          <w:pgSz w:w="11906" w:h="16838" w:code="9"/>
          <w:pgMar w:top="1134" w:right="1134" w:bottom="1134" w:left="1134" w:header="425" w:footer="425" w:gutter="284"/>
          <w:cols w:space="720"/>
          <w:docGrid w:linePitch="286"/>
        </w:sectPr>
      </w:pPr>
    </w:p>
    <w:p w14:paraId="3C519E96" w14:textId="5BDA7144" w:rsidR="001F4202" w:rsidRDefault="00A65FE3" w:rsidP="002936EB">
      <w:pPr>
        <w:spacing w:after="120"/>
        <w:rPr>
          <w:b/>
          <w:spacing w:val="-2"/>
        </w:rPr>
      </w:pPr>
      <w:r>
        <w:rPr>
          <w:b/>
          <w:spacing w:val="-2"/>
        </w:rPr>
        <w:t xml:space="preserve">Focus area 4: </w:t>
      </w:r>
      <w:r w:rsidR="00F70C28">
        <w:rPr>
          <w:b/>
          <w:spacing w:val="-2"/>
        </w:rPr>
        <w:t>Expand</w:t>
      </w:r>
      <w:r w:rsidR="006A6F2E" w:rsidRPr="006A6F2E">
        <w:rPr>
          <w:b/>
          <w:spacing w:val="-2"/>
        </w:rPr>
        <w:t xml:space="preserve"> primary mental health and addiction support in communities</w:t>
      </w:r>
    </w:p>
    <w:tbl>
      <w:tblPr>
        <w:tblW w:w="15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551"/>
        <w:gridCol w:w="5241"/>
        <w:gridCol w:w="7855"/>
      </w:tblGrid>
      <w:tr w:rsidR="001F4202" w:rsidRPr="00155C3C" w14:paraId="20C36C89" w14:textId="77777777" w:rsidTr="001F4202">
        <w:trPr>
          <w:cantSplit/>
          <w:tblHeader/>
        </w:trPr>
        <w:tc>
          <w:tcPr>
            <w:tcW w:w="15647"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E5BC5" w14:textId="01030C8B" w:rsidR="001F4202" w:rsidRPr="007D06C8" w:rsidRDefault="001F4202" w:rsidP="001F4202">
            <w:pPr>
              <w:pStyle w:val="TableText"/>
              <w:rPr>
                <w:b/>
              </w:rPr>
            </w:pPr>
            <w:r w:rsidRPr="007D06C8">
              <w:rPr>
                <w:b/>
              </w:rPr>
              <w:t>Outcome:</w:t>
            </w:r>
            <w:r w:rsidR="002F1792">
              <w:rPr>
                <w:b/>
              </w:rPr>
              <w:t xml:space="preserve"> </w:t>
            </w:r>
            <w:r w:rsidRPr="006166C3">
              <w:rPr>
                <w:b/>
              </w:rPr>
              <w:t xml:space="preserve">Whānau and individuals are supported to achieve mental wellbeing </w:t>
            </w:r>
            <w:r>
              <w:rPr>
                <w:b/>
              </w:rPr>
              <w:t>through</w:t>
            </w:r>
            <w:r w:rsidRPr="006166C3">
              <w:rPr>
                <w:b/>
              </w:rPr>
              <w:t xml:space="preserve"> accessible</w:t>
            </w:r>
            <w:r>
              <w:rPr>
                <w:b/>
              </w:rPr>
              <w:t>, equitable and high-quality</w:t>
            </w:r>
            <w:r w:rsidRPr="006166C3">
              <w:rPr>
                <w:b/>
              </w:rPr>
              <w:t xml:space="preserve"> services in their communities</w:t>
            </w:r>
          </w:p>
        </w:tc>
      </w:tr>
      <w:tr w:rsidR="001F4202" w:rsidRPr="00155C3C" w14:paraId="1C984175" w14:textId="77777777" w:rsidTr="001F4202">
        <w:trPr>
          <w:cantSplit/>
        </w:trPr>
        <w:tc>
          <w:tcPr>
            <w:tcW w:w="2551" w:type="dxa"/>
            <w:shd w:val="clear" w:color="auto" w:fill="auto"/>
            <w:hideMark/>
          </w:tcPr>
          <w:p w14:paraId="042780B1" w14:textId="77777777" w:rsidR="001F4202" w:rsidRPr="007D06C8" w:rsidRDefault="001F4202" w:rsidP="001F4202">
            <w:pPr>
              <w:pStyle w:val="TableText"/>
              <w:rPr>
                <w:b/>
              </w:rPr>
            </w:pPr>
            <w:r w:rsidRPr="007D06C8">
              <w:rPr>
                <w:b/>
              </w:rPr>
              <w:t>Areas for action</w:t>
            </w:r>
          </w:p>
        </w:tc>
        <w:tc>
          <w:tcPr>
            <w:tcW w:w="5241" w:type="dxa"/>
          </w:tcPr>
          <w:p w14:paraId="7A80AD43" w14:textId="77777777" w:rsidR="001F4202" w:rsidRPr="007D06C8" w:rsidRDefault="001F4202" w:rsidP="001F4202">
            <w:pPr>
              <w:pStyle w:val="TableText"/>
              <w:rPr>
                <w:b/>
              </w:rPr>
            </w:pPr>
            <w:r w:rsidRPr="007D06C8">
              <w:rPr>
                <w:b/>
              </w:rPr>
              <w:t xml:space="preserve">Examples of progress </w:t>
            </w:r>
          </w:p>
        </w:tc>
        <w:tc>
          <w:tcPr>
            <w:tcW w:w="7855" w:type="dxa"/>
          </w:tcPr>
          <w:p w14:paraId="3583CE90" w14:textId="707C6FB0" w:rsidR="001F4202" w:rsidRPr="007D06C8" w:rsidRDefault="001F4202" w:rsidP="001F4202">
            <w:pPr>
              <w:pStyle w:val="TableText"/>
              <w:rPr>
                <w:b/>
              </w:rPr>
            </w:pPr>
            <w:r w:rsidRPr="007D06C8">
              <w:rPr>
                <w:b/>
              </w:rPr>
              <w:t>Priorities for national action</w:t>
            </w:r>
            <w:r w:rsidR="002F1792">
              <w:rPr>
                <w:b/>
              </w:rPr>
              <w:t xml:space="preserve"> </w:t>
            </w:r>
          </w:p>
        </w:tc>
      </w:tr>
      <w:tr w:rsidR="00D17EE8" w14:paraId="178D6BCA" w14:textId="77777777" w:rsidTr="00AD1BB9">
        <w:trPr>
          <w:cantSplit/>
        </w:trPr>
        <w:tc>
          <w:tcPr>
            <w:tcW w:w="2551" w:type="dxa"/>
            <w:shd w:val="clear" w:color="auto" w:fill="auto"/>
          </w:tcPr>
          <w:p w14:paraId="43CDC6D4" w14:textId="77777777" w:rsidR="00D17EE8" w:rsidRPr="00443371" w:rsidRDefault="00D17EE8" w:rsidP="00AD1BB9">
            <w:pPr>
              <w:pStyle w:val="TableText"/>
            </w:pPr>
            <w:r w:rsidRPr="00E203C6">
              <w:t xml:space="preserve">Support the expansion of </w:t>
            </w:r>
            <w:r>
              <w:t>primary services by and for Māori</w:t>
            </w:r>
          </w:p>
        </w:tc>
        <w:tc>
          <w:tcPr>
            <w:tcW w:w="5241" w:type="dxa"/>
          </w:tcPr>
          <w:p w14:paraId="4851971F" w14:textId="497221FE" w:rsidR="00D17EE8" w:rsidRPr="007D06C8" w:rsidRDefault="008F59C3" w:rsidP="009E0F7C">
            <w:pPr>
              <w:pStyle w:val="TableBullet"/>
            </w:pPr>
            <w:r>
              <w:t xml:space="preserve">Invested in </w:t>
            </w:r>
            <w:r w:rsidR="00D17EE8">
              <w:t>expand</w:t>
            </w:r>
            <w:r>
              <w:t>ing</w:t>
            </w:r>
            <w:r w:rsidR="00D17EE8">
              <w:t xml:space="preserve"> </w:t>
            </w:r>
            <w:r>
              <w:t xml:space="preserve">and replicating </w:t>
            </w:r>
            <w:r w:rsidR="00D17EE8">
              <w:t xml:space="preserve">existing </w:t>
            </w:r>
            <w:r>
              <w:t>kaupapa Māori primary mental health and addiction services (MoH)</w:t>
            </w:r>
          </w:p>
        </w:tc>
        <w:tc>
          <w:tcPr>
            <w:tcW w:w="7855" w:type="dxa"/>
          </w:tcPr>
          <w:p w14:paraId="34ED7ED8" w14:textId="61686920" w:rsidR="00D17EE8" w:rsidRDefault="008F59C3" w:rsidP="00AD1BB9">
            <w:pPr>
              <w:pStyle w:val="TableBullet"/>
            </w:pPr>
            <w:r>
              <w:t xml:space="preserve">Invest in new </w:t>
            </w:r>
            <w:r w:rsidR="00D17EE8">
              <w:t xml:space="preserve">kaupapa Māori </w:t>
            </w:r>
            <w:r>
              <w:t xml:space="preserve">mental health and addiction </w:t>
            </w:r>
            <w:r w:rsidR="00D17EE8">
              <w:t xml:space="preserve">services </w:t>
            </w:r>
            <w:r>
              <w:t xml:space="preserve">using innovative commissioning </w:t>
            </w:r>
            <w:r w:rsidR="00041485">
              <w:t xml:space="preserve">approaches </w:t>
            </w:r>
            <w:r>
              <w:t xml:space="preserve">such as use of video, oral </w:t>
            </w:r>
            <w:r w:rsidR="00041485">
              <w:t xml:space="preserve">responses </w:t>
            </w:r>
            <w:r>
              <w:t>and Te Reo M</w:t>
            </w:r>
            <w:r w:rsidR="00041485">
              <w:t>ā</w:t>
            </w:r>
            <w:r>
              <w:t xml:space="preserve">ori </w:t>
            </w:r>
            <w:r w:rsidR="008B63CA">
              <w:t>(MoH)</w:t>
            </w:r>
          </w:p>
          <w:p w14:paraId="201E1831" w14:textId="77777777" w:rsidR="00D17EE8" w:rsidRDefault="00D17EE8" w:rsidP="00AD1BB9">
            <w:pPr>
              <w:pStyle w:val="TableBullet"/>
            </w:pPr>
            <w:r>
              <w:t xml:space="preserve">Ensure access to tikanga-based interventions </w:t>
            </w:r>
            <w:r w:rsidR="00CF5B6F">
              <w:t xml:space="preserve">is </w:t>
            </w:r>
            <w:r>
              <w:t>supported alongside Māori clinical interventions</w:t>
            </w:r>
            <w:r w:rsidR="00794DDD">
              <w:t xml:space="preserve"> (MoH)</w:t>
            </w:r>
          </w:p>
          <w:p w14:paraId="1627FFCF" w14:textId="24F90C36" w:rsidR="00D167B2" w:rsidRPr="007D06C8" w:rsidRDefault="00D167B2" w:rsidP="00D167B2">
            <w:pPr>
              <w:pStyle w:val="TableBullet"/>
            </w:pPr>
            <w:r>
              <w:t xml:space="preserve">Undertake </w:t>
            </w:r>
            <w:r w:rsidRPr="00D167B2">
              <w:t>a review of contracted mental health services (for mild to moderate needs)</w:t>
            </w:r>
            <w:r w:rsidR="0036360F">
              <w:t xml:space="preserve"> for </w:t>
            </w:r>
            <w:r w:rsidR="00900E31">
              <w:t>people in Corrections’ care</w:t>
            </w:r>
            <w:r w:rsidR="00566BFD">
              <w:t xml:space="preserve">, </w:t>
            </w:r>
            <w:r w:rsidRPr="00D167B2">
              <w:t>emphasis</w:t>
            </w:r>
            <w:r w:rsidR="00566BFD">
              <w:t>ing</w:t>
            </w:r>
            <w:r w:rsidR="00F97DD2">
              <w:t xml:space="preserve"> </w:t>
            </w:r>
            <w:r w:rsidRPr="00D167B2">
              <w:t>responsive</w:t>
            </w:r>
            <w:r w:rsidR="00566BFD">
              <w:t>ness</w:t>
            </w:r>
            <w:r w:rsidRPr="00D167B2">
              <w:t xml:space="preserve"> to </w:t>
            </w:r>
            <w:r w:rsidR="003E6521">
              <w:t>Māori</w:t>
            </w:r>
            <w:r>
              <w:t xml:space="preserve"> (Corrections)</w:t>
            </w:r>
          </w:p>
        </w:tc>
      </w:tr>
      <w:tr w:rsidR="001F4202" w14:paraId="3BF302AE" w14:textId="77777777" w:rsidTr="001F4202">
        <w:trPr>
          <w:cantSplit/>
        </w:trPr>
        <w:tc>
          <w:tcPr>
            <w:tcW w:w="2551" w:type="dxa"/>
            <w:shd w:val="clear" w:color="auto" w:fill="auto"/>
          </w:tcPr>
          <w:p w14:paraId="540DFC9F" w14:textId="77777777" w:rsidR="001F4202" w:rsidRDefault="001F4202" w:rsidP="001F4202">
            <w:pPr>
              <w:pStyle w:val="TableText"/>
            </w:pPr>
            <w:r>
              <w:t>Increase access and choice of services for people with a range of mild to moderate mental wellbeing issues</w:t>
            </w:r>
          </w:p>
          <w:p w14:paraId="1813E280" w14:textId="2AEFFEC8" w:rsidR="00E040C8" w:rsidRPr="007D06C8" w:rsidRDefault="00E040C8" w:rsidP="001F4202">
            <w:pPr>
              <w:pStyle w:val="TableText"/>
            </w:pPr>
          </w:p>
        </w:tc>
        <w:tc>
          <w:tcPr>
            <w:tcW w:w="5241" w:type="dxa"/>
          </w:tcPr>
          <w:p w14:paraId="55B38B7F" w14:textId="018048DA" w:rsidR="001F4202" w:rsidRDefault="001F4202" w:rsidP="001F4202">
            <w:pPr>
              <w:pStyle w:val="TableBullet"/>
            </w:pPr>
            <w:r>
              <w:t xml:space="preserve">Invested $40 million to expand access to integrated primary mental health and addiction services access through </w:t>
            </w:r>
            <w:r w:rsidR="00757A12">
              <w:t xml:space="preserve">emergency departments and </w:t>
            </w:r>
            <w:r>
              <w:t>general practice</w:t>
            </w:r>
            <w:r w:rsidR="00794DDD">
              <w:t xml:space="preserve"> (MoH)</w:t>
            </w:r>
          </w:p>
          <w:p w14:paraId="63FB75CE" w14:textId="549789ED" w:rsidR="001F4202" w:rsidRDefault="001F4202" w:rsidP="001F4202">
            <w:pPr>
              <w:pStyle w:val="TableBullet"/>
            </w:pPr>
            <w:r>
              <w:t xml:space="preserve">Increased capacity of mental health and addiction telehealth services </w:t>
            </w:r>
            <w:r w:rsidR="00F51405">
              <w:t>(MoH)</w:t>
            </w:r>
          </w:p>
          <w:p w14:paraId="0DD15A42" w14:textId="3DC5DFAC" w:rsidR="003A0585" w:rsidRPr="007D06C8" w:rsidRDefault="001F4202">
            <w:pPr>
              <w:pStyle w:val="TableBullet"/>
            </w:pPr>
            <w:r>
              <w:t>Invested in new community addiction responses, including peer support services</w:t>
            </w:r>
            <w:r w:rsidR="00F51405">
              <w:t xml:space="preserve"> (MoH)</w:t>
            </w:r>
          </w:p>
        </w:tc>
        <w:tc>
          <w:tcPr>
            <w:tcW w:w="7855" w:type="dxa"/>
          </w:tcPr>
          <w:p w14:paraId="69C940C4" w14:textId="239CBA2C" w:rsidR="001F4202" w:rsidRPr="004267F3" w:rsidRDefault="001F4202" w:rsidP="001F4202">
            <w:pPr>
              <w:pStyle w:val="TableBullet"/>
            </w:pPr>
            <w:r w:rsidRPr="008B07B6">
              <w:rPr>
                <w:lang w:eastAsia="en-NZ"/>
              </w:rPr>
              <w:t xml:space="preserve">Continue rollout of integrated primary </w:t>
            </w:r>
            <w:r w:rsidRPr="00250CC3">
              <w:rPr>
                <w:lang w:eastAsia="en-NZ"/>
              </w:rPr>
              <w:t xml:space="preserve">mental health and </w:t>
            </w:r>
            <w:r w:rsidRPr="009E0F7C">
              <w:rPr>
                <w:lang w:eastAsia="en-NZ"/>
              </w:rPr>
              <w:t xml:space="preserve">addiction services to over 100 </w:t>
            </w:r>
            <w:r w:rsidR="00CC1AB3" w:rsidRPr="0017240E">
              <w:rPr>
                <w:lang w:eastAsia="en-NZ"/>
              </w:rPr>
              <w:t xml:space="preserve">general practice </w:t>
            </w:r>
            <w:r w:rsidRPr="0017240E">
              <w:rPr>
                <w:lang w:eastAsia="en-NZ"/>
              </w:rPr>
              <w:t xml:space="preserve">sites by </w:t>
            </w:r>
            <w:r w:rsidRPr="00E451F1">
              <w:rPr>
                <w:lang w:eastAsia="en-NZ"/>
              </w:rPr>
              <w:t>June 202</w:t>
            </w:r>
            <w:r w:rsidRPr="004267F3">
              <w:rPr>
                <w:lang w:eastAsia="en-NZ"/>
              </w:rPr>
              <w:t>1</w:t>
            </w:r>
            <w:r w:rsidR="00260D91">
              <w:rPr>
                <w:lang w:eastAsia="en-NZ"/>
              </w:rPr>
              <w:t xml:space="preserve"> and further thereafter</w:t>
            </w:r>
            <w:r w:rsidR="00A46ACB" w:rsidRPr="004267F3">
              <w:rPr>
                <w:lang w:eastAsia="en-NZ"/>
              </w:rPr>
              <w:t xml:space="preserve"> (MoH)</w:t>
            </w:r>
          </w:p>
          <w:p w14:paraId="0C81B179" w14:textId="747A0F15" w:rsidR="001F4202" w:rsidRPr="004267F3" w:rsidRDefault="001F4202" w:rsidP="001F4202">
            <w:pPr>
              <w:pStyle w:val="TableBullet"/>
            </w:pPr>
            <w:r w:rsidRPr="004267F3">
              <w:t>Pursue opportunities to integrate primary</w:t>
            </w:r>
            <w:r w:rsidR="00CC1AB3" w:rsidRPr="004267F3">
              <w:t xml:space="preserve">, </w:t>
            </w:r>
            <w:r w:rsidRPr="004267F3">
              <w:t>community and specialist mental health and addiction services, and health and social services, to ensure appropriate and holistic care is provided</w:t>
            </w:r>
            <w:r w:rsidR="00DE1AE3" w:rsidRPr="004267F3">
              <w:t xml:space="preserve"> (MoH)</w:t>
            </w:r>
          </w:p>
          <w:p w14:paraId="60CD383A" w14:textId="09A19C22" w:rsidR="00D17EE8" w:rsidRPr="004267F3" w:rsidRDefault="00347453" w:rsidP="0014360A">
            <w:pPr>
              <w:pStyle w:val="TableBullet"/>
              <w:rPr>
                <w:color w:val="000000" w:themeColor="text1"/>
              </w:rPr>
            </w:pPr>
            <w:r w:rsidRPr="004267F3">
              <w:t>Increase investment in community addiction services</w:t>
            </w:r>
            <w:r w:rsidR="0014360A" w:rsidRPr="004267F3">
              <w:t xml:space="preserve"> and </w:t>
            </w:r>
            <w:r w:rsidR="0014360A" w:rsidRPr="004267F3">
              <w:rPr>
                <w:color w:val="000000" w:themeColor="text1"/>
              </w:rPr>
              <w:t>access to whānau support for people who use substances</w:t>
            </w:r>
            <w:r w:rsidRPr="008B07B6">
              <w:t xml:space="preserve"> (MoH)</w:t>
            </w:r>
          </w:p>
        </w:tc>
      </w:tr>
      <w:tr w:rsidR="001F4202" w14:paraId="60B2372F" w14:textId="77777777" w:rsidTr="001F4202">
        <w:trPr>
          <w:cantSplit/>
        </w:trPr>
        <w:tc>
          <w:tcPr>
            <w:tcW w:w="2551" w:type="dxa"/>
            <w:shd w:val="clear" w:color="auto" w:fill="auto"/>
          </w:tcPr>
          <w:p w14:paraId="56974375" w14:textId="5EAB8F97" w:rsidR="001F4202" w:rsidRPr="00E203C6" w:rsidRDefault="001F4202" w:rsidP="001F4202">
            <w:pPr>
              <w:pStyle w:val="TableText"/>
            </w:pPr>
            <w:r w:rsidRPr="00E82F44">
              <w:t xml:space="preserve">Provide </w:t>
            </w:r>
            <w:r w:rsidR="00757A12">
              <w:t xml:space="preserve">primary-level </w:t>
            </w:r>
            <w:r w:rsidRPr="00E82F44">
              <w:t>support for populations with specific mental wellbeing needs</w:t>
            </w:r>
          </w:p>
        </w:tc>
        <w:tc>
          <w:tcPr>
            <w:tcW w:w="5241" w:type="dxa"/>
          </w:tcPr>
          <w:p w14:paraId="6CC22389" w14:textId="426CF915" w:rsidR="001F4202" w:rsidRDefault="001F4202" w:rsidP="00F474E5">
            <w:pPr>
              <w:pStyle w:val="TableBullet"/>
            </w:pPr>
            <w:r>
              <w:t>Completed procurement processes to expand existing and support new Pacific and youth-specific mental health and addiction services</w:t>
            </w:r>
            <w:r w:rsidR="00474604">
              <w:t xml:space="preserve"> (MoH)</w:t>
            </w:r>
          </w:p>
          <w:p w14:paraId="699C7E95" w14:textId="17EF6F70" w:rsidR="00513DFB" w:rsidRDefault="00513DFB" w:rsidP="00F474E5">
            <w:pPr>
              <w:pStyle w:val="TableBullet"/>
            </w:pPr>
            <w:r>
              <w:t>Funded specialist counselling</w:t>
            </w:r>
            <w:r w:rsidRPr="00F474E5">
              <w:t xml:space="preserve"> </w:t>
            </w:r>
            <w:r>
              <w:t xml:space="preserve">for </w:t>
            </w:r>
            <w:r w:rsidRPr="00F474E5">
              <w:t>Asian communities</w:t>
            </w:r>
            <w:r>
              <w:t xml:space="preserve"> (MoH)</w:t>
            </w:r>
          </w:p>
          <w:p w14:paraId="06A5B657" w14:textId="38AED293" w:rsidR="00F474E5" w:rsidRDefault="00CC1AB3" w:rsidP="00B8729B">
            <w:pPr>
              <w:pStyle w:val="TableBullet"/>
            </w:pPr>
            <w:r>
              <w:t xml:space="preserve">Contributed funding for a </w:t>
            </w:r>
            <w:r w:rsidR="00B8729B">
              <w:t xml:space="preserve">free peer support line </w:t>
            </w:r>
            <w:r>
              <w:t xml:space="preserve">for rainbow communities </w:t>
            </w:r>
            <w:r w:rsidR="00B8729B">
              <w:t>and a transgender peer support service (MoH)</w:t>
            </w:r>
          </w:p>
          <w:p w14:paraId="0403B932" w14:textId="4D2A3869" w:rsidR="007450B0" w:rsidRDefault="007450B0" w:rsidP="00B8729B">
            <w:pPr>
              <w:pStyle w:val="TableBullet"/>
            </w:pPr>
            <w:r>
              <w:t xml:space="preserve">Contributed funding for </w:t>
            </w:r>
            <w:r w:rsidR="00223955">
              <w:t xml:space="preserve">youth-specific </w:t>
            </w:r>
            <w:r w:rsidR="00331B6F">
              <w:t>web</w:t>
            </w:r>
            <w:r w:rsidR="00223955">
              <w:t>chat (MoH)</w:t>
            </w:r>
          </w:p>
        </w:tc>
        <w:tc>
          <w:tcPr>
            <w:tcW w:w="7855" w:type="dxa"/>
          </w:tcPr>
          <w:p w14:paraId="4C238370" w14:textId="14ED8C5E" w:rsidR="00E10685" w:rsidRPr="008B07B6" w:rsidRDefault="00E10685" w:rsidP="001F4202">
            <w:pPr>
              <w:pStyle w:val="TableBullet"/>
            </w:pPr>
            <w:r w:rsidRPr="004267F3">
              <w:t xml:space="preserve">Extend </w:t>
            </w:r>
            <w:r w:rsidR="00B703C0" w:rsidRPr="004267F3">
              <w:t xml:space="preserve">mental wellbeing </w:t>
            </w:r>
            <w:r w:rsidRPr="004267F3">
              <w:t>services targeting specific populations</w:t>
            </w:r>
            <w:r w:rsidRPr="004267F3" w:rsidDel="00E10685">
              <w:t xml:space="preserve"> </w:t>
            </w:r>
            <w:r w:rsidRPr="008B07B6">
              <w:t xml:space="preserve">(MoH) including: </w:t>
            </w:r>
          </w:p>
          <w:p w14:paraId="0DC225BA" w14:textId="622D3572" w:rsidR="001F4202" w:rsidRPr="009E0F7C" w:rsidRDefault="001F4202" w:rsidP="00E10685">
            <w:pPr>
              <w:pStyle w:val="TableBullet"/>
              <w:ind w:left="568"/>
            </w:pPr>
            <w:r w:rsidRPr="009E0F7C">
              <w:t>Pacific primary mental health and addiction services</w:t>
            </w:r>
            <w:r w:rsidR="00DE1AE3" w:rsidRPr="009E0F7C">
              <w:t xml:space="preserve"> </w:t>
            </w:r>
          </w:p>
          <w:p w14:paraId="6C2DF881" w14:textId="7B684EBF" w:rsidR="001F4202" w:rsidRPr="0017240E" w:rsidRDefault="001F4202" w:rsidP="00B703C0">
            <w:pPr>
              <w:pStyle w:val="TableBullet"/>
              <w:ind w:left="568"/>
            </w:pPr>
            <w:r w:rsidRPr="0017240E">
              <w:t>youth-specific primary mental health and addiction services</w:t>
            </w:r>
            <w:r w:rsidR="00DE1AE3" w:rsidRPr="0017240E">
              <w:t xml:space="preserve"> (MoH)</w:t>
            </w:r>
          </w:p>
          <w:p w14:paraId="73579743" w14:textId="53E80210" w:rsidR="0017240E" w:rsidRPr="004267F3" w:rsidRDefault="001F4202" w:rsidP="008B07B6">
            <w:pPr>
              <w:pStyle w:val="TableBullet"/>
              <w:ind w:left="568"/>
            </w:pPr>
            <w:bookmarkStart w:id="82" w:name="_Hlk56777228"/>
            <w:r w:rsidRPr="004267F3">
              <w:t>wellbeing support for learners and whānau across early learning, schooling and tertiary education</w:t>
            </w:r>
            <w:r w:rsidR="004C0EB3" w:rsidRPr="004267F3">
              <w:t xml:space="preserve"> (MoE</w:t>
            </w:r>
            <w:r w:rsidR="003C5308">
              <w:t xml:space="preserve">, </w:t>
            </w:r>
            <w:r w:rsidR="004C0EB3" w:rsidRPr="004267F3">
              <w:t>MoH)</w:t>
            </w:r>
          </w:p>
          <w:bookmarkEnd w:id="82"/>
          <w:p w14:paraId="4B2B3707" w14:textId="77777777" w:rsidR="00304BCB" w:rsidRDefault="00586574" w:rsidP="0017240E">
            <w:pPr>
              <w:pStyle w:val="TableBullet"/>
            </w:pPr>
            <w:r w:rsidRPr="008B07B6">
              <w:t>Pilot new services to minimise gambling harm</w:t>
            </w:r>
            <w:r w:rsidR="0017240E">
              <w:t xml:space="preserve"> informed by the </w:t>
            </w:r>
            <w:r w:rsidR="0017240E" w:rsidRPr="0012092D">
              <w:t>voices of people with lived experience</w:t>
            </w:r>
            <w:r w:rsidR="0017240E">
              <w:t xml:space="preserve"> </w:t>
            </w:r>
            <w:r w:rsidRPr="008B07B6">
              <w:t>(MoH)</w:t>
            </w:r>
          </w:p>
          <w:p w14:paraId="4E64725D" w14:textId="77777777" w:rsidR="00241463" w:rsidRDefault="00241463" w:rsidP="0017240E">
            <w:pPr>
              <w:pStyle w:val="TableBullet"/>
            </w:pPr>
            <w:r>
              <w:t>Delive</w:t>
            </w:r>
            <w:r w:rsidR="00C32256">
              <w:t>r</w:t>
            </w:r>
            <w:r>
              <w:t xml:space="preserve"> the new Suicide Bereavement Response Service (SPO)</w:t>
            </w:r>
          </w:p>
          <w:p w14:paraId="1DE476E7" w14:textId="603935D0" w:rsidR="00772363" w:rsidRPr="00250CC3" w:rsidRDefault="001D5A3D" w:rsidP="00147783">
            <w:pPr>
              <w:pStyle w:val="TableBullet"/>
            </w:pPr>
            <w:bookmarkStart w:id="83" w:name="_Hlk56777266"/>
            <w:r w:rsidRPr="00101AA6">
              <w:t>Improve mental health services focused on wellbeing at Mt Eden, Waikeria and Rimutaka Prisons (Corrections</w:t>
            </w:r>
            <w:r>
              <w:t xml:space="preserve">, </w:t>
            </w:r>
            <w:r w:rsidRPr="00101AA6">
              <w:t>MoH)</w:t>
            </w:r>
            <w:bookmarkEnd w:id="83"/>
          </w:p>
        </w:tc>
      </w:tr>
      <w:tr w:rsidR="00FE7555" w14:paraId="78BDA352" w14:textId="77777777" w:rsidTr="001F4202">
        <w:trPr>
          <w:cantSplit/>
        </w:trPr>
        <w:tc>
          <w:tcPr>
            <w:tcW w:w="2551" w:type="dxa"/>
            <w:shd w:val="clear" w:color="auto" w:fill="auto"/>
          </w:tcPr>
          <w:p w14:paraId="012FF5EC" w14:textId="72E42BC9" w:rsidR="00FE7555" w:rsidRPr="00E82F44" w:rsidRDefault="00F25021" w:rsidP="001F4202">
            <w:pPr>
              <w:pStyle w:val="TableText"/>
            </w:pPr>
            <w:r>
              <w:t>Strengthen the voice of</w:t>
            </w:r>
            <w:r w:rsidR="00F04330">
              <w:t xml:space="preserve"> </w:t>
            </w:r>
            <w:r w:rsidR="00F04330" w:rsidRPr="00DC102B">
              <w:t xml:space="preserve">lived experience </w:t>
            </w:r>
            <w:r w:rsidR="0054312D">
              <w:t xml:space="preserve">and whānau in </w:t>
            </w:r>
            <w:r w:rsidR="00F04330" w:rsidRPr="00DC102B">
              <w:t>support</w:t>
            </w:r>
            <w:r w:rsidR="0054312D">
              <w:t>ing</w:t>
            </w:r>
            <w:r w:rsidR="00F04330">
              <w:t xml:space="preserve"> tāngata whaiora </w:t>
            </w:r>
          </w:p>
        </w:tc>
        <w:tc>
          <w:tcPr>
            <w:tcW w:w="5241" w:type="dxa"/>
          </w:tcPr>
          <w:p w14:paraId="2DFD6859" w14:textId="3FF625CA" w:rsidR="007971ED" w:rsidRDefault="007971ED" w:rsidP="00F474E5">
            <w:pPr>
              <w:pStyle w:val="TableBullet"/>
            </w:pPr>
            <w:r>
              <w:t xml:space="preserve">Funded </w:t>
            </w:r>
            <w:r w:rsidR="00B8729B">
              <w:t>delive</w:t>
            </w:r>
            <w:r w:rsidR="00B8729B" w:rsidRPr="00F271CC">
              <w:t>r</w:t>
            </w:r>
            <w:r w:rsidR="00CC1AB3" w:rsidRPr="00F271CC">
              <w:t>y</w:t>
            </w:r>
            <w:r w:rsidR="00B8729B" w:rsidRPr="00D55586">
              <w:t xml:space="preserve"> </w:t>
            </w:r>
            <w:r w:rsidR="007450B0" w:rsidRPr="00530D43">
              <w:t xml:space="preserve">of </w:t>
            </w:r>
            <w:hyperlink r:id="rId68" w:history="1">
              <w:r w:rsidRPr="00601F6E">
                <w:rPr>
                  <w:rStyle w:val="Hyperlink"/>
                  <w:b w:val="0"/>
                  <w:color w:val="auto"/>
                </w:rPr>
                <w:t>Whakatau Mai: the Wellbeing Sessions</w:t>
              </w:r>
            </w:hyperlink>
            <w:r w:rsidRPr="00F271CC">
              <w:t xml:space="preserve"> (MoH)</w:t>
            </w:r>
          </w:p>
          <w:p w14:paraId="27FA1B6E" w14:textId="502FD60E" w:rsidR="00E10685" w:rsidRDefault="00E10685" w:rsidP="00F474E5">
            <w:pPr>
              <w:pStyle w:val="TableBullet"/>
            </w:pPr>
            <w:r>
              <w:t xml:space="preserve">Funded </w:t>
            </w:r>
            <w:r w:rsidR="00D535FB">
              <w:t>a</w:t>
            </w:r>
            <w:r>
              <w:t xml:space="preserve"> </w:t>
            </w:r>
            <w:r w:rsidR="00041485">
              <w:t xml:space="preserve">COVID-19-specific </w:t>
            </w:r>
            <w:r>
              <w:t xml:space="preserve">peer support </w:t>
            </w:r>
            <w:r w:rsidR="007450B0">
              <w:t xml:space="preserve">telehealth </w:t>
            </w:r>
            <w:r>
              <w:t>line (MoH)</w:t>
            </w:r>
          </w:p>
        </w:tc>
        <w:tc>
          <w:tcPr>
            <w:tcW w:w="7855" w:type="dxa"/>
          </w:tcPr>
          <w:p w14:paraId="228B60D5" w14:textId="4CE1B984" w:rsidR="0054312D" w:rsidRDefault="007450B0" w:rsidP="0054312D">
            <w:pPr>
              <w:pStyle w:val="TableBullet"/>
            </w:pPr>
            <w:r>
              <w:t>Top-up</w:t>
            </w:r>
            <w:r w:rsidR="0054312D">
              <w:t xml:space="preserve"> funding for </w:t>
            </w:r>
            <w:r>
              <w:t xml:space="preserve">delivery of </w:t>
            </w:r>
            <w:r w:rsidR="0054312D" w:rsidRPr="0054312D">
              <w:t>Whakatau Mai: the Wellbeing Sessions</w:t>
            </w:r>
            <w:r w:rsidR="00886166">
              <w:t xml:space="preserve"> (MoH)</w:t>
            </w:r>
          </w:p>
          <w:p w14:paraId="4C92EDED" w14:textId="77777777" w:rsidR="00716878" w:rsidRDefault="00920ED9" w:rsidP="00886166">
            <w:pPr>
              <w:pStyle w:val="TableBullet"/>
            </w:pPr>
            <w:r>
              <w:t>S</w:t>
            </w:r>
            <w:r w:rsidRPr="007E2724">
              <w:t xml:space="preserve">trengthen networks for </w:t>
            </w:r>
            <w:r w:rsidR="00561237">
              <w:t>people</w:t>
            </w:r>
            <w:r w:rsidR="00561237" w:rsidRPr="007E2724">
              <w:t xml:space="preserve"> </w:t>
            </w:r>
            <w:r w:rsidRPr="007E2724">
              <w:t>with lived experience of mental wellbeing challenges</w:t>
            </w:r>
            <w:r>
              <w:t xml:space="preserve"> to input into policy, planning, delivery and communications (MoH)</w:t>
            </w:r>
          </w:p>
          <w:p w14:paraId="40FB0362" w14:textId="648700B3" w:rsidR="00900E31" w:rsidRDefault="00900E31" w:rsidP="00886166">
            <w:pPr>
              <w:pStyle w:val="TableBullet"/>
            </w:pPr>
            <w:r>
              <w:t>Engage with people in Corrections’ care to shape the Kaupapa Health Services Model of Care (Corrections)</w:t>
            </w:r>
          </w:p>
        </w:tc>
      </w:tr>
    </w:tbl>
    <w:p w14:paraId="5F4861AA" w14:textId="77777777" w:rsidR="00DE045E" w:rsidRDefault="00DE045E" w:rsidP="006A1D94">
      <w:pPr>
        <w:sectPr w:rsidR="00DE045E" w:rsidSect="009203ED">
          <w:endnotePr>
            <w:numFmt w:val="decimal"/>
          </w:endnotePr>
          <w:pgSz w:w="16838" w:h="11906" w:orient="landscape" w:code="9"/>
          <w:pgMar w:top="567" w:right="567" w:bottom="567" w:left="567" w:header="425" w:footer="425" w:gutter="284"/>
          <w:cols w:space="720"/>
          <w:docGrid w:linePitch="286"/>
        </w:sectPr>
      </w:pPr>
    </w:p>
    <w:p w14:paraId="076E9C0A" w14:textId="258922CB" w:rsidR="002713D7" w:rsidRPr="00CE5C74" w:rsidRDefault="002713D7" w:rsidP="002713D7">
      <w:pPr>
        <w:pStyle w:val="Heading3"/>
        <w:keepNext w:val="0"/>
        <w:pageBreakBefore/>
        <w:spacing w:before="0"/>
        <w:rPr>
          <w:b/>
          <w:bCs/>
        </w:rPr>
      </w:pPr>
      <w:r w:rsidRPr="00CE5C74">
        <w:t>Focus area 5</w:t>
      </w:r>
      <w:r>
        <w:t>:</w:t>
      </w:r>
      <w:r w:rsidRPr="00CE5C74">
        <w:t xml:space="preserve"> </w:t>
      </w:r>
      <w:r w:rsidR="00F70C28">
        <w:t>Strengthen</w:t>
      </w:r>
      <w:r w:rsidR="004B0B83" w:rsidRPr="00CE5C74">
        <w:t xml:space="preserve"> </w:t>
      </w:r>
      <w:r>
        <w:t>s</w:t>
      </w:r>
      <w:r w:rsidRPr="00CE5C74">
        <w:t xml:space="preserve">pecialist </w:t>
      </w:r>
      <w:r>
        <w:t>s</w:t>
      </w:r>
      <w:r w:rsidRPr="00CE5C74">
        <w:t>ervices</w:t>
      </w:r>
    </w:p>
    <w:p w14:paraId="2E6749F9" w14:textId="63B50448" w:rsidR="00BE1AA9" w:rsidRDefault="008148E6" w:rsidP="00BE1AA9">
      <w:bookmarkStart w:id="84" w:name="_Hlk53478605"/>
      <w:r w:rsidRPr="00A2033D">
        <w:t xml:space="preserve">Specialist </w:t>
      </w:r>
      <w:r w:rsidR="00D35E48">
        <w:t xml:space="preserve">mental health and addiction </w:t>
      </w:r>
      <w:r w:rsidRPr="00A2033D">
        <w:t xml:space="preserve">services are essential for the health of people with </w:t>
      </w:r>
      <w:r w:rsidR="008A573F">
        <w:t>complex</w:t>
      </w:r>
      <w:r w:rsidR="008A573F" w:rsidRPr="00A2033D">
        <w:t xml:space="preserve"> </w:t>
      </w:r>
      <w:r w:rsidRPr="00A2033D">
        <w:t>or enduring mental health and addiction issues.</w:t>
      </w:r>
      <w:r w:rsidR="002F1792">
        <w:t xml:space="preserve"> </w:t>
      </w:r>
      <w:r w:rsidR="004C4899">
        <w:t xml:space="preserve">Strengthening these services </w:t>
      </w:r>
      <w:bookmarkEnd w:id="84"/>
      <w:r w:rsidRPr="00A2033D">
        <w:t xml:space="preserve">will </w:t>
      </w:r>
      <w:r w:rsidR="002A1728">
        <w:t>involve impro</w:t>
      </w:r>
      <w:r w:rsidR="00C81953">
        <w:t xml:space="preserve">ving </w:t>
      </w:r>
      <w:r w:rsidR="00DC5BBF">
        <w:t>seamless access to</w:t>
      </w:r>
      <w:r w:rsidRPr="00A2033D">
        <w:t xml:space="preserve"> care between hospitals, general practice</w:t>
      </w:r>
      <w:r w:rsidR="00C221C6">
        <w:t>s</w:t>
      </w:r>
      <w:r w:rsidRPr="00A2033D">
        <w:t xml:space="preserve"> and community </w:t>
      </w:r>
      <w:r w:rsidR="00D35E48">
        <w:t>services</w:t>
      </w:r>
      <w:r w:rsidRPr="00A2033D">
        <w:t>.</w:t>
      </w:r>
      <w:r w:rsidR="00BE1AA9">
        <w:t xml:space="preserve"> It will </w:t>
      </w:r>
      <w:r w:rsidR="00BE1AA9" w:rsidRPr="00A2033D">
        <w:t>in</w:t>
      </w:r>
      <w:r w:rsidR="00BE1AA9">
        <w:t>clude</w:t>
      </w:r>
      <w:r w:rsidR="00BE1AA9" w:rsidRPr="00A2033D">
        <w:t xml:space="preserve"> determining how to best use </w:t>
      </w:r>
      <w:r w:rsidR="00D35E48">
        <w:t>a range of</w:t>
      </w:r>
      <w:r w:rsidR="00D35E48" w:rsidRPr="00A2033D">
        <w:t xml:space="preserve"> </w:t>
      </w:r>
      <w:r w:rsidR="00BE1AA9" w:rsidRPr="00A2033D">
        <w:t xml:space="preserve">forms of support, such as </w:t>
      </w:r>
      <w:r w:rsidR="00BE1AA9">
        <w:t xml:space="preserve">peer support, </w:t>
      </w:r>
      <w:r w:rsidR="00BE1AA9" w:rsidRPr="00A2033D">
        <w:t xml:space="preserve">group therapies and telemedicine. </w:t>
      </w:r>
    </w:p>
    <w:p w14:paraId="12602CC1" w14:textId="77777777" w:rsidR="00BE1AA9" w:rsidRDefault="00BE1AA9" w:rsidP="00BE1AA9"/>
    <w:p w14:paraId="16C3FD36" w14:textId="1116F8CC" w:rsidR="008148E6" w:rsidRDefault="00BE1AA9" w:rsidP="00BE1AA9">
      <w:r>
        <w:t>The voices and stories of people with lived experience of specialist services, and their whānau, will be important in influencing decision-making to implement changes.</w:t>
      </w:r>
    </w:p>
    <w:p w14:paraId="7E7DB45C" w14:textId="77777777" w:rsidR="00831EF7" w:rsidRPr="005A23C2" w:rsidRDefault="00831EF7" w:rsidP="005A23C2"/>
    <w:p w14:paraId="499D1D85" w14:textId="243F0280" w:rsidR="0061505B" w:rsidDel="00BE1AA9" w:rsidRDefault="008148E6" w:rsidP="005A23C2">
      <w:r w:rsidRPr="005E7CAC" w:rsidDel="00BE1AA9">
        <w:t>Support</w:t>
      </w:r>
      <w:r w:rsidDel="00BE1AA9">
        <w:t>ing</w:t>
      </w:r>
      <w:r w:rsidRPr="005E7CAC" w:rsidDel="00BE1AA9">
        <w:t xml:space="preserve"> the delivery of specialist mental health </w:t>
      </w:r>
      <w:r w:rsidDel="00BE1AA9">
        <w:t xml:space="preserve">and addiction </w:t>
      </w:r>
      <w:r w:rsidRPr="005E7CAC" w:rsidDel="00BE1AA9">
        <w:t xml:space="preserve">services </w:t>
      </w:r>
      <w:r w:rsidDel="00BE1AA9">
        <w:t xml:space="preserve">to maintain service continuity has been a priority for the Ministry of Health </w:t>
      </w:r>
      <w:r w:rsidR="00651A12" w:rsidDel="00BE1AA9">
        <w:t xml:space="preserve">and other stakeholders </w:t>
      </w:r>
      <w:r w:rsidDel="00BE1AA9">
        <w:t xml:space="preserve">throughout COVID-19. </w:t>
      </w:r>
      <w:r w:rsidR="00651A12" w:rsidDel="00BE1AA9">
        <w:t xml:space="preserve">The Ministry of Health has </w:t>
      </w:r>
      <w:r w:rsidDel="00BE1AA9">
        <w:t xml:space="preserve">worked </w:t>
      </w:r>
      <w:r w:rsidRPr="009A565E" w:rsidDel="00BE1AA9">
        <w:t xml:space="preserve">with DHBs, </w:t>
      </w:r>
      <w:r w:rsidDel="00BE1AA9">
        <w:t xml:space="preserve">NGOs, </w:t>
      </w:r>
      <w:r w:rsidRPr="009A565E" w:rsidDel="00BE1AA9">
        <w:t xml:space="preserve">service providers and mental health and addiction workforce centres to </w:t>
      </w:r>
      <w:r w:rsidR="00CC5FC8" w:rsidDel="00BE1AA9">
        <w:t>support the mental health and addiction workforce during this period</w:t>
      </w:r>
      <w:r w:rsidRPr="009A565E" w:rsidDel="00BE1AA9">
        <w:t>.</w:t>
      </w:r>
      <w:r w:rsidDel="00BE1AA9">
        <w:t xml:space="preserve"> </w:t>
      </w:r>
    </w:p>
    <w:p w14:paraId="6B2BC28D" w14:textId="204FB634" w:rsidR="00FE3260" w:rsidDel="00BE1AA9" w:rsidRDefault="00FE3260" w:rsidP="005A23C2"/>
    <w:p w14:paraId="4E05795A" w14:textId="79FB6688" w:rsidR="008148E6" w:rsidDel="00BE1AA9" w:rsidRDefault="008148E6" w:rsidP="005A23C2">
      <w:r w:rsidDel="00BE1AA9">
        <w:t xml:space="preserve">This includes the provision of </w:t>
      </w:r>
      <w:r w:rsidRPr="002E1C43" w:rsidDel="00BE1AA9">
        <w:t>technical, clinical and cultural guidance to DHBs, District Inspectors and service providers</w:t>
      </w:r>
      <w:r w:rsidR="00CC5FC8" w:rsidDel="00BE1AA9">
        <w:t xml:space="preserve">, including in relation to </w:t>
      </w:r>
      <w:r w:rsidR="00CC5FC8" w:rsidRPr="00CC5FC8" w:rsidDel="00BE1AA9">
        <w:t>ensur</w:t>
      </w:r>
      <w:r w:rsidR="00CC5FC8" w:rsidDel="00BE1AA9">
        <w:t>ing</w:t>
      </w:r>
      <w:r w:rsidR="00CC5FC8" w:rsidRPr="00CC5FC8" w:rsidDel="00BE1AA9">
        <w:t xml:space="preserve"> the rights of patients and proposed patients under the Mental Health (Compulsory Assessment and Treatment) Act 1992</w:t>
      </w:r>
      <w:r w:rsidR="00CC5FC8" w:rsidDel="00BE1AA9">
        <w:t xml:space="preserve"> </w:t>
      </w:r>
      <w:r w:rsidR="00CC5FC8" w:rsidRPr="00CC5FC8" w:rsidDel="00BE1AA9">
        <w:t>are protected</w:t>
      </w:r>
      <w:r w:rsidRPr="002E1C43" w:rsidDel="00BE1AA9">
        <w:t xml:space="preserve"> </w:t>
      </w:r>
      <w:r w:rsidR="007203F1" w:rsidDel="00BE1AA9">
        <w:t xml:space="preserve">in </w:t>
      </w:r>
      <w:r w:rsidDel="00BE1AA9">
        <w:t>the COVID-19</w:t>
      </w:r>
      <w:r w:rsidRPr="002E1C43" w:rsidDel="00BE1AA9">
        <w:t xml:space="preserve"> context.</w:t>
      </w:r>
      <w:r w:rsidDel="00BE1AA9">
        <w:t xml:space="preserve"> </w:t>
      </w:r>
    </w:p>
    <w:p w14:paraId="40F07E54" w14:textId="59F6C388" w:rsidR="009203ED" w:rsidRDefault="009203ED" w:rsidP="007D06C8">
      <w:pPr>
        <w:pStyle w:val="TableBullet"/>
        <w:rPr>
          <w:lang w:val="en-US"/>
        </w:rPr>
        <w:sectPr w:rsidR="009203ED" w:rsidSect="004968E3">
          <w:endnotePr>
            <w:numFmt w:val="decimal"/>
          </w:endnotePr>
          <w:pgSz w:w="11906" w:h="16838" w:code="9"/>
          <w:pgMar w:top="1134" w:right="1134" w:bottom="1134" w:left="1134" w:header="425" w:footer="425" w:gutter="284"/>
          <w:cols w:space="720"/>
          <w:docGrid w:linePitch="286"/>
        </w:sectPr>
      </w:pPr>
    </w:p>
    <w:p w14:paraId="61545370" w14:textId="70AA2232" w:rsidR="00D17EE8" w:rsidRPr="00D17EE8" w:rsidRDefault="00A65FE3" w:rsidP="00D17EE8">
      <w:pPr>
        <w:spacing w:after="120"/>
        <w:rPr>
          <w:spacing w:val="-2"/>
        </w:rPr>
      </w:pPr>
      <w:bookmarkStart w:id="85" w:name="_Toc50464494"/>
      <w:r>
        <w:rPr>
          <w:b/>
          <w:spacing w:val="-2"/>
        </w:rPr>
        <w:t xml:space="preserve">Focus area 5: </w:t>
      </w:r>
      <w:r w:rsidR="002F69D1">
        <w:rPr>
          <w:b/>
          <w:spacing w:val="-2"/>
        </w:rPr>
        <w:t>Strengthen</w:t>
      </w:r>
      <w:r w:rsidR="004B0B83" w:rsidRPr="003D3E1B">
        <w:rPr>
          <w:b/>
          <w:spacing w:val="-2"/>
        </w:rPr>
        <w:t xml:space="preserve"> </w:t>
      </w:r>
      <w:r w:rsidR="003D3E1B" w:rsidRPr="003D3E1B">
        <w:rPr>
          <w:b/>
          <w:spacing w:val="-2"/>
        </w:rPr>
        <w:t>specialist</w:t>
      </w:r>
      <w:r w:rsidR="00812FDF">
        <w:rPr>
          <w:b/>
          <w:spacing w:val="-2"/>
        </w:rPr>
        <w:t xml:space="preserve"> </w:t>
      </w:r>
      <w:r w:rsidR="003D3E1B" w:rsidRPr="003D3E1B">
        <w:rPr>
          <w:b/>
          <w:spacing w:val="-2"/>
        </w:rPr>
        <w:t>services</w:t>
      </w:r>
    </w:p>
    <w:tbl>
      <w:tblPr>
        <w:tblW w:w="15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551"/>
        <w:gridCol w:w="5241"/>
        <w:gridCol w:w="7855"/>
      </w:tblGrid>
      <w:tr w:rsidR="001F4202" w:rsidRPr="00155C3C" w14:paraId="0A3BDD69" w14:textId="77777777" w:rsidTr="001F4202">
        <w:trPr>
          <w:cantSplit/>
          <w:tblHeader/>
        </w:trPr>
        <w:tc>
          <w:tcPr>
            <w:tcW w:w="15647"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0E41D11" w14:textId="72DCDD85" w:rsidR="001F4202" w:rsidRPr="007D06C8" w:rsidRDefault="001F4202" w:rsidP="001F4202">
            <w:pPr>
              <w:pStyle w:val="TableText"/>
              <w:rPr>
                <w:b/>
              </w:rPr>
            </w:pPr>
            <w:r w:rsidRPr="007D06C8">
              <w:rPr>
                <w:b/>
              </w:rPr>
              <w:t>Outcome:</w:t>
            </w:r>
            <w:r w:rsidR="002F1792">
              <w:rPr>
                <w:b/>
              </w:rPr>
              <w:t xml:space="preserve"> </w:t>
            </w:r>
            <w:r w:rsidRPr="006166C3">
              <w:rPr>
                <w:b/>
              </w:rPr>
              <w:t xml:space="preserve">Whānau and individuals </w:t>
            </w:r>
            <w:r w:rsidR="002A13A1">
              <w:rPr>
                <w:b/>
              </w:rPr>
              <w:t xml:space="preserve">experiencing complex mental health and addiction needs </w:t>
            </w:r>
            <w:r w:rsidRPr="006166C3">
              <w:rPr>
                <w:b/>
              </w:rPr>
              <w:t xml:space="preserve">are supported to achieve mental wellbeing </w:t>
            </w:r>
            <w:r>
              <w:rPr>
                <w:b/>
              </w:rPr>
              <w:t>through</w:t>
            </w:r>
            <w:r w:rsidRPr="006166C3">
              <w:rPr>
                <w:b/>
              </w:rPr>
              <w:t xml:space="preserve"> accessible</w:t>
            </w:r>
            <w:r>
              <w:rPr>
                <w:b/>
              </w:rPr>
              <w:t>, equitable and high-quality</w:t>
            </w:r>
            <w:r w:rsidRPr="006166C3">
              <w:rPr>
                <w:b/>
              </w:rPr>
              <w:t xml:space="preserve"> services </w:t>
            </w:r>
          </w:p>
        </w:tc>
      </w:tr>
      <w:tr w:rsidR="001F4202" w:rsidRPr="00155C3C" w14:paraId="45475940" w14:textId="77777777" w:rsidTr="001F4202">
        <w:trPr>
          <w:cantSplit/>
        </w:trPr>
        <w:tc>
          <w:tcPr>
            <w:tcW w:w="2551" w:type="dxa"/>
            <w:shd w:val="clear" w:color="auto" w:fill="auto"/>
            <w:hideMark/>
          </w:tcPr>
          <w:p w14:paraId="35A9BC84" w14:textId="77777777" w:rsidR="001F4202" w:rsidRPr="007D06C8" w:rsidRDefault="001F4202" w:rsidP="001F4202">
            <w:pPr>
              <w:pStyle w:val="TableText"/>
              <w:rPr>
                <w:b/>
              </w:rPr>
            </w:pPr>
            <w:r w:rsidRPr="007D06C8">
              <w:rPr>
                <w:b/>
              </w:rPr>
              <w:t>Areas for action</w:t>
            </w:r>
          </w:p>
        </w:tc>
        <w:tc>
          <w:tcPr>
            <w:tcW w:w="5241" w:type="dxa"/>
          </w:tcPr>
          <w:p w14:paraId="4BB1F6B5" w14:textId="77777777" w:rsidR="001F4202" w:rsidRPr="007D06C8" w:rsidRDefault="001F4202" w:rsidP="001F4202">
            <w:pPr>
              <w:pStyle w:val="TableText"/>
              <w:rPr>
                <w:b/>
              </w:rPr>
            </w:pPr>
            <w:r w:rsidRPr="007D06C8">
              <w:rPr>
                <w:b/>
              </w:rPr>
              <w:t xml:space="preserve">Examples of progress </w:t>
            </w:r>
          </w:p>
        </w:tc>
        <w:tc>
          <w:tcPr>
            <w:tcW w:w="7855" w:type="dxa"/>
          </w:tcPr>
          <w:p w14:paraId="05526708" w14:textId="3985151C" w:rsidR="001F4202" w:rsidRPr="007D06C8" w:rsidRDefault="001F4202" w:rsidP="001F4202">
            <w:pPr>
              <w:pStyle w:val="TableText"/>
              <w:rPr>
                <w:b/>
              </w:rPr>
            </w:pPr>
            <w:r w:rsidRPr="007D06C8">
              <w:rPr>
                <w:b/>
              </w:rPr>
              <w:t>Priorities for national action</w:t>
            </w:r>
            <w:r w:rsidR="002F1792">
              <w:rPr>
                <w:b/>
              </w:rPr>
              <w:t xml:space="preserve"> </w:t>
            </w:r>
          </w:p>
        </w:tc>
      </w:tr>
      <w:tr w:rsidR="001F4202" w14:paraId="53BBE3D4" w14:textId="77777777" w:rsidTr="001F4202">
        <w:trPr>
          <w:cantSplit/>
        </w:trPr>
        <w:tc>
          <w:tcPr>
            <w:tcW w:w="2551" w:type="dxa"/>
            <w:shd w:val="clear" w:color="auto" w:fill="auto"/>
          </w:tcPr>
          <w:p w14:paraId="5D37C0B1" w14:textId="1217DCF8" w:rsidR="001F4202" w:rsidRPr="007D06C8" w:rsidRDefault="001F4202" w:rsidP="001F4202">
            <w:pPr>
              <w:pStyle w:val="TableText"/>
            </w:pPr>
            <w:r>
              <w:t>E</w:t>
            </w:r>
            <w:r w:rsidRPr="00651A12">
              <w:t>ncourage flexible and innovative approaches to address</w:t>
            </w:r>
            <w:r w:rsidR="006543F2">
              <w:t>ing</w:t>
            </w:r>
            <w:r w:rsidRPr="00651A12">
              <w:t xml:space="preserve"> </w:t>
            </w:r>
            <w:r w:rsidR="006543F2">
              <w:t>m</w:t>
            </w:r>
            <w:r w:rsidRPr="00651A12">
              <w:t xml:space="preserve">ental health and addiction </w:t>
            </w:r>
            <w:r w:rsidR="006543F2">
              <w:t xml:space="preserve">service pressures </w:t>
            </w:r>
          </w:p>
        </w:tc>
        <w:tc>
          <w:tcPr>
            <w:tcW w:w="5241" w:type="dxa"/>
          </w:tcPr>
          <w:p w14:paraId="0EBDE8A3" w14:textId="01563136" w:rsidR="00997874" w:rsidRDefault="00997874" w:rsidP="00997874">
            <w:pPr>
              <w:pStyle w:val="TableBullet"/>
            </w:pPr>
            <w:r>
              <w:t xml:space="preserve">Supported DHB innovations during higher COVID-19 Alert Levels such as more virtual </w:t>
            </w:r>
            <w:r w:rsidRPr="0056590C">
              <w:t>delivery of services</w:t>
            </w:r>
            <w:r>
              <w:t xml:space="preserve">, </w:t>
            </w:r>
            <w:r w:rsidRPr="0056590C">
              <w:t>alternatives to emergency department</w:t>
            </w:r>
            <w:r>
              <w:t xml:space="preserve">s, and </w:t>
            </w:r>
            <w:r w:rsidRPr="0056590C">
              <w:t>additional support to people in temporary accommodation</w:t>
            </w:r>
            <w:r w:rsidR="00DF0092">
              <w:t xml:space="preserve"> due to homelessness</w:t>
            </w:r>
            <w:r>
              <w:t xml:space="preserve"> (MoH)</w:t>
            </w:r>
          </w:p>
          <w:p w14:paraId="18BD817D" w14:textId="391D5720" w:rsidR="00997874" w:rsidRDefault="00997874" w:rsidP="00997874">
            <w:pPr>
              <w:pStyle w:val="TableBullet"/>
            </w:pPr>
            <w:r>
              <w:t>Provided guidance on operating at higher COVID-19 Alert Levels, including</w:t>
            </w:r>
            <w:r w:rsidRPr="00D17EE8">
              <w:t xml:space="preserve"> guidelines for </w:t>
            </w:r>
            <w:r>
              <w:t xml:space="preserve">the </w:t>
            </w:r>
            <w:r w:rsidRPr="00D17EE8">
              <w:t xml:space="preserve">Mental Health Act and Substance Abuse Compulsory Assessment and Treatment Act </w:t>
            </w:r>
            <w:r>
              <w:t>(MoH)</w:t>
            </w:r>
          </w:p>
          <w:p w14:paraId="26848374" w14:textId="04B72459" w:rsidR="001F4202" w:rsidRPr="007D06C8" w:rsidRDefault="00C30C5B" w:rsidP="00E55C16">
            <w:pPr>
              <w:pStyle w:val="TableBullet"/>
            </w:pPr>
            <w:r>
              <w:t>Expanded</w:t>
            </w:r>
            <w:r w:rsidR="001F4202">
              <w:t xml:space="preserve"> community </w:t>
            </w:r>
            <w:r>
              <w:t>services</w:t>
            </w:r>
            <w:r w:rsidR="001F4202">
              <w:t xml:space="preserve"> for forensic mental health services for young people and adults </w:t>
            </w:r>
            <w:r w:rsidR="00474604">
              <w:t>(MoH)</w:t>
            </w:r>
          </w:p>
        </w:tc>
        <w:tc>
          <w:tcPr>
            <w:tcW w:w="7855" w:type="dxa"/>
          </w:tcPr>
          <w:p w14:paraId="35FD73B6" w14:textId="756C1325" w:rsidR="00DC5BBF" w:rsidRPr="00E56E76" w:rsidRDefault="001F4202" w:rsidP="00997874">
            <w:pPr>
              <w:pStyle w:val="TableBullet"/>
            </w:pPr>
            <w:r w:rsidRPr="00E56E76">
              <w:t xml:space="preserve">Develop national </w:t>
            </w:r>
            <w:r w:rsidR="00DC5BBF">
              <w:t xml:space="preserve">frameworks and guidance </w:t>
            </w:r>
            <w:r w:rsidRPr="00E56E76">
              <w:t xml:space="preserve">for </w:t>
            </w:r>
            <w:r w:rsidR="00D17AB5">
              <w:t>alcohol</w:t>
            </w:r>
            <w:r w:rsidR="00400F49">
              <w:t xml:space="preserve"> and other drug</w:t>
            </w:r>
            <w:r w:rsidR="00400F49" w:rsidRPr="00E56E76">
              <w:t xml:space="preserve"> </w:t>
            </w:r>
            <w:r w:rsidR="007203F1" w:rsidRPr="00E56E76">
              <w:t>services</w:t>
            </w:r>
            <w:r w:rsidR="00DC5BBF">
              <w:t xml:space="preserve"> and</w:t>
            </w:r>
            <w:r w:rsidR="00D523B8">
              <w:t xml:space="preserve"> adult forensic mental health services</w:t>
            </w:r>
            <w:r w:rsidR="00474604" w:rsidRPr="00E56E76">
              <w:t xml:space="preserve"> (MoH)</w:t>
            </w:r>
          </w:p>
          <w:p w14:paraId="566FE714" w14:textId="06BB570B" w:rsidR="00FE2615" w:rsidRDefault="001F4202" w:rsidP="00F5535D">
            <w:pPr>
              <w:pStyle w:val="TableBullet"/>
            </w:pPr>
            <w:r w:rsidRPr="00E56E76">
              <w:t xml:space="preserve">Improve crisis responses </w:t>
            </w:r>
            <w:r w:rsidR="002E30BE">
              <w:t>by</w:t>
            </w:r>
            <w:r w:rsidR="002E30BE" w:rsidRPr="00E56E76">
              <w:t xml:space="preserve"> </w:t>
            </w:r>
            <w:r w:rsidRPr="00E56E76">
              <w:t>investing in DHB capability planning</w:t>
            </w:r>
            <w:r w:rsidR="00EF7927">
              <w:t xml:space="preserve"> and capacity </w:t>
            </w:r>
            <w:r w:rsidR="00FE2615">
              <w:t xml:space="preserve">and </w:t>
            </w:r>
            <w:r w:rsidR="00EF7927">
              <w:t>t</w:t>
            </w:r>
            <w:r w:rsidRPr="00E56E76">
              <w:t>rial</w:t>
            </w:r>
            <w:r w:rsidR="00EF7927">
              <w:t>ling</w:t>
            </w:r>
            <w:r w:rsidRPr="00E56E76">
              <w:t xml:space="preserve"> a peer-led community </w:t>
            </w:r>
            <w:r w:rsidR="005007A0">
              <w:t xml:space="preserve">crisis </w:t>
            </w:r>
            <w:r w:rsidRPr="00E56E76">
              <w:t xml:space="preserve">alternative </w:t>
            </w:r>
            <w:r w:rsidR="00FE2615">
              <w:t>(MoH)</w:t>
            </w:r>
          </w:p>
          <w:p w14:paraId="5366CCE6" w14:textId="0CF3E46B" w:rsidR="001F4202" w:rsidRPr="00E56E76" w:rsidRDefault="00FE2615" w:rsidP="00F5535D">
            <w:pPr>
              <w:pStyle w:val="TableBullet"/>
            </w:pPr>
            <w:bookmarkStart w:id="86" w:name="_Hlk54354823"/>
            <w:r>
              <w:t>I</w:t>
            </w:r>
            <w:r w:rsidR="00933648">
              <w:t xml:space="preserve">mprove </w:t>
            </w:r>
            <w:r w:rsidR="00933648" w:rsidRPr="00AE4B59">
              <w:t>pathways to mental health and support services</w:t>
            </w:r>
            <w:r w:rsidR="00933648">
              <w:t xml:space="preserve"> </w:t>
            </w:r>
            <w:r w:rsidR="00933648" w:rsidRPr="00FF671B">
              <w:t xml:space="preserve">for people experiencing </w:t>
            </w:r>
            <w:r w:rsidR="00243FDC">
              <w:t xml:space="preserve">a crisis or </w:t>
            </w:r>
            <w:r w:rsidR="00933648">
              <w:t xml:space="preserve">severe </w:t>
            </w:r>
            <w:r w:rsidR="00933648" w:rsidRPr="00FF671B">
              <w:t xml:space="preserve">mental distress </w:t>
            </w:r>
            <w:r w:rsidR="00243FDC">
              <w:t xml:space="preserve">who reach out to </w:t>
            </w:r>
            <w:r w:rsidR="002B7A2F">
              <w:t xml:space="preserve">the New Zealand Police </w:t>
            </w:r>
            <w:r w:rsidR="00474604" w:rsidRPr="00E56E76">
              <w:t>(</w:t>
            </w:r>
            <w:r>
              <w:t>NZP</w:t>
            </w:r>
            <w:r w:rsidR="002B7A2F">
              <w:t>, MoH</w:t>
            </w:r>
            <w:r w:rsidR="00474604" w:rsidRPr="00E56E76">
              <w:t>)</w:t>
            </w:r>
          </w:p>
          <w:bookmarkEnd w:id="86"/>
          <w:p w14:paraId="50455325" w14:textId="77777777" w:rsidR="001F4202" w:rsidRDefault="007203F1" w:rsidP="005A23C2">
            <w:pPr>
              <w:pStyle w:val="TableBullet"/>
            </w:pPr>
            <w:r w:rsidRPr="00E56E76">
              <w:t xml:space="preserve">Pilot wrap-around services to </w:t>
            </w:r>
            <w:bookmarkStart w:id="87" w:name="_Hlk56777302"/>
            <w:r w:rsidRPr="00E56E76">
              <w:t>improve transitions from mental health inpatient units to support people into suitable accommodation</w:t>
            </w:r>
            <w:r w:rsidR="00474604" w:rsidRPr="00E56E76">
              <w:t xml:space="preserve"> (MoH)</w:t>
            </w:r>
          </w:p>
          <w:p w14:paraId="763AC360" w14:textId="77777777" w:rsidR="00B6055D" w:rsidRDefault="005F4C5F" w:rsidP="005A23C2">
            <w:pPr>
              <w:pStyle w:val="TableBullet"/>
            </w:pPr>
            <w:bookmarkStart w:id="88" w:name="_Hlk56777339"/>
            <w:bookmarkEnd w:id="87"/>
            <w:r>
              <w:t xml:space="preserve">Continue work to establish and implement Alcohol and Other Drug Treatment Courts </w:t>
            </w:r>
            <w:r w:rsidR="009E4CB2">
              <w:t>(MoJ, MoH)</w:t>
            </w:r>
          </w:p>
          <w:p w14:paraId="3755055F" w14:textId="358A3D23" w:rsidR="00147783" w:rsidRPr="00E56E76" w:rsidRDefault="00147783" w:rsidP="005A23C2">
            <w:pPr>
              <w:pStyle w:val="TableBullet"/>
            </w:pPr>
            <w:r>
              <w:t>R</w:t>
            </w:r>
            <w:r w:rsidRPr="00101AA6">
              <w:t xml:space="preserve">ollout a new drug treatment programme at Tongariro Prison </w:t>
            </w:r>
            <w:r>
              <w:t>(Corrections)</w:t>
            </w:r>
            <w:bookmarkEnd w:id="88"/>
          </w:p>
        </w:tc>
      </w:tr>
      <w:tr w:rsidR="001F4202" w14:paraId="64A3B780" w14:textId="77777777" w:rsidTr="001F4202">
        <w:trPr>
          <w:cantSplit/>
        </w:trPr>
        <w:tc>
          <w:tcPr>
            <w:tcW w:w="2551" w:type="dxa"/>
            <w:shd w:val="clear" w:color="auto" w:fill="auto"/>
          </w:tcPr>
          <w:p w14:paraId="072A7E9C" w14:textId="279522E4" w:rsidR="001F4202" w:rsidRPr="00E203C6" w:rsidRDefault="001F4202" w:rsidP="001F4202">
            <w:pPr>
              <w:pStyle w:val="TableText"/>
            </w:pPr>
            <w:r>
              <w:t xml:space="preserve">Support high-quality </w:t>
            </w:r>
            <w:r w:rsidR="006543F2">
              <w:t xml:space="preserve">mental health and addiction services </w:t>
            </w:r>
            <w:r w:rsidR="007C672A">
              <w:t>in enhanced physical environments</w:t>
            </w:r>
          </w:p>
        </w:tc>
        <w:tc>
          <w:tcPr>
            <w:tcW w:w="5241" w:type="dxa"/>
          </w:tcPr>
          <w:p w14:paraId="0447DAE7" w14:textId="57FB795D" w:rsidR="001F4202" w:rsidRDefault="00D35E48" w:rsidP="00D35E48">
            <w:pPr>
              <w:pStyle w:val="TableBullet"/>
            </w:pPr>
            <w:r>
              <w:rPr>
                <w:lang w:eastAsia="en-NZ"/>
              </w:rPr>
              <w:t>Provided a</w:t>
            </w:r>
            <w:r w:rsidRPr="00CE02AA">
              <w:rPr>
                <w:lang w:eastAsia="en-NZ"/>
              </w:rPr>
              <w:t xml:space="preserve">dditional funding for DHBs to strengthen alcohol and </w:t>
            </w:r>
            <w:r>
              <w:rPr>
                <w:lang w:eastAsia="en-NZ"/>
              </w:rPr>
              <w:t xml:space="preserve">other </w:t>
            </w:r>
            <w:r w:rsidRPr="00CE02AA">
              <w:rPr>
                <w:lang w:eastAsia="en-NZ"/>
              </w:rPr>
              <w:t>drug specialist services</w:t>
            </w:r>
            <w:r>
              <w:rPr>
                <w:lang w:eastAsia="en-NZ"/>
              </w:rPr>
              <w:t>,</w:t>
            </w:r>
            <w:r w:rsidRPr="00CE02AA">
              <w:rPr>
                <w:lang w:eastAsia="en-NZ"/>
              </w:rPr>
              <w:t xml:space="preserve"> including residential care</w:t>
            </w:r>
            <w:r>
              <w:rPr>
                <w:lang w:eastAsia="en-NZ"/>
              </w:rPr>
              <w:t xml:space="preserve">, managed withdrawal services and peer support options </w:t>
            </w:r>
            <w:r>
              <w:t>(MoH)</w:t>
            </w:r>
          </w:p>
        </w:tc>
        <w:tc>
          <w:tcPr>
            <w:tcW w:w="7855" w:type="dxa"/>
          </w:tcPr>
          <w:p w14:paraId="66A68548" w14:textId="7697CEE5" w:rsidR="00217676" w:rsidRPr="00E56E76" w:rsidRDefault="00DC5BBF" w:rsidP="002E30BE">
            <w:pPr>
              <w:pStyle w:val="TableBullet"/>
            </w:pPr>
            <w:r>
              <w:t>Support</w:t>
            </w:r>
            <w:r w:rsidR="00AA5B78" w:rsidRPr="00E56E76">
              <w:t xml:space="preserve"> </w:t>
            </w:r>
            <w:r w:rsidR="00AA5B78">
              <w:t xml:space="preserve">system performance including through </w:t>
            </w:r>
            <w:r w:rsidR="001F4202" w:rsidRPr="00E56E76">
              <w:t xml:space="preserve">the </w:t>
            </w:r>
            <w:r w:rsidR="009F5D55" w:rsidRPr="00E56E76">
              <w:t>Health Quality and Safety Commission</w:t>
            </w:r>
            <w:r w:rsidR="00AA5B78">
              <w:t xml:space="preserve">’s </w:t>
            </w:r>
            <w:r w:rsidR="00AA5B78" w:rsidRPr="00E56E76">
              <w:t>national Mental Health and Addiction Quality Improvement Programme</w:t>
            </w:r>
            <w:r w:rsidR="009F5D55" w:rsidRPr="00E56E76">
              <w:t xml:space="preserve"> (MoH)</w:t>
            </w:r>
          </w:p>
          <w:p w14:paraId="00129C8A" w14:textId="77777777" w:rsidR="007C672A" w:rsidRDefault="00DC5BBF" w:rsidP="007C672A">
            <w:pPr>
              <w:pStyle w:val="TableBullet"/>
            </w:pPr>
            <w:r>
              <w:t>Progress</w:t>
            </w:r>
            <w:r w:rsidRPr="00E56E76">
              <w:t xml:space="preserve"> </w:t>
            </w:r>
            <w:r w:rsidR="007C672A" w:rsidRPr="00E56E76">
              <w:t>upgrades to mental health and addiction facilitie</w:t>
            </w:r>
            <w:r w:rsidR="009F5D55" w:rsidRPr="00E56E76">
              <w:t xml:space="preserve">s (MoH) </w:t>
            </w:r>
          </w:p>
          <w:p w14:paraId="57E76F3F" w14:textId="594CE27C" w:rsidR="00DF6DA3" w:rsidRPr="00E56E76" w:rsidRDefault="00DF6DA3" w:rsidP="007C672A">
            <w:pPr>
              <w:pStyle w:val="TableBullet"/>
            </w:pPr>
            <w:r>
              <w:t>Progress upgrades to intensive support units (Corrections)</w:t>
            </w:r>
          </w:p>
        </w:tc>
      </w:tr>
      <w:tr w:rsidR="0054312D" w14:paraId="494CE420" w14:textId="77777777" w:rsidTr="00D17EE8">
        <w:trPr>
          <w:cantSplit/>
        </w:trPr>
        <w:tc>
          <w:tcPr>
            <w:tcW w:w="2551" w:type="dxa"/>
            <w:tcBorders>
              <w:top w:val="single" w:sz="4" w:space="0" w:color="auto"/>
              <w:left w:val="single" w:sz="4" w:space="0" w:color="auto"/>
              <w:bottom w:val="single" w:sz="4" w:space="0" w:color="auto"/>
              <w:right w:val="single" w:sz="4" w:space="0" w:color="auto"/>
            </w:tcBorders>
            <w:shd w:val="clear" w:color="auto" w:fill="auto"/>
          </w:tcPr>
          <w:p w14:paraId="3C36BA57" w14:textId="063F4498" w:rsidR="0054312D" w:rsidRDefault="0054312D" w:rsidP="00AD1BB9">
            <w:pPr>
              <w:pStyle w:val="TableText"/>
            </w:pPr>
            <w:r>
              <w:t xml:space="preserve">Strengthen the voice of </w:t>
            </w:r>
            <w:r w:rsidRPr="00DC102B">
              <w:t xml:space="preserve">lived experience </w:t>
            </w:r>
            <w:r>
              <w:t xml:space="preserve">and whānau in </w:t>
            </w:r>
            <w:r w:rsidRPr="00DC102B">
              <w:t>support</w:t>
            </w:r>
            <w:r>
              <w:t>ing tāngata whaiora</w:t>
            </w:r>
          </w:p>
        </w:tc>
        <w:tc>
          <w:tcPr>
            <w:tcW w:w="5241" w:type="dxa"/>
            <w:tcBorders>
              <w:top w:val="single" w:sz="4" w:space="0" w:color="auto"/>
              <w:left w:val="single" w:sz="4" w:space="0" w:color="auto"/>
              <w:bottom w:val="single" w:sz="4" w:space="0" w:color="auto"/>
              <w:right w:val="single" w:sz="4" w:space="0" w:color="auto"/>
            </w:tcBorders>
          </w:tcPr>
          <w:p w14:paraId="1A9765DD" w14:textId="2AB9EF5F" w:rsidR="0054312D" w:rsidRPr="00D17EE8" w:rsidRDefault="00B21174" w:rsidP="00886166">
            <w:pPr>
              <w:pStyle w:val="TableBullet"/>
            </w:pPr>
            <w:r>
              <w:t xml:space="preserve">Established </w:t>
            </w:r>
            <w:r w:rsidR="006C4BE0">
              <w:t xml:space="preserve">a </w:t>
            </w:r>
            <w:r>
              <w:t xml:space="preserve">Lived Experience </w:t>
            </w:r>
            <w:r w:rsidR="006C4BE0">
              <w:t>n</w:t>
            </w:r>
            <w:r>
              <w:t>etwork to inform responses (MoH)</w:t>
            </w:r>
          </w:p>
        </w:tc>
        <w:tc>
          <w:tcPr>
            <w:tcW w:w="7855" w:type="dxa"/>
            <w:tcBorders>
              <w:top w:val="single" w:sz="4" w:space="0" w:color="auto"/>
              <w:left w:val="single" w:sz="4" w:space="0" w:color="auto"/>
              <w:bottom w:val="single" w:sz="4" w:space="0" w:color="auto"/>
              <w:right w:val="single" w:sz="4" w:space="0" w:color="auto"/>
            </w:tcBorders>
          </w:tcPr>
          <w:p w14:paraId="25D86CA7" w14:textId="0F7F12EB" w:rsidR="0054312D" w:rsidRDefault="0054312D" w:rsidP="0054312D">
            <w:pPr>
              <w:pStyle w:val="TableBullet"/>
            </w:pPr>
            <w:r>
              <w:t xml:space="preserve">Provide guidance to providers on sharing information and partnering with whānau </w:t>
            </w:r>
            <w:r w:rsidR="003C7341">
              <w:t xml:space="preserve">and carers </w:t>
            </w:r>
            <w:r w:rsidR="00474604">
              <w:t>(MoH</w:t>
            </w:r>
            <w:r w:rsidR="009D5228">
              <w:t xml:space="preserve">, </w:t>
            </w:r>
            <w:r w:rsidR="00474604">
              <w:t>DHBs)</w:t>
            </w:r>
          </w:p>
          <w:p w14:paraId="22960544" w14:textId="7C8D8351" w:rsidR="00716878" w:rsidRDefault="00716878" w:rsidP="0054312D">
            <w:pPr>
              <w:pStyle w:val="TableBullet"/>
            </w:pPr>
            <w:r>
              <w:t xml:space="preserve">Pilot development of a peer-to-peer workforce </w:t>
            </w:r>
            <w:r w:rsidR="00DC5BBF">
              <w:t>related to</w:t>
            </w:r>
            <w:r>
              <w:t xml:space="preserve"> gambling harm (MoH)</w:t>
            </w:r>
          </w:p>
          <w:p w14:paraId="3D2B82FC" w14:textId="3A272E5E" w:rsidR="0054312D" w:rsidRPr="0056590C" w:rsidRDefault="0054312D" w:rsidP="0054312D">
            <w:pPr>
              <w:pStyle w:val="TableBullet"/>
            </w:pPr>
            <w:r>
              <w:t xml:space="preserve">Identify opportunities to strengthen the consumer voice and role </w:t>
            </w:r>
            <w:r w:rsidR="001343EA">
              <w:t xml:space="preserve">in the provision of mental health and addiction services </w:t>
            </w:r>
            <w:r w:rsidR="0017240E">
              <w:t>(MoH)</w:t>
            </w:r>
          </w:p>
        </w:tc>
      </w:tr>
    </w:tbl>
    <w:p w14:paraId="2161D2E3" w14:textId="77777777" w:rsidR="001F4202" w:rsidRDefault="001F4202" w:rsidP="002F69D1">
      <w:pPr>
        <w:spacing w:after="120"/>
        <w:rPr>
          <w:rFonts w:eastAsia="Calibri"/>
          <w:lang w:val="fr-FR" w:eastAsia="en-NZ"/>
        </w:rPr>
      </w:pPr>
    </w:p>
    <w:p w14:paraId="51AFEBD4" w14:textId="318C77E1" w:rsidR="00A65FE3" w:rsidRDefault="00A65FE3">
      <w:pPr>
        <w:rPr>
          <w:rFonts w:eastAsia="Calibri"/>
          <w:lang w:val="fr-FR" w:eastAsia="en-NZ"/>
        </w:rPr>
        <w:sectPr w:rsidR="00A65FE3" w:rsidSect="009203ED">
          <w:endnotePr>
            <w:numFmt w:val="decimal"/>
          </w:endnotePr>
          <w:pgSz w:w="16838" w:h="11906" w:orient="landscape" w:code="9"/>
          <w:pgMar w:top="567" w:right="567" w:bottom="567" w:left="567" w:header="425" w:footer="425" w:gutter="284"/>
          <w:cols w:space="720"/>
          <w:docGrid w:linePitch="286"/>
        </w:sectPr>
      </w:pPr>
    </w:p>
    <w:p w14:paraId="7C331481" w14:textId="77777777" w:rsidR="00DA33FB" w:rsidRPr="00CE5C74" w:rsidRDefault="00DA33FB" w:rsidP="00DA33FB">
      <w:pPr>
        <w:pStyle w:val="Heading2"/>
        <w:rPr>
          <w:rFonts w:eastAsia="Calibri"/>
          <w:u w:color="2F5496"/>
          <w:bdr w:val="nil"/>
          <w:lang w:eastAsia="en-NZ"/>
        </w:rPr>
      </w:pPr>
      <w:bookmarkStart w:id="89" w:name="_Toc59439404"/>
      <w:r w:rsidRPr="00910D25">
        <w:t>Enablers</w:t>
      </w:r>
      <w:bookmarkEnd w:id="89"/>
    </w:p>
    <w:p w14:paraId="0C3EB12E" w14:textId="613678BB" w:rsidR="00C662AB" w:rsidRDefault="00DA33FB" w:rsidP="00DA33FB">
      <w:r>
        <w:t>E</w:t>
      </w:r>
      <w:r w:rsidRPr="00536D3C">
        <w:t xml:space="preserve">nablers </w:t>
      </w:r>
      <w:r w:rsidR="00024E33">
        <w:t xml:space="preserve">are the </w:t>
      </w:r>
      <w:r w:rsidRPr="00536D3C">
        <w:t>support</w:t>
      </w:r>
      <w:r w:rsidR="00024E33">
        <w:t>s required to ensure</w:t>
      </w:r>
      <w:r w:rsidR="00A63712">
        <w:t xml:space="preserve"> successful </w:t>
      </w:r>
      <w:r>
        <w:t xml:space="preserve">implementation of </w:t>
      </w:r>
      <w:r w:rsidRPr="00536D3C">
        <w:t>actions in the</w:t>
      </w:r>
      <w:r>
        <w:t xml:space="preserve"> </w:t>
      </w:r>
      <w:r w:rsidRPr="00536D3C">
        <w:t>focus areas</w:t>
      </w:r>
      <w:r>
        <w:t xml:space="preserve">. </w:t>
      </w:r>
      <w:r w:rsidR="003B0ACD">
        <w:t xml:space="preserve">Moreover, enablers encompass the fundamental system settings that will </w:t>
      </w:r>
      <w:r w:rsidR="00ED645E">
        <w:t xml:space="preserve">be </w:t>
      </w:r>
      <w:r w:rsidR="003B0ACD">
        <w:t>need</w:t>
      </w:r>
      <w:r w:rsidR="00ED3BAE">
        <w:t>ed</w:t>
      </w:r>
      <w:r w:rsidR="003B0ACD">
        <w:t xml:space="preserve"> </w:t>
      </w:r>
      <w:r w:rsidR="00ED3BAE">
        <w:t xml:space="preserve">for longer-term transformation of New Zealand’s approach to mental wellbeing. </w:t>
      </w:r>
    </w:p>
    <w:p w14:paraId="4F54AC59" w14:textId="77777777" w:rsidR="00C662AB" w:rsidRDefault="00C662AB" w:rsidP="00DA33FB"/>
    <w:p w14:paraId="050A487F" w14:textId="5C1FE9AE" w:rsidR="00DA33FB" w:rsidRDefault="00024E33" w:rsidP="00DA33FB">
      <w:r>
        <w:t>While the areas for action below refer specifically to the Ministry of Health, all agencies and organisations are invited to consider their roles and actions in relation to these enablers.</w:t>
      </w:r>
    </w:p>
    <w:p w14:paraId="0FD05D26" w14:textId="67F48656" w:rsidR="003B3D9A" w:rsidRDefault="005565F2" w:rsidP="00F14056">
      <w:pPr>
        <w:pStyle w:val="Heading3"/>
      </w:pPr>
      <w:r>
        <w:t>Workforce</w:t>
      </w:r>
    </w:p>
    <w:p w14:paraId="6F80BC19" w14:textId="46F4A953" w:rsidR="005E4F7A" w:rsidRDefault="005E4F7A" w:rsidP="005E4F7A">
      <w:r>
        <w:t>Growing and supporting a sustainable, diverse, competent and confident mental health and addiction workforce is essential</w:t>
      </w:r>
      <w:r w:rsidR="002B3DF9">
        <w:t xml:space="preserve"> </w:t>
      </w:r>
      <w:r w:rsidR="002B3DF9" w:rsidRPr="006B5C45">
        <w:t xml:space="preserve">to achieving </w:t>
      </w:r>
      <w:r w:rsidR="002B3DF9">
        <w:t>the outcomes sought across the focus areas</w:t>
      </w:r>
      <w:r>
        <w:t xml:space="preserve">. </w:t>
      </w:r>
    </w:p>
    <w:p w14:paraId="742C3C86" w14:textId="601AC801" w:rsidR="00E9601C" w:rsidRDefault="00E9601C" w:rsidP="005E4F7A"/>
    <w:p w14:paraId="6EF00277" w14:textId="237804D4" w:rsidR="00F5615F" w:rsidRDefault="000106DD" w:rsidP="000106DD">
      <w:r>
        <w:t>The future configuration and size of the workforce will need to evolve to reflect new models of support developed in collaboration with communities. Ensuring we have the workforce in place to support a transformed approach will require an increased focus on workforce analytics, an understanding of future models of support</w:t>
      </w:r>
      <w:r w:rsidR="000341C3">
        <w:t>,</w:t>
      </w:r>
      <w:r>
        <w:t xml:space="preserve"> and aligned workforce development strategies.</w:t>
      </w:r>
      <w:r w:rsidR="00D90442">
        <w:t xml:space="preserve"> </w:t>
      </w:r>
    </w:p>
    <w:p w14:paraId="52C647E7" w14:textId="77777777" w:rsidR="00F5615F" w:rsidRDefault="00F5615F" w:rsidP="000106DD"/>
    <w:p w14:paraId="584558DB" w14:textId="2E29148D" w:rsidR="00E91D2C" w:rsidRDefault="00D90442" w:rsidP="000106DD">
      <w:r>
        <w:t xml:space="preserve">We must work </w:t>
      </w:r>
      <w:r w:rsidRPr="006B5C45">
        <w:t>together and think creatively to fully meet the mental health and wellbeing needs of New Zealanders</w:t>
      </w:r>
      <w:r>
        <w:t xml:space="preserve">. </w:t>
      </w:r>
      <w:r w:rsidR="00E91D2C">
        <w:t>This includes collaboration to develop c</w:t>
      </w:r>
      <w:r w:rsidR="00E91D2C" w:rsidRPr="00E91D2C">
        <w:t>ross</w:t>
      </w:r>
      <w:r w:rsidR="00E91D2C">
        <w:t>-</w:t>
      </w:r>
      <w:r w:rsidR="00E91D2C" w:rsidRPr="00E91D2C">
        <w:t xml:space="preserve">sector approaches to workforce </w:t>
      </w:r>
      <w:r w:rsidR="00E91D2C">
        <w:t xml:space="preserve">development to support people with multiple needs, as well as supporting the wellbeing of workforces. </w:t>
      </w:r>
    </w:p>
    <w:p w14:paraId="05E9D8D4" w14:textId="77777777" w:rsidR="00E91D2C" w:rsidRDefault="00E91D2C" w:rsidP="000106DD"/>
    <w:p w14:paraId="7E77BAC8" w14:textId="3EA7372F" w:rsidR="00E9601C" w:rsidRDefault="007E22D7" w:rsidP="000106DD">
      <w:r>
        <w:t>Developing the mental health and addiction workforce</w:t>
      </w:r>
      <w:r w:rsidR="00E91D2C">
        <w:t xml:space="preserve"> </w:t>
      </w:r>
      <w:r w:rsidR="00F5615F">
        <w:t xml:space="preserve">includes balancing </w:t>
      </w:r>
      <w:r w:rsidR="000106DD">
        <w:t xml:space="preserve">efforts </w:t>
      </w:r>
      <w:r w:rsidR="00D90442">
        <w:t xml:space="preserve">across </w:t>
      </w:r>
      <w:r w:rsidR="000106DD">
        <w:t>ensur</w:t>
      </w:r>
      <w:r w:rsidR="00D90442">
        <w:t>ing</w:t>
      </w:r>
      <w:r w:rsidR="000106DD">
        <w:t xml:space="preserve"> the sustainability of the specialist workforce</w:t>
      </w:r>
      <w:r w:rsidR="000341C3">
        <w:t>,</w:t>
      </w:r>
      <w:r w:rsidR="000106DD">
        <w:t xml:space="preserve"> transform</w:t>
      </w:r>
      <w:r w:rsidR="00D90442">
        <w:t>ing</w:t>
      </w:r>
      <w:r w:rsidR="000106DD">
        <w:t xml:space="preserve"> the existing workforce with new skills and competencies</w:t>
      </w:r>
      <w:r w:rsidR="000341C3">
        <w:t>,</w:t>
      </w:r>
      <w:r w:rsidR="000106DD">
        <w:t xml:space="preserve"> develop</w:t>
      </w:r>
      <w:r w:rsidR="00D90442">
        <w:t>ing</w:t>
      </w:r>
      <w:r w:rsidR="000106DD">
        <w:t xml:space="preserve"> new workforces</w:t>
      </w:r>
      <w:r w:rsidR="000341C3">
        <w:t>,</w:t>
      </w:r>
      <w:r w:rsidR="000106DD">
        <w:t xml:space="preserve"> and </w:t>
      </w:r>
      <w:r w:rsidR="00D90442">
        <w:t>supporting</w:t>
      </w:r>
      <w:r w:rsidR="000106DD">
        <w:t xml:space="preserve"> communities to respond to distress and </w:t>
      </w:r>
      <w:r w:rsidR="00F00CD9">
        <w:t xml:space="preserve">support </w:t>
      </w:r>
      <w:r w:rsidR="000106DD">
        <w:t>mental wellbeing.</w:t>
      </w:r>
      <w:r w:rsidR="00E91D2C">
        <w:t xml:space="preserve"> </w:t>
      </w:r>
    </w:p>
    <w:p w14:paraId="38BD0D62" w14:textId="77777777" w:rsidR="005E4F7A" w:rsidRDefault="005E4F7A" w:rsidP="005E4F7A"/>
    <w:p w14:paraId="2323DFEB" w14:textId="7D750371" w:rsidR="002445ED" w:rsidRPr="00E55C16" w:rsidRDefault="002445ED" w:rsidP="002445ED">
      <w:r w:rsidRPr="00585E96">
        <w:t>The Ministry of Health is working closely with the mental health and addiction workforce centres</w:t>
      </w:r>
      <w:r>
        <w:t xml:space="preserve"> (</w:t>
      </w:r>
      <w:r w:rsidRPr="00CD24F9">
        <w:t>Te Rau Ora, Le Va, Werry Workforce Whāraurau and Te Pou</w:t>
      </w:r>
      <w:r>
        <w:t xml:space="preserve">) </w:t>
      </w:r>
      <w:r w:rsidRPr="00585E96">
        <w:t>and other key stakeholders</w:t>
      </w:r>
      <w:r w:rsidR="0078420D">
        <w:t xml:space="preserve"> to grow and support the </w:t>
      </w:r>
      <w:r w:rsidR="001B1EE8">
        <w:t xml:space="preserve">mental health and addiction </w:t>
      </w:r>
      <w:r w:rsidR="0078420D">
        <w:t>workforce, including the suicide prevention workforce</w:t>
      </w:r>
      <w:r w:rsidRPr="00B10330">
        <w:t xml:space="preserve">. </w:t>
      </w:r>
      <w:r w:rsidRPr="00E55C16">
        <w:t xml:space="preserve">As part of this work, the Ministry is focused on supporting and developing the Māori and Pacific workforces to </w:t>
      </w:r>
      <w:r>
        <w:t>provide culturally safe, effective and responsive</w:t>
      </w:r>
      <w:r w:rsidR="0000506A">
        <w:t xml:space="preserve"> supports</w:t>
      </w:r>
      <w:r>
        <w:t>.</w:t>
      </w:r>
      <w:r w:rsidRPr="00E55C16">
        <w:t xml:space="preserve"> </w:t>
      </w:r>
    </w:p>
    <w:p w14:paraId="0EE18FB1" w14:textId="77777777" w:rsidR="002445ED" w:rsidRPr="009A484F" w:rsidRDefault="002445ED" w:rsidP="002445ED"/>
    <w:p w14:paraId="095D1F7B" w14:textId="2FFCD2CD" w:rsidR="00585E96" w:rsidRDefault="005E4F7A" w:rsidP="005E4F7A">
      <w:r>
        <w:t xml:space="preserve">COVID-19 has created significant strains for frontline </w:t>
      </w:r>
      <w:r w:rsidRPr="00F14056">
        <w:t>health and disability workers</w:t>
      </w:r>
      <w:r w:rsidR="00E91D2C">
        <w:t>. The Ministry has provided psychological support and counselling for th</w:t>
      </w:r>
      <w:r w:rsidR="000341C3">
        <w:t>is</w:t>
      </w:r>
      <w:r w:rsidR="00E91D2C">
        <w:t xml:space="preserve"> workforce and continues to prioritise </w:t>
      </w:r>
      <w:r w:rsidR="00E91D2C" w:rsidRPr="00E91D2C">
        <w:t>keeping the health workforce safe and well</w:t>
      </w:r>
      <w:r w:rsidR="007E22D7">
        <w:t xml:space="preserve">. The ongoing </w:t>
      </w:r>
      <w:r w:rsidR="002445ED">
        <w:t xml:space="preserve">monitoring of and response to stress on the workforce will be vital. </w:t>
      </w:r>
    </w:p>
    <w:p w14:paraId="5F172C56" w14:textId="77777777" w:rsidR="005E4F7A" w:rsidRDefault="005E4F7A" w:rsidP="005E4F7A"/>
    <w:tbl>
      <w:tblPr>
        <w:tblW w:w="51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230"/>
        <w:gridCol w:w="3231"/>
        <w:gridCol w:w="3231"/>
      </w:tblGrid>
      <w:tr w:rsidR="005E4F7A" w:rsidRPr="00155C3C" w14:paraId="5E394B65" w14:textId="77777777" w:rsidTr="00E55C16">
        <w:trPr>
          <w:trHeight w:val="354"/>
          <w:tblHeader/>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70CB99C" w14:textId="77777777" w:rsidR="005E4F7A" w:rsidRPr="007D06C8" w:rsidRDefault="005E4F7A" w:rsidP="00E55C16">
            <w:pPr>
              <w:pStyle w:val="TableText"/>
              <w:rPr>
                <w:b/>
              </w:rPr>
            </w:pPr>
            <w:r w:rsidRPr="00BC3062">
              <w:rPr>
                <w:b/>
              </w:rPr>
              <w:t xml:space="preserve">Workforce </w:t>
            </w:r>
          </w:p>
        </w:tc>
      </w:tr>
      <w:tr w:rsidR="005E4F7A" w:rsidRPr="00155C3C" w14:paraId="28208DCB" w14:textId="77777777" w:rsidTr="00E55C16">
        <w:trPr>
          <w:trHeight w:val="368"/>
          <w:tblHeader/>
        </w:trPr>
        <w:tc>
          <w:tcPr>
            <w:tcW w:w="1666" w:type="pct"/>
            <w:shd w:val="clear" w:color="auto" w:fill="auto"/>
            <w:hideMark/>
          </w:tcPr>
          <w:p w14:paraId="570E4498" w14:textId="77777777" w:rsidR="005E4F7A" w:rsidRPr="007D06C8" w:rsidRDefault="005E4F7A" w:rsidP="00585E96">
            <w:pPr>
              <w:pStyle w:val="TableText"/>
              <w:rPr>
                <w:b/>
              </w:rPr>
            </w:pPr>
            <w:r w:rsidRPr="007D06C8">
              <w:rPr>
                <w:b/>
              </w:rPr>
              <w:t>Areas for action</w:t>
            </w:r>
          </w:p>
        </w:tc>
        <w:tc>
          <w:tcPr>
            <w:tcW w:w="1667" w:type="pct"/>
          </w:tcPr>
          <w:p w14:paraId="596A726E" w14:textId="77777777" w:rsidR="005E4F7A" w:rsidRPr="007D06C8" w:rsidRDefault="005E4F7A" w:rsidP="00585E96">
            <w:pPr>
              <w:pStyle w:val="TableText"/>
              <w:rPr>
                <w:b/>
              </w:rPr>
            </w:pPr>
            <w:r w:rsidRPr="007D06C8">
              <w:rPr>
                <w:b/>
              </w:rPr>
              <w:t xml:space="preserve">Examples of progress </w:t>
            </w:r>
            <w:r w:rsidRPr="00BC3062">
              <w:rPr>
                <w:b/>
              </w:rPr>
              <w:t>(MoH)</w:t>
            </w:r>
          </w:p>
        </w:tc>
        <w:tc>
          <w:tcPr>
            <w:tcW w:w="1667" w:type="pct"/>
          </w:tcPr>
          <w:p w14:paraId="63B4BF6C" w14:textId="77777777" w:rsidR="005E4F7A" w:rsidRPr="007D06C8" w:rsidRDefault="005E4F7A" w:rsidP="00585E96">
            <w:pPr>
              <w:pStyle w:val="TableText"/>
              <w:rPr>
                <w:b/>
              </w:rPr>
            </w:pPr>
            <w:r w:rsidRPr="007D06C8">
              <w:rPr>
                <w:b/>
              </w:rPr>
              <w:t>Priorities for national action</w:t>
            </w:r>
            <w:r>
              <w:rPr>
                <w:b/>
              </w:rPr>
              <w:t xml:space="preserve"> </w:t>
            </w:r>
            <w:r w:rsidRPr="00BC3062">
              <w:rPr>
                <w:b/>
              </w:rPr>
              <w:t>(MoH)</w:t>
            </w:r>
          </w:p>
        </w:tc>
      </w:tr>
      <w:tr w:rsidR="005E4F7A" w14:paraId="2FEC76D4" w14:textId="77777777" w:rsidTr="00E55C16">
        <w:trPr>
          <w:trHeight w:val="3933"/>
        </w:trPr>
        <w:tc>
          <w:tcPr>
            <w:tcW w:w="1666" w:type="pct"/>
            <w:shd w:val="clear" w:color="auto" w:fill="auto"/>
          </w:tcPr>
          <w:p w14:paraId="03EC6C62" w14:textId="17BA7CDD" w:rsidR="005E4F7A" w:rsidRDefault="005E4F7A" w:rsidP="00585E96">
            <w:pPr>
              <w:pStyle w:val="TableText"/>
            </w:pPr>
            <w:r w:rsidRPr="00326DF8">
              <w:t>Grow and support a sustainable, diverse, competent and confident mental health and addiction workforce</w:t>
            </w:r>
            <w:r>
              <w:t xml:space="preserve"> by:</w:t>
            </w:r>
          </w:p>
          <w:p w14:paraId="654D3B03" w14:textId="21A3204B" w:rsidR="000700FC" w:rsidRDefault="00FC3B43" w:rsidP="000700FC">
            <w:pPr>
              <w:pStyle w:val="TableBullet"/>
            </w:pPr>
            <w:r>
              <w:t>b</w:t>
            </w:r>
            <w:r w:rsidR="000700FC">
              <w:t>uild</w:t>
            </w:r>
            <w:r w:rsidR="006C3C92">
              <w:t>ing</w:t>
            </w:r>
            <w:r w:rsidR="000700FC">
              <w:t xml:space="preserve"> understanding through workforce information, data and analytics </w:t>
            </w:r>
          </w:p>
          <w:p w14:paraId="5EDDC4B2" w14:textId="57B3B9F3" w:rsidR="000700FC" w:rsidRDefault="00FC3B43" w:rsidP="000700FC">
            <w:pPr>
              <w:pStyle w:val="TableBullet"/>
            </w:pPr>
            <w:r>
              <w:t>g</w:t>
            </w:r>
            <w:r w:rsidR="000700FC">
              <w:t>row</w:t>
            </w:r>
            <w:r w:rsidR="006C3C92">
              <w:t>ing</w:t>
            </w:r>
            <w:r w:rsidR="000700FC">
              <w:t xml:space="preserve"> the workforce (including strategies to attract people to the workforce) </w:t>
            </w:r>
          </w:p>
          <w:p w14:paraId="7CCFBC00" w14:textId="61BFC30A" w:rsidR="000700FC" w:rsidRDefault="00FC3B43" w:rsidP="000700FC">
            <w:pPr>
              <w:pStyle w:val="TableBullet"/>
            </w:pPr>
            <w:r>
              <w:t>t</w:t>
            </w:r>
            <w:r w:rsidR="000700FC">
              <w:t>ransform</w:t>
            </w:r>
            <w:r w:rsidR="006C3C92">
              <w:t>ing</w:t>
            </w:r>
            <w:r w:rsidR="000700FC">
              <w:t xml:space="preserve"> the workforce (including new skills and competencies and structured supports to quickly implement new approaches) </w:t>
            </w:r>
          </w:p>
          <w:p w14:paraId="486C35F3" w14:textId="61D5AF53" w:rsidR="000700FC" w:rsidRDefault="00FC3B43" w:rsidP="000700FC">
            <w:pPr>
              <w:pStyle w:val="TableBullet"/>
            </w:pPr>
            <w:r>
              <w:t>v</w:t>
            </w:r>
            <w:r w:rsidR="000700FC">
              <w:t>alu</w:t>
            </w:r>
            <w:r w:rsidR="006C3C92">
              <w:t>ing</w:t>
            </w:r>
            <w:r w:rsidR="000700FC">
              <w:t xml:space="preserve"> and retain</w:t>
            </w:r>
            <w:r w:rsidR="006C3C92">
              <w:t>ing</w:t>
            </w:r>
            <w:r w:rsidR="000700FC">
              <w:t xml:space="preserve"> the workforce (including intentional pathway development, quality improvement initiatives and workforce wellbeing initiatives) </w:t>
            </w:r>
          </w:p>
          <w:p w14:paraId="7A5E7F1E" w14:textId="58E6E5CC" w:rsidR="000700FC" w:rsidRDefault="00FC3B43" w:rsidP="000700FC">
            <w:pPr>
              <w:pStyle w:val="TableBullet"/>
            </w:pPr>
            <w:r>
              <w:t>i</w:t>
            </w:r>
            <w:r w:rsidR="000700FC">
              <w:t>nnovat</w:t>
            </w:r>
            <w:r w:rsidR="006C3C92">
              <w:t>ing</w:t>
            </w:r>
            <w:r w:rsidR="000700FC">
              <w:t xml:space="preserve"> (including developing new and emerging workforces)</w:t>
            </w:r>
          </w:p>
          <w:p w14:paraId="68E2C341" w14:textId="0C78B957" w:rsidR="005E4F7A" w:rsidRPr="00F201CA" w:rsidRDefault="00FC3B43" w:rsidP="000700FC">
            <w:pPr>
              <w:pStyle w:val="TableBullet"/>
            </w:pPr>
            <w:r>
              <w:t>s</w:t>
            </w:r>
            <w:r w:rsidR="000700FC">
              <w:t>upport</w:t>
            </w:r>
            <w:r w:rsidR="006C3C92">
              <w:t>ing</w:t>
            </w:r>
            <w:r w:rsidR="000700FC">
              <w:t xml:space="preserve"> leadership and system change</w:t>
            </w:r>
            <w:r w:rsidR="005E4F7A" w:rsidRPr="00F201CA">
              <w:t xml:space="preserve">. </w:t>
            </w:r>
          </w:p>
          <w:p w14:paraId="5E69927E" w14:textId="77777777" w:rsidR="005E4F7A" w:rsidRPr="009D46A2" w:rsidRDefault="005E4F7A" w:rsidP="00585E96">
            <w:pPr>
              <w:pStyle w:val="TableText"/>
            </w:pPr>
          </w:p>
        </w:tc>
        <w:tc>
          <w:tcPr>
            <w:tcW w:w="1667" w:type="pct"/>
          </w:tcPr>
          <w:p w14:paraId="2D8C6D40" w14:textId="0A1A9D8A" w:rsidR="002445ED" w:rsidRDefault="002445ED" w:rsidP="002445ED">
            <w:pPr>
              <w:pStyle w:val="TableBullet"/>
              <w:numPr>
                <w:ilvl w:val="0"/>
                <w:numId w:val="4"/>
              </w:numPr>
            </w:pPr>
            <w:r>
              <w:t xml:space="preserve">Provided wellbeing support for health care workers including access to </w:t>
            </w:r>
            <w:r w:rsidRPr="00F14056">
              <w:t>counselling</w:t>
            </w:r>
            <w:r>
              <w:t xml:space="preserve">, </w:t>
            </w:r>
            <w:r w:rsidRPr="00F14056">
              <w:t>specialist clinical advice</w:t>
            </w:r>
            <w:r>
              <w:t>,</w:t>
            </w:r>
            <w:r w:rsidRPr="00F14056">
              <w:t xml:space="preserve"> and </w:t>
            </w:r>
            <w:r>
              <w:t xml:space="preserve">temporary </w:t>
            </w:r>
            <w:r w:rsidRPr="00F14056">
              <w:t>accommodation</w:t>
            </w:r>
            <w:r>
              <w:t xml:space="preserve"> for those needing to stay away from home</w:t>
            </w:r>
          </w:p>
          <w:p w14:paraId="1325CB9C" w14:textId="2FC1AABD" w:rsidR="005E4F7A" w:rsidRDefault="005E4F7A" w:rsidP="005E4F7A">
            <w:pPr>
              <w:pStyle w:val="TableBullet"/>
              <w:numPr>
                <w:ilvl w:val="0"/>
                <w:numId w:val="4"/>
              </w:numPr>
            </w:pPr>
            <w:r>
              <w:t xml:space="preserve">Development of </w:t>
            </w:r>
            <w:r w:rsidR="001E7259">
              <w:t>h</w:t>
            </w:r>
            <w:r w:rsidRPr="00B76774">
              <w:t xml:space="preserve">ealth </w:t>
            </w:r>
            <w:r w:rsidR="001E7259">
              <w:t>i</w:t>
            </w:r>
            <w:r w:rsidRPr="00B76774">
              <w:t xml:space="preserve">mprovement </w:t>
            </w:r>
            <w:r w:rsidR="001E7259">
              <w:t>p</w:t>
            </w:r>
            <w:r w:rsidRPr="00B76774">
              <w:t xml:space="preserve">ractitioners </w:t>
            </w:r>
            <w:r>
              <w:t xml:space="preserve">and </w:t>
            </w:r>
            <w:r w:rsidR="001E7259">
              <w:t>h</w:t>
            </w:r>
            <w:r>
              <w:t xml:space="preserve">ealth coaches to deliver new </w:t>
            </w:r>
            <w:r w:rsidRPr="00B76774">
              <w:t xml:space="preserve">integrated mental health </w:t>
            </w:r>
            <w:r>
              <w:t xml:space="preserve">and addiction </w:t>
            </w:r>
            <w:r w:rsidRPr="00B76774">
              <w:t xml:space="preserve">services </w:t>
            </w:r>
            <w:r>
              <w:t xml:space="preserve">accessed through general practice </w:t>
            </w:r>
          </w:p>
          <w:p w14:paraId="2C00DF5D" w14:textId="4EE22D90" w:rsidR="005E4F7A" w:rsidRDefault="005E4F7A" w:rsidP="005E4F7A">
            <w:pPr>
              <w:pStyle w:val="TableBullet"/>
              <w:numPr>
                <w:ilvl w:val="0"/>
                <w:numId w:val="4"/>
              </w:numPr>
            </w:pPr>
            <w:r>
              <w:t xml:space="preserve">Investment in more than </w:t>
            </w:r>
            <w:r w:rsidRPr="00441607">
              <w:t>100 new training places for post-graduate study in specialist practice areas</w:t>
            </w:r>
          </w:p>
          <w:p w14:paraId="55FADA7B" w14:textId="3BA1135C" w:rsidR="0078420D" w:rsidRDefault="0078420D" w:rsidP="005E4F7A">
            <w:pPr>
              <w:pStyle w:val="TableBullet"/>
              <w:numPr>
                <w:ilvl w:val="0"/>
                <w:numId w:val="4"/>
              </w:numPr>
            </w:pPr>
            <w:r>
              <w:t>Increased New Entry to Specialist Practice places for nurses, social workers and occupational therapists to enter the mental health and addiction workforce</w:t>
            </w:r>
          </w:p>
          <w:p w14:paraId="3885B566" w14:textId="77777777" w:rsidR="005E4F7A" w:rsidRDefault="005E4F7A" w:rsidP="005E4F7A">
            <w:pPr>
              <w:pStyle w:val="TableBullet"/>
              <w:numPr>
                <w:ilvl w:val="0"/>
                <w:numId w:val="4"/>
              </w:numPr>
            </w:pPr>
            <w:r>
              <w:t xml:space="preserve">Investment in more than </w:t>
            </w:r>
            <w:r w:rsidRPr="009265C0">
              <w:t>800 new places in Māori and Pacific cultural competency training</w:t>
            </w:r>
            <w:r>
              <w:t xml:space="preserve"> </w:t>
            </w:r>
          </w:p>
          <w:p w14:paraId="7C8CCFE2" w14:textId="47655B6C" w:rsidR="005E4F7A" w:rsidRDefault="005E4F7A" w:rsidP="005E4F7A">
            <w:pPr>
              <w:pStyle w:val="TableBullet"/>
              <w:numPr>
                <w:ilvl w:val="0"/>
                <w:numId w:val="4"/>
              </w:numPr>
            </w:pPr>
            <w:r>
              <w:t xml:space="preserve">Investment in more than </w:t>
            </w:r>
            <w:r w:rsidRPr="00EE67D4">
              <w:t>2000 extra places in mental health and addiction literacy training</w:t>
            </w:r>
            <w:r>
              <w:t xml:space="preserve"> </w:t>
            </w:r>
          </w:p>
          <w:p w14:paraId="221E1BF2" w14:textId="1585620A" w:rsidR="005E4F7A" w:rsidRPr="007D06C8" w:rsidRDefault="00F445B4" w:rsidP="00997801">
            <w:pPr>
              <w:pStyle w:val="TableBullet"/>
              <w:numPr>
                <w:ilvl w:val="0"/>
                <w:numId w:val="4"/>
              </w:numPr>
            </w:pPr>
            <w:r>
              <w:t xml:space="preserve">Investment to </w:t>
            </w:r>
            <w:r w:rsidRPr="00F445B4">
              <w:t xml:space="preserve">sustain and grow the capacity and capability of the </w:t>
            </w:r>
            <w:r w:rsidR="00FB0929">
              <w:t xml:space="preserve">Māori and </w:t>
            </w:r>
            <w:r w:rsidRPr="00F445B4">
              <w:t>Pacific health and disability workforce</w:t>
            </w:r>
            <w:r w:rsidR="00FB0929">
              <w:t>s</w:t>
            </w:r>
            <w:r w:rsidR="00870C46">
              <w:t xml:space="preserve">, including increased </w:t>
            </w:r>
            <w:r w:rsidR="00F211F3">
              <w:t>scholarships and bursaries</w:t>
            </w:r>
          </w:p>
        </w:tc>
        <w:tc>
          <w:tcPr>
            <w:tcW w:w="1667" w:type="pct"/>
          </w:tcPr>
          <w:p w14:paraId="6AB14A05" w14:textId="6D487D6C" w:rsidR="005E4F7A" w:rsidRDefault="0078420D" w:rsidP="004808C0">
            <w:pPr>
              <w:pStyle w:val="TableBullet"/>
              <w:numPr>
                <w:ilvl w:val="0"/>
                <w:numId w:val="4"/>
              </w:numPr>
            </w:pPr>
            <w:r>
              <w:t>S</w:t>
            </w:r>
            <w:r w:rsidR="005E4F7A">
              <w:t>upport the development of Māori and Pacific mental health and addiction workforces</w:t>
            </w:r>
          </w:p>
          <w:p w14:paraId="2E71A445" w14:textId="5E4C795D" w:rsidR="005E4F7A" w:rsidRDefault="005E4F7A" w:rsidP="005E4F7A">
            <w:pPr>
              <w:pStyle w:val="TableBullet"/>
              <w:numPr>
                <w:ilvl w:val="0"/>
                <w:numId w:val="4"/>
              </w:numPr>
            </w:pPr>
            <w:r>
              <w:t>Support the development of the peer workforce</w:t>
            </w:r>
          </w:p>
          <w:p w14:paraId="58B7A79B" w14:textId="64B4E0FD" w:rsidR="005E4F7A" w:rsidRPr="00937CBD" w:rsidRDefault="00FC6BE4" w:rsidP="005E4F7A">
            <w:pPr>
              <w:pStyle w:val="TableBullet"/>
              <w:numPr>
                <w:ilvl w:val="0"/>
                <w:numId w:val="4"/>
              </w:numPr>
            </w:pPr>
            <w:r w:rsidRPr="00937CBD">
              <w:t>S</w:t>
            </w:r>
            <w:r w:rsidR="00FC3B43" w:rsidRPr="00937CBD">
              <w:t xml:space="preserve">upport </w:t>
            </w:r>
            <w:r w:rsidR="005E4F7A" w:rsidRPr="00937CBD">
              <w:t xml:space="preserve">evidence-informed mental health, addiction and suicide prevention literacy programmes for cross-sector workforces and communities </w:t>
            </w:r>
          </w:p>
          <w:p w14:paraId="18A5DC86" w14:textId="4481A699" w:rsidR="005E4F7A" w:rsidRDefault="005E4F7A" w:rsidP="005E4F7A">
            <w:pPr>
              <w:pStyle w:val="TableBullet"/>
              <w:numPr>
                <w:ilvl w:val="0"/>
                <w:numId w:val="4"/>
              </w:numPr>
            </w:pPr>
            <w:r>
              <w:t>Grow the pipeline of people entering the workforce</w:t>
            </w:r>
            <w:r w:rsidR="000341C3">
              <w:t>,</w:t>
            </w:r>
            <w:r>
              <w:t xml:space="preserve"> and improve attraction, training and retention strategies</w:t>
            </w:r>
          </w:p>
          <w:p w14:paraId="2E09B3C8" w14:textId="79B0903C" w:rsidR="005E4F7A" w:rsidRDefault="005E4F7A" w:rsidP="005E4F7A">
            <w:pPr>
              <w:pStyle w:val="TableBullet"/>
              <w:numPr>
                <w:ilvl w:val="0"/>
                <w:numId w:val="4"/>
              </w:numPr>
            </w:pPr>
            <w:r>
              <w:t>Enhance workforce data and analytics to inform ongoing investment and activities</w:t>
            </w:r>
          </w:p>
          <w:p w14:paraId="4542D4DA" w14:textId="038EA76E" w:rsidR="005E4F7A" w:rsidRPr="00E56E76" w:rsidRDefault="005E4F7A" w:rsidP="005E4F7A">
            <w:pPr>
              <w:pStyle w:val="TableBullet"/>
              <w:numPr>
                <w:ilvl w:val="0"/>
                <w:numId w:val="4"/>
              </w:numPr>
            </w:pPr>
            <w:r>
              <w:t>Continue monitoring of and response to COVID-19</w:t>
            </w:r>
            <w:r w:rsidR="00340214">
              <w:t>-</w:t>
            </w:r>
            <w:r>
              <w:t xml:space="preserve">related stress on the workforce </w:t>
            </w:r>
          </w:p>
        </w:tc>
      </w:tr>
    </w:tbl>
    <w:p w14:paraId="74E8B01C" w14:textId="6B2777C6" w:rsidR="000E7EAF" w:rsidRDefault="000E7EAF" w:rsidP="004C1C41"/>
    <w:p w14:paraId="0166E97A" w14:textId="77777777" w:rsidR="00A60C06" w:rsidRDefault="00A60C06">
      <w:pPr>
        <w:rPr>
          <w:color w:val="0A6AB4"/>
          <w:spacing w:val="-5"/>
          <w:sz w:val="36"/>
        </w:rPr>
      </w:pPr>
      <w:r>
        <w:br w:type="page"/>
      </w:r>
    </w:p>
    <w:p w14:paraId="0930BF82" w14:textId="7FA894F1" w:rsidR="005565F2" w:rsidRDefault="005565F2" w:rsidP="00F14056">
      <w:pPr>
        <w:pStyle w:val="Heading3"/>
      </w:pPr>
      <w:r>
        <w:t xml:space="preserve">Information and data </w:t>
      </w:r>
    </w:p>
    <w:p w14:paraId="1D0CECDA" w14:textId="60F8131C" w:rsidR="005E4F7A" w:rsidRDefault="005E4F7A" w:rsidP="005E4F7A">
      <w:r>
        <w:t xml:space="preserve">Quality data and information </w:t>
      </w:r>
      <w:r w:rsidR="000341C3">
        <w:t xml:space="preserve">are </w:t>
      </w:r>
      <w:r>
        <w:t xml:space="preserve">critical to assess </w:t>
      </w:r>
      <w:r w:rsidRPr="00B80E58">
        <w:t xml:space="preserve">the </w:t>
      </w:r>
      <w:r w:rsidR="00FE0D9D">
        <w:t>effects</w:t>
      </w:r>
      <w:r w:rsidR="00FE0D9D" w:rsidRPr="00B80E58">
        <w:t xml:space="preserve"> </w:t>
      </w:r>
      <w:r w:rsidRPr="00B80E58">
        <w:t>of COVID</w:t>
      </w:r>
      <w:r w:rsidRPr="00B80E58">
        <w:noBreakHyphen/>
        <w:t>19</w:t>
      </w:r>
      <w:r>
        <w:t xml:space="preserve"> on populations and the workforce</w:t>
      </w:r>
      <w:r w:rsidRPr="00B80E58">
        <w:t xml:space="preserve">, </w:t>
      </w:r>
      <w:r>
        <w:t xml:space="preserve">and to identify service pressures and effectiveness. </w:t>
      </w:r>
    </w:p>
    <w:p w14:paraId="13E734C0" w14:textId="77777777" w:rsidR="005E4F7A" w:rsidRDefault="005E4F7A" w:rsidP="005E4F7A"/>
    <w:p w14:paraId="27DF5D27" w14:textId="2801FB08" w:rsidR="005E4F7A" w:rsidRDefault="005E4F7A" w:rsidP="005E4F7A">
      <w:r>
        <w:t xml:space="preserve">In response to COVID-19, </w:t>
      </w:r>
      <w:r w:rsidR="000341C3">
        <w:t xml:space="preserve">many agencies have </w:t>
      </w:r>
      <w:r>
        <w:t>work</w:t>
      </w:r>
      <w:r w:rsidR="000341C3">
        <w:t>ed</w:t>
      </w:r>
      <w:r>
        <w:t xml:space="preserve"> to understand social</w:t>
      </w:r>
      <w:r w:rsidR="00471CC3">
        <w:t xml:space="preserve"> challenges and outcomes</w:t>
      </w:r>
      <w:r>
        <w:t>, including the Social Wellbeing Agency, Ministry of Social Development, DHBs, community organisations</w:t>
      </w:r>
      <w:r w:rsidR="000341C3">
        <w:t>,</w:t>
      </w:r>
      <w:r>
        <w:t xml:space="preserve"> and mental health and addiction lived experience networks. </w:t>
      </w:r>
    </w:p>
    <w:p w14:paraId="3F056BDF" w14:textId="77777777" w:rsidR="005E4F7A" w:rsidRDefault="005E4F7A" w:rsidP="005E4F7A"/>
    <w:p w14:paraId="4E082786" w14:textId="6AF3B9C3" w:rsidR="005E4F7A" w:rsidRDefault="005E4F7A" w:rsidP="005E4F7A">
      <w:r w:rsidRPr="00AB784F">
        <w:t xml:space="preserve">The Ministry is supporting the development of </w:t>
      </w:r>
      <w:bookmarkStart w:id="90" w:name="_Hlk54786456"/>
      <w:r w:rsidRPr="00AB784F">
        <w:t>Whāriki</w:t>
      </w:r>
      <w:bookmarkEnd w:id="90"/>
      <w:r w:rsidRPr="00AB784F">
        <w:t>, a network of mental health and addiction leaders who will rapidly share ideas, evidence and resources, learn from each other</w:t>
      </w:r>
      <w:r>
        <w:t>,</w:t>
      </w:r>
      <w:r w:rsidRPr="00AB784F">
        <w:t xml:space="preserve"> and improve and innovate for faster transformation.</w:t>
      </w:r>
      <w:r>
        <w:t xml:space="preserve"> </w:t>
      </w:r>
      <w:r w:rsidRPr="00AB784F">
        <w:t xml:space="preserve">Whāriki </w:t>
      </w:r>
      <w:r>
        <w:t>will be</w:t>
      </w:r>
      <w:r w:rsidRPr="00AB784F">
        <w:t xml:space="preserve"> supported by an online platform.</w:t>
      </w:r>
      <w:r>
        <w:t xml:space="preserve"> Initial areas of focus include:</w:t>
      </w:r>
    </w:p>
    <w:p w14:paraId="29E10D88" w14:textId="77777777" w:rsidR="005E4F7A" w:rsidRPr="00AB03FE" w:rsidRDefault="005E4F7A" w:rsidP="005E4F7A">
      <w:pPr>
        <w:pStyle w:val="Bullet"/>
        <w:rPr>
          <w:lang w:eastAsia="en-NZ"/>
        </w:rPr>
      </w:pPr>
      <w:r>
        <w:rPr>
          <w:lang w:eastAsia="en-NZ"/>
        </w:rPr>
        <w:t>achieving e</w:t>
      </w:r>
      <w:r w:rsidRPr="00AB03FE">
        <w:rPr>
          <w:lang w:eastAsia="en-NZ"/>
        </w:rPr>
        <w:t xml:space="preserve">quity for Māori </w:t>
      </w:r>
    </w:p>
    <w:p w14:paraId="39D0E9AE" w14:textId="7FD14093" w:rsidR="005E4F7A" w:rsidRDefault="005E4F7A" w:rsidP="005E4F7A">
      <w:pPr>
        <w:pStyle w:val="Bullet"/>
        <w:rPr>
          <w:lang w:eastAsia="en-NZ"/>
        </w:rPr>
      </w:pPr>
      <w:r>
        <w:rPr>
          <w:lang w:eastAsia="en-NZ"/>
        </w:rPr>
        <w:t>sharing innovations related to the COVID-19 context to embed positive change</w:t>
      </w:r>
      <w:r w:rsidRPr="00AB03FE">
        <w:rPr>
          <w:lang w:eastAsia="en-NZ"/>
        </w:rPr>
        <w:t xml:space="preserve"> </w:t>
      </w:r>
    </w:p>
    <w:p w14:paraId="1EA198CC" w14:textId="77777777" w:rsidR="005E4F7A" w:rsidRPr="00AB03FE" w:rsidRDefault="005E4F7A" w:rsidP="005E4F7A">
      <w:pPr>
        <w:pStyle w:val="Bullet"/>
        <w:rPr>
          <w:lang w:eastAsia="en-NZ"/>
        </w:rPr>
      </w:pPr>
      <w:r w:rsidRPr="00AB03FE">
        <w:rPr>
          <w:lang w:eastAsia="en-NZ"/>
        </w:rPr>
        <w:t>promot</w:t>
      </w:r>
      <w:r>
        <w:rPr>
          <w:lang w:eastAsia="en-NZ"/>
        </w:rPr>
        <w:t>ing</w:t>
      </w:r>
      <w:r w:rsidRPr="00AB03FE">
        <w:rPr>
          <w:lang w:eastAsia="en-NZ"/>
        </w:rPr>
        <w:t xml:space="preserve"> learning from the implementation of </w:t>
      </w:r>
      <w:r>
        <w:rPr>
          <w:lang w:eastAsia="en-NZ"/>
        </w:rPr>
        <w:t xml:space="preserve">new primary and community mental health and addiction </w:t>
      </w:r>
      <w:r w:rsidRPr="00AB03FE">
        <w:rPr>
          <w:lang w:eastAsia="en-NZ"/>
        </w:rPr>
        <w:t>service</w:t>
      </w:r>
      <w:r>
        <w:rPr>
          <w:lang w:eastAsia="en-NZ"/>
        </w:rPr>
        <w:t>s</w:t>
      </w:r>
      <w:r w:rsidRPr="00AB03FE">
        <w:rPr>
          <w:lang w:eastAsia="en-NZ"/>
        </w:rPr>
        <w:t>.</w:t>
      </w:r>
    </w:p>
    <w:p w14:paraId="386F82C2" w14:textId="348F1218" w:rsidR="005E4F7A" w:rsidRDefault="005E4F7A" w:rsidP="005E4F7A"/>
    <w:p w14:paraId="6FB5F1B1" w14:textId="20A89BE8" w:rsidR="008B666A" w:rsidRDefault="00B236FA" w:rsidP="005E4F7A">
      <w:r>
        <w:t xml:space="preserve">Timely, accurate and comprehensive </w:t>
      </w:r>
      <w:r w:rsidR="004232B0">
        <w:t xml:space="preserve">information and data </w:t>
      </w:r>
      <w:r w:rsidR="008B666A">
        <w:t xml:space="preserve">will also be crucial </w:t>
      </w:r>
      <w:r w:rsidR="00C4649B">
        <w:t>for the longer-term transformation of New Zealand’s approach to mental health and addiction</w:t>
      </w:r>
      <w:r w:rsidR="004232B0">
        <w:t>. Work is underway to lay the foundations for enhancing our data and information landscape</w:t>
      </w:r>
      <w:r w:rsidR="001F3B9C">
        <w:t xml:space="preserve"> and to </w:t>
      </w:r>
      <w:r w:rsidR="0042489B">
        <w:t xml:space="preserve">continue to </w:t>
      </w:r>
      <w:r w:rsidR="001F3B9C">
        <w:t>build the evidence base for best practice</w:t>
      </w:r>
      <w:r w:rsidR="004232B0">
        <w:t xml:space="preserve">. </w:t>
      </w:r>
    </w:p>
    <w:p w14:paraId="2AFC7215" w14:textId="77777777" w:rsidR="008B666A" w:rsidRDefault="008B666A" w:rsidP="005E4F7A"/>
    <w:p w14:paraId="28F80C3E" w14:textId="19A73E04" w:rsidR="005E4F7A" w:rsidRDefault="005E4F7A" w:rsidP="005E4F7A">
      <w:r>
        <w:t xml:space="preserve">It will also be important to monitor progress with implementing </w:t>
      </w:r>
      <w:r w:rsidR="00E1672B" w:rsidRPr="00E1672B">
        <w:rPr>
          <w:i/>
        </w:rPr>
        <w:t>Kia Kaha</w:t>
      </w:r>
      <w:r>
        <w:t xml:space="preserve"> to understand how we are tracking with our collective actions. The Ministry of Health will provide updates to stakeholders on activities through regular communications and newsletters. We encourage </w:t>
      </w:r>
      <w:r w:rsidR="00F56DEF">
        <w:t xml:space="preserve">stakeholders </w:t>
      </w:r>
      <w:r>
        <w:t xml:space="preserve">to share </w:t>
      </w:r>
      <w:r w:rsidR="00BF2D29">
        <w:t>information</w:t>
      </w:r>
      <w:r w:rsidR="0085418E">
        <w:t xml:space="preserve">, experiences </w:t>
      </w:r>
      <w:r>
        <w:t xml:space="preserve">and progress. </w:t>
      </w:r>
    </w:p>
    <w:p w14:paraId="0E82CEB0" w14:textId="4B3FF57A" w:rsidR="005E4F7A" w:rsidRDefault="005E4F7A" w:rsidP="005E4F7A"/>
    <w:tbl>
      <w:tblPr>
        <w:tblW w:w="51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230"/>
        <w:gridCol w:w="3231"/>
        <w:gridCol w:w="3231"/>
      </w:tblGrid>
      <w:tr w:rsidR="005E4F7A" w:rsidRPr="007D06C8" w14:paraId="2A240B78" w14:textId="77777777" w:rsidTr="00585E96">
        <w:trPr>
          <w:cantSplit/>
          <w:trHeight w:val="354"/>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B4AB80" w14:textId="77777777" w:rsidR="005E4F7A" w:rsidRPr="007D06C8" w:rsidRDefault="005E4F7A" w:rsidP="00E55C16">
            <w:pPr>
              <w:pStyle w:val="TableText"/>
              <w:rPr>
                <w:b/>
              </w:rPr>
            </w:pPr>
            <w:r>
              <w:rPr>
                <w:b/>
              </w:rPr>
              <w:t>Information and data</w:t>
            </w:r>
          </w:p>
        </w:tc>
      </w:tr>
      <w:tr w:rsidR="005E4F7A" w:rsidRPr="007D06C8" w14:paraId="30537876" w14:textId="77777777" w:rsidTr="00E55C16">
        <w:trPr>
          <w:cantSplit/>
          <w:trHeight w:val="368"/>
        </w:trPr>
        <w:tc>
          <w:tcPr>
            <w:tcW w:w="1666" w:type="pct"/>
            <w:shd w:val="clear" w:color="auto" w:fill="auto"/>
            <w:hideMark/>
          </w:tcPr>
          <w:p w14:paraId="43D8B663" w14:textId="77777777" w:rsidR="005E4F7A" w:rsidRPr="007D06C8" w:rsidRDefault="005E4F7A" w:rsidP="00585E96">
            <w:pPr>
              <w:pStyle w:val="TableText"/>
              <w:rPr>
                <w:b/>
              </w:rPr>
            </w:pPr>
            <w:r w:rsidRPr="007D06C8">
              <w:rPr>
                <w:b/>
              </w:rPr>
              <w:t>Areas for action</w:t>
            </w:r>
          </w:p>
        </w:tc>
        <w:tc>
          <w:tcPr>
            <w:tcW w:w="1667" w:type="pct"/>
          </w:tcPr>
          <w:p w14:paraId="6BD9CBDA" w14:textId="77777777" w:rsidR="005E4F7A" w:rsidRPr="007D06C8" w:rsidRDefault="005E4F7A" w:rsidP="00585E96">
            <w:pPr>
              <w:pStyle w:val="TableText"/>
              <w:rPr>
                <w:b/>
              </w:rPr>
            </w:pPr>
            <w:r w:rsidRPr="007D06C8">
              <w:rPr>
                <w:b/>
              </w:rPr>
              <w:t xml:space="preserve">Examples of progress </w:t>
            </w:r>
            <w:r w:rsidRPr="00BC3062">
              <w:rPr>
                <w:b/>
              </w:rPr>
              <w:t>(MoH)</w:t>
            </w:r>
          </w:p>
        </w:tc>
        <w:tc>
          <w:tcPr>
            <w:tcW w:w="1667" w:type="pct"/>
          </w:tcPr>
          <w:p w14:paraId="1D6E6CDF" w14:textId="77777777" w:rsidR="005E4F7A" w:rsidRPr="007D06C8" w:rsidRDefault="005E4F7A" w:rsidP="00585E96">
            <w:pPr>
              <w:pStyle w:val="TableText"/>
              <w:rPr>
                <w:b/>
              </w:rPr>
            </w:pPr>
            <w:r w:rsidRPr="007D06C8">
              <w:rPr>
                <w:b/>
              </w:rPr>
              <w:t>Priorities for national action</w:t>
            </w:r>
            <w:r>
              <w:rPr>
                <w:b/>
              </w:rPr>
              <w:t xml:space="preserve"> </w:t>
            </w:r>
            <w:r w:rsidRPr="00BC3062">
              <w:rPr>
                <w:b/>
              </w:rPr>
              <w:t>(MoH)</w:t>
            </w:r>
          </w:p>
        </w:tc>
      </w:tr>
      <w:tr w:rsidR="005E4F7A" w:rsidRPr="00E56E76" w14:paraId="2C423DFF" w14:textId="77777777" w:rsidTr="00E55C16">
        <w:trPr>
          <w:cantSplit/>
          <w:trHeight w:val="3251"/>
        </w:trPr>
        <w:tc>
          <w:tcPr>
            <w:tcW w:w="1666" w:type="pct"/>
            <w:shd w:val="clear" w:color="auto" w:fill="auto"/>
          </w:tcPr>
          <w:p w14:paraId="0D410B5B" w14:textId="2C34401C" w:rsidR="005E4F7A" w:rsidRDefault="005E4F7A" w:rsidP="00585E96">
            <w:pPr>
              <w:pStyle w:val="TableText"/>
            </w:pPr>
            <w:r>
              <w:t>Collect q</w:t>
            </w:r>
            <w:r w:rsidRPr="00326DF8">
              <w:t xml:space="preserve">uality data and information </w:t>
            </w:r>
            <w:r>
              <w:t xml:space="preserve">that </w:t>
            </w:r>
            <w:r w:rsidRPr="00326DF8">
              <w:t>enables decision makers</w:t>
            </w:r>
            <w:r w:rsidR="00344784">
              <w:t xml:space="preserve">, </w:t>
            </w:r>
            <w:r w:rsidRPr="00326DF8">
              <w:t xml:space="preserve">providers </w:t>
            </w:r>
            <w:r w:rsidR="00344784">
              <w:t xml:space="preserve">and communities </w:t>
            </w:r>
            <w:r w:rsidRPr="00326DF8">
              <w:t>to</w:t>
            </w:r>
            <w:r>
              <w:t>:</w:t>
            </w:r>
          </w:p>
          <w:p w14:paraId="135D5649" w14:textId="4002E79C" w:rsidR="005E4F7A" w:rsidRDefault="005E4F7A" w:rsidP="00E55C16">
            <w:pPr>
              <w:pStyle w:val="TableBullet"/>
            </w:pPr>
            <w:r w:rsidRPr="00326DF8">
              <w:t xml:space="preserve">assess the </w:t>
            </w:r>
            <w:r w:rsidR="006422B9">
              <w:t>effects</w:t>
            </w:r>
            <w:r w:rsidR="006422B9" w:rsidRPr="00326DF8">
              <w:t xml:space="preserve"> </w:t>
            </w:r>
            <w:r w:rsidRPr="00326DF8">
              <w:t>of COVID 19 on populations and the workforce</w:t>
            </w:r>
          </w:p>
          <w:p w14:paraId="7EC3F925" w14:textId="7CFCE6E9" w:rsidR="005E4F7A" w:rsidRDefault="005E4F7A" w:rsidP="005E4F7A">
            <w:pPr>
              <w:pStyle w:val="TableBullet"/>
              <w:numPr>
                <w:ilvl w:val="0"/>
                <w:numId w:val="4"/>
              </w:numPr>
            </w:pPr>
            <w:r w:rsidRPr="00326DF8">
              <w:t>identify service pressures and effectiveness</w:t>
            </w:r>
          </w:p>
          <w:p w14:paraId="4A4865F8" w14:textId="77777777" w:rsidR="00B03EEE" w:rsidRDefault="005E4F7A" w:rsidP="005E4F7A">
            <w:pPr>
              <w:pStyle w:val="TableBullet"/>
              <w:numPr>
                <w:ilvl w:val="0"/>
                <w:numId w:val="4"/>
              </w:numPr>
            </w:pPr>
            <w:r>
              <w:t>make informed decisions on focus areas</w:t>
            </w:r>
          </w:p>
          <w:p w14:paraId="3F39FD59" w14:textId="0D373A8D" w:rsidR="005E4F7A" w:rsidRPr="009D46A2" w:rsidRDefault="00B03EEE" w:rsidP="005E4F7A">
            <w:pPr>
              <w:pStyle w:val="TableBullet"/>
              <w:numPr>
                <w:ilvl w:val="0"/>
                <w:numId w:val="4"/>
              </w:numPr>
            </w:pPr>
            <w:r>
              <w:t xml:space="preserve">learn, adapt and innovate. </w:t>
            </w:r>
          </w:p>
        </w:tc>
        <w:tc>
          <w:tcPr>
            <w:tcW w:w="1667" w:type="pct"/>
          </w:tcPr>
          <w:p w14:paraId="2EB91161" w14:textId="77777777" w:rsidR="005E4F7A" w:rsidRDefault="005E4F7A" w:rsidP="005E4F7A">
            <w:pPr>
              <w:pStyle w:val="TableBullet"/>
              <w:numPr>
                <w:ilvl w:val="0"/>
                <w:numId w:val="4"/>
              </w:numPr>
            </w:pPr>
            <w:r>
              <w:t>Gathered and facilitated on-the-ground information about the effects of COVID-19, intelligence on community needs (nationally and regionally), predicted and emergent psychosocial needs, and at-risk groups</w:t>
            </w:r>
          </w:p>
          <w:p w14:paraId="0CDC8C1C" w14:textId="6D375340" w:rsidR="005E4F7A" w:rsidRPr="007D06C8" w:rsidRDefault="005E4F7A" w:rsidP="005E4F7A">
            <w:pPr>
              <w:pStyle w:val="TableBullet"/>
              <w:numPr>
                <w:ilvl w:val="0"/>
                <w:numId w:val="4"/>
              </w:numPr>
            </w:pPr>
            <w:r>
              <w:t>D</w:t>
            </w:r>
            <w:r w:rsidRPr="00AB784F">
              <w:t>evelop</w:t>
            </w:r>
            <w:r>
              <w:t xml:space="preserve">ment of </w:t>
            </w:r>
            <w:r w:rsidRPr="00AB784F">
              <w:t>Whāriki</w:t>
            </w:r>
            <w:r>
              <w:t xml:space="preserve"> network </w:t>
            </w:r>
            <w:r w:rsidR="00DC1779">
              <w:t xml:space="preserve">infrastructure </w:t>
            </w:r>
          </w:p>
        </w:tc>
        <w:tc>
          <w:tcPr>
            <w:tcW w:w="1667" w:type="pct"/>
          </w:tcPr>
          <w:p w14:paraId="03F7C7CC" w14:textId="11093C86" w:rsidR="005E4F7A" w:rsidRDefault="005E4F7A" w:rsidP="005E4F7A">
            <w:pPr>
              <w:pStyle w:val="TableBullet"/>
              <w:numPr>
                <w:ilvl w:val="0"/>
                <w:numId w:val="4"/>
              </w:numPr>
            </w:pPr>
            <w:r>
              <w:t xml:space="preserve">Continue to collaborate with other national and regional agencies to measure </w:t>
            </w:r>
            <w:r w:rsidR="00187A4C">
              <w:t>the effects</w:t>
            </w:r>
            <w:r>
              <w:t xml:space="preserve">, share information and </w:t>
            </w:r>
            <w:r w:rsidR="00E273A6">
              <w:t>build</w:t>
            </w:r>
            <w:r>
              <w:t xml:space="preserve"> our understanding of COVID-19</w:t>
            </w:r>
          </w:p>
          <w:p w14:paraId="68BB113E" w14:textId="18B9D51F" w:rsidR="005E4F7A" w:rsidRDefault="005E4F7A" w:rsidP="005E4F7A">
            <w:pPr>
              <w:pStyle w:val="TableBullet"/>
              <w:numPr>
                <w:ilvl w:val="0"/>
                <w:numId w:val="4"/>
              </w:numPr>
            </w:pPr>
            <w:r>
              <w:t xml:space="preserve">Continue to </w:t>
            </w:r>
            <w:r w:rsidR="00C24EE0">
              <w:t xml:space="preserve">support robust data collection, </w:t>
            </w:r>
            <w:r>
              <w:t>track service uptake</w:t>
            </w:r>
            <w:r w:rsidR="00262C4F">
              <w:t>,</w:t>
            </w:r>
            <w:r>
              <w:t xml:space="preserve"> and monitor and evaluate supports and services</w:t>
            </w:r>
          </w:p>
          <w:p w14:paraId="4D114F13" w14:textId="77777777" w:rsidR="00DC1779" w:rsidRDefault="00DC1779" w:rsidP="005E4F7A">
            <w:pPr>
              <w:pStyle w:val="TableBullet"/>
              <w:numPr>
                <w:ilvl w:val="0"/>
                <w:numId w:val="4"/>
              </w:numPr>
            </w:pPr>
            <w:r>
              <w:t>Facilitate shared learning, adaptation and innovation via the Whāriki network</w:t>
            </w:r>
          </w:p>
          <w:p w14:paraId="43C82D7B" w14:textId="2C184E69" w:rsidR="005E4F7A" w:rsidRPr="00E55C16" w:rsidRDefault="005E4F7A" w:rsidP="005E4F7A">
            <w:pPr>
              <w:pStyle w:val="TableBullet"/>
              <w:numPr>
                <w:ilvl w:val="0"/>
                <w:numId w:val="4"/>
              </w:numPr>
            </w:pPr>
            <w:r w:rsidRPr="00E55C16">
              <w:t>Work with the Chief Coroner and Office of the Chief Coroner to monitor suspected suicide data</w:t>
            </w:r>
          </w:p>
          <w:p w14:paraId="71859216" w14:textId="32F15755" w:rsidR="00DC1779" w:rsidRPr="00E56E76" w:rsidRDefault="005E4F7A" w:rsidP="00DC1779">
            <w:pPr>
              <w:pStyle w:val="TableBullet"/>
              <w:numPr>
                <w:ilvl w:val="0"/>
                <w:numId w:val="4"/>
              </w:numPr>
            </w:pPr>
            <w:r>
              <w:t xml:space="preserve">Monitor </w:t>
            </w:r>
            <w:r w:rsidR="00FC1B2D">
              <w:t xml:space="preserve">and communicate </w:t>
            </w:r>
            <w:r>
              <w:t xml:space="preserve">progress with implementing </w:t>
            </w:r>
            <w:r w:rsidR="00E1672B" w:rsidRPr="00E1672B">
              <w:rPr>
                <w:i/>
              </w:rPr>
              <w:t>Kia Kaha</w:t>
            </w:r>
            <w:r>
              <w:t xml:space="preserve"> to understand how we are tracking with our collective actions</w:t>
            </w:r>
          </w:p>
        </w:tc>
      </w:tr>
    </w:tbl>
    <w:p w14:paraId="64461FCE" w14:textId="77777777" w:rsidR="00DC1779" w:rsidRDefault="00DC1779">
      <w:pPr>
        <w:rPr>
          <w:color w:val="0A6AB4"/>
          <w:spacing w:val="-5"/>
          <w:sz w:val="36"/>
        </w:rPr>
      </w:pPr>
      <w:r>
        <w:br w:type="page"/>
      </w:r>
    </w:p>
    <w:p w14:paraId="5C64A988" w14:textId="63AFA47C" w:rsidR="005565F2" w:rsidRDefault="005565F2" w:rsidP="004808C0">
      <w:pPr>
        <w:pStyle w:val="Heading3"/>
      </w:pPr>
      <w:r>
        <w:t>Policy and regulation</w:t>
      </w:r>
    </w:p>
    <w:p w14:paraId="1EBF8BF0" w14:textId="6D3A49BB" w:rsidR="007912FA" w:rsidRDefault="005E4F7A" w:rsidP="005E4F7A">
      <w:r>
        <w:t xml:space="preserve">Policy decisions by </w:t>
      </w:r>
      <w:r w:rsidR="00F271CC">
        <w:t xml:space="preserve">the </w:t>
      </w:r>
      <w:r>
        <w:t xml:space="preserve">Government in response to </w:t>
      </w:r>
      <w:r w:rsidRPr="005761AC">
        <w:rPr>
          <w:i/>
        </w:rPr>
        <w:t>He Ara Oranga</w:t>
      </w:r>
      <w:r>
        <w:t xml:space="preserve"> set out the basis for the </w:t>
      </w:r>
      <w:r w:rsidR="007912FA">
        <w:t xml:space="preserve">cross-government </w:t>
      </w:r>
      <w:r>
        <w:t>mental health and addiction work programme, now expanded by the COVID-19 response</w:t>
      </w:r>
      <w:r w:rsidR="007912FA">
        <w:t xml:space="preserve">. </w:t>
      </w:r>
    </w:p>
    <w:p w14:paraId="77D6D324" w14:textId="77777777" w:rsidR="007912FA" w:rsidRDefault="007912FA" w:rsidP="005E4F7A"/>
    <w:p w14:paraId="3921A13D" w14:textId="29B7E54F" w:rsidR="005E4F7A" w:rsidRDefault="007912FA" w:rsidP="005E4F7A">
      <w:r>
        <w:t xml:space="preserve">The Ministry of Health is responsible for providing advice to the Government on strategic approaches to transforming mental health and addiction and for formulating legislative changes. This policy work sets the framework within </w:t>
      </w:r>
      <w:r w:rsidR="007D375D">
        <w:t xml:space="preserve">which </w:t>
      </w:r>
      <w:r>
        <w:t>on-the-ground services operate.</w:t>
      </w:r>
    </w:p>
    <w:p w14:paraId="5157280A" w14:textId="16F5D373" w:rsidR="00291536" w:rsidRDefault="00291536" w:rsidP="005E4F7A"/>
    <w:p w14:paraId="130DF36D" w14:textId="746FD85A" w:rsidR="00291536" w:rsidRPr="004808C0" w:rsidRDefault="00291536" w:rsidP="00291536">
      <w:r>
        <w:t xml:space="preserve">One of the priorities identified in the Government’s response to </w:t>
      </w:r>
      <w:r>
        <w:rPr>
          <w:i/>
        </w:rPr>
        <w:t xml:space="preserve">He Ara Oranga </w:t>
      </w:r>
      <w:r>
        <w:t xml:space="preserve">is the repeal and replacement of the </w:t>
      </w:r>
      <w:r w:rsidRPr="00C83B1B">
        <w:t>Mental Health (Compulsory Assessment and Treatment) Act 1992</w:t>
      </w:r>
      <w:r>
        <w:t xml:space="preserve"> (</w:t>
      </w:r>
      <w:r w:rsidR="00F271CC">
        <w:t xml:space="preserve">the </w:t>
      </w:r>
      <w:r>
        <w:t xml:space="preserve">Mental Health Act). Work has </w:t>
      </w:r>
      <w:r w:rsidR="00262C4F">
        <w:t>begun on</w:t>
      </w:r>
      <w:r>
        <w:t xml:space="preserve"> legislative reform to support human rights, place people and whānau at the centre</w:t>
      </w:r>
      <w:r w:rsidR="00262C4F">
        <w:t>,</w:t>
      </w:r>
      <w:r>
        <w:t xml:space="preserve"> and improve equity. We will continue to engage with stakeholders to develop a vision of mental health legislation within the New Zealand context.</w:t>
      </w:r>
    </w:p>
    <w:p w14:paraId="5A337F7E" w14:textId="77777777" w:rsidR="005E4F7A" w:rsidRDefault="005E4F7A" w:rsidP="005E4F7A"/>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114"/>
        <w:gridCol w:w="3115"/>
        <w:gridCol w:w="3115"/>
      </w:tblGrid>
      <w:tr w:rsidR="005E4F7A" w:rsidRPr="007D06C8" w14:paraId="0032B7EC" w14:textId="77777777" w:rsidTr="00585E96">
        <w:trPr>
          <w:cantSplit/>
          <w:trHeight w:val="354"/>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8452896" w14:textId="0E36A09F" w:rsidR="005E4F7A" w:rsidRPr="007D06C8" w:rsidRDefault="005E4F7A" w:rsidP="00E55C16">
            <w:pPr>
              <w:pStyle w:val="TableText"/>
              <w:rPr>
                <w:b/>
              </w:rPr>
            </w:pPr>
            <w:r>
              <w:rPr>
                <w:b/>
              </w:rPr>
              <w:t xml:space="preserve">Policy and </w:t>
            </w:r>
            <w:r w:rsidR="00265D49">
              <w:rPr>
                <w:b/>
              </w:rPr>
              <w:t>r</w:t>
            </w:r>
            <w:r>
              <w:rPr>
                <w:b/>
              </w:rPr>
              <w:t xml:space="preserve">egulation </w:t>
            </w:r>
          </w:p>
        </w:tc>
      </w:tr>
      <w:tr w:rsidR="005E4F7A" w:rsidRPr="007D06C8" w14:paraId="5A6F6CEE" w14:textId="77777777" w:rsidTr="00E55C16">
        <w:trPr>
          <w:cantSplit/>
          <w:trHeight w:val="368"/>
        </w:trPr>
        <w:tc>
          <w:tcPr>
            <w:tcW w:w="1666" w:type="pct"/>
            <w:shd w:val="clear" w:color="auto" w:fill="auto"/>
            <w:hideMark/>
          </w:tcPr>
          <w:p w14:paraId="34C67967" w14:textId="77777777" w:rsidR="005E4F7A" w:rsidRPr="007D06C8" w:rsidRDefault="005E4F7A" w:rsidP="00585E96">
            <w:pPr>
              <w:pStyle w:val="TableText"/>
              <w:rPr>
                <w:b/>
              </w:rPr>
            </w:pPr>
            <w:r w:rsidRPr="007D06C8">
              <w:rPr>
                <w:b/>
              </w:rPr>
              <w:t>Areas for action</w:t>
            </w:r>
          </w:p>
        </w:tc>
        <w:tc>
          <w:tcPr>
            <w:tcW w:w="1667" w:type="pct"/>
          </w:tcPr>
          <w:p w14:paraId="3D2C45C0" w14:textId="77777777" w:rsidR="005E4F7A" w:rsidRPr="007D06C8" w:rsidRDefault="005E4F7A" w:rsidP="00585E96">
            <w:pPr>
              <w:pStyle w:val="TableText"/>
              <w:rPr>
                <w:b/>
              </w:rPr>
            </w:pPr>
            <w:r w:rsidRPr="007D06C8">
              <w:rPr>
                <w:b/>
              </w:rPr>
              <w:t xml:space="preserve">Examples of progress </w:t>
            </w:r>
            <w:r w:rsidRPr="00BC3062">
              <w:rPr>
                <w:b/>
              </w:rPr>
              <w:t>(MoH)</w:t>
            </w:r>
          </w:p>
        </w:tc>
        <w:tc>
          <w:tcPr>
            <w:tcW w:w="1667" w:type="pct"/>
          </w:tcPr>
          <w:p w14:paraId="667CBD1A" w14:textId="77777777" w:rsidR="005E4F7A" w:rsidRPr="007D06C8" w:rsidRDefault="005E4F7A" w:rsidP="00585E96">
            <w:pPr>
              <w:pStyle w:val="TableText"/>
              <w:rPr>
                <w:b/>
              </w:rPr>
            </w:pPr>
            <w:r w:rsidRPr="007D06C8">
              <w:rPr>
                <w:b/>
              </w:rPr>
              <w:t>Priorities for national action</w:t>
            </w:r>
            <w:r>
              <w:rPr>
                <w:b/>
              </w:rPr>
              <w:t xml:space="preserve"> </w:t>
            </w:r>
            <w:r w:rsidRPr="00BC3062">
              <w:rPr>
                <w:b/>
              </w:rPr>
              <w:t>(MoH)</w:t>
            </w:r>
          </w:p>
        </w:tc>
      </w:tr>
      <w:tr w:rsidR="005E4F7A" w:rsidRPr="00E56E76" w14:paraId="155FDCB6" w14:textId="77777777" w:rsidTr="00E55C16">
        <w:trPr>
          <w:cantSplit/>
          <w:trHeight w:val="1920"/>
        </w:trPr>
        <w:tc>
          <w:tcPr>
            <w:tcW w:w="1666" w:type="pct"/>
            <w:shd w:val="clear" w:color="auto" w:fill="auto"/>
          </w:tcPr>
          <w:p w14:paraId="7FB2C22B" w14:textId="60BCA8BC" w:rsidR="005E4F7A" w:rsidRPr="009D46A2" w:rsidRDefault="00B10330" w:rsidP="00585E96">
            <w:pPr>
              <w:pStyle w:val="TableText"/>
            </w:pPr>
            <w:r>
              <w:t>D</w:t>
            </w:r>
            <w:r w:rsidR="005E4F7A">
              <w:t>evelop policy that supports and improves the mental health and wellbeing of people in New Zealand</w:t>
            </w:r>
          </w:p>
        </w:tc>
        <w:tc>
          <w:tcPr>
            <w:tcW w:w="1667" w:type="pct"/>
          </w:tcPr>
          <w:p w14:paraId="5079B9AC" w14:textId="2A639462" w:rsidR="005E4F7A" w:rsidRPr="007D06C8" w:rsidRDefault="00B10330" w:rsidP="00B10330">
            <w:pPr>
              <w:pStyle w:val="TableBullet"/>
              <w:numPr>
                <w:ilvl w:val="0"/>
                <w:numId w:val="4"/>
              </w:numPr>
            </w:pPr>
            <w:r>
              <w:t>C</w:t>
            </w:r>
            <w:r w:rsidRPr="006549D9">
              <w:t>ollaborat</w:t>
            </w:r>
            <w:r>
              <w:t>e</w:t>
            </w:r>
            <w:r w:rsidR="00DC1779">
              <w:t>d</w:t>
            </w:r>
            <w:r w:rsidRPr="006549D9">
              <w:t xml:space="preserve"> with key social sector government agencies to ensure mental wellbeing needs </w:t>
            </w:r>
            <w:r w:rsidR="00DC1779">
              <w:t>were</w:t>
            </w:r>
            <w:r w:rsidRPr="006549D9">
              <w:t xml:space="preserve"> considered in policy development</w:t>
            </w:r>
            <w:r w:rsidR="00DC1779">
              <w:t xml:space="preserve"> and advice provided to Cabinet about the mental wellbeing </w:t>
            </w:r>
            <w:r w:rsidR="00960190">
              <w:t xml:space="preserve">effects </w:t>
            </w:r>
            <w:r w:rsidR="00DC1779">
              <w:t>of COVID-19</w:t>
            </w:r>
          </w:p>
        </w:tc>
        <w:tc>
          <w:tcPr>
            <w:tcW w:w="1667" w:type="pct"/>
          </w:tcPr>
          <w:p w14:paraId="5769B00E" w14:textId="6D1345F8" w:rsidR="00E46FA0" w:rsidRDefault="00E46FA0" w:rsidP="005E4F7A">
            <w:pPr>
              <w:pStyle w:val="TableBullet"/>
              <w:numPr>
                <w:ilvl w:val="0"/>
                <w:numId w:val="4"/>
              </w:numPr>
            </w:pPr>
            <w:r>
              <w:t xml:space="preserve">Ongoing development, engagement and implementation of the long-term pathway for transformation </w:t>
            </w:r>
          </w:p>
          <w:p w14:paraId="51ADA9DB" w14:textId="17703647" w:rsidR="005E4F7A" w:rsidRDefault="00531231" w:rsidP="005E4F7A">
            <w:pPr>
              <w:pStyle w:val="TableBullet"/>
              <w:numPr>
                <w:ilvl w:val="0"/>
                <w:numId w:val="4"/>
              </w:numPr>
            </w:pPr>
            <w:r>
              <w:t>Encourage agencies to consider</w:t>
            </w:r>
            <w:r w:rsidRPr="00997801">
              <w:t xml:space="preserve"> </w:t>
            </w:r>
            <w:r w:rsidR="005E4F7A" w:rsidRPr="00997801">
              <w:t xml:space="preserve">mental wellbeing in the </w:t>
            </w:r>
            <w:r>
              <w:t>development</w:t>
            </w:r>
            <w:r w:rsidRPr="00997801">
              <w:t xml:space="preserve"> </w:t>
            </w:r>
            <w:r w:rsidR="005E4F7A" w:rsidRPr="00997801">
              <w:t xml:space="preserve">of </w:t>
            </w:r>
            <w:r>
              <w:t xml:space="preserve">government </w:t>
            </w:r>
            <w:r w:rsidR="005E4F7A" w:rsidRPr="00997801">
              <w:t>polic</w:t>
            </w:r>
            <w:r>
              <w:t>ies</w:t>
            </w:r>
            <w:r w:rsidR="005E4F7A" w:rsidRPr="00997801">
              <w:t xml:space="preserve"> </w:t>
            </w:r>
            <w:r w:rsidR="00C27A72">
              <w:t>to support a whole-of-government approach to wellbeing, prevention and social determinants</w:t>
            </w:r>
            <w:r w:rsidR="00C27A72" w:rsidDel="00AC38D7">
              <w:t xml:space="preserve"> </w:t>
            </w:r>
          </w:p>
          <w:p w14:paraId="302EFAFF" w14:textId="745D6885" w:rsidR="00AC38D7" w:rsidRPr="00E56E76" w:rsidRDefault="00AC38D7" w:rsidP="004808C0">
            <w:pPr>
              <w:pStyle w:val="TableBullet"/>
              <w:numPr>
                <w:ilvl w:val="0"/>
                <w:numId w:val="4"/>
              </w:numPr>
            </w:pPr>
            <w:r>
              <w:t>D</w:t>
            </w:r>
            <w:r w:rsidRPr="004267F3">
              <w:t>evelop</w:t>
            </w:r>
            <w:r>
              <w:t xml:space="preserve"> </w:t>
            </w:r>
            <w:r w:rsidRPr="004267F3">
              <w:t>the next Preventing and Minimising Gambling Harm Strategy</w:t>
            </w:r>
          </w:p>
        </w:tc>
      </w:tr>
      <w:tr w:rsidR="00EA5B61" w:rsidRPr="00E56E76" w14:paraId="443B202D" w14:textId="77777777" w:rsidTr="00E55C16">
        <w:trPr>
          <w:cantSplit/>
          <w:trHeight w:val="1920"/>
        </w:trPr>
        <w:tc>
          <w:tcPr>
            <w:tcW w:w="1666" w:type="pct"/>
            <w:shd w:val="clear" w:color="auto" w:fill="auto"/>
          </w:tcPr>
          <w:p w14:paraId="44BD0EC9" w14:textId="4F65D062" w:rsidR="00EA5B61" w:rsidRDefault="007912FA" w:rsidP="00585E96">
            <w:pPr>
              <w:pStyle w:val="TableText"/>
            </w:pPr>
            <w:r>
              <w:t xml:space="preserve">Pursue </w:t>
            </w:r>
            <w:r w:rsidR="005A11FE">
              <w:t xml:space="preserve">legislative changes to </w:t>
            </w:r>
            <w:r w:rsidR="005A11FE" w:rsidRPr="00E55C16">
              <w:t>promote and protect human rights and wellbeing</w:t>
            </w:r>
          </w:p>
        </w:tc>
        <w:tc>
          <w:tcPr>
            <w:tcW w:w="1667" w:type="pct"/>
          </w:tcPr>
          <w:p w14:paraId="23ECFCA7" w14:textId="10EE4053" w:rsidR="00EA5B61" w:rsidRDefault="005A11FE">
            <w:pPr>
              <w:pStyle w:val="TableBullet"/>
              <w:numPr>
                <w:ilvl w:val="0"/>
                <w:numId w:val="4"/>
              </w:numPr>
            </w:pPr>
            <w:r>
              <w:t>P</w:t>
            </w:r>
            <w:r w:rsidRPr="00C83B1B">
              <w:t xml:space="preserve">ublished revised </w:t>
            </w:r>
            <w:hyperlink r:id="rId69" w:history="1">
              <w:r w:rsidRPr="002F5A95">
                <w:rPr>
                  <w:rStyle w:val="Hyperlink"/>
                  <w:b w:val="0"/>
                  <w:bCs/>
                  <w:color w:val="auto"/>
                </w:rPr>
                <w:t>Guidelines</w:t>
              </w:r>
            </w:hyperlink>
            <w:r w:rsidRPr="00C83B1B">
              <w:t xml:space="preserve"> to the Mental </w:t>
            </w:r>
            <w:r w:rsidR="00DC1779">
              <w:t xml:space="preserve">Health Act </w:t>
            </w:r>
            <w:r w:rsidRPr="00C83B1B">
              <w:t>to promote and protect the rights of people receiving treatment under the Act</w:t>
            </w:r>
          </w:p>
        </w:tc>
        <w:tc>
          <w:tcPr>
            <w:tcW w:w="1667" w:type="pct"/>
          </w:tcPr>
          <w:p w14:paraId="207DAB56" w14:textId="593DD061" w:rsidR="00EE6367" w:rsidRDefault="00EE6367" w:rsidP="005A11FE">
            <w:pPr>
              <w:pStyle w:val="TableBullet"/>
              <w:numPr>
                <w:ilvl w:val="0"/>
                <w:numId w:val="4"/>
              </w:numPr>
            </w:pPr>
            <w:r>
              <w:t>Support implementation of the revised Guidelines to the Mental Health Act</w:t>
            </w:r>
          </w:p>
          <w:p w14:paraId="6F1DB823" w14:textId="5F85F2B0" w:rsidR="006A49FA" w:rsidRDefault="005A11FE" w:rsidP="005A11FE">
            <w:pPr>
              <w:pStyle w:val="TableBullet"/>
              <w:numPr>
                <w:ilvl w:val="0"/>
                <w:numId w:val="4"/>
              </w:numPr>
            </w:pPr>
            <w:r>
              <w:t>P</w:t>
            </w:r>
            <w:r w:rsidRPr="006549D9">
              <w:t xml:space="preserve">rogress </w:t>
            </w:r>
            <w:r w:rsidR="006A49FA">
              <w:t xml:space="preserve">initial amendments to the Mental Health Act </w:t>
            </w:r>
            <w:r w:rsidR="0015046A">
              <w:t xml:space="preserve">to address pressing issues </w:t>
            </w:r>
            <w:r w:rsidR="006A49FA">
              <w:t xml:space="preserve">ahead of full repeal and replacement </w:t>
            </w:r>
          </w:p>
          <w:p w14:paraId="768C7219" w14:textId="79EC0A99" w:rsidR="005A11FE" w:rsidRDefault="0015046A" w:rsidP="005A11FE">
            <w:pPr>
              <w:pStyle w:val="TableBullet"/>
              <w:numPr>
                <w:ilvl w:val="0"/>
                <w:numId w:val="4"/>
              </w:numPr>
            </w:pPr>
            <w:r>
              <w:t>P</w:t>
            </w:r>
            <w:r w:rsidRPr="006549D9">
              <w:t>rogress</w:t>
            </w:r>
            <w:r>
              <w:t xml:space="preserve"> p</w:t>
            </w:r>
            <w:r w:rsidR="006A49FA">
              <w:t>olicy development and stakeholder engagement as part of the longer</w:t>
            </w:r>
            <w:r w:rsidR="00300374">
              <w:t>-</w:t>
            </w:r>
            <w:r w:rsidR="006A49FA">
              <w:t xml:space="preserve">term work to </w:t>
            </w:r>
            <w:r w:rsidR="005A11FE" w:rsidRPr="006549D9">
              <w:t>repeal and replace the Mental Health Act</w:t>
            </w:r>
            <w:r w:rsidR="009607D2">
              <w:t xml:space="preserve"> </w:t>
            </w:r>
          </w:p>
          <w:p w14:paraId="55A55F05" w14:textId="53A40485" w:rsidR="00EA5B61" w:rsidRDefault="005A11FE">
            <w:pPr>
              <w:pStyle w:val="TableBullet"/>
              <w:numPr>
                <w:ilvl w:val="0"/>
                <w:numId w:val="4"/>
              </w:numPr>
            </w:pPr>
            <w:r>
              <w:t>R</w:t>
            </w:r>
            <w:r w:rsidRPr="006549D9">
              <w:t xml:space="preserve">eview the </w:t>
            </w:r>
            <w:r w:rsidRPr="00886559">
              <w:t>Substance Abuse (Compulsory Assessment and Treatment) Act 2017</w:t>
            </w:r>
          </w:p>
        </w:tc>
      </w:tr>
    </w:tbl>
    <w:p w14:paraId="5F2A9EB5" w14:textId="77777777" w:rsidR="00822670" w:rsidRDefault="00822670">
      <w:pPr>
        <w:rPr>
          <w:color w:val="0A6AB4"/>
          <w:spacing w:val="-5"/>
          <w:sz w:val="36"/>
        </w:rPr>
      </w:pPr>
      <w:r>
        <w:br w:type="page"/>
      </w:r>
    </w:p>
    <w:p w14:paraId="523866FD" w14:textId="7DAFDFD3" w:rsidR="005565F2" w:rsidRDefault="001F7530" w:rsidP="00F14056">
      <w:pPr>
        <w:pStyle w:val="Heading3"/>
      </w:pPr>
      <w:r>
        <w:t>Investment</w:t>
      </w:r>
    </w:p>
    <w:p w14:paraId="7976E9FE" w14:textId="4E38EA5E" w:rsidR="00103B65" w:rsidRDefault="005E4F7A" w:rsidP="00103B65">
      <w:r w:rsidRPr="00125559">
        <w:t xml:space="preserve">Government investment across a range of portfolios </w:t>
      </w:r>
      <w:r w:rsidR="004874FF">
        <w:t>contributes to</w:t>
      </w:r>
      <w:r w:rsidRPr="00125559">
        <w:t xml:space="preserve"> mental wellbeing outcomes and underpins the actions throughout th</w:t>
      </w:r>
      <w:r>
        <w:t xml:space="preserve">e </w:t>
      </w:r>
      <w:r w:rsidR="00A52872">
        <w:t>f</w:t>
      </w:r>
      <w:r>
        <w:t xml:space="preserve">ocus </w:t>
      </w:r>
      <w:r w:rsidR="00A52872">
        <w:t>a</w:t>
      </w:r>
      <w:r>
        <w:t xml:space="preserve">reas in </w:t>
      </w:r>
      <w:r w:rsidR="00E1672B" w:rsidRPr="00E1672B">
        <w:rPr>
          <w:i/>
        </w:rPr>
        <w:t>Kia Kaha</w:t>
      </w:r>
      <w:r>
        <w:t xml:space="preserve">. </w:t>
      </w:r>
      <w:r w:rsidR="00103B65">
        <w:t>Investment in the social, cultural and economic foundations that contribute to mental wellbeing, such as s</w:t>
      </w:r>
      <w:r w:rsidR="00103B65" w:rsidRPr="008D67C3">
        <w:t xml:space="preserve">ocial </w:t>
      </w:r>
      <w:r w:rsidR="00103B65">
        <w:t>d</w:t>
      </w:r>
      <w:r w:rsidR="00103B65" w:rsidRPr="008D67C3">
        <w:t xml:space="preserve">evelopment, </w:t>
      </w:r>
      <w:r w:rsidR="00103B65">
        <w:t>e</w:t>
      </w:r>
      <w:r w:rsidR="00103B65" w:rsidRPr="008D67C3">
        <w:t xml:space="preserve">ducation, </w:t>
      </w:r>
      <w:r w:rsidR="00103B65">
        <w:t>housing</w:t>
      </w:r>
      <w:r w:rsidR="00103B65" w:rsidRPr="008D67C3">
        <w:t xml:space="preserve"> </w:t>
      </w:r>
      <w:r w:rsidR="00103B65">
        <w:t xml:space="preserve">and justice initiatives, will play a crucial role. </w:t>
      </w:r>
    </w:p>
    <w:p w14:paraId="5599C684" w14:textId="77777777" w:rsidR="00937CBD" w:rsidRDefault="00937CBD" w:rsidP="004874FF"/>
    <w:p w14:paraId="1C1BE455" w14:textId="285E54B0" w:rsidR="00A91331" w:rsidRDefault="00103B65" w:rsidP="002D2AAA">
      <w:pPr>
        <w:spacing w:after="120"/>
      </w:pPr>
      <w:r>
        <w:t xml:space="preserve">In </w:t>
      </w:r>
      <w:r w:rsidR="004874FF">
        <w:t>Budget 2019</w:t>
      </w:r>
      <w:r w:rsidR="00D94370">
        <w:t>,</w:t>
      </w:r>
      <w:r>
        <w:t xml:space="preserve"> </w:t>
      </w:r>
      <w:r w:rsidR="004874FF">
        <w:t xml:space="preserve">the Government committed an additional $1.9 billion over four years to support mental wellbeing </w:t>
      </w:r>
      <w:r w:rsidR="004874FF" w:rsidRPr="00156113">
        <w:rPr>
          <w:lang w:val="en-US"/>
        </w:rPr>
        <w:t>in a cross-government mental wellbeing package</w:t>
      </w:r>
      <w:r w:rsidR="004874FF">
        <w:rPr>
          <w:lang w:val="en-US"/>
        </w:rPr>
        <w:t>.</w:t>
      </w:r>
      <w:r w:rsidR="004874FF" w:rsidRPr="00156113" w:rsidDel="00156113">
        <w:t xml:space="preserve"> </w:t>
      </w:r>
      <w:bookmarkStart w:id="91" w:name="_Hlk57653250"/>
      <w:r w:rsidR="00A91331">
        <w:t>Of the $1.9 billion over four years</w:t>
      </w:r>
      <w:r w:rsidR="002D2AAA">
        <w:t>, approximately</w:t>
      </w:r>
      <w:r w:rsidR="00A91331">
        <w:t>:</w:t>
      </w:r>
    </w:p>
    <w:p w14:paraId="751360AD" w14:textId="45E3A9FF" w:rsidR="00A91331" w:rsidRDefault="00A91331" w:rsidP="002F5A95">
      <w:pPr>
        <w:pStyle w:val="Bullet"/>
      </w:pPr>
      <w:r>
        <w:t>$843 million was allocated to Votes other than Health, including Social Development, Education, Housing and Urban Development, Corrections, Police, Justice, Courts, Defence Force and Internal Affairs to support addressing the social determinants of mental wellbeing</w:t>
      </w:r>
    </w:p>
    <w:p w14:paraId="0370B7D9" w14:textId="49FD6F1B" w:rsidR="00A91331" w:rsidRDefault="00A91331" w:rsidP="002F5A95">
      <w:pPr>
        <w:pStyle w:val="Bullet"/>
      </w:pPr>
      <w:r>
        <w:t>$235 million was allocated to Vote Health for capital investment in mental health and addiction facilities</w:t>
      </w:r>
    </w:p>
    <w:p w14:paraId="1649C1FF" w14:textId="093F53B4" w:rsidR="00A91331" w:rsidRDefault="00A91331" w:rsidP="002F5A95">
      <w:pPr>
        <w:pStyle w:val="Bullet"/>
      </w:pPr>
      <w:r>
        <w:t>$213 million over four years was allocated as an uplift to district health boards’ ringfenced specialist mental health and addiction funding</w:t>
      </w:r>
      <w:r w:rsidR="00D94DE1">
        <w:t>, in response to</w:t>
      </w:r>
      <w:r>
        <w:t xml:space="preserve"> cost pressures, to maintain baseline service levels</w:t>
      </w:r>
    </w:p>
    <w:p w14:paraId="7FEDBB78" w14:textId="7835B2F4" w:rsidR="00A91331" w:rsidRDefault="00A91331" w:rsidP="002F5A95">
      <w:pPr>
        <w:pStyle w:val="Bullet"/>
      </w:pPr>
      <w:r>
        <w:t xml:space="preserve">$670 million over four years was allocated to Vote Health for mental health and addiction initiatives, including $455 million over four years to expand access and choice of primary mental health and addiction services through a five-year national rollout. </w:t>
      </w:r>
    </w:p>
    <w:p w14:paraId="5539AA62" w14:textId="77777777" w:rsidR="00D94DE1" w:rsidRDefault="00D94DE1" w:rsidP="00156113">
      <w:bookmarkStart w:id="92" w:name="_Hlk57653513"/>
      <w:bookmarkEnd w:id="91"/>
    </w:p>
    <w:p w14:paraId="2955E39B" w14:textId="17B9FD5E" w:rsidR="002D2AAA" w:rsidRDefault="002D4426" w:rsidP="00156113">
      <w:r>
        <w:t xml:space="preserve">Many actions in this plan’s focus areas </w:t>
      </w:r>
      <w:r w:rsidR="008E4051">
        <w:t>are</w:t>
      </w:r>
      <w:r>
        <w:t xml:space="preserve"> supported through this investment, while other actions </w:t>
      </w:r>
      <w:r w:rsidR="008E4051">
        <w:t>involve</w:t>
      </w:r>
      <w:r w:rsidR="002D2AAA">
        <w:t xml:space="preserve"> </w:t>
      </w:r>
      <w:r>
        <w:t>addition</w:t>
      </w:r>
      <w:r w:rsidR="002D2AAA">
        <w:t>al</w:t>
      </w:r>
      <w:r w:rsidR="008E4051">
        <w:t xml:space="preserve"> investment</w:t>
      </w:r>
      <w:r>
        <w:t xml:space="preserve">. </w:t>
      </w:r>
    </w:p>
    <w:p w14:paraId="09EA3C7A" w14:textId="77777777" w:rsidR="002D2AAA" w:rsidRDefault="002D2AAA" w:rsidP="00156113"/>
    <w:p w14:paraId="790D7BA0" w14:textId="01F9005C" w:rsidR="00156113" w:rsidRDefault="002D2AAA" w:rsidP="00156113">
      <w:r>
        <w:t>Further, t</w:t>
      </w:r>
      <w:bookmarkEnd w:id="92"/>
      <w:r w:rsidR="00156113" w:rsidRPr="00156113">
        <w:t xml:space="preserve">he Government’s COVID-19 response package included $15 million to boost the psychosocial response and recovery to mitigate the immediate and long-term psychosocial </w:t>
      </w:r>
      <w:r w:rsidR="00960190">
        <w:t>effect</w:t>
      </w:r>
      <w:r w:rsidR="00960190" w:rsidRPr="00156113">
        <w:t xml:space="preserve"> </w:t>
      </w:r>
      <w:r w:rsidR="00156113" w:rsidRPr="00156113">
        <w:t>of COVID-19.</w:t>
      </w:r>
      <w:r w:rsidR="004874FF">
        <w:t xml:space="preserve"> Much of this package</w:t>
      </w:r>
      <w:r w:rsidR="00156113">
        <w:t xml:space="preserve"> funded online and telehealth mental wellbeing resources, and campaigns tailored to specific populations. </w:t>
      </w:r>
    </w:p>
    <w:p w14:paraId="0B4CBD2D" w14:textId="1A0222FE" w:rsidR="004874FF" w:rsidRDefault="004874FF" w:rsidP="00156113"/>
    <w:p w14:paraId="35A7DF5A" w14:textId="2A40E180" w:rsidR="00480195" w:rsidRPr="00E55C16" w:rsidRDefault="00A35D9E" w:rsidP="00480195">
      <w:r>
        <w:t>T</w:t>
      </w:r>
      <w:r w:rsidR="00480195">
        <w:t xml:space="preserve">he Government’s response to </w:t>
      </w:r>
      <w:r w:rsidR="00480195">
        <w:rPr>
          <w:i/>
        </w:rPr>
        <w:t>He Ara Oranga</w:t>
      </w:r>
      <w:r w:rsidR="00750B4D">
        <w:rPr>
          <w:i/>
        </w:rPr>
        <w:t xml:space="preserve"> </w:t>
      </w:r>
      <w:r w:rsidR="00750B4D">
        <w:t xml:space="preserve">also highlighted the need to </w:t>
      </w:r>
      <w:r w:rsidR="00480195">
        <w:t>be confident that funding is going to the right people and places, and is improving all New Zealanders’ health and broader wellbeing. As part of the Government’s response, the Ministry is reviewing current funding arrangements, including the DHB mental health and addiction ringfence.</w:t>
      </w:r>
    </w:p>
    <w:p w14:paraId="4F2F84E6" w14:textId="77777777" w:rsidR="00913086" w:rsidRDefault="00913086" w:rsidP="005E4F7A">
      <w:pPr>
        <w:rPr>
          <w:i/>
        </w:rPr>
      </w:pPr>
    </w:p>
    <w:p w14:paraId="04E8DE26" w14:textId="185F2313" w:rsidR="005E4F7A" w:rsidRDefault="00103B65" w:rsidP="005E4F7A">
      <w:r>
        <w:t xml:space="preserve">The Ministry of Health and government agencies will </w:t>
      </w:r>
      <w:r w:rsidRPr="00B24947">
        <w:t xml:space="preserve">continue to roll out the programme of </w:t>
      </w:r>
      <w:r>
        <w:t xml:space="preserve">mental wellbeing </w:t>
      </w:r>
      <w:r w:rsidRPr="00B24947">
        <w:t xml:space="preserve">investment </w:t>
      </w:r>
      <w:r w:rsidR="00D94DE1">
        <w:t>begun before</w:t>
      </w:r>
      <w:r w:rsidRPr="00B24947">
        <w:t xml:space="preserve"> COVID-19</w:t>
      </w:r>
      <w:r>
        <w:t xml:space="preserve">, while supporting the recovery from and response to COVID-19. </w:t>
      </w:r>
      <w:r w:rsidR="00151D95">
        <w:t xml:space="preserve">Ongoing </w:t>
      </w:r>
      <w:r w:rsidR="005E4F7A">
        <w:t xml:space="preserve">investment </w:t>
      </w:r>
      <w:r w:rsidR="00151D95">
        <w:t xml:space="preserve">and enhancements to existing funding arrangements </w:t>
      </w:r>
      <w:r w:rsidR="005E4F7A">
        <w:t>will be critical for ensuring people in Aotearoa</w:t>
      </w:r>
      <w:r w:rsidR="00601F6E">
        <w:t xml:space="preserve"> </w:t>
      </w:r>
      <w:r w:rsidR="005E4F7A">
        <w:t xml:space="preserve">New Zealand have free and easy access to a range of mental wellbeing support that meets their needs as we recover from COVID-19. </w:t>
      </w:r>
    </w:p>
    <w:p w14:paraId="1CC8E9F9" w14:textId="4507E738" w:rsidR="002D2AAA" w:rsidRDefault="002D2AAA">
      <w:r>
        <w:br w:type="page"/>
      </w:r>
    </w:p>
    <w:p w14:paraId="5B3E2715" w14:textId="77777777" w:rsidR="005E4F7A" w:rsidRDefault="005E4F7A" w:rsidP="005E4F7A"/>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2972"/>
        <w:gridCol w:w="3257"/>
        <w:gridCol w:w="3115"/>
      </w:tblGrid>
      <w:tr w:rsidR="005E4F7A" w:rsidRPr="007D06C8" w14:paraId="033C1B00" w14:textId="77777777" w:rsidTr="00585E96">
        <w:trPr>
          <w:cantSplit/>
          <w:trHeight w:val="354"/>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51FE25F" w14:textId="77777777" w:rsidR="005E4F7A" w:rsidRPr="007D06C8" w:rsidRDefault="005E4F7A" w:rsidP="00E55C16">
            <w:pPr>
              <w:pStyle w:val="TableText"/>
              <w:rPr>
                <w:b/>
              </w:rPr>
            </w:pPr>
            <w:r>
              <w:rPr>
                <w:b/>
              </w:rPr>
              <w:t xml:space="preserve">Investment </w:t>
            </w:r>
          </w:p>
        </w:tc>
      </w:tr>
      <w:tr w:rsidR="005E4F7A" w:rsidRPr="007D06C8" w14:paraId="468EB24F" w14:textId="77777777" w:rsidTr="00E55C16">
        <w:trPr>
          <w:cantSplit/>
          <w:trHeight w:val="368"/>
        </w:trPr>
        <w:tc>
          <w:tcPr>
            <w:tcW w:w="1590" w:type="pct"/>
            <w:shd w:val="clear" w:color="auto" w:fill="auto"/>
            <w:hideMark/>
          </w:tcPr>
          <w:p w14:paraId="33E4833A" w14:textId="77777777" w:rsidR="005E4F7A" w:rsidRPr="007D06C8" w:rsidRDefault="005E4F7A" w:rsidP="00585E96">
            <w:pPr>
              <w:pStyle w:val="TableText"/>
              <w:rPr>
                <w:b/>
              </w:rPr>
            </w:pPr>
            <w:r w:rsidRPr="007D06C8">
              <w:rPr>
                <w:b/>
              </w:rPr>
              <w:t>Areas for action</w:t>
            </w:r>
          </w:p>
        </w:tc>
        <w:tc>
          <w:tcPr>
            <w:tcW w:w="1743" w:type="pct"/>
          </w:tcPr>
          <w:p w14:paraId="608B12B3" w14:textId="77777777" w:rsidR="005E4F7A" w:rsidRPr="007D06C8" w:rsidRDefault="005E4F7A" w:rsidP="00585E96">
            <w:pPr>
              <w:pStyle w:val="TableText"/>
              <w:rPr>
                <w:b/>
              </w:rPr>
            </w:pPr>
            <w:r w:rsidRPr="007D06C8">
              <w:rPr>
                <w:b/>
              </w:rPr>
              <w:t xml:space="preserve">Examples of progress </w:t>
            </w:r>
            <w:r w:rsidRPr="00BC3062">
              <w:rPr>
                <w:b/>
              </w:rPr>
              <w:t>(MoH)</w:t>
            </w:r>
          </w:p>
        </w:tc>
        <w:tc>
          <w:tcPr>
            <w:tcW w:w="1667" w:type="pct"/>
          </w:tcPr>
          <w:p w14:paraId="52594A92" w14:textId="77777777" w:rsidR="005E4F7A" w:rsidRPr="007D06C8" w:rsidRDefault="005E4F7A" w:rsidP="00585E96">
            <w:pPr>
              <w:pStyle w:val="TableText"/>
              <w:rPr>
                <w:b/>
              </w:rPr>
            </w:pPr>
            <w:r w:rsidRPr="007D06C8">
              <w:rPr>
                <w:b/>
              </w:rPr>
              <w:t>Priorities for national action</w:t>
            </w:r>
            <w:r>
              <w:rPr>
                <w:b/>
              </w:rPr>
              <w:t xml:space="preserve"> </w:t>
            </w:r>
            <w:r w:rsidRPr="00BC3062">
              <w:rPr>
                <w:b/>
              </w:rPr>
              <w:t>(MoH)</w:t>
            </w:r>
          </w:p>
        </w:tc>
      </w:tr>
      <w:tr w:rsidR="005E4F7A" w:rsidRPr="00E56E76" w14:paraId="6F27AE5F" w14:textId="77777777" w:rsidTr="00E55C16">
        <w:trPr>
          <w:cantSplit/>
          <w:trHeight w:val="3933"/>
        </w:trPr>
        <w:tc>
          <w:tcPr>
            <w:tcW w:w="1590" w:type="pct"/>
            <w:shd w:val="clear" w:color="auto" w:fill="auto"/>
          </w:tcPr>
          <w:p w14:paraId="6B5B506C" w14:textId="1BAF334C" w:rsidR="005E4F7A" w:rsidRPr="009D46A2" w:rsidRDefault="00531231" w:rsidP="00585E96">
            <w:pPr>
              <w:pStyle w:val="TableText"/>
            </w:pPr>
            <w:r>
              <w:t>Invest in</w:t>
            </w:r>
            <w:r w:rsidR="005E4F7A" w:rsidRPr="00326DF8">
              <w:t xml:space="preserve"> </w:t>
            </w:r>
            <w:r w:rsidRPr="00326DF8">
              <w:t xml:space="preserve">mental wellbeing outcomes </w:t>
            </w:r>
            <w:r w:rsidR="005E4F7A" w:rsidRPr="00326DF8">
              <w:t xml:space="preserve">across a range of portfolios </w:t>
            </w:r>
          </w:p>
        </w:tc>
        <w:tc>
          <w:tcPr>
            <w:tcW w:w="1743" w:type="pct"/>
          </w:tcPr>
          <w:p w14:paraId="29292344" w14:textId="3D03AAD8" w:rsidR="005E4F7A" w:rsidRDefault="005E4F7A" w:rsidP="00585E96">
            <w:pPr>
              <w:pStyle w:val="TableBullet"/>
              <w:numPr>
                <w:ilvl w:val="0"/>
                <w:numId w:val="0"/>
              </w:numPr>
            </w:pPr>
            <w:r>
              <w:t xml:space="preserve">Refer to the </w:t>
            </w:r>
            <w:r w:rsidR="001803D6">
              <w:rPr>
                <w:b/>
              </w:rPr>
              <w:t>f</w:t>
            </w:r>
            <w:r w:rsidRPr="00125559">
              <w:rPr>
                <w:b/>
              </w:rPr>
              <w:t xml:space="preserve">ocus </w:t>
            </w:r>
            <w:r w:rsidR="001803D6">
              <w:rPr>
                <w:b/>
              </w:rPr>
              <w:t>a</w:t>
            </w:r>
            <w:r w:rsidRPr="00125559">
              <w:rPr>
                <w:b/>
              </w:rPr>
              <w:t>reas</w:t>
            </w:r>
            <w:r>
              <w:t xml:space="preserve"> of this </w:t>
            </w:r>
            <w:r w:rsidR="00900EE1">
              <w:t>p</w:t>
            </w:r>
            <w:r>
              <w:t>lan for examples of specific actions, including investment in:</w:t>
            </w:r>
          </w:p>
          <w:p w14:paraId="2A3AAE10" w14:textId="04054EF7" w:rsidR="005E4F7A" w:rsidRDefault="00D94DE1" w:rsidP="005E4F7A">
            <w:pPr>
              <w:pStyle w:val="TableBullet"/>
              <w:numPr>
                <w:ilvl w:val="0"/>
                <w:numId w:val="4"/>
              </w:numPr>
            </w:pPr>
            <w:r>
              <w:t xml:space="preserve">mental </w:t>
            </w:r>
            <w:r w:rsidR="00900EE1">
              <w:t>health and addiction</w:t>
            </w:r>
            <w:r w:rsidR="005E4F7A">
              <w:t xml:space="preserve"> services as part of Budget 2019</w:t>
            </w:r>
          </w:p>
          <w:p w14:paraId="283464CB" w14:textId="4A4EACE6" w:rsidR="005E4F7A" w:rsidRDefault="00D94DE1" w:rsidP="005E4F7A">
            <w:pPr>
              <w:pStyle w:val="TableBullet"/>
              <w:numPr>
                <w:ilvl w:val="0"/>
                <w:numId w:val="4"/>
              </w:numPr>
            </w:pPr>
            <w:r>
              <w:t xml:space="preserve">wider </w:t>
            </w:r>
            <w:r w:rsidR="005E4F7A">
              <w:t xml:space="preserve">Government initiatives that contribute to mental wellbeing </w:t>
            </w:r>
          </w:p>
          <w:p w14:paraId="7D0B966F" w14:textId="5DBB3522" w:rsidR="005E4F7A" w:rsidRDefault="00D94DE1" w:rsidP="005E4F7A">
            <w:pPr>
              <w:pStyle w:val="TableBullet"/>
              <w:numPr>
                <w:ilvl w:val="0"/>
                <w:numId w:val="4"/>
              </w:numPr>
            </w:pPr>
            <w:r>
              <w:t xml:space="preserve">community </w:t>
            </w:r>
            <w:r w:rsidR="005E4F7A">
              <w:t>grants specific to mental health and addiction</w:t>
            </w:r>
          </w:p>
          <w:p w14:paraId="40972699" w14:textId="3D7BE7E5" w:rsidR="005E4F7A" w:rsidRDefault="00D94DE1" w:rsidP="005E4F7A">
            <w:pPr>
              <w:pStyle w:val="TableBullet"/>
              <w:numPr>
                <w:ilvl w:val="0"/>
                <w:numId w:val="4"/>
              </w:numPr>
            </w:pPr>
            <w:r>
              <w:t>o</w:t>
            </w:r>
            <w:r w:rsidRPr="00C31152">
              <w:t xml:space="preserve">nline </w:t>
            </w:r>
            <w:r w:rsidR="005E4F7A" w:rsidRPr="00C31152">
              <w:t>and telehealth mental wellbeing resources and campaigns tailored to specific populations</w:t>
            </w:r>
          </w:p>
          <w:p w14:paraId="01B0823E" w14:textId="42B65E67" w:rsidR="005E4F7A" w:rsidRDefault="00D94DE1" w:rsidP="005E4F7A">
            <w:pPr>
              <w:pStyle w:val="TableBullet"/>
              <w:numPr>
                <w:ilvl w:val="0"/>
                <w:numId w:val="4"/>
              </w:numPr>
            </w:pPr>
            <w:r>
              <w:t xml:space="preserve">wellbeing </w:t>
            </w:r>
            <w:r w:rsidR="005E4F7A">
              <w:t>support for population groups including Māori, Pacific people, rural populations, rainbow</w:t>
            </w:r>
            <w:r w:rsidR="002736FA">
              <w:t xml:space="preserve"> communities</w:t>
            </w:r>
            <w:r w:rsidR="005E4F7A">
              <w:t>, disabled people and Asian communities</w:t>
            </w:r>
          </w:p>
          <w:p w14:paraId="6B814303" w14:textId="087CA05F" w:rsidR="005E4F7A" w:rsidRDefault="00D94DE1" w:rsidP="005E4F7A">
            <w:pPr>
              <w:pStyle w:val="TableBullet"/>
              <w:numPr>
                <w:ilvl w:val="0"/>
                <w:numId w:val="4"/>
              </w:numPr>
            </w:pPr>
            <w:r>
              <w:t xml:space="preserve">supports </w:t>
            </w:r>
            <w:r w:rsidR="005E4F7A">
              <w:t>for children and young people</w:t>
            </w:r>
          </w:p>
          <w:p w14:paraId="58F4B6A9" w14:textId="27157E35" w:rsidR="005E4F7A" w:rsidRPr="007D06C8" w:rsidRDefault="00D94DE1" w:rsidP="005E4F7A">
            <w:pPr>
              <w:pStyle w:val="TableBullet"/>
              <w:numPr>
                <w:ilvl w:val="0"/>
                <w:numId w:val="4"/>
              </w:numPr>
            </w:pPr>
            <w:r>
              <w:t>s</w:t>
            </w:r>
            <w:r w:rsidRPr="00094922">
              <w:t xml:space="preserve">uicide </w:t>
            </w:r>
            <w:r w:rsidR="005E4F7A" w:rsidRPr="00094922">
              <w:t>prevention initiatives</w:t>
            </w:r>
          </w:p>
        </w:tc>
        <w:tc>
          <w:tcPr>
            <w:tcW w:w="1667" w:type="pct"/>
          </w:tcPr>
          <w:p w14:paraId="3F1069CE" w14:textId="6ED6936A" w:rsidR="005E4F7A" w:rsidRDefault="002736FA" w:rsidP="005E4F7A">
            <w:pPr>
              <w:pStyle w:val="TableBullet"/>
              <w:numPr>
                <w:ilvl w:val="0"/>
                <w:numId w:val="4"/>
              </w:numPr>
            </w:pPr>
            <w:r>
              <w:t>Continued r</w:t>
            </w:r>
            <w:r w:rsidR="005E4F7A" w:rsidRPr="00C31152">
              <w:t xml:space="preserve">ollout </w:t>
            </w:r>
            <w:r>
              <w:t xml:space="preserve">of </w:t>
            </w:r>
            <w:r w:rsidR="005E4F7A" w:rsidRPr="00C31152">
              <w:t xml:space="preserve">the programme of investment </w:t>
            </w:r>
            <w:r w:rsidR="00D94DE1">
              <w:t>begun before</w:t>
            </w:r>
            <w:r w:rsidR="005E4F7A" w:rsidRPr="00C31152">
              <w:t xml:space="preserve"> COVID-19</w:t>
            </w:r>
          </w:p>
          <w:p w14:paraId="3D592DDB" w14:textId="29EB11E3" w:rsidR="00067EB0" w:rsidRDefault="00067EB0" w:rsidP="005E4F7A">
            <w:pPr>
              <w:pStyle w:val="TableBullet"/>
              <w:numPr>
                <w:ilvl w:val="0"/>
                <w:numId w:val="4"/>
              </w:numPr>
            </w:pPr>
            <w:r>
              <w:t>Review current funding and monitoring arrangements for mental health and addiction services</w:t>
            </w:r>
            <w:r w:rsidR="00D94DE1">
              <w:t>,</w:t>
            </w:r>
            <w:r>
              <w:t xml:space="preserve"> including </w:t>
            </w:r>
            <w:r w:rsidR="00C83592">
              <w:t>the ringfence</w:t>
            </w:r>
          </w:p>
          <w:p w14:paraId="73B7D9B3" w14:textId="7CCF2D08" w:rsidR="005E4F7A" w:rsidRPr="00E56E76" w:rsidRDefault="005E4F7A" w:rsidP="005E4F7A">
            <w:pPr>
              <w:pStyle w:val="TableBullet"/>
              <w:numPr>
                <w:ilvl w:val="0"/>
                <w:numId w:val="4"/>
              </w:numPr>
            </w:pPr>
            <w:r>
              <w:t>C</w:t>
            </w:r>
            <w:r w:rsidRPr="00C31152">
              <w:t>ontinue to assess emerging investment needs due to COVID-19</w:t>
            </w:r>
            <w:r w:rsidR="001C50B8">
              <w:t xml:space="preserve"> and to further longer-term transformation</w:t>
            </w:r>
          </w:p>
        </w:tc>
      </w:tr>
    </w:tbl>
    <w:p w14:paraId="0C7128B0" w14:textId="77777777" w:rsidR="002D2AAA" w:rsidRDefault="002D2AAA">
      <w:pPr>
        <w:rPr>
          <w:color w:val="0A6AB4"/>
          <w:spacing w:val="-5"/>
          <w:sz w:val="36"/>
        </w:rPr>
      </w:pPr>
      <w:r>
        <w:br w:type="page"/>
      </w:r>
    </w:p>
    <w:p w14:paraId="47C7DAC2" w14:textId="77F4FBEA" w:rsidR="0093479B" w:rsidRPr="005565F2" w:rsidRDefault="001F7530" w:rsidP="00045991">
      <w:pPr>
        <w:pStyle w:val="Heading3"/>
      </w:pPr>
      <w:r>
        <w:t>T</w:t>
      </w:r>
      <w:r w:rsidR="0093479B">
        <w:t>echnology</w:t>
      </w:r>
    </w:p>
    <w:p w14:paraId="62699CFE" w14:textId="3651AABC" w:rsidR="002A7578" w:rsidRDefault="005E4F7A" w:rsidP="00E55C16">
      <w:r>
        <w:t>Many people in Aotearoa</w:t>
      </w:r>
      <w:r w:rsidR="00601F6E">
        <w:t xml:space="preserve"> </w:t>
      </w:r>
      <w:r w:rsidRPr="00C74E0E">
        <w:t xml:space="preserve">New Zealand have embraced digital platforms </w:t>
      </w:r>
      <w:r>
        <w:t>during COVID-19</w:t>
      </w:r>
      <w:r w:rsidRPr="00C74E0E">
        <w:t>, as demonstrated by the uptake of virtual consultations, the NZ COVID</w:t>
      </w:r>
      <w:r w:rsidR="00531231">
        <w:t>-19</w:t>
      </w:r>
      <w:r w:rsidRPr="00C74E0E">
        <w:t xml:space="preserve"> Tracer app and </w:t>
      </w:r>
      <w:r>
        <w:t xml:space="preserve">use of mental wellbeing apps. </w:t>
      </w:r>
    </w:p>
    <w:p w14:paraId="2D3B3E82" w14:textId="77777777" w:rsidR="002A7578" w:rsidRDefault="002A7578" w:rsidP="00E55C16"/>
    <w:p w14:paraId="19C9F70C" w14:textId="766A6E38" w:rsidR="005E4F7A" w:rsidRDefault="005E4F7A" w:rsidP="00E55C16">
      <w:r>
        <w:t xml:space="preserve">However, some people </w:t>
      </w:r>
      <w:r w:rsidRPr="00832567">
        <w:t xml:space="preserve">have limited access to digital technology or cannot use it. </w:t>
      </w:r>
      <w:r>
        <w:t>A priority is to ensure resources reach these people</w:t>
      </w:r>
      <w:r w:rsidR="00535D76">
        <w:t xml:space="preserve">, while also ensuring access to digitally, clinically and culturally safe mental wellbeing tools. </w:t>
      </w:r>
    </w:p>
    <w:p w14:paraId="3C473764" w14:textId="77777777" w:rsidR="00FB32B2" w:rsidRDefault="00FB32B2" w:rsidP="006E0447"/>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114"/>
        <w:gridCol w:w="3115"/>
        <w:gridCol w:w="3115"/>
      </w:tblGrid>
      <w:tr w:rsidR="005E4F7A" w:rsidRPr="007D06C8" w14:paraId="049D0106" w14:textId="77777777" w:rsidTr="005E4F7A">
        <w:trPr>
          <w:cantSplit/>
          <w:trHeight w:val="354"/>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7B70A3" w14:textId="10BC5565" w:rsidR="005E4F7A" w:rsidRPr="007D06C8" w:rsidRDefault="005E4F7A" w:rsidP="00E55C16">
            <w:pPr>
              <w:pStyle w:val="TableText"/>
              <w:rPr>
                <w:b/>
              </w:rPr>
            </w:pPr>
            <w:r>
              <w:rPr>
                <w:b/>
              </w:rPr>
              <w:t xml:space="preserve">Technology </w:t>
            </w:r>
          </w:p>
        </w:tc>
      </w:tr>
      <w:tr w:rsidR="005E4F7A" w:rsidRPr="007D06C8" w14:paraId="36308734" w14:textId="77777777" w:rsidTr="00E55C16">
        <w:trPr>
          <w:cantSplit/>
          <w:trHeight w:val="368"/>
        </w:trPr>
        <w:tc>
          <w:tcPr>
            <w:tcW w:w="1666" w:type="pct"/>
            <w:shd w:val="clear" w:color="auto" w:fill="auto"/>
          </w:tcPr>
          <w:p w14:paraId="163CF48F" w14:textId="2424AE1A" w:rsidR="005E4F7A" w:rsidRPr="007D06C8" w:rsidRDefault="005E4F7A" w:rsidP="005E4F7A">
            <w:pPr>
              <w:pStyle w:val="TableText"/>
              <w:rPr>
                <w:b/>
              </w:rPr>
            </w:pPr>
            <w:r w:rsidRPr="007D06C8">
              <w:rPr>
                <w:b/>
              </w:rPr>
              <w:t>Areas for action</w:t>
            </w:r>
          </w:p>
        </w:tc>
        <w:tc>
          <w:tcPr>
            <w:tcW w:w="1667" w:type="pct"/>
          </w:tcPr>
          <w:p w14:paraId="3B7EE053" w14:textId="5E2721B1" w:rsidR="005E4F7A" w:rsidRPr="007D06C8" w:rsidRDefault="00B10330" w:rsidP="005E4F7A">
            <w:pPr>
              <w:pStyle w:val="TableText"/>
              <w:rPr>
                <w:b/>
              </w:rPr>
            </w:pPr>
            <w:r w:rsidRPr="007D06C8">
              <w:rPr>
                <w:b/>
              </w:rPr>
              <w:t xml:space="preserve">Examples of progress </w:t>
            </w:r>
            <w:r w:rsidRPr="00BC3062">
              <w:rPr>
                <w:b/>
              </w:rPr>
              <w:t>(MoH)</w:t>
            </w:r>
          </w:p>
        </w:tc>
        <w:tc>
          <w:tcPr>
            <w:tcW w:w="1667" w:type="pct"/>
          </w:tcPr>
          <w:p w14:paraId="0D70A9D8" w14:textId="3B15D433" w:rsidR="005E4F7A" w:rsidRPr="007D06C8" w:rsidRDefault="00B10330" w:rsidP="005E4F7A">
            <w:pPr>
              <w:pStyle w:val="TableText"/>
              <w:rPr>
                <w:b/>
              </w:rPr>
            </w:pPr>
            <w:r w:rsidRPr="007D06C8">
              <w:rPr>
                <w:b/>
              </w:rPr>
              <w:t>Priorities for national action</w:t>
            </w:r>
            <w:r>
              <w:rPr>
                <w:b/>
              </w:rPr>
              <w:t xml:space="preserve"> </w:t>
            </w:r>
            <w:r w:rsidRPr="00BC3062">
              <w:rPr>
                <w:b/>
              </w:rPr>
              <w:t>(MoH)</w:t>
            </w:r>
          </w:p>
        </w:tc>
      </w:tr>
      <w:tr w:rsidR="005E4F7A" w:rsidRPr="00E56E76" w14:paraId="5A1E662B" w14:textId="77777777" w:rsidTr="00E55C16">
        <w:trPr>
          <w:cantSplit/>
          <w:trHeight w:val="1212"/>
        </w:trPr>
        <w:tc>
          <w:tcPr>
            <w:tcW w:w="1666" w:type="pct"/>
            <w:shd w:val="clear" w:color="auto" w:fill="auto"/>
          </w:tcPr>
          <w:p w14:paraId="7EBFB785" w14:textId="4AC16699" w:rsidR="005E4F7A" w:rsidRPr="009D46A2" w:rsidRDefault="00B10330" w:rsidP="005E4F7A">
            <w:pPr>
              <w:pStyle w:val="TableText"/>
            </w:pPr>
            <w:r>
              <w:t>E</w:t>
            </w:r>
            <w:r w:rsidR="005E4F7A">
              <w:t>mbrace the use of t</w:t>
            </w:r>
            <w:r w:rsidR="005E4F7A" w:rsidRPr="00326DF8">
              <w:t xml:space="preserve">echnology </w:t>
            </w:r>
            <w:r w:rsidR="005E4F7A">
              <w:t>in existing and new mental wellbeing supports</w:t>
            </w:r>
          </w:p>
        </w:tc>
        <w:tc>
          <w:tcPr>
            <w:tcW w:w="1667" w:type="pct"/>
          </w:tcPr>
          <w:p w14:paraId="1CDDEA20" w14:textId="4CE9CA88" w:rsidR="00550BF9" w:rsidRPr="00937CBD" w:rsidRDefault="00083A46" w:rsidP="005E4F7A">
            <w:pPr>
              <w:pStyle w:val="TableBullet"/>
              <w:numPr>
                <w:ilvl w:val="0"/>
                <w:numId w:val="4"/>
              </w:numPr>
            </w:pPr>
            <w:r w:rsidRPr="00937CBD">
              <w:t>Initiated a sponsored data partnership to remove mobile data charges for people accessing online essential COVID-19 information</w:t>
            </w:r>
          </w:p>
          <w:p w14:paraId="256D3549" w14:textId="2B4FBDC8" w:rsidR="00083A46" w:rsidRDefault="00550BF9" w:rsidP="005E4F7A">
            <w:pPr>
              <w:pStyle w:val="TableBullet"/>
              <w:numPr>
                <w:ilvl w:val="0"/>
                <w:numId w:val="4"/>
              </w:numPr>
            </w:pPr>
            <w:r w:rsidRPr="005A23C2">
              <w:rPr>
                <w:color w:val="000000" w:themeColor="text1"/>
              </w:rPr>
              <w:t>Developed a prototype Digital Mental Health and Addiction Framework to evaluate the clinical, digital and cultural safety of digital mental wellbeing resources</w:t>
            </w:r>
          </w:p>
          <w:p w14:paraId="038FF42A" w14:textId="38E23F72" w:rsidR="00083A46" w:rsidRDefault="00083A46" w:rsidP="005E4F7A">
            <w:pPr>
              <w:pStyle w:val="TableBullet"/>
              <w:numPr>
                <w:ilvl w:val="0"/>
                <w:numId w:val="4"/>
              </w:numPr>
            </w:pPr>
            <w:r>
              <w:t xml:space="preserve">Funded </w:t>
            </w:r>
            <w:r w:rsidRPr="0014360A">
              <w:rPr>
                <w:color w:val="000000" w:themeColor="text1"/>
              </w:rPr>
              <w:t xml:space="preserve">access to </w:t>
            </w:r>
            <w:hyperlink r:id="rId70" w:history="1">
              <w:r w:rsidRPr="0014360A">
                <w:rPr>
                  <w:rStyle w:val="Hyperlink"/>
                  <w:b w:val="0"/>
                  <w:color w:val="000000" w:themeColor="text1"/>
                </w:rPr>
                <w:t>o</w:t>
              </w:r>
              <w:r w:rsidRPr="0014360A">
                <w:rPr>
                  <w:rStyle w:val="Hyperlink"/>
                  <w:b w:val="0"/>
                  <w:color w:val="000000" w:themeColor="text1"/>
                  <w:lang w:eastAsia="en-NZ"/>
                </w:rPr>
                <w:t>nline/app-based digital mental wellbeing resources and self-help tools</w:t>
              </w:r>
            </w:hyperlink>
            <w:r>
              <w:rPr>
                <w:rStyle w:val="Hyperlink"/>
                <w:b w:val="0"/>
                <w:color w:val="000000" w:themeColor="text1"/>
                <w:lang w:eastAsia="en-NZ"/>
              </w:rPr>
              <w:t xml:space="preserve"> </w:t>
            </w:r>
            <w:r w:rsidRPr="00E55C16">
              <w:t>(</w:t>
            </w:r>
            <w:r w:rsidR="00D94DE1">
              <w:t>see</w:t>
            </w:r>
            <w:r w:rsidR="00D94DE1" w:rsidRPr="00E55C16">
              <w:t xml:space="preserve"> </w:t>
            </w:r>
            <w:r w:rsidR="001803D6" w:rsidRPr="00E55C16">
              <w:t>f</w:t>
            </w:r>
            <w:r w:rsidRPr="00E55C16">
              <w:t xml:space="preserve">ocus </w:t>
            </w:r>
            <w:r w:rsidR="001803D6" w:rsidRPr="00E55C16">
              <w:t>a</w:t>
            </w:r>
            <w:r w:rsidRPr="00E55C16">
              <w:t>rea 3)</w:t>
            </w:r>
          </w:p>
          <w:p w14:paraId="07099B0E" w14:textId="5AA8CEA8" w:rsidR="005E4F7A" w:rsidRPr="007D06C8" w:rsidRDefault="00083A46" w:rsidP="00083A46">
            <w:pPr>
              <w:pStyle w:val="TableBullet"/>
              <w:numPr>
                <w:ilvl w:val="0"/>
                <w:numId w:val="4"/>
              </w:numPr>
            </w:pPr>
            <w:r>
              <w:t>Provided guidance for the use of technology when face</w:t>
            </w:r>
            <w:r w:rsidR="00EE595F">
              <w:t>-</w:t>
            </w:r>
            <w:r>
              <w:t>to</w:t>
            </w:r>
            <w:r w:rsidR="00EE595F">
              <w:t>-</w:t>
            </w:r>
            <w:r>
              <w:t>face support is not available (</w:t>
            </w:r>
            <w:r w:rsidR="00D94DE1">
              <w:t xml:space="preserve">see </w:t>
            </w:r>
            <w:r w:rsidR="001803D6">
              <w:t>f</w:t>
            </w:r>
            <w:r>
              <w:t xml:space="preserve">ocus </w:t>
            </w:r>
            <w:r w:rsidR="001803D6">
              <w:t>a</w:t>
            </w:r>
            <w:r>
              <w:t>rea 5)</w:t>
            </w:r>
          </w:p>
        </w:tc>
        <w:tc>
          <w:tcPr>
            <w:tcW w:w="1667" w:type="pct"/>
          </w:tcPr>
          <w:p w14:paraId="1D60FE2A" w14:textId="0298EDFD" w:rsidR="00B10330" w:rsidRPr="002B1367" w:rsidRDefault="00083A46" w:rsidP="00B10330">
            <w:pPr>
              <w:pStyle w:val="TableBullet"/>
            </w:pPr>
            <w:r>
              <w:t>F</w:t>
            </w:r>
            <w:r w:rsidR="00B10330" w:rsidRPr="002B1367">
              <w:t>acilitate access to digital supports and resources</w:t>
            </w:r>
          </w:p>
          <w:p w14:paraId="2D036182" w14:textId="2F2E97D0" w:rsidR="00B10330" w:rsidRPr="002B1367" w:rsidRDefault="00083A46" w:rsidP="00B10330">
            <w:pPr>
              <w:pStyle w:val="TableBullet"/>
            </w:pPr>
            <w:r>
              <w:t>S</w:t>
            </w:r>
            <w:r w:rsidR="00B10330" w:rsidRPr="002B1367">
              <w:t>upport providers to embrace new virtual delivery mechanisms</w:t>
            </w:r>
          </w:p>
          <w:p w14:paraId="5E41FA4D" w14:textId="77777777" w:rsidR="00550BF9" w:rsidRDefault="00083A46" w:rsidP="00B10330">
            <w:pPr>
              <w:pStyle w:val="TableBullet"/>
            </w:pPr>
            <w:r>
              <w:t>U</w:t>
            </w:r>
            <w:r w:rsidR="00B10330" w:rsidRPr="002B1367">
              <w:t>tilise multiple channels to provide mental wellbeing information to diverse populations</w:t>
            </w:r>
          </w:p>
          <w:p w14:paraId="64D85414" w14:textId="2D306CF6" w:rsidR="005E4F7A" w:rsidRPr="00E56E76" w:rsidRDefault="00550BF9" w:rsidP="00B10330">
            <w:pPr>
              <w:pStyle w:val="TableBullet"/>
            </w:pPr>
            <w:r w:rsidRPr="005A23C2">
              <w:rPr>
                <w:color w:val="000000" w:themeColor="text1"/>
              </w:rPr>
              <w:t>Test and release the prototype Digital Mental Health and Addiction Framework to guide funders, providers, developers and service users when selecting digital tools</w:t>
            </w:r>
          </w:p>
        </w:tc>
      </w:tr>
    </w:tbl>
    <w:p w14:paraId="10E6A01C" w14:textId="77777777" w:rsidR="00822670" w:rsidRDefault="00822670">
      <w:pPr>
        <w:rPr>
          <w:color w:val="0A6AB4"/>
          <w:spacing w:val="-5"/>
          <w:sz w:val="36"/>
        </w:rPr>
      </w:pPr>
      <w:r>
        <w:br w:type="page"/>
      </w:r>
    </w:p>
    <w:p w14:paraId="0E3C6AAB" w14:textId="0C220A02" w:rsidR="002D08C6" w:rsidRPr="005565F2" w:rsidRDefault="002D08C6" w:rsidP="00DC3AA4">
      <w:pPr>
        <w:pStyle w:val="Heading3"/>
        <w:numPr>
          <w:ilvl w:val="0"/>
          <w:numId w:val="0"/>
        </w:numPr>
      </w:pPr>
      <w:r>
        <w:t xml:space="preserve">Leadership </w:t>
      </w:r>
    </w:p>
    <w:p w14:paraId="51B3AC0A" w14:textId="2456A562" w:rsidR="005E4F7A" w:rsidRDefault="005E4F7A" w:rsidP="00E55C16">
      <w:r>
        <w:t>Strong leadership at all levels is critical in our shared response to COVID-19. Effective communication, collaboration and guidance from leaders will help ensure responses are coordinated, mental wellbeing needs are met</w:t>
      </w:r>
      <w:r w:rsidR="00D94DE1">
        <w:t>,</w:t>
      </w:r>
      <w:r>
        <w:t xml:space="preserve"> and individuals and whānau feel supported. </w:t>
      </w:r>
    </w:p>
    <w:p w14:paraId="74DBE744" w14:textId="77777777" w:rsidR="005E4F7A" w:rsidRDefault="005E4F7A" w:rsidP="00E55C16"/>
    <w:p w14:paraId="334405F4" w14:textId="63FECDC7" w:rsidR="005E4F7A" w:rsidRDefault="005E4F7A" w:rsidP="00E55C16">
      <w:r w:rsidRPr="00CB43D9">
        <w:t xml:space="preserve">Central and local government agencies; DHBs; whānau, hapū and iwi; </w:t>
      </w:r>
      <w:r w:rsidR="003C5EAA">
        <w:t>educational institutions</w:t>
      </w:r>
      <w:r w:rsidR="00CB43D9">
        <w:t xml:space="preserve">; </w:t>
      </w:r>
      <w:r w:rsidRPr="00CB43D9">
        <w:t>community organisations; and businesses,</w:t>
      </w:r>
      <w:r w:rsidRPr="00B23717">
        <w:t xml:space="preserve"> all have </w:t>
      </w:r>
      <w:r>
        <w:t xml:space="preserve">important leaderships </w:t>
      </w:r>
      <w:r w:rsidRPr="00B23717">
        <w:t xml:space="preserve">roles in responding to </w:t>
      </w:r>
      <w:r>
        <w:t>COVID</w:t>
      </w:r>
      <w:r>
        <w:noBreakHyphen/>
        <w:t>19</w:t>
      </w:r>
      <w:r w:rsidRPr="00B23717">
        <w:t xml:space="preserve"> and supporting </w:t>
      </w:r>
      <w:r>
        <w:t xml:space="preserve">mental wellbeing – as discussed in </w:t>
      </w:r>
      <w:r w:rsidR="003E04BE" w:rsidRPr="00D179C2">
        <w:t>Appendix B</w:t>
      </w:r>
      <w:r w:rsidR="003E04BE">
        <w:t xml:space="preserve">: </w:t>
      </w:r>
      <w:r>
        <w:t xml:space="preserve">Roles and </w:t>
      </w:r>
      <w:r w:rsidR="00D94DE1">
        <w:t>responsibilities</w:t>
      </w:r>
      <w:r>
        <w:t xml:space="preserve">. </w:t>
      </w:r>
    </w:p>
    <w:p w14:paraId="53A52AFF" w14:textId="77777777" w:rsidR="005E4F7A" w:rsidRDefault="005E4F7A" w:rsidP="00E55C16"/>
    <w:p w14:paraId="026F4BD0" w14:textId="72637138" w:rsidR="005E4F7A" w:rsidRDefault="007C0815" w:rsidP="00E55C16">
      <w:pPr>
        <w:rPr>
          <w:rFonts w:eastAsia="Calibri"/>
          <w:lang w:val="fr-FR" w:eastAsia="en-NZ"/>
        </w:rPr>
      </w:pPr>
      <w:r>
        <w:t>The MSD-led Caring for Communities cross-agency network provides avenues for coordination of wellbeing actions at national and local levels. T</w:t>
      </w:r>
      <w:r w:rsidR="005E4F7A">
        <w:t xml:space="preserve">he Ministry </w:t>
      </w:r>
      <w:r>
        <w:t xml:space="preserve">of Health </w:t>
      </w:r>
      <w:r w:rsidR="005E4F7A">
        <w:t xml:space="preserve">will support sector leaders through networks </w:t>
      </w:r>
      <w:r w:rsidR="00D94DE1">
        <w:t>such as</w:t>
      </w:r>
      <w:r w:rsidR="005E4F7A">
        <w:t xml:space="preserve"> Whāriki and the DHB psychosocial coordinators.</w:t>
      </w:r>
      <w:r>
        <w:t xml:space="preserve"> </w:t>
      </w:r>
    </w:p>
    <w:p w14:paraId="09E22E2F" w14:textId="08D1E01E" w:rsidR="00720134" w:rsidRDefault="00720134" w:rsidP="00E55C16"/>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114"/>
        <w:gridCol w:w="3115"/>
        <w:gridCol w:w="3115"/>
      </w:tblGrid>
      <w:tr w:rsidR="005E4F7A" w:rsidRPr="007D06C8" w14:paraId="5A1BB086" w14:textId="77777777" w:rsidTr="00585E96">
        <w:trPr>
          <w:cantSplit/>
          <w:trHeight w:val="293"/>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18A84F7" w14:textId="77777777" w:rsidR="005E4F7A" w:rsidRPr="007D06C8" w:rsidRDefault="005E4F7A" w:rsidP="00E55C16">
            <w:pPr>
              <w:pStyle w:val="TableText"/>
              <w:rPr>
                <w:b/>
              </w:rPr>
            </w:pPr>
            <w:r>
              <w:rPr>
                <w:b/>
              </w:rPr>
              <w:t xml:space="preserve">Leadership </w:t>
            </w:r>
          </w:p>
        </w:tc>
      </w:tr>
      <w:tr w:rsidR="005E4F7A" w:rsidRPr="007D06C8" w14:paraId="2289232B" w14:textId="77777777" w:rsidTr="00E55C16">
        <w:trPr>
          <w:cantSplit/>
          <w:trHeight w:val="368"/>
        </w:trPr>
        <w:tc>
          <w:tcPr>
            <w:tcW w:w="1666" w:type="pct"/>
            <w:shd w:val="clear" w:color="auto" w:fill="auto"/>
            <w:hideMark/>
          </w:tcPr>
          <w:p w14:paraId="734FF8BE" w14:textId="77777777" w:rsidR="005E4F7A" w:rsidRPr="007D06C8" w:rsidRDefault="005E4F7A" w:rsidP="00585E96">
            <w:pPr>
              <w:pStyle w:val="TableText"/>
              <w:rPr>
                <w:b/>
              </w:rPr>
            </w:pPr>
            <w:r w:rsidRPr="007D06C8">
              <w:rPr>
                <w:b/>
              </w:rPr>
              <w:t>Areas for action</w:t>
            </w:r>
          </w:p>
        </w:tc>
        <w:tc>
          <w:tcPr>
            <w:tcW w:w="1667" w:type="pct"/>
          </w:tcPr>
          <w:p w14:paraId="5E0678B9" w14:textId="77777777" w:rsidR="005E4F7A" w:rsidRPr="007D06C8" w:rsidRDefault="005E4F7A" w:rsidP="00585E96">
            <w:pPr>
              <w:pStyle w:val="TableText"/>
              <w:rPr>
                <w:b/>
              </w:rPr>
            </w:pPr>
            <w:r w:rsidRPr="007D06C8">
              <w:rPr>
                <w:b/>
              </w:rPr>
              <w:t xml:space="preserve">Examples of progress </w:t>
            </w:r>
            <w:r w:rsidRPr="00BC3062">
              <w:rPr>
                <w:b/>
              </w:rPr>
              <w:t>(MoH)</w:t>
            </w:r>
          </w:p>
        </w:tc>
        <w:tc>
          <w:tcPr>
            <w:tcW w:w="1667" w:type="pct"/>
          </w:tcPr>
          <w:p w14:paraId="39523A08" w14:textId="77777777" w:rsidR="005E4F7A" w:rsidRPr="007D06C8" w:rsidRDefault="005E4F7A" w:rsidP="00585E96">
            <w:pPr>
              <w:pStyle w:val="TableText"/>
              <w:rPr>
                <w:b/>
              </w:rPr>
            </w:pPr>
            <w:r w:rsidRPr="007D06C8">
              <w:rPr>
                <w:b/>
              </w:rPr>
              <w:t>Priorities for national action</w:t>
            </w:r>
            <w:r>
              <w:rPr>
                <w:b/>
              </w:rPr>
              <w:t xml:space="preserve"> </w:t>
            </w:r>
            <w:r w:rsidRPr="00BC3062">
              <w:rPr>
                <w:b/>
              </w:rPr>
              <w:t>(MoH)</w:t>
            </w:r>
          </w:p>
        </w:tc>
      </w:tr>
      <w:tr w:rsidR="005E4F7A" w:rsidRPr="0006387F" w14:paraId="5F75D59F" w14:textId="77777777" w:rsidTr="00E55C16">
        <w:trPr>
          <w:cantSplit/>
          <w:trHeight w:val="1026"/>
        </w:trPr>
        <w:tc>
          <w:tcPr>
            <w:tcW w:w="1666" w:type="pct"/>
            <w:shd w:val="clear" w:color="auto" w:fill="auto"/>
          </w:tcPr>
          <w:p w14:paraId="0216EF6F" w14:textId="5F38E4B6" w:rsidR="005E4F7A" w:rsidRPr="00326DF8" w:rsidRDefault="005E4F7A" w:rsidP="00585E96">
            <w:pPr>
              <w:pStyle w:val="TableText"/>
            </w:pPr>
            <w:r>
              <w:t xml:space="preserve">Support and facilitate </w:t>
            </w:r>
            <w:r w:rsidRPr="00326DF8">
              <w:t>leadership at all levels in our shared response to COVID-19</w:t>
            </w:r>
          </w:p>
          <w:p w14:paraId="44EC1B63" w14:textId="77777777" w:rsidR="005E4F7A" w:rsidRPr="00326DF8" w:rsidRDefault="005E4F7A" w:rsidP="00585E96">
            <w:pPr>
              <w:pStyle w:val="TableBullet"/>
              <w:numPr>
                <w:ilvl w:val="0"/>
                <w:numId w:val="0"/>
              </w:numPr>
            </w:pPr>
          </w:p>
        </w:tc>
        <w:tc>
          <w:tcPr>
            <w:tcW w:w="1667" w:type="pct"/>
          </w:tcPr>
          <w:p w14:paraId="30E3894C" w14:textId="6FC1156E" w:rsidR="005E4F7A" w:rsidRDefault="003E04BE" w:rsidP="005E4F7A">
            <w:pPr>
              <w:pStyle w:val="TableBullet"/>
              <w:numPr>
                <w:ilvl w:val="0"/>
                <w:numId w:val="4"/>
              </w:numPr>
            </w:pPr>
            <w:r>
              <w:t>P</w:t>
            </w:r>
            <w:r w:rsidR="005E4F7A">
              <w:t>rovided system leadership through:</w:t>
            </w:r>
          </w:p>
          <w:p w14:paraId="2416FB68" w14:textId="35D0E1E6" w:rsidR="005E4F7A" w:rsidRDefault="00290E5B" w:rsidP="00AF08E8">
            <w:pPr>
              <w:pStyle w:val="TableBullet"/>
              <w:numPr>
                <w:ilvl w:val="0"/>
                <w:numId w:val="13"/>
              </w:numPr>
              <w:ind w:left="647" w:hanging="284"/>
            </w:pPr>
            <w:r>
              <w:t>s</w:t>
            </w:r>
            <w:r w:rsidR="005E4F7A">
              <w:t>ector guidance</w:t>
            </w:r>
          </w:p>
          <w:p w14:paraId="20B7939C" w14:textId="297707CD" w:rsidR="005E4F7A" w:rsidRDefault="00290E5B" w:rsidP="00AF08E8">
            <w:pPr>
              <w:pStyle w:val="TableBullet"/>
              <w:numPr>
                <w:ilvl w:val="0"/>
                <w:numId w:val="13"/>
              </w:numPr>
              <w:ind w:left="647" w:hanging="284"/>
            </w:pPr>
            <w:r>
              <w:t>i</w:t>
            </w:r>
            <w:r w:rsidR="005E4F7A">
              <w:t xml:space="preserve">nvestment </w:t>
            </w:r>
          </w:p>
          <w:p w14:paraId="3DA67E72" w14:textId="567315BE" w:rsidR="005E4F7A" w:rsidRDefault="00290E5B" w:rsidP="00AF08E8">
            <w:pPr>
              <w:pStyle w:val="TableBullet"/>
              <w:numPr>
                <w:ilvl w:val="0"/>
                <w:numId w:val="13"/>
              </w:numPr>
              <w:ind w:left="647" w:hanging="284"/>
            </w:pPr>
            <w:r>
              <w:t>l</w:t>
            </w:r>
            <w:r w:rsidR="005E4F7A">
              <w:t xml:space="preserve">eading the Government response to </w:t>
            </w:r>
            <w:r w:rsidR="005E4F7A" w:rsidRPr="005278F4">
              <w:rPr>
                <w:i/>
              </w:rPr>
              <w:t>He Ara Oranga</w:t>
            </w:r>
            <w:r w:rsidR="005E4F7A">
              <w:t xml:space="preserve"> and COVID-19</w:t>
            </w:r>
            <w:r>
              <w:t xml:space="preserve"> </w:t>
            </w:r>
          </w:p>
          <w:p w14:paraId="374DACC9" w14:textId="49127F9C" w:rsidR="005E4F7A" w:rsidRPr="007D06C8" w:rsidRDefault="00531231" w:rsidP="00B10330">
            <w:pPr>
              <w:pStyle w:val="TableBullet"/>
              <w:numPr>
                <w:ilvl w:val="0"/>
                <w:numId w:val="4"/>
              </w:numPr>
            </w:pPr>
            <w:r>
              <w:t xml:space="preserve">Established </w:t>
            </w:r>
            <w:r w:rsidR="00B10330" w:rsidRPr="00997801">
              <w:t>a cross</w:t>
            </w:r>
            <w:r w:rsidRPr="00997801">
              <w:t>-</w:t>
            </w:r>
            <w:r w:rsidR="00B10330" w:rsidRPr="00997801">
              <w:t xml:space="preserve">government group to ensure policy design is joined up and </w:t>
            </w:r>
            <w:r w:rsidRPr="00997801">
              <w:t>mental wellbeing</w:t>
            </w:r>
            <w:r w:rsidR="00B10330" w:rsidRPr="00997801">
              <w:t xml:space="preserve"> is addressed across government</w:t>
            </w:r>
          </w:p>
        </w:tc>
        <w:tc>
          <w:tcPr>
            <w:tcW w:w="1667" w:type="pct"/>
          </w:tcPr>
          <w:p w14:paraId="39EA7EE6" w14:textId="77777777" w:rsidR="005E4F7A" w:rsidRDefault="005E4F7A" w:rsidP="005E4F7A">
            <w:pPr>
              <w:pStyle w:val="TableBullet"/>
              <w:numPr>
                <w:ilvl w:val="0"/>
                <w:numId w:val="4"/>
              </w:numPr>
            </w:pPr>
            <w:r>
              <w:t>L</w:t>
            </w:r>
            <w:r w:rsidRPr="00626780" w:rsidDel="00A66DD4">
              <w:t xml:space="preserve">ead </w:t>
            </w:r>
            <w:r>
              <w:t xml:space="preserve">the Government’s work to transform the approach to mental health and addiction </w:t>
            </w:r>
          </w:p>
          <w:p w14:paraId="74131C43" w14:textId="77777777" w:rsidR="005E4F7A" w:rsidRDefault="005E4F7A" w:rsidP="005E4F7A">
            <w:pPr>
              <w:pStyle w:val="TableBullet"/>
              <w:numPr>
                <w:ilvl w:val="0"/>
                <w:numId w:val="4"/>
              </w:numPr>
            </w:pPr>
            <w:r>
              <w:t>S</w:t>
            </w:r>
            <w:r w:rsidRPr="00BF6BFF">
              <w:t xml:space="preserve">upport </w:t>
            </w:r>
            <w:r>
              <w:t xml:space="preserve">DHBs, </w:t>
            </w:r>
            <w:r w:rsidRPr="00BF6BFF">
              <w:t xml:space="preserve">national providers and umbrella </w:t>
            </w:r>
            <w:r>
              <w:t>community organisations</w:t>
            </w:r>
            <w:r w:rsidRPr="00BF6BFF">
              <w:t xml:space="preserve"> to provide leadership and coordination</w:t>
            </w:r>
          </w:p>
          <w:p w14:paraId="7E535F24" w14:textId="68D6E4C7" w:rsidR="005E4F7A" w:rsidRPr="00E56E76" w:rsidRDefault="005E4F7A" w:rsidP="00E55C16">
            <w:pPr>
              <w:pStyle w:val="TableBullet"/>
              <w:numPr>
                <w:ilvl w:val="0"/>
                <w:numId w:val="4"/>
              </w:numPr>
            </w:pPr>
            <w:r>
              <w:t xml:space="preserve">Engage and collaborate widely to promote mental wellbeing, </w:t>
            </w:r>
            <w:r w:rsidRPr="00997801">
              <w:t>prevent suicide and support people bereaved by suicide</w:t>
            </w:r>
            <w:r w:rsidRPr="00531231">
              <w:t>,</w:t>
            </w:r>
            <w:r>
              <w:t xml:space="preserve"> expand primary and community mental wellbeing supports, and strengthen specialist services</w:t>
            </w:r>
          </w:p>
        </w:tc>
      </w:tr>
    </w:tbl>
    <w:p w14:paraId="253D4436" w14:textId="0CB7101B" w:rsidR="00BE5B72" w:rsidRPr="00DA33FB" w:rsidRDefault="00BE5B72" w:rsidP="00DA33FB">
      <w:pPr>
        <w:rPr>
          <w:rFonts w:eastAsia="Calibri"/>
          <w:lang w:val="fr-FR" w:eastAsia="en-NZ"/>
        </w:rPr>
        <w:sectPr w:rsidR="00BE5B72" w:rsidRPr="00DA33FB" w:rsidSect="004968E3">
          <w:footerReference w:type="default" r:id="rId71"/>
          <w:endnotePr>
            <w:numFmt w:val="decimal"/>
          </w:endnotePr>
          <w:pgSz w:w="11906" w:h="16838" w:code="9"/>
          <w:pgMar w:top="1134" w:right="1134" w:bottom="1134" w:left="1134" w:header="425" w:footer="425" w:gutter="284"/>
          <w:cols w:space="720"/>
          <w:docGrid w:linePitch="286"/>
        </w:sectPr>
      </w:pPr>
    </w:p>
    <w:bookmarkStart w:id="93" w:name="_Toc50464495"/>
    <w:bookmarkStart w:id="94" w:name="_Toc59439405"/>
    <w:bookmarkStart w:id="95" w:name="_Toc40188072"/>
    <w:bookmarkEnd w:id="85"/>
    <w:p w14:paraId="2BC25342" w14:textId="43B29C87" w:rsidR="00735DD6" w:rsidRDefault="000F751F" w:rsidP="00392AF8">
      <w:pPr>
        <w:pStyle w:val="Heading1"/>
        <w:rPr>
          <w:sz w:val="68"/>
          <w:szCs w:val="68"/>
        </w:rPr>
      </w:pPr>
      <w:r w:rsidRPr="00107A79">
        <w:rPr>
          <w:noProof/>
        </w:rPr>
        <mc:AlternateContent>
          <mc:Choice Requires="wps">
            <w:drawing>
              <wp:anchor distT="0" distB="0" distL="114300" distR="114300" simplePos="0" relativeHeight="251661312" behindDoc="0" locked="0" layoutInCell="1" allowOverlap="1" wp14:anchorId="60C3FF6A" wp14:editId="6259C98F">
                <wp:simplePos x="0" y="0"/>
                <wp:positionH relativeFrom="column">
                  <wp:posOffset>60784</wp:posOffset>
                </wp:positionH>
                <wp:positionV relativeFrom="paragraph">
                  <wp:posOffset>752559</wp:posOffset>
                </wp:positionV>
                <wp:extent cx="11878310" cy="574547"/>
                <wp:effectExtent l="0" t="0" r="0" b="0"/>
                <wp:wrapNone/>
                <wp:docPr id="15" name="Rectangle 3"/>
                <wp:cNvGraphicFramePr/>
                <a:graphic xmlns:a="http://schemas.openxmlformats.org/drawingml/2006/main">
                  <a:graphicData uri="http://schemas.microsoft.com/office/word/2010/wordprocessingShape">
                    <wps:wsp>
                      <wps:cNvSpPr/>
                      <wps:spPr>
                        <a:xfrm>
                          <a:off x="0" y="0"/>
                          <a:ext cx="11878310" cy="574547"/>
                        </a:xfrm>
                        <a:prstGeom prst="rect">
                          <a:avLst/>
                        </a:prstGeom>
                      </wps:spPr>
                      <wps:txbx>
                        <w:txbxContent>
                          <w:p w14:paraId="08EA4AAD" w14:textId="77777777" w:rsidR="00023821" w:rsidRDefault="00023821" w:rsidP="00107A79">
                            <w:pPr>
                              <w:pStyle w:val="NormalWeb"/>
                              <w:spacing w:before="0" w:beforeAutospacing="0" w:after="160" w:afterAutospacing="0" w:line="256" w:lineRule="auto"/>
                            </w:pPr>
                            <w:r>
                              <w:rPr>
                                <w:rFonts w:ascii="Segoe UI" w:eastAsia="Calibri" w:hAnsi="Segoe UI" w:cs="Segoe UI"/>
                                <w:b/>
                                <w:bCs/>
                                <w:color w:val="000000" w:themeColor="text1"/>
                                <w:kern w:val="24"/>
                                <w:sz w:val="30"/>
                                <w:szCs w:val="30"/>
                              </w:rPr>
                              <w:t xml:space="preserve">Mental wellbeing during Alert Levels 2 to 4 – </w:t>
                            </w:r>
                            <w:r>
                              <w:rPr>
                                <w:rFonts w:ascii="Segoe UI" w:eastAsia="Calibri" w:hAnsi="Segoe UI" w:cs="Segoe UI"/>
                                <w:b/>
                                <w:bCs/>
                                <w:color w:val="000000" w:themeColor="text1"/>
                                <w:kern w:val="24"/>
                                <w:sz w:val="30"/>
                                <w:szCs w:val="30"/>
                                <w:lang w:val="en-US"/>
                              </w:rPr>
                              <w:t>resources and actions to support the organisations involved in our collective effort</w:t>
                            </w:r>
                            <w:r>
                              <w:rPr>
                                <w:rFonts w:ascii="Segoe UI" w:eastAsia="Calibri" w:hAnsi="Segoe UI" w:cs="Segoe UI"/>
                                <w:b/>
                                <w:bCs/>
                                <w:color w:val="000000" w:themeColor="text1"/>
                                <w:kern w:val="24"/>
                                <w:sz w:val="30"/>
                                <w:szCs w:val="30"/>
                              </w:rPr>
                              <w:t xml:space="preserve"> </w:t>
                            </w:r>
                          </w:p>
                        </w:txbxContent>
                      </wps:txbx>
                      <wps:bodyPr wrap="square">
                        <a:noAutofit/>
                      </wps:bodyPr>
                    </wps:wsp>
                  </a:graphicData>
                </a:graphic>
                <wp14:sizeRelV relativeFrom="margin">
                  <wp14:pctHeight>0</wp14:pctHeight>
                </wp14:sizeRelV>
              </wp:anchor>
            </w:drawing>
          </mc:Choice>
          <mc:Fallback>
            <w:pict>
              <v:rect w14:anchorId="60C3FF6A" id="Rectangle 3" o:spid="_x0000_s1026" style="position:absolute;margin-left:4.8pt;margin-top:59.25pt;width:935.3pt;height:45.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" filled="f" stroked="f">
                <v:textbox>
                  <w:txbxContent>
                    <w:p w14:paraId="08EA4AAD" w14:textId="77777777" w:rsidR="00023821" w:rsidRDefault="00023821" w:rsidP="00107A79">
                      <w:pPr>
                        <w:pStyle w:val="NormalWeb"/>
                        <w:spacing w:before="0" w:beforeAutospacing="0" w:after="160" w:afterAutospacing="0" w:line="256" w:lineRule="auto"/>
                      </w:pPr>
                      <w:r>
                        <w:rPr>
                          <w:rFonts w:ascii="Segoe UI" w:eastAsia="Calibri" w:hAnsi="Segoe UI" w:cs="Segoe UI"/>
                          <w:b/>
                          <w:bCs/>
                          <w:color w:val="000000" w:themeColor="text1"/>
                          <w:kern w:val="24"/>
                          <w:sz w:val="30"/>
                          <w:szCs w:val="30"/>
                        </w:rPr>
                        <w:t xml:space="preserve">Mental wellbeing during Alert Levels 2 to 4 – </w:t>
                      </w:r>
                      <w:r>
                        <w:rPr>
                          <w:rFonts w:ascii="Segoe UI" w:eastAsia="Calibri" w:hAnsi="Segoe UI" w:cs="Segoe UI"/>
                          <w:b/>
                          <w:bCs/>
                          <w:color w:val="000000" w:themeColor="text1"/>
                          <w:kern w:val="24"/>
                          <w:sz w:val="30"/>
                          <w:szCs w:val="30"/>
                          <w:lang w:val="en-US"/>
                        </w:rPr>
                        <w:t>resources and actions to support the organisations involved in our collective effort</w:t>
                      </w:r>
                      <w:r>
                        <w:rPr>
                          <w:rFonts w:ascii="Segoe UI" w:eastAsia="Calibri" w:hAnsi="Segoe UI" w:cs="Segoe UI"/>
                          <w:b/>
                          <w:bCs/>
                          <w:color w:val="000000" w:themeColor="text1"/>
                          <w:kern w:val="24"/>
                          <w:sz w:val="30"/>
                          <w:szCs w:val="30"/>
                        </w:rPr>
                        <w:t xml:space="preserve"> </w:t>
                      </w:r>
                    </w:p>
                  </w:txbxContent>
                </v:textbox>
              </v:rect>
            </w:pict>
          </mc:Fallback>
        </mc:AlternateContent>
      </w:r>
      <w:r w:rsidR="00F708BE" w:rsidRPr="00213A45">
        <w:rPr>
          <w:sz w:val="68"/>
          <w:szCs w:val="68"/>
        </w:rPr>
        <w:t xml:space="preserve"> </w:t>
      </w:r>
      <w:r w:rsidR="00A46AF5" w:rsidRPr="00213A45">
        <w:rPr>
          <w:sz w:val="68"/>
          <w:szCs w:val="68"/>
        </w:rPr>
        <w:t>Appendix A: Psychosocial guidance and resources</w:t>
      </w:r>
      <w:r w:rsidR="009A798E" w:rsidRPr="00213A45">
        <w:rPr>
          <w:sz w:val="68"/>
          <w:szCs w:val="68"/>
        </w:rPr>
        <w:t>,</w:t>
      </w:r>
      <w:r w:rsidR="007A15BB" w:rsidRPr="00213A45">
        <w:rPr>
          <w:sz w:val="68"/>
          <w:szCs w:val="68"/>
        </w:rPr>
        <w:t xml:space="preserve"> </w:t>
      </w:r>
      <w:r w:rsidR="00A46AF5" w:rsidRPr="00213A45">
        <w:rPr>
          <w:sz w:val="68"/>
          <w:szCs w:val="68"/>
        </w:rPr>
        <w:t>Alert Levels 2</w:t>
      </w:r>
      <w:r w:rsidR="00213A45" w:rsidRPr="00213A45">
        <w:rPr>
          <w:rFonts w:eastAsia="Calibri"/>
          <w:sz w:val="68"/>
          <w:szCs w:val="68"/>
          <w:u w:color="2F5496"/>
          <w:bdr w:val="nil"/>
          <w:lang w:val="fr-FR" w:eastAsia="en-NZ"/>
        </w:rPr>
        <w:t xml:space="preserve"> to </w:t>
      </w:r>
      <w:r w:rsidR="00A46AF5" w:rsidRPr="00213A45">
        <w:rPr>
          <w:sz w:val="68"/>
          <w:szCs w:val="68"/>
        </w:rPr>
        <w:t>4</w:t>
      </w:r>
      <w:bookmarkEnd w:id="93"/>
      <w:bookmarkEnd w:id="94"/>
      <w:r w:rsidR="009607D2" w:rsidRPr="00213A45">
        <w:rPr>
          <w:sz w:val="68"/>
          <w:szCs w:val="68"/>
        </w:rPr>
        <w:t xml:space="preserve"> </w:t>
      </w:r>
    </w:p>
    <w:p w14:paraId="4E7BE359" w14:textId="4DEE229C" w:rsidR="00107A79" w:rsidRDefault="00107A79" w:rsidP="00107A79"/>
    <w:p w14:paraId="4B424142" w14:textId="59B6CDEB" w:rsidR="00107A79" w:rsidRPr="00107A79" w:rsidRDefault="00107A79" w:rsidP="00107A79"/>
    <w:p w14:paraId="6C2709EF" w14:textId="7F353688" w:rsidR="00107A79" w:rsidRPr="00107A79" w:rsidRDefault="000F751F" w:rsidP="00107A79">
      <w:r w:rsidRPr="00107A79">
        <w:rPr>
          <w:noProof/>
        </w:rPr>
        <mc:AlternateContent>
          <mc:Choice Requires="wps">
            <w:drawing>
              <wp:anchor distT="0" distB="0" distL="114300" distR="114300" simplePos="0" relativeHeight="251667456" behindDoc="0" locked="0" layoutInCell="1" allowOverlap="1" wp14:anchorId="5B60A0B9" wp14:editId="307D0FE0">
                <wp:simplePos x="0" y="0"/>
                <wp:positionH relativeFrom="column">
                  <wp:posOffset>140067</wp:posOffset>
                </wp:positionH>
                <wp:positionV relativeFrom="paragraph">
                  <wp:posOffset>65368</wp:posOffset>
                </wp:positionV>
                <wp:extent cx="12556248" cy="100591"/>
                <wp:effectExtent l="0" t="0" r="0" b="0"/>
                <wp:wrapNone/>
                <wp:docPr id="5" name="Rectangle 4">
                  <a:extLst xmlns:a="http://schemas.openxmlformats.org/drawingml/2006/main">
                    <a:ext uri="{FF2B5EF4-FFF2-40B4-BE49-F238E27FC236}">
                      <a16:creationId xmlns:a16="http://schemas.microsoft.com/office/drawing/2014/main" id="{CAE6BEB6-D966-43A7-B48E-8C1C4E2335F6}"/>
                    </a:ext>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2556248" cy="100591"/>
                        </a:xfrm>
                        <a:prstGeom prst="rect">
                          <a:avLst/>
                        </a:prstGeom>
                        <a:solidFill>
                          <a:srgbClr val="FFC000"/>
                        </a:solidFill>
                        <a:ln>
                          <a:noFill/>
                        </a:ln>
                      </wps:spPr>
                      <wps:style>
                        <a:lnRef idx="2">
                          <a:schemeClr val="accent4">
                            <a:shade val="50000"/>
                          </a:schemeClr>
                        </a:lnRef>
                        <a:fillRef idx="1">
                          <a:schemeClr val="accent4"/>
                        </a:fillRef>
                        <a:effectRef idx="0">
                          <a:schemeClr val="accent4"/>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4D5FADA8" id="Rectangle 4" o:spid="_x0000_s1026" style="position:absolute;margin-left:11.05pt;margin-top:5.15pt;width:988.7pt;height:7.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" fillcolor="#ffc000" stroked="f" strokeweight="2pt"/>
            </w:pict>
          </mc:Fallback>
        </mc:AlternateContent>
      </w:r>
      <w:r w:rsidR="00A07348" w:rsidRPr="00107A79">
        <w:rPr>
          <w:noProof/>
        </w:rPr>
        <mc:AlternateContent>
          <mc:Choice Requires="wps">
            <w:drawing>
              <wp:anchor distT="0" distB="0" distL="114300" distR="114300" simplePos="0" relativeHeight="251665408" behindDoc="0" locked="0" layoutInCell="1" allowOverlap="1" wp14:anchorId="68A335CD" wp14:editId="0510786A">
                <wp:simplePos x="0" y="0"/>
                <wp:positionH relativeFrom="column">
                  <wp:posOffset>330542</wp:posOffset>
                </wp:positionH>
                <wp:positionV relativeFrom="paragraph">
                  <wp:posOffset>168910</wp:posOffset>
                </wp:positionV>
                <wp:extent cx="1364566" cy="334254"/>
                <wp:effectExtent l="0" t="0" r="7620" b="8890"/>
                <wp:wrapNone/>
                <wp:docPr id="23" name="Rectangle 22">
                  <a:extLst xmlns:a="http://schemas.openxmlformats.org/drawingml/2006/main">
                    <a:ext uri="{FF2B5EF4-FFF2-40B4-BE49-F238E27FC236}">
                      <a16:creationId xmlns:a16="http://schemas.microsoft.com/office/drawing/2014/main" id="{0FE2667E-A739-450D-903E-E6EFD1A4133F}"/>
                    </a:ext>
                  </a:extLst>
                </wp:docPr>
                <wp:cNvGraphicFramePr/>
                <a:graphic xmlns:a="http://schemas.openxmlformats.org/drawingml/2006/main">
                  <a:graphicData uri="http://schemas.microsoft.com/office/word/2010/wordprocessingShape">
                    <wps:wsp>
                      <wps:cNvSpPr/>
                      <wps:spPr>
                        <a:xfrm>
                          <a:off x="0" y="0"/>
                          <a:ext cx="1364566" cy="334254"/>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55A971F" w14:textId="77777777" w:rsidR="00023821" w:rsidRDefault="00023821" w:rsidP="00107A79">
                            <w:pPr>
                              <w:pStyle w:val="NormalWeb"/>
                              <w:spacing w:before="0" w:beforeAutospacing="0" w:after="160" w:afterAutospacing="0"/>
                              <w:jc w:val="center"/>
                            </w:pPr>
                            <w:r>
                              <w:rPr>
                                <w:rFonts w:ascii="Segoe UI Semibold" w:hAnsi="Segoe UI Semibold" w:cs="Segoe UI Semibold"/>
                                <w:color w:val="000000" w:themeColor="text1"/>
                                <w:kern w:val="24"/>
                              </w:rPr>
                              <w:t>Key messages</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68A335CD" id="Rectangle 22" o:spid="_x0000_s1027" style="position:absolute;margin-left:26.05pt;margin-top:13.3pt;width:107.45pt;height:26.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" fillcolor="white [3212]" stroked="f" strokeweight="2pt">
                <v:textbox>
                  <w:txbxContent>
                    <w:p w14:paraId="155A971F" w14:textId="77777777" w:rsidR="00023821" w:rsidRDefault="00023821" w:rsidP="00107A79">
                      <w:pPr>
                        <w:pStyle w:val="NormalWeb"/>
                        <w:spacing w:before="0" w:beforeAutospacing="0" w:after="160" w:afterAutospacing="0"/>
                        <w:jc w:val="center"/>
                      </w:pPr>
                      <w:r>
                        <w:rPr>
                          <w:rFonts w:ascii="Segoe UI Semibold" w:hAnsi="Segoe UI Semibold" w:cs="Segoe UI Semibold"/>
                          <w:color w:val="000000" w:themeColor="text1"/>
                          <w:kern w:val="24"/>
                        </w:rPr>
                        <w:t>Key messages</w:t>
                      </w:r>
                    </w:p>
                  </w:txbxContent>
                </v:textbox>
              </v:rect>
            </w:pict>
          </mc:Fallback>
        </mc:AlternateContent>
      </w:r>
      <w:r w:rsidR="00A07348" w:rsidRPr="00A07348">
        <w:rPr>
          <w:noProof/>
        </w:rPr>
        <mc:AlternateContent>
          <mc:Choice Requires="wps">
            <w:drawing>
              <wp:anchor distT="0" distB="0" distL="114300" distR="114300" simplePos="0" relativeHeight="251704320" behindDoc="0" locked="0" layoutInCell="1" allowOverlap="1" wp14:anchorId="5C2C41DC" wp14:editId="4E32BB1F">
                <wp:simplePos x="0" y="0"/>
                <wp:positionH relativeFrom="column">
                  <wp:posOffset>3913164</wp:posOffset>
                </wp:positionH>
                <wp:positionV relativeFrom="paragraph">
                  <wp:posOffset>169643</wp:posOffset>
                </wp:positionV>
                <wp:extent cx="2592998" cy="334010"/>
                <wp:effectExtent l="0" t="0" r="0" b="8890"/>
                <wp:wrapNone/>
                <wp:docPr id="20" name="Rectangle 19">
                  <a:extLst xmlns:a="http://schemas.openxmlformats.org/drawingml/2006/main">
                    <a:ext uri="{FF2B5EF4-FFF2-40B4-BE49-F238E27FC236}">
                      <a16:creationId xmlns:a16="http://schemas.microsoft.com/office/drawing/2014/main" id="{C8A605A0-3161-4BC1-86FA-DC49C2AF93A0}"/>
                    </a:ext>
                  </a:extLst>
                </wp:docPr>
                <wp:cNvGraphicFramePr/>
                <a:graphic xmlns:a="http://schemas.openxmlformats.org/drawingml/2006/main">
                  <a:graphicData uri="http://schemas.microsoft.com/office/word/2010/wordprocessingShape">
                    <wps:wsp>
                      <wps:cNvSpPr/>
                      <wps:spPr>
                        <a:xfrm>
                          <a:off x="0" y="0"/>
                          <a:ext cx="2592998" cy="33401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9B9EE4A" w14:textId="77777777" w:rsidR="00023821" w:rsidRDefault="00023821" w:rsidP="00A07348">
                            <w:pPr>
                              <w:pStyle w:val="NormalWeb"/>
                              <w:spacing w:before="0" w:beforeAutospacing="0" w:after="160" w:afterAutospacing="0"/>
                              <w:jc w:val="center"/>
                            </w:pPr>
                            <w:r>
                              <w:rPr>
                                <w:rFonts w:ascii="Segoe UI Semibold" w:hAnsi="Segoe UI Semibold" w:cs="Segoe UI Semibold"/>
                                <w:color w:val="000000" w:themeColor="text1"/>
                                <w:kern w:val="24"/>
                                <w:lang w:val="en-US"/>
                              </w:rPr>
                              <w:t>Roles to support mental wellbeing</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5C2C41DC" id="Rectangle 19" o:spid="_x0000_s1028" style="position:absolute;margin-left:308.1pt;margin-top:13.35pt;width:204.15pt;height:26.3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" fillcolor="white [3212]" stroked="f" strokeweight="2pt">
                <v:textbox>
                  <w:txbxContent>
                    <w:p w14:paraId="69B9EE4A" w14:textId="77777777" w:rsidR="00023821" w:rsidRDefault="00023821" w:rsidP="00A07348">
                      <w:pPr>
                        <w:pStyle w:val="NormalWeb"/>
                        <w:spacing w:before="0" w:beforeAutospacing="0" w:after="160" w:afterAutospacing="0"/>
                        <w:jc w:val="center"/>
                      </w:pPr>
                      <w:r>
                        <w:rPr>
                          <w:rFonts w:ascii="Segoe UI Semibold" w:hAnsi="Segoe UI Semibold" w:cs="Segoe UI Semibold"/>
                          <w:color w:val="000000" w:themeColor="text1"/>
                          <w:kern w:val="24"/>
                          <w:lang w:val="en-US"/>
                        </w:rPr>
                        <w:t>Roles to support mental wellbeing</w:t>
                      </w:r>
                    </w:p>
                  </w:txbxContent>
                </v:textbox>
              </v:rect>
            </w:pict>
          </mc:Fallback>
        </mc:AlternateContent>
      </w:r>
    </w:p>
    <w:p w14:paraId="196FF69B" w14:textId="5BEB454D" w:rsidR="00FE336A" w:rsidRDefault="00AF08E8" w:rsidP="00392AF8">
      <w:pPr>
        <w:pStyle w:val="Bullet"/>
        <w:numPr>
          <w:ilvl w:val="0"/>
          <w:numId w:val="0"/>
        </w:numPr>
      </w:pPr>
      <w:r w:rsidRPr="00A07348">
        <w:rPr>
          <w:noProof/>
        </w:rPr>
        <mc:AlternateContent>
          <mc:Choice Requires="wps">
            <w:drawing>
              <wp:anchor distT="0" distB="0" distL="114300" distR="114300" simplePos="0" relativeHeight="251687936" behindDoc="0" locked="0" layoutInCell="1" allowOverlap="1" wp14:anchorId="0172AA6A" wp14:editId="118046F7">
                <wp:simplePos x="0" y="0"/>
                <wp:positionH relativeFrom="column">
                  <wp:posOffset>2830411</wp:posOffset>
                </wp:positionH>
                <wp:positionV relativeFrom="paragraph">
                  <wp:posOffset>3799510</wp:posOffset>
                </wp:positionV>
                <wp:extent cx="2278071" cy="2653030"/>
                <wp:effectExtent l="0" t="0" r="0" b="0"/>
                <wp:wrapNone/>
                <wp:docPr id="10" name="Rectangle 9">
                  <a:extLst xmlns:a="http://schemas.openxmlformats.org/drawingml/2006/main">
                    <a:ext uri="{FF2B5EF4-FFF2-40B4-BE49-F238E27FC236}">
                      <a16:creationId xmlns:a16="http://schemas.microsoft.com/office/drawing/2014/main" id="{5F08EC24-F007-4DE1-97FC-2CCAFEE311D7}"/>
                    </a:ext>
                  </a:extLst>
                </wp:docPr>
                <wp:cNvGraphicFramePr/>
                <a:graphic xmlns:a="http://schemas.openxmlformats.org/drawingml/2006/main">
                  <a:graphicData uri="http://schemas.microsoft.com/office/word/2010/wordprocessingShape">
                    <wps:wsp>
                      <wps:cNvSpPr/>
                      <wps:spPr>
                        <a:xfrm>
                          <a:off x="0" y="0"/>
                          <a:ext cx="2278071" cy="2653030"/>
                        </a:xfrm>
                        <a:prstGeom prst="rect">
                          <a:avLst/>
                        </a:prstGeom>
                      </wps:spPr>
                      <wps:txbx>
                        <w:txbxContent>
                          <w:p w14:paraId="01076DED" w14:textId="77777777" w:rsidR="00023821" w:rsidRPr="000F751F" w:rsidRDefault="00023821" w:rsidP="00AF08E8">
                            <w:pPr>
                              <w:pStyle w:val="ListParagraph"/>
                              <w:numPr>
                                <w:ilvl w:val="0"/>
                                <w:numId w:val="16"/>
                              </w:numPr>
                              <w:tabs>
                                <w:tab w:val="clear" w:pos="720"/>
                                <w:tab w:val="num" w:pos="851"/>
                              </w:tabs>
                              <w:spacing w:after="0" w:line="252" w:lineRule="auto"/>
                              <w:ind w:left="284" w:hanging="284"/>
                              <w:rPr>
                                <w:rFonts w:ascii="Segoe UI" w:eastAsia="Times New Roman" w:hAnsi="Segoe UI" w:cs="Segoe UI"/>
                                <w:sz w:val="18"/>
                                <w:szCs w:val="18"/>
                              </w:rPr>
                            </w:pPr>
                            <w:r w:rsidRPr="000F751F">
                              <w:rPr>
                                <w:rFonts w:ascii="Segoe UI" w:eastAsia="Times New Roman" w:hAnsi="Segoe UI" w:cs="Segoe UI"/>
                                <w:sz w:val="18"/>
                                <w:szCs w:val="18"/>
                              </w:rPr>
                              <w:t>Health Care NZ 0800 820 080: free counselling for frontline health care professionals and care workers</w:t>
                            </w:r>
                          </w:p>
                          <w:p w14:paraId="1510CDFE" w14:textId="77777777" w:rsidR="00023821" w:rsidRPr="000F751F" w:rsidRDefault="00023821" w:rsidP="00AF08E8">
                            <w:pPr>
                              <w:pStyle w:val="ListParagraph"/>
                              <w:numPr>
                                <w:ilvl w:val="0"/>
                                <w:numId w:val="16"/>
                              </w:numPr>
                              <w:tabs>
                                <w:tab w:val="clear" w:pos="720"/>
                                <w:tab w:val="num" w:pos="851"/>
                              </w:tabs>
                              <w:spacing w:after="0" w:line="252" w:lineRule="auto"/>
                              <w:ind w:left="284" w:hanging="284"/>
                              <w:rPr>
                                <w:rFonts w:ascii="Segoe UI" w:eastAsia="Times New Roman" w:hAnsi="Segoe UI" w:cs="Segoe UI"/>
                                <w:sz w:val="18"/>
                                <w:szCs w:val="18"/>
                              </w:rPr>
                            </w:pPr>
                            <w:r w:rsidRPr="000F751F">
                              <w:rPr>
                                <w:rFonts w:ascii="Segoe UI" w:eastAsia="Times New Roman" w:hAnsi="Segoe UI" w:cs="Segoe UI"/>
                                <w:sz w:val="18"/>
                                <w:szCs w:val="18"/>
                              </w:rPr>
                              <w:t xml:space="preserve">The Mental Health Foundation and All Right? </w:t>
                            </w:r>
                            <w:hyperlink r:id="rId72" w:history="1">
                              <w:r w:rsidRPr="000F751F">
                                <w:rPr>
                                  <w:rFonts w:ascii="Segoe UI" w:eastAsia="Times New Roman" w:hAnsi="Segoe UI" w:cs="Segoe UI"/>
                                  <w:sz w:val="18"/>
                                  <w:szCs w:val="18"/>
                                  <w:u w:val="single"/>
                                </w:rPr>
                                <w:t>Workplace wellbeing during COVID-19</w:t>
                              </w:r>
                            </w:hyperlink>
                            <w:r w:rsidRPr="000F751F">
                              <w:rPr>
                                <w:rFonts w:ascii="Segoe UI" w:eastAsia="Times New Roman" w:hAnsi="Segoe UI" w:cs="Segoe UI"/>
                                <w:sz w:val="18"/>
                                <w:szCs w:val="18"/>
                              </w:rPr>
                              <w:t xml:space="preserve">, including a guide for leaders and wellbeing tips for healthcare workers </w:t>
                            </w:r>
                          </w:p>
                          <w:p w14:paraId="40BB3D8A" w14:textId="77777777" w:rsidR="00023821" w:rsidRPr="000F751F" w:rsidRDefault="00023821" w:rsidP="00AF08E8">
                            <w:pPr>
                              <w:pStyle w:val="ListParagraph"/>
                              <w:numPr>
                                <w:ilvl w:val="0"/>
                                <w:numId w:val="16"/>
                              </w:numPr>
                              <w:tabs>
                                <w:tab w:val="clear" w:pos="720"/>
                                <w:tab w:val="num" w:pos="851"/>
                              </w:tabs>
                              <w:spacing w:after="0" w:line="252" w:lineRule="auto"/>
                              <w:ind w:left="284" w:hanging="284"/>
                              <w:rPr>
                                <w:rFonts w:ascii="Segoe UI" w:eastAsia="Times New Roman" w:hAnsi="Segoe UI" w:cs="Segoe UI"/>
                                <w:sz w:val="18"/>
                                <w:szCs w:val="18"/>
                              </w:rPr>
                            </w:pPr>
                            <w:r w:rsidRPr="000F751F">
                              <w:rPr>
                                <w:rFonts w:ascii="Segoe UI" w:eastAsia="Times New Roman" w:hAnsi="Segoe UI" w:cs="Segoe UI"/>
                                <w:sz w:val="18"/>
                                <w:szCs w:val="18"/>
                              </w:rPr>
                              <w:t xml:space="preserve">Te Pou </w:t>
                            </w:r>
                            <w:hyperlink r:id="rId73" w:history="1">
                              <w:r w:rsidRPr="00CF3326">
                                <w:rPr>
                                  <w:rFonts w:ascii="Segoe UI" w:eastAsia="Times New Roman" w:hAnsi="Segoe UI" w:cs="Segoe UI"/>
                                  <w:sz w:val="18"/>
                                  <w:szCs w:val="18"/>
                                  <w:u w:val="single"/>
                                </w:rPr>
                                <w:t>resources</w:t>
                              </w:r>
                            </w:hyperlink>
                            <w:r w:rsidRPr="000F751F">
                              <w:rPr>
                                <w:rFonts w:ascii="Segoe UI" w:eastAsia="Times New Roman" w:hAnsi="Segoe UI" w:cs="Segoe UI"/>
                                <w:sz w:val="18"/>
                                <w:szCs w:val="18"/>
                              </w:rPr>
                              <w:t xml:space="preserve"> for professionals and services </w:t>
                            </w:r>
                          </w:p>
                          <w:p w14:paraId="6A349D90" w14:textId="0788F3ED" w:rsidR="00023821" w:rsidRPr="000F751F" w:rsidRDefault="00023821" w:rsidP="00AF08E8">
                            <w:pPr>
                              <w:pStyle w:val="ListParagraph"/>
                              <w:numPr>
                                <w:ilvl w:val="0"/>
                                <w:numId w:val="16"/>
                              </w:numPr>
                              <w:tabs>
                                <w:tab w:val="clear" w:pos="720"/>
                                <w:tab w:val="num" w:pos="851"/>
                              </w:tabs>
                              <w:spacing w:after="0" w:line="252" w:lineRule="auto"/>
                              <w:ind w:left="284" w:hanging="284"/>
                              <w:rPr>
                                <w:rFonts w:ascii="Segoe UI" w:eastAsia="Times New Roman" w:hAnsi="Segoe UI" w:cs="Segoe UI"/>
                                <w:sz w:val="18"/>
                                <w:szCs w:val="18"/>
                              </w:rPr>
                            </w:pPr>
                            <w:r w:rsidRPr="000F751F">
                              <w:rPr>
                                <w:rFonts w:ascii="Segoe UI" w:eastAsia="Times New Roman" w:hAnsi="Segoe UI" w:cs="Segoe UI"/>
                                <w:sz w:val="18"/>
                                <w:szCs w:val="18"/>
                              </w:rPr>
                              <w:t xml:space="preserve">The </w:t>
                            </w:r>
                            <w:hyperlink r:id="rId74" w:history="1">
                              <w:r w:rsidRPr="000F751F">
                                <w:rPr>
                                  <w:rFonts w:ascii="Segoe UI" w:eastAsia="Times New Roman" w:hAnsi="Segoe UI" w:cs="Segoe UI"/>
                                  <w:sz w:val="18"/>
                                  <w:szCs w:val="18"/>
                                  <w:u w:val="single"/>
                                </w:rPr>
                                <w:t xml:space="preserve">Ministry </w:t>
                              </w:r>
                              <w:r>
                                <w:rPr>
                                  <w:rFonts w:ascii="Segoe UI" w:eastAsia="Times New Roman" w:hAnsi="Segoe UI" w:cs="Segoe UI"/>
                                  <w:sz w:val="18"/>
                                  <w:szCs w:val="18"/>
                                  <w:u w:val="single"/>
                                </w:rPr>
                                <w:t>of</w:t>
                              </w:r>
                              <w:r w:rsidRPr="000F751F">
                                <w:rPr>
                                  <w:rFonts w:ascii="Segoe UI" w:eastAsia="Times New Roman" w:hAnsi="Segoe UI" w:cs="Segoe UI"/>
                                  <w:sz w:val="18"/>
                                  <w:szCs w:val="18"/>
                                  <w:u w:val="single"/>
                                </w:rPr>
                                <w:t xml:space="preserve"> Social Development</w:t>
                              </w:r>
                            </w:hyperlink>
                            <w:r w:rsidRPr="000F751F">
                              <w:rPr>
                                <w:rFonts w:ascii="Segoe UI" w:eastAsia="Times New Roman" w:hAnsi="Segoe UI" w:cs="Segoe UI"/>
                                <w:sz w:val="18"/>
                                <w:szCs w:val="18"/>
                                <w:u w:val="single"/>
                              </w:rPr>
                              <w:t xml:space="preserve"> </w:t>
                            </w:r>
                            <w:r w:rsidRPr="000F751F">
                              <w:rPr>
                                <w:rFonts w:ascii="Segoe UI" w:eastAsia="Times New Roman" w:hAnsi="Segoe UI" w:cs="Segoe UI"/>
                                <w:sz w:val="18"/>
                                <w:szCs w:val="18"/>
                              </w:rPr>
                              <w:t>information for employers and social service providers</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0172AA6A" id="Rectangle 9" o:spid="_x0000_s1029" style="position:absolute;margin-left:222.85pt;margin-top:299.15pt;width:179.4pt;height:208.9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" filled="f" stroked="f">
                <v:textbox>
                  <w:txbxContent>
                    <w:p w14:paraId="01076DED" w14:textId="77777777" w:rsidR="00023821" w:rsidRPr="000F751F" w:rsidRDefault="00023821" w:rsidP="00AF08E8">
                      <w:pPr>
                        <w:pStyle w:val="ListParagraph"/>
                        <w:numPr>
                          <w:ilvl w:val="0"/>
                          <w:numId w:val="16"/>
                        </w:numPr>
                        <w:tabs>
                          <w:tab w:val="clear" w:pos="720"/>
                          <w:tab w:val="num" w:pos="851"/>
                        </w:tabs>
                        <w:spacing w:after="0" w:line="252" w:lineRule="auto"/>
                        <w:ind w:left="284" w:hanging="284"/>
                        <w:rPr>
                          <w:rFonts w:ascii="Segoe UI" w:eastAsia="Times New Roman" w:hAnsi="Segoe UI" w:cs="Segoe UI"/>
                          <w:sz w:val="18"/>
                          <w:szCs w:val="18"/>
                        </w:rPr>
                      </w:pPr>
                      <w:r w:rsidRPr="000F751F">
                        <w:rPr>
                          <w:rFonts w:ascii="Segoe UI" w:eastAsia="Times New Roman" w:hAnsi="Segoe UI" w:cs="Segoe UI"/>
                          <w:sz w:val="18"/>
                          <w:szCs w:val="18"/>
                        </w:rPr>
                        <w:t>Health Care NZ 0800 820 080: free counselling for frontline health care professionals and care workers</w:t>
                      </w:r>
                    </w:p>
                    <w:p w14:paraId="1510CDFE" w14:textId="77777777" w:rsidR="00023821" w:rsidRPr="000F751F" w:rsidRDefault="00023821" w:rsidP="00AF08E8">
                      <w:pPr>
                        <w:pStyle w:val="ListParagraph"/>
                        <w:numPr>
                          <w:ilvl w:val="0"/>
                          <w:numId w:val="16"/>
                        </w:numPr>
                        <w:tabs>
                          <w:tab w:val="clear" w:pos="720"/>
                          <w:tab w:val="num" w:pos="851"/>
                        </w:tabs>
                        <w:spacing w:after="0" w:line="252" w:lineRule="auto"/>
                        <w:ind w:left="284" w:hanging="284"/>
                        <w:rPr>
                          <w:rFonts w:ascii="Segoe UI" w:eastAsia="Times New Roman" w:hAnsi="Segoe UI" w:cs="Segoe UI"/>
                          <w:sz w:val="18"/>
                          <w:szCs w:val="18"/>
                        </w:rPr>
                      </w:pPr>
                      <w:r w:rsidRPr="000F751F">
                        <w:rPr>
                          <w:rFonts w:ascii="Segoe UI" w:eastAsia="Times New Roman" w:hAnsi="Segoe UI" w:cs="Segoe UI"/>
                          <w:sz w:val="18"/>
                          <w:szCs w:val="18"/>
                        </w:rPr>
                        <w:t xml:space="preserve">The Mental Health Foundation and All Right? </w:t>
                      </w:r>
                      <w:hyperlink r:id="rId75" w:history="1">
                        <w:r w:rsidRPr="000F751F">
                          <w:rPr>
                            <w:rFonts w:ascii="Segoe UI" w:eastAsia="Times New Roman" w:hAnsi="Segoe UI" w:cs="Segoe UI"/>
                            <w:sz w:val="18"/>
                            <w:szCs w:val="18"/>
                            <w:u w:val="single"/>
                          </w:rPr>
                          <w:t>Workplace wellbeing during COVID-19</w:t>
                        </w:r>
                      </w:hyperlink>
                      <w:r w:rsidRPr="000F751F">
                        <w:rPr>
                          <w:rFonts w:ascii="Segoe UI" w:eastAsia="Times New Roman" w:hAnsi="Segoe UI" w:cs="Segoe UI"/>
                          <w:sz w:val="18"/>
                          <w:szCs w:val="18"/>
                        </w:rPr>
                        <w:t xml:space="preserve">, including a guide for leaders and wellbeing tips for healthcare workers </w:t>
                      </w:r>
                    </w:p>
                    <w:p w14:paraId="40BB3D8A" w14:textId="77777777" w:rsidR="00023821" w:rsidRPr="000F751F" w:rsidRDefault="00023821" w:rsidP="00AF08E8">
                      <w:pPr>
                        <w:pStyle w:val="ListParagraph"/>
                        <w:numPr>
                          <w:ilvl w:val="0"/>
                          <w:numId w:val="16"/>
                        </w:numPr>
                        <w:tabs>
                          <w:tab w:val="clear" w:pos="720"/>
                          <w:tab w:val="num" w:pos="851"/>
                        </w:tabs>
                        <w:spacing w:after="0" w:line="252" w:lineRule="auto"/>
                        <w:ind w:left="284" w:hanging="284"/>
                        <w:rPr>
                          <w:rFonts w:ascii="Segoe UI" w:eastAsia="Times New Roman" w:hAnsi="Segoe UI" w:cs="Segoe UI"/>
                          <w:sz w:val="18"/>
                          <w:szCs w:val="18"/>
                        </w:rPr>
                      </w:pPr>
                      <w:r w:rsidRPr="000F751F">
                        <w:rPr>
                          <w:rFonts w:ascii="Segoe UI" w:eastAsia="Times New Roman" w:hAnsi="Segoe UI" w:cs="Segoe UI"/>
                          <w:sz w:val="18"/>
                          <w:szCs w:val="18"/>
                        </w:rPr>
                        <w:t xml:space="preserve">Te Pou </w:t>
                      </w:r>
                      <w:hyperlink r:id="rId76" w:history="1">
                        <w:r w:rsidRPr="00CF3326">
                          <w:rPr>
                            <w:rFonts w:ascii="Segoe UI" w:eastAsia="Times New Roman" w:hAnsi="Segoe UI" w:cs="Segoe UI"/>
                            <w:sz w:val="18"/>
                            <w:szCs w:val="18"/>
                            <w:u w:val="single"/>
                          </w:rPr>
                          <w:t>resources</w:t>
                        </w:r>
                      </w:hyperlink>
                      <w:r w:rsidRPr="000F751F">
                        <w:rPr>
                          <w:rFonts w:ascii="Segoe UI" w:eastAsia="Times New Roman" w:hAnsi="Segoe UI" w:cs="Segoe UI"/>
                          <w:sz w:val="18"/>
                          <w:szCs w:val="18"/>
                        </w:rPr>
                        <w:t xml:space="preserve"> for professionals and services </w:t>
                      </w:r>
                    </w:p>
                    <w:p w14:paraId="6A349D90" w14:textId="0788F3ED" w:rsidR="00023821" w:rsidRPr="000F751F" w:rsidRDefault="00023821" w:rsidP="00AF08E8">
                      <w:pPr>
                        <w:pStyle w:val="ListParagraph"/>
                        <w:numPr>
                          <w:ilvl w:val="0"/>
                          <w:numId w:val="16"/>
                        </w:numPr>
                        <w:tabs>
                          <w:tab w:val="clear" w:pos="720"/>
                          <w:tab w:val="num" w:pos="851"/>
                        </w:tabs>
                        <w:spacing w:after="0" w:line="252" w:lineRule="auto"/>
                        <w:ind w:left="284" w:hanging="284"/>
                        <w:rPr>
                          <w:rFonts w:ascii="Segoe UI" w:eastAsia="Times New Roman" w:hAnsi="Segoe UI" w:cs="Segoe UI"/>
                          <w:sz w:val="18"/>
                          <w:szCs w:val="18"/>
                        </w:rPr>
                      </w:pPr>
                      <w:r w:rsidRPr="000F751F">
                        <w:rPr>
                          <w:rFonts w:ascii="Segoe UI" w:eastAsia="Times New Roman" w:hAnsi="Segoe UI" w:cs="Segoe UI"/>
                          <w:sz w:val="18"/>
                          <w:szCs w:val="18"/>
                        </w:rPr>
                        <w:t xml:space="preserve">The </w:t>
                      </w:r>
                      <w:hyperlink r:id="rId77" w:history="1">
                        <w:r w:rsidRPr="000F751F">
                          <w:rPr>
                            <w:rFonts w:ascii="Segoe UI" w:eastAsia="Times New Roman" w:hAnsi="Segoe UI" w:cs="Segoe UI"/>
                            <w:sz w:val="18"/>
                            <w:szCs w:val="18"/>
                            <w:u w:val="single"/>
                          </w:rPr>
                          <w:t xml:space="preserve">Ministry </w:t>
                        </w:r>
                        <w:r>
                          <w:rPr>
                            <w:rFonts w:ascii="Segoe UI" w:eastAsia="Times New Roman" w:hAnsi="Segoe UI" w:cs="Segoe UI"/>
                            <w:sz w:val="18"/>
                            <w:szCs w:val="18"/>
                            <w:u w:val="single"/>
                          </w:rPr>
                          <w:t>of</w:t>
                        </w:r>
                        <w:r w:rsidRPr="000F751F">
                          <w:rPr>
                            <w:rFonts w:ascii="Segoe UI" w:eastAsia="Times New Roman" w:hAnsi="Segoe UI" w:cs="Segoe UI"/>
                            <w:sz w:val="18"/>
                            <w:szCs w:val="18"/>
                            <w:u w:val="single"/>
                          </w:rPr>
                          <w:t xml:space="preserve"> Social Development</w:t>
                        </w:r>
                      </w:hyperlink>
                      <w:r w:rsidRPr="000F751F">
                        <w:rPr>
                          <w:rFonts w:ascii="Segoe UI" w:eastAsia="Times New Roman" w:hAnsi="Segoe UI" w:cs="Segoe UI"/>
                          <w:sz w:val="18"/>
                          <w:szCs w:val="18"/>
                          <w:u w:val="single"/>
                        </w:rPr>
                        <w:t xml:space="preserve"> </w:t>
                      </w:r>
                      <w:r w:rsidRPr="000F751F">
                        <w:rPr>
                          <w:rFonts w:ascii="Segoe UI" w:eastAsia="Times New Roman" w:hAnsi="Segoe UI" w:cs="Segoe UI"/>
                          <w:sz w:val="18"/>
                          <w:szCs w:val="18"/>
                        </w:rPr>
                        <w:t>information for employers and social service providers</w:t>
                      </w:r>
                    </w:p>
                  </w:txbxContent>
                </v:textbox>
              </v:rect>
            </w:pict>
          </mc:Fallback>
        </mc:AlternateContent>
      </w:r>
      <w:r w:rsidR="000F751F" w:rsidRPr="00107A79">
        <w:rPr>
          <w:noProof/>
          <w:sz w:val="68"/>
          <w:szCs w:val="68"/>
        </w:rPr>
        <mc:AlternateContent>
          <mc:Choice Requires="wps">
            <w:drawing>
              <wp:anchor distT="0" distB="0" distL="114300" distR="114300" simplePos="0" relativeHeight="251673600" behindDoc="0" locked="0" layoutInCell="1" allowOverlap="1" wp14:anchorId="7E58B5F1" wp14:editId="48D6D1B3">
                <wp:simplePos x="0" y="0"/>
                <wp:positionH relativeFrom="column">
                  <wp:posOffset>7260167</wp:posOffset>
                </wp:positionH>
                <wp:positionV relativeFrom="paragraph">
                  <wp:posOffset>152823</wp:posOffset>
                </wp:positionV>
                <wp:extent cx="5438986" cy="2762885"/>
                <wp:effectExtent l="0" t="0" r="28575" b="18415"/>
                <wp:wrapNone/>
                <wp:docPr id="35" name="Rectangle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438986" cy="2762885"/>
                        </a:xfrm>
                        <a:prstGeom prst="rect">
                          <a:avLst/>
                        </a:prstGeom>
                        <a:noFill/>
                        <a:ln w="12700">
                          <a:solidFill>
                            <a:srgbClr val="A9D18E"/>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38CE95FA" id="Rectangle 18" o:spid="_x0000_s1026" style="position:absolute;margin-left:571.65pt;margin-top:12.05pt;width:428.25pt;height:217.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" filled="f" strokecolor="#a9d18e" strokeweight="1pt"/>
            </w:pict>
          </mc:Fallback>
        </mc:AlternateContent>
      </w:r>
      <w:r w:rsidR="000F751F" w:rsidRPr="00A07348">
        <w:rPr>
          <w:noProof/>
        </w:rPr>
        <mc:AlternateContent>
          <mc:Choice Requires="wps">
            <w:drawing>
              <wp:anchor distT="0" distB="0" distL="114300" distR="114300" simplePos="0" relativeHeight="251692032" behindDoc="0" locked="0" layoutInCell="1" allowOverlap="1" wp14:anchorId="53DA1A67" wp14:editId="7ECBAC42">
                <wp:simplePos x="0" y="0"/>
                <wp:positionH relativeFrom="column">
                  <wp:posOffset>5278967</wp:posOffset>
                </wp:positionH>
                <wp:positionV relativeFrom="paragraph">
                  <wp:posOffset>3840057</wp:posOffset>
                </wp:positionV>
                <wp:extent cx="2391410" cy="2611755"/>
                <wp:effectExtent l="0" t="0" r="0" b="0"/>
                <wp:wrapNone/>
                <wp:docPr id="14" name="Rectangle 13">
                  <a:extLst xmlns:a="http://schemas.openxmlformats.org/drawingml/2006/main">
                    <a:ext uri="{FF2B5EF4-FFF2-40B4-BE49-F238E27FC236}">
                      <a16:creationId xmlns:a16="http://schemas.microsoft.com/office/drawing/2014/main" id="{A226DA66-6854-410E-AF11-CE83EC8E14BB}"/>
                    </a:ext>
                  </a:extLst>
                </wp:docPr>
                <wp:cNvGraphicFramePr/>
                <a:graphic xmlns:a="http://schemas.openxmlformats.org/drawingml/2006/main">
                  <a:graphicData uri="http://schemas.microsoft.com/office/word/2010/wordprocessingShape">
                    <wps:wsp>
                      <wps:cNvSpPr/>
                      <wps:spPr>
                        <a:xfrm>
                          <a:off x="0" y="0"/>
                          <a:ext cx="2391410" cy="2611755"/>
                        </a:xfrm>
                        <a:prstGeom prst="rect">
                          <a:avLst/>
                        </a:prstGeom>
                      </wps:spPr>
                      <wps:txbx>
                        <w:txbxContent>
                          <w:p w14:paraId="04985DA7" w14:textId="77777777" w:rsidR="00023821" w:rsidRPr="000F751F" w:rsidRDefault="00023821" w:rsidP="00AF08E8">
                            <w:pPr>
                              <w:pStyle w:val="ListParagraph"/>
                              <w:numPr>
                                <w:ilvl w:val="0"/>
                                <w:numId w:val="16"/>
                              </w:numPr>
                              <w:tabs>
                                <w:tab w:val="clear" w:pos="720"/>
                                <w:tab w:val="num" w:pos="851"/>
                              </w:tabs>
                              <w:spacing w:after="0" w:line="252" w:lineRule="auto"/>
                              <w:ind w:left="284" w:hanging="284"/>
                              <w:rPr>
                                <w:rFonts w:ascii="Segoe UI" w:eastAsia="Times New Roman" w:hAnsi="Segoe UI" w:cs="Segoe UI"/>
                                <w:sz w:val="18"/>
                                <w:szCs w:val="18"/>
                              </w:rPr>
                            </w:pPr>
                            <w:r w:rsidRPr="000F751F">
                              <w:rPr>
                                <w:rFonts w:ascii="Segoe UI" w:eastAsia="Times New Roman" w:hAnsi="Segoe UI" w:cs="Segoe UI"/>
                                <w:sz w:val="18"/>
                                <w:szCs w:val="18"/>
                              </w:rPr>
                              <w:t xml:space="preserve">COVID-19 </w:t>
                            </w:r>
                            <w:hyperlink r:id="rId78" w:history="1">
                              <w:r w:rsidRPr="000F751F">
                                <w:rPr>
                                  <w:rFonts w:ascii="Segoe UI" w:eastAsia="Times New Roman" w:hAnsi="Segoe UI" w:cs="Segoe UI"/>
                                  <w:sz w:val="18"/>
                                  <w:szCs w:val="18"/>
                                  <w:u w:val="single"/>
                                </w:rPr>
                                <w:t>factsheets and guidance</w:t>
                              </w:r>
                              <w:r w:rsidRPr="000F751F">
                                <w:rPr>
                                  <w:rFonts w:ascii="Segoe UI" w:eastAsia="Times New Roman" w:hAnsi="Segoe UI" w:cs="Segoe UI"/>
                                  <w:sz w:val="18"/>
                                  <w:szCs w:val="18"/>
                                </w:rPr>
                                <w:t xml:space="preserve"> </w:t>
                              </w:r>
                            </w:hyperlink>
                            <w:r w:rsidRPr="000F751F">
                              <w:rPr>
                                <w:rFonts w:ascii="Segoe UI" w:eastAsia="Times New Roman" w:hAnsi="Segoe UI" w:cs="Segoe UI"/>
                                <w:sz w:val="18"/>
                                <w:szCs w:val="18"/>
                              </w:rPr>
                              <w:t>for health professionals</w:t>
                            </w:r>
                          </w:p>
                          <w:p w14:paraId="644D9580" w14:textId="77777777" w:rsidR="00023821" w:rsidRPr="000F751F" w:rsidRDefault="00023821" w:rsidP="00AF08E8">
                            <w:pPr>
                              <w:pStyle w:val="ListParagraph"/>
                              <w:numPr>
                                <w:ilvl w:val="0"/>
                                <w:numId w:val="16"/>
                              </w:numPr>
                              <w:tabs>
                                <w:tab w:val="clear" w:pos="720"/>
                                <w:tab w:val="num" w:pos="851"/>
                              </w:tabs>
                              <w:spacing w:after="0" w:line="252" w:lineRule="auto"/>
                              <w:ind w:left="284" w:hanging="284"/>
                              <w:rPr>
                                <w:rFonts w:ascii="Segoe UI" w:eastAsia="Times New Roman" w:hAnsi="Segoe UI" w:cs="Segoe UI"/>
                                <w:sz w:val="18"/>
                                <w:szCs w:val="18"/>
                              </w:rPr>
                            </w:pPr>
                            <w:r w:rsidRPr="000F751F">
                              <w:rPr>
                                <w:rFonts w:ascii="Segoe UI" w:eastAsia="Times New Roman" w:hAnsi="Segoe UI" w:cs="Segoe UI"/>
                                <w:sz w:val="18"/>
                                <w:szCs w:val="18"/>
                              </w:rPr>
                              <w:t xml:space="preserve">Delivering health and disability services at </w:t>
                            </w:r>
                            <w:hyperlink r:id="rId79" w:history="1">
                              <w:r w:rsidRPr="000F751F">
                                <w:rPr>
                                  <w:rFonts w:ascii="Segoe UI" w:eastAsia="Times New Roman" w:hAnsi="Segoe UI" w:cs="Segoe UI"/>
                                  <w:sz w:val="18"/>
                                  <w:szCs w:val="18"/>
                                  <w:u w:val="single"/>
                                </w:rPr>
                                <w:t>Alert Level 3</w:t>
                              </w:r>
                            </w:hyperlink>
                            <w:r w:rsidRPr="000F751F">
                              <w:rPr>
                                <w:rFonts w:ascii="Segoe UI" w:eastAsia="Times New Roman" w:hAnsi="Segoe UI" w:cs="Segoe UI"/>
                                <w:sz w:val="18"/>
                                <w:szCs w:val="18"/>
                              </w:rPr>
                              <w:t xml:space="preserve"> and </w:t>
                            </w:r>
                            <w:hyperlink r:id="rId80" w:history="1">
                              <w:r w:rsidRPr="000F751F">
                                <w:rPr>
                                  <w:rFonts w:ascii="Segoe UI" w:eastAsia="Times New Roman" w:hAnsi="Segoe UI" w:cs="Segoe UI"/>
                                  <w:sz w:val="18"/>
                                  <w:szCs w:val="18"/>
                                  <w:u w:val="single"/>
                                </w:rPr>
                                <w:t>Alert Level 2</w:t>
                              </w:r>
                            </w:hyperlink>
                            <w:r w:rsidRPr="000F751F">
                              <w:rPr>
                                <w:rFonts w:ascii="Segoe UI" w:eastAsia="Times New Roman" w:hAnsi="Segoe UI" w:cs="Segoe UI"/>
                                <w:sz w:val="18"/>
                                <w:szCs w:val="18"/>
                                <w:u w:val="single"/>
                              </w:rPr>
                              <w:t xml:space="preserve">  </w:t>
                            </w:r>
                          </w:p>
                          <w:p w14:paraId="0F6D346F" w14:textId="77777777" w:rsidR="00023821" w:rsidRPr="000F751F" w:rsidRDefault="00023821" w:rsidP="00AF08E8">
                            <w:pPr>
                              <w:pStyle w:val="ListParagraph"/>
                              <w:numPr>
                                <w:ilvl w:val="0"/>
                                <w:numId w:val="16"/>
                              </w:numPr>
                              <w:tabs>
                                <w:tab w:val="clear" w:pos="720"/>
                                <w:tab w:val="num" w:pos="851"/>
                              </w:tabs>
                              <w:spacing w:after="0" w:line="252" w:lineRule="auto"/>
                              <w:ind w:left="284" w:hanging="284"/>
                              <w:rPr>
                                <w:rFonts w:ascii="Segoe UI" w:eastAsia="Times New Roman" w:hAnsi="Segoe UI" w:cs="Segoe UI"/>
                                <w:sz w:val="18"/>
                                <w:szCs w:val="18"/>
                              </w:rPr>
                            </w:pPr>
                            <w:r w:rsidRPr="000F751F">
                              <w:rPr>
                                <w:rFonts w:ascii="Segoe UI" w:eastAsia="Times New Roman" w:hAnsi="Segoe UI" w:cs="Segoe UI"/>
                                <w:sz w:val="18"/>
                                <w:szCs w:val="18"/>
                              </w:rPr>
                              <w:t xml:space="preserve">Information about </w:t>
                            </w:r>
                            <w:hyperlink r:id="rId81" w:history="1">
                              <w:r w:rsidRPr="000F751F">
                                <w:rPr>
                                  <w:rFonts w:ascii="Segoe UI" w:eastAsia="Times New Roman" w:hAnsi="Segoe UI" w:cs="Segoe UI"/>
                                  <w:sz w:val="18"/>
                                  <w:szCs w:val="18"/>
                                  <w:u w:val="single"/>
                                </w:rPr>
                                <w:t>Personal protective equipment use</w:t>
                              </w:r>
                            </w:hyperlink>
                            <w:hyperlink r:id="rId82" w:history="1">
                              <w:r w:rsidRPr="000F751F">
                                <w:rPr>
                                  <w:rFonts w:ascii="Segoe UI" w:eastAsia="Times New Roman" w:hAnsi="Segoe UI" w:cs="Segoe UI"/>
                                  <w:sz w:val="18"/>
                                  <w:szCs w:val="18"/>
                                </w:rPr>
                                <w:t xml:space="preserve"> </w:t>
                              </w:r>
                            </w:hyperlink>
                            <w:r w:rsidRPr="000F751F">
                              <w:rPr>
                                <w:rFonts w:ascii="Segoe UI" w:eastAsia="Times New Roman" w:hAnsi="Segoe UI" w:cs="Segoe UI"/>
                                <w:sz w:val="18"/>
                                <w:szCs w:val="18"/>
                              </w:rPr>
                              <w:t xml:space="preserve">for workers in health care and non-health care settings </w:t>
                            </w:r>
                          </w:p>
                          <w:p w14:paraId="6B812D22" w14:textId="77777777" w:rsidR="00023821" w:rsidRPr="000F751F" w:rsidRDefault="00023821" w:rsidP="00AF08E8">
                            <w:pPr>
                              <w:pStyle w:val="ListParagraph"/>
                              <w:numPr>
                                <w:ilvl w:val="0"/>
                                <w:numId w:val="16"/>
                              </w:numPr>
                              <w:tabs>
                                <w:tab w:val="clear" w:pos="720"/>
                                <w:tab w:val="num" w:pos="851"/>
                              </w:tabs>
                              <w:spacing w:after="0" w:line="252" w:lineRule="auto"/>
                              <w:ind w:left="284" w:hanging="284"/>
                              <w:rPr>
                                <w:rFonts w:ascii="Segoe UI" w:eastAsia="Times New Roman" w:hAnsi="Segoe UI" w:cs="Segoe UI"/>
                                <w:sz w:val="18"/>
                                <w:szCs w:val="18"/>
                              </w:rPr>
                            </w:pPr>
                            <w:r w:rsidRPr="000F751F">
                              <w:rPr>
                                <w:rFonts w:ascii="Segoe UI" w:eastAsia="Times New Roman" w:hAnsi="Segoe UI" w:cs="Segoe UI"/>
                                <w:sz w:val="18"/>
                                <w:szCs w:val="18"/>
                              </w:rPr>
                              <w:t xml:space="preserve">The </w:t>
                            </w:r>
                            <w:hyperlink r:id="rId83" w:history="1">
                              <w:r w:rsidRPr="000F751F">
                                <w:rPr>
                                  <w:rFonts w:ascii="Segoe UI" w:eastAsia="Times New Roman" w:hAnsi="Segoe UI" w:cs="Segoe UI"/>
                                  <w:sz w:val="18"/>
                                  <w:szCs w:val="18"/>
                                  <w:u w:val="single"/>
                                </w:rPr>
                                <w:t>Mental Health Act</w:t>
                              </w:r>
                              <w:r w:rsidRPr="000F751F">
                                <w:rPr>
                                  <w:rFonts w:ascii="Segoe UI" w:eastAsia="Times New Roman" w:hAnsi="Segoe UI" w:cs="Segoe UI"/>
                                  <w:sz w:val="18"/>
                                  <w:szCs w:val="18"/>
                                </w:rPr>
                                <w:t xml:space="preserve"> </w:t>
                              </w:r>
                            </w:hyperlink>
                            <w:r w:rsidRPr="000F751F">
                              <w:rPr>
                                <w:rFonts w:ascii="Segoe UI" w:eastAsia="Times New Roman" w:hAnsi="Segoe UI" w:cs="Segoe UI"/>
                                <w:sz w:val="18"/>
                                <w:szCs w:val="18"/>
                              </w:rPr>
                              <w:t>processes for assessment and treatment during higher Alert Levels, including use of audio-visual technology</w:t>
                            </w:r>
                          </w:p>
                          <w:p w14:paraId="55AD7500" w14:textId="72BB860E" w:rsidR="00023821" w:rsidRPr="000F751F" w:rsidRDefault="00023821" w:rsidP="00AF08E8">
                            <w:pPr>
                              <w:pStyle w:val="ListParagraph"/>
                              <w:numPr>
                                <w:ilvl w:val="0"/>
                                <w:numId w:val="16"/>
                              </w:numPr>
                              <w:tabs>
                                <w:tab w:val="clear" w:pos="720"/>
                                <w:tab w:val="num" w:pos="851"/>
                              </w:tabs>
                              <w:spacing w:after="0" w:line="252" w:lineRule="auto"/>
                              <w:ind w:left="284" w:hanging="284"/>
                              <w:rPr>
                                <w:rFonts w:ascii="Segoe UI" w:eastAsia="Times New Roman" w:hAnsi="Segoe UI" w:cs="Segoe UI"/>
                                <w:sz w:val="18"/>
                                <w:szCs w:val="18"/>
                              </w:rPr>
                            </w:pPr>
                            <w:r w:rsidRPr="000F751F">
                              <w:rPr>
                                <w:rFonts w:ascii="Segoe UI" w:eastAsia="Times New Roman" w:hAnsi="Segoe UI" w:cs="Segoe UI"/>
                                <w:sz w:val="18"/>
                                <w:szCs w:val="18"/>
                              </w:rPr>
                              <w:t xml:space="preserve">Technical, clinical and cultural guidance </w:t>
                            </w:r>
                            <w:r>
                              <w:rPr>
                                <w:rFonts w:ascii="Segoe UI" w:eastAsia="Times New Roman" w:hAnsi="Segoe UI" w:cs="Segoe UI"/>
                                <w:sz w:val="18"/>
                                <w:szCs w:val="18"/>
                              </w:rPr>
                              <w:t xml:space="preserve">and </w:t>
                            </w:r>
                            <w:r w:rsidRPr="000F751F">
                              <w:rPr>
                                <w:rFonts w:ascii="Segoe UI" w:eastAsia="Times New Roman" w:hAnsi="Segoe UI" w:cs="Segoe UI"/>
                                <w:sz w:val="18"/>
                                <w:szCs w:val="18"/>
                              </w:rPr>
                              <w:t xml:space="preserve">advice at the </w:t>
                            </w:r>
                            <w:r w:rsidRPr="000F751F">
                              <w:rPr>
                                <w:rFonts w:ascii="Segoe UI" w:eastAsia="Times New Roman" w:hAnsi="Segoe UI" w:cs="Segoe UI"/>
                                <w:sz w:val="18"/>
                                <w:szCs w:val="18"/>
                                <w:u w:val="single"/>
                              </w:rPr>
                              <w:t>un</w:t>
                            </w:r>
                            <w:hyperlink r:id="rId84" w:history="1">
                              <w:r w:rsidRPr="000F751F">
                                <w:rPr>
                                  <w:rFonts w:ascii="Segoe UI" w:eastAsia="Times New Roman" w:hAnsi="Segoe UI" w:cs="Segoe UI"/>
                                  <w:sz w:val="18"/>
                                  <w:szCs w:val="18"/>
                                  <w:u w:val="single"/>
                                </w:rPr>
                                <w:t>ite against COVID-19</w:t>
                              </w:r>
                            </w:hyperlink>
                            <w:r w:rsidRPr="000F751F">
                              <w:rPr>
                                <w:rFonts w:ascii="Segoe UI" w:eastAsia="Times New Roman" w:hAnsi="Segoe UI" w:cs="Segoe UI"/>
                                <w:sz w:val="18"/>
                                <w:szCs w:val="18"/>
                              </w:rPr>
                              <w:t xml:space="preserve"> website</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53DA1A67" id="Rectangle 13" o:spid="_x0000_s1030" style="position:absolute;margin-left:415.65pt;margin-top:302.35pt;width:188.3pt;height:205.6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" filled="f" stroked="f">
                <v:textbox>
                  <w:txbxContent>
                    <w:p w14:paraId="04985DA7" w14:textId="77777777" w:rsidR="00023821" w:rsidRPr="000F751F" w:rsidRDefault="00023821" w:rsidP="00AF08E8">
                      <w:pPr>
                        <w:pStyle w:val="ListParagraph"/>
                        <w:numPr>
                          <w:ilvl w:val="0"/>
                          <w:numId w:val="16"/>
                        </w:numPr>
                        <w:tabs>
                          <w:tab w:val="clear" w:pos="720"/>
                          <w:tab w:val="num" w:pos="851"/>
                        </w:tabs>
                        <w:spacing w:after="0" w:line="252" w:lineRule="auto"/>
                        <w:ind w:left="284" w:hanging="284"/>
                        <w:rPr>
                          <w:rFonts w:ascii="Segoe UI" w:eastAsia="Times New Roman" w:hAnsi="Segoe UI" w:cs="Segoe UI"/>
                          <w:sz w:val="18"/>
                          <w:szCs w:val="18"/>
                        </w:rPr>
                      </w:pPr>
                      <w:r w:rsidRPr="000F751F">
                        <w:rPr>
                          <w:rFonts w:ascii="Segoe UI" w:eastAsia="Times New Roman" w:hAnsi="Segoe UI" w:cs="Segoe UI"/>
                          <w:sz w:val="18"/>
                          <w:szCs w:val="18"/>
                        </w:rPr>
                        <w:t xml:space="preserve">COVID-19 </w:t>
                      </w:r>
                      <w:hyperlink r:id="rId85" w:history="1">
                        <w:r w:rsidRPr="000F751F">
                          <w:rPr>
                            <w:rFonts w:ascii="Segoe UI" w:eastAsia="Times New Roman" w:hAnsi="Segoe UI" w:cs="Segoe UI"/>
                            <w:sz w:val="18"/>
                            <w:szCs w:val="18"/>
                            <w:u w:val="single"/>
                          </w:rPr>
                          <w:t>factsheets and guidance</w:t>
                        </w:r>
                        <w:r w:rsidRPr="000F751F">
                          <w:rPr>
                            <w:rFonts w:ascii="Segoe UI" w:eastAsia="Times New Roman" w:hAnsi="Segoe UI" w:cs="Segoe UI"/>
                            <w:sz w:val="18"/>
                            <w:szCs w:val="18"/>
                          </w:rPr>
                          <w:t xml:space="preserve"> </w:t>
                        </w:r>
                      </w:hyperlink>
                      <w:r w:rsidRPr="000F751F">
                        <w:rPr>
                          <w:rFonts w:ascii="Segoe UI" w:eastAsia="Times New Roman" w:hAnsi="Segoe UI" w:cs="Segoe UI"/>
                          <w:sz w:val="18"/>
                          <w:szCs w:val="18"/>
                        </w:rPr>
                        <w:t>for health professionals</w:t>
                      </w:r>
                    </w:p>
                    <w:p w14:paraId="644D9580" w14:textId="77777777" w:rsidR="00023821" w:rsidRPr="000F751F" w:rsidRDefault="00023821" w:rsidP="00AF08E8">
                      <w:pPr>
                        <w:pStyle w:val="ListParagraph"/>
                        <w:numPr>
                          <w:ilvl w:val="0"/>
                          <w:numId w:val="16"/>
                        </w:numPr>
                        <w:tabs>
                          <w:tab w:val="clear" w:pos="720"/>
                          <w:tab w:val="num" w:pos="851"/>
                        </w:tabs>
                        <w:spacing w:after="0" w:line="252" w:lineRule="auto"/>
                        <w:ind w:left="284" w:hanging="284"/>
                        <w:rPr>
                          <w:rFonts w:ascii="Segoe UI" w:eastAsia="Times New Roman" w:hAnsi="Segoe UI" w:cs="Segoe UI"/>
                          <w:sz w:val="18"/>
                          <w:szCs w:val="18"/>
                        </w:rPr>
                      </w:pPr>
                      <w:r w:rsidRPr="000F751F">
                        <w:rPr>
                          <w:rFonts w:ascii="Segoe UI" w:eastAsia="Times New Roman" w:hAnsi="Segoe UI" w:cs="Segoe UI"/>
                          <w:sz w:val="18"/>
                          <w:szCs w:val="18"/>
                        </w:rPr>
                        <w:t xml:space="preserve">Delivering health and disability services at </w:t>
                      </w:r>
                      <w:hyperlink r:id="rId86" w:history="1">
                        <w:r w:rsidRPr="000F751F">
                          <w:rPr>
                            <w:rFonts w:ascii="Segoe UI" w:eastAsia="Times New Roman" w:hAnsi="Segoe UI" w:cs="Segoe UI"/>
                            <w:sz w:val="18"/>
                            <w:szCs w:val="18"/>
                            <w:u w:val="single"/>
                          </w:rPr>
                          <w:t>Alert Level 3</w:t>
                        </w:r>
                      </w:hyperlink>
                      <w:r w:rsidRPr="000F751F">
                        <w:rPr>
                          <w:rFonts w:ascii="Segoe UI" w:eastAsia="Times New Roman" w:hAnsi="Segoe UI" w:cs="Segoe UI"/>
                          <w:sz w:val="18"/>
                          <w:szCs w:val="18"/>
                        </w:rPr>
                        <w:t xml:space="preserve"> and </w:t>
                      </w:r>
                      <w:hyperlink r:id="rId87" w:history="1">
                        <w:r w:rsidRPr="000F751F">
                          <w:rPr>
                            <w:rFonts w:ascii="Segoe UI" w:eastAsia="Times New Roman" w:hAnsi="Segoe UI" w:cs="Segoe UI"/>
                            <w:sz w:val="18"/>
                            <w:szCs w:val="18"/>
                            <w:u w:val="single"/>
                          </w:rPr>
                          <w:t>Alert Level 2</w:t>
                        </w:r>
                      </w:hyperlink>
                      <w:r w:rsidRPr="000F751F">
                        <w:rPr>
                          <w:rFonts w:ascii="Segoe UI" w:eastAsia="Times New Roman" w:hAnsi="Segoe UI" w:cs="Segoe UI"/>
                          <w:sz w:val="18"/>
                          <w:szCs w:val="18"/>
                          <w:u w:val="single"/>
                        </w:rPr>
                        <w:t xml:space="preserve">  </w:t>
                      </w:r>
                    </w:p>
                    <w:p w14:paraId="0F6D346F" w14:textId="77777777" w:rsidR="00023821" w:rsidRPr="000F751F" w:rsidRDefault="00023821" w:rsidP="00AF08E8">
                      <w:pPr>
                        <w:pStyle w:val="ListParagraph"/>
                        <w:numPr>
                          <w:ilvl w:val="0"/>
                          <w:numId w:val="16"/>
                        </w:numPr>
                        <w:tabs>
                          <w:tab w:val="clear" w:pos="720"/>
                          <w:tab w:val="num" w:pos="851"/>
                        </w:tabs>
                        <w:spacing w:after="0" w:line="252" w:lineRule="auto"/>
                        <w:ind w:left="284" w:hanging="284"/>
                        <w:rPr>
                          <w:rFonts w:ascii="Segoe UI" w:eastAsia="Times New Roman" w:hAnsi="Segoe UI" w:cs="Segoe UI"/>
                          <w:sz w:val="18"/>
                          <w:szCs w:val="18"/>
                        </w:rPr>
                      </w:pPr>
                      <w:r w:rsidRPr="000F751F">
                        <w:rPr>
                          <w:rFonts w:ascii="Segoe UI" w:eastAsia="Times New Roman" w:hAnsi="Segoe UI" w:cs="Segoe UI"/>
                          <w:sz w:val="18"/>
                          <w:szCs w:val="18"/>
                        </w:rPr>
                        <w:t xml:space="preserve">Information about </w:t>
                      </w:r>
                      <w:hyperlink r:id="rId88" w:history="1">
                        <w:r w:rsidRPr="000F751F">
                          <w:rPr>
                            <w:rFonts w:ascii="Segoe UI" w:eastAsia="Times New Roman" w:hAnsi="Segoe UI" w:cs="Segoe UI"/>
                            <w:sz w:val="18"/>
                            <w:szCs w:val="18"/>
                            <w:u w:val="single"/>
                          </w:rPr>
                          <w:t>Personal protective equipment use</w:t>
                        </w:r>
                      </w:hyperlink>
                      <w:hyperlink r:id="rId89" w:history="1">
                        <w:r w:rsidRPr="000F751F">
                          <w:rPr>
                            <w:rFonts w:ascii="Segoe UI" w:eastAsia="Times New Roman" w:hAnsi="Segoe UI" w:cs="Segoe UI"/>
                            <w:sz w:val="18"/>
                            <w:szCs w:val="18"/>
                          </w:rPr>
                          <w:t xml:space="preserve"> </w:t>
                        </w:r>
                      </w:hyperlink>
                      <w:r w:rsidRPr="000F751F">
                        <w:rPr>
                          <w:rFonts w:ascii="Segoe UI" w:eastAsia="Times New Roman" w:hAnsi="Segoe UI" w:cs="Segoe UI"/>
                          <w:sz w:val="18"/>
                          <w:szCs w:val="18"/>
                        </w:rPr>
                        <w:t xml:space="preserve">for workers in health care and non-health care settings </w:t>
                      </w:r>
                    </w:p>
                    <w:p w14:paraId="6B812D22" w14:textId="77777777" w:rsidR="00023821" w:rsidRPr="000F751F" w:rsidRDefault="00023821" w:rsidP="00AF08E8">
                      <w:pPr>
                        <w:pStyle w:val="ListParagraph"/>
                        <w:numPr>
                          <w:ilvl w:val="0"/>
                          <w:numId w:val="16"/>
                        </w:numPr>
                        <w:tabs>
                          <w:tab w:val="clear" w:pos="720"/>
                          <w:tab w:val="num" w:pos="851"/>
                        </w:tabs>
                        <w:spacing w:after="0" w:line="252" w:lineRule="auto"/>
                        <w:ind w:left="284" w:hanging="284"/>
                        <w:rPr>
                          <w:rFonts w:ascii="Segoe UI" w:eastAsia="Times New Roman" w:hAnsi="Segoe UI" w:cs="Segoe UI"/>
                          <w:sz w:val="18"/>
                          <w:szCs w:val="18"/>
                        </w:rPr>
                      </w:pPr>
                      <w:r w:rsidRPr="000F751F">
                        <w:rPr>
                          <w:rFonts w:ascii="Segoe UI" w:eastAsia="Times New Roman" w:hAnsi="Segoe UI" w:cs="Segoe UI"/>
                          <w:sz w:val="18"/>
                          <w:szCs w:val="18"/>
                        </w:rPr>
                        <w:t xml:space="preserve">The </w:t>
                      </w:r>
                      <w:hyperlink r:id="rId90" w:history="1">
                        <w:r w:rsidRPr="000F751F">
                          <w:rPr>
                            <w:rFonts w:ascii="Segoe UI" w:eastAsia="Times New Roman" w:hAnsi="Segoe UI" w:cs="Segoe UI"/>
                            <w:sz w:val="18"/>
                            <w:szCs w:val="18"/>
                            <w:u w:val="single"/>
                          </w:rPr>
                          <w:t>Mental Health Act</w:t>
                        </w:r>
                        <w:r w:rsidRPr="000F751F">
                          <w:rPr>
                            <w:rFonts w:ascii="Segoe UI" w:eastAsia="Times New Roman" w:hAnsi="Segoe UI" w:cs="Segoe UI"/>
                            <w:sz w:val="18"/>
                            <w:szCs w:val="18"/>
                          </w:rPr>
                          <w:t xml:space="preserve"> </w:t>
                        </w:r>
                      </w:hyperlink>
                      <w:r w:rsidRPr="000F751F">
                        <w:rPr>
                          <w:rFonts w:ascii="Segoe UI" w:eastAsia="Times New Roman" w:hAnsi="Segoe UI" w:cs="Segoe UI"/>
                          <w:sz w:val="18"/>
                          <w:szCs w:val="18"/>
                        </w:rPr>
                        <w:t>processes for assessment and treatment during higher Alert Levels, including use of audio-visual technology</w:t>
                      </w:r>
                    </w:p>
                    <w:p w14:paraId="55AD7500" w14:textId="72BB860E" w:rsidR="00023821" w:rsidRPr="000F751F" w:rsidRDefault="00023821" w:rsidP="00AF08E8">
                      <w:pPr>
                        <w:pStyle w:val="ListParagraph"/>
                        <w:numPr>
                          <w:ilvl w:val="0"/>
                          <w:numId w:val="16"/>
                        </w:numPr>
                        <w:tabs>
                          <w:tab w:val="clear" w:pos="720"/>
                          <w:tab w:val="num" w:pos="851"/>
                        </w:tabs>
                        <w:spacing w:after="0" w:line="252" w:lineRule="auto"/>
                        <w:ind w:left="284" w:hanging="284"/>
                        <w:rPr>
                          <w:rFonts w:ascii="Segoe UI" w:eastAsia="Times New Roman" w:hAnsi="Segoe UI" w:cs="Segoe UI"/>
                          <w:sz w:val="18"/>
                          <w:szCs w:val="18"/>
                        </w:rPr>
                      </w:pPr>
                      <w:r w:rsidRPr="000F751F">
                        <w:rPr>
                          <w:rFonts w:ascii="Segoe UI" w:eastAsia="Times New Roman" w:hAnsi="Segoe UI" w:cs="Segoe UI"/>
                          <w:sz w:val="18"/>
                          <w:szCs w:val="18"/>
                        </w:rPr>
                        <w:t xml:space="preserve">Technical, clinical and cultural guidance </w:t>
                      </w:r>
                      <w:r>
                        <w:rPr>
                          <w:rFonts w:ascii="Segoe UI" w:eastAsia="Times New Roman" w:hAnsi="Segoe UI" w:cs="Segoe UI"/>
                          <w:sz w:val="18"/>
                          <w:szCs w:val="18"/>
                        </w:rPr>
                        <w:t xml:space="preserve">and </w:t>
                      </w:r>
                      <w:r w:rsidRPr="000F751F">
                        <w:rPr>
                          <w:rFonts w:ascii="Segoe UI" w:eastAsia="Times New Roman" w:hAnsi="Segoe UI" w:cs="Segoe UI"/>
                          <w:sz w:val="18"/>
                          <w:szCs w:val="18"/>
                        </w:rPr>
                        <w:t xml:space="preserve">advice at the </w:t>
                      </w:r>
                      <w:r w:rsidRPr="000F751F">
                        <w:rPr>
                          <w:rFonts w:ascii="Segoe UI" w:eastAsia="Times New Roman" w:hAnsi="Segoe UI" w:cs="Segoe UI"/>
                          <w:sz w:val="18"/>
                          <w:szCs w:val="18"/>
                          <w:u w:val="single"/>
                        </w:rPr>
                        <w:t>un</w:t>
                      </w:r>
                      <w:hyperlink r:id="rId91" w:history="1">
                        <w:r w:rsidRPr="000F751F">
                          <w:rPr>
                            <w:rFonts w:ascii="Segoe UI" w:eastAsia="Times New Roman" w:hAnsi="Segoe UI" w:cs="Segoe UI"/>
                            <w:sz w:val="18"/>
                            <w:szCs w:val="18"/>
                            <w:u w:val="single"/>
                          </w:rPr>
                          <w:t>ite against COVID-19</w:t>
                        </w:r>
                      </w:hyperlink>
                      <w:r w:rsidRPr="000F751F">
                        <w:rPr>
                          <w:rFonts w:ascii="Segoe UI" w:eastAsia="Times New Roman" w:hAnsi="Segoe UI" w:cs="Segoe UI"/>
                          <w:sz w:val="18"/>
                          <w:szCs w:val="18"/>
                        </w:rPr>
                        <w:t xml:space="preserve"> website</w:t>
                      </w:r>
                    </w:p>
                  </w:txbxContent>
                </v:textbox>
              </v:rect>
            </w:pict>
          </mc:Fallback>
        </mc:AlternateContent>
      </w:r>
      <w:r w:rsidR="000F751F" w:rsidRPr="00A07348">
        <w:rPr>
          <w:noProof/>
        </w:rPr>
        <mc:AlternateContent>
          <mc:Choice Requires="wps">
            <w:drawing>
              <wp:anchor distT="0" distB="0" distL="114300" distR="114300" simplePos="0" relativeHeight="251696128" behindDoc="0" locked="0" layoutInCell="1" allowOverlap="1" wp14:anchorId="07022E50" wp14:editId="1BC2A182">
                <wp:simplePos x="0" y="0"/>
                <wp:positionH relativeFrom="column">
                  <wp:posOffset>7793567</wp:posOffset>
                </wp:positionH>
                <wp:positionV relativeFrom="paragraph">
                  <wp:posOffset>3840057</wp:posOffset>
                </wp:positionV>
                <wp:extent cx="2200910" cy="2559050"/>
                <wp:effectExtent l="0" t="0" r="0" b="0"/>
                <wp:wrapNone/>
                <wp:docPr id="16" name="Rectangle 15">
                  <a:extLst xmlns:a="http://schemas.openxmlformats.org/drawingml/2006/main">
                    <a:ext uri="{FF2B5EF4-FFF2-40B4-BE49-F238E27FC236}">
                      <a16:creationId xmlns:a16="http://schemas.microsoft.com/office/drawing/2014/main" id="{29CF7557-80EB-46F7-886E-F2C0C67D71C8}"/>
                    </a:ext>
                  </a:extLst>
                </wp:docPr>
                <wp:cNvGraphicFramePr/>
                <a:graphic xmlns:a="http://schemas.openxmlformats.org/drawingml/2006/main">
                  <a:graphicData uri="http://schemas.microsoft.com/office/word/2010/wordprocessingShape">
                    <wps:wsp>
                      <wps:cNvSpPr/>
                      <wps:spPr>
                        <a:xfrm>
                          <a:off x="0" y="0"/>
                          <a:ext cx="2200910" cy="2559050"/>
                        </a:xfrm>
                        <a:prstGeom prst="rect">
                          <a:avLst/>
                        </a:prstGeom>
                      </wps:spPr>
                      <wps:txbx>
                        <w:txbxContent>
                          <w:p w14:paraId="5F13BD64" w14:textId="77777777" w:rsidR="00023821" w:rsidRPr="000F751F" w:rsidRDefault="008B32B0" w:rsidP="00AF08E8">
                            <w:pPr>
                              <w:pStyle w:val="ListParagraph"/>
                              <w:numPr>
                                <w:ilvl w:val="0"/>
                                <w:numId w:val="16"/>
                              </w:numPr>
                              <w:tabs>
                                <w:tab w:val="clear" w:pos="720"/>
                                <w:tab w:val="num" w:pos="851"/>
                              </w:tabs>
                              <w:spacing w:after="0" w:line="252" w:lineRule="auto"/>
                              <w:ind w:left="284" w:hanging="284"/>
                              <w:rPr>
                                <w:rFonts w:ascii="Segoe UI" w:eastAsia="Times New Roman" w:hAnsi="Segoe UI" w:cs="Segoe UI"/>
                                <w:sz w:val="18"/>
                                <w:szCs w:val="18"/>
                              </w:rPr>
                            </w:pPr>
                            <w:hyperlink r:id="rId92" w:history="1">
                              <w:r w:rsidR="00023821" w:rsidRPr="000F751F">
                                <w:rPr>
                                  <w:rFonts w:ascii="Segoe UI" w:eastAsia="Times New Roman" w:hAnsi="Segoe UI" w:cs="Segoe UI"/>
                                  <w:sz w:val="18"/>
                                  <w:szCs w:val="18"/>
                                  <w:u w:val="single"/>
                                </w:rPr>
                                <w:t>Health Promotion Agency</w:t>
                              </w:r>
                            </w:hyperlink>
                            <w:r w:rsidR="00023821" w:rsidRPr="000F751F">
                              <w:rPr>
                                <w:rFonts w:ascii="Segoe UI" w:eastAsia="Times New Roman" w:hAnsi="Segoe UI" w:cs="Segoe UI"/>
                                <w:sz w:val="18"/>
                                <w:szCs w:val="18"/>
                              </w:rPr>
                              <w:t xml:space="preserve"> resources and support for Māori mental wellbeing </w:t>
                            </w:r>
                          </w:p>
                          <w:p w14:paraId="13559A12" w14:textId="77777777" w:rsidR="00023821" w:rsidRPr="000F751F" w:rsidRDefault="008B32B0" w:rsidP="00AF08E8">
                            <w:pPr>
                              <w:pStyle w:val="ListParagraph"/>
                              <w:numPr>
                                <w:ilvl w:val="0"/>
                                <w:numId w:val="16"/>
                              </w:numPr>
                              <w:tabs>
                                <w:tab w:val="clear" w:pos="720"/>
                                <w:tab w:val="num" w:pos="851"/>
                              </w:tabs>
                              <w:spacing w:after="0" w:line="252" w:lineRule="auto"/>
                              <w:ind w:left="284" w:hanging="284"/>
                              <w:rPr>
                                <w:rFonts w:ascii="Segoe UI" w:eastAsia="Times New Roman" w:hAnsi="Segoe UI" w:cs="Segoe UI"/>
                                <w:sz w:val="18"/>
                                <w:szCs w:val="18"/>
                              </w:rPr>
                            </w:pPr>
                            <w:hyperlink r:id="rId93" w:history="1">
                              <w:r w:rsidR="00023821" w:rsidRPr="000F751F">
                                <w:rPr>
                                  <w:rFonts w:ascii="Segoe UI" w:eastAsia="Times New Roman" w:hAnsi="Segoe UI" w:cs="Segoe UI"/>
                                  <w:sz w:val="18"/>
                                  <w:szCs w:val="18"/>
                                  <w:u w:val="single"/>
                                </w:rPr>
                                <w:t>Getting Through Together</w:t>
                              </w:r>
                            </w:hyperlink>
                            <w:r w:rsidR="00023821" w:rsidRPr="000F751F">
                              <w:rPr>
                                <w:rFonts w:ascii="Segoe UI" w:eastAsia="Times New Roman" w:hAnsi="Segoe UI" w:cs="Segoe UI"/>
                                <w:sz w:val="18"/>
                                <w:szCs w:val="18"/>
                                <w:u w:val="single"/>
                              </w:rPr>
                              <w:t xml:space="preserve"> </w:t>
                            </w:r>
                            <w:r w:rsidR="00023821" w:rsidRPr="000F751F">
                              <w:rPr>
                                <w:rFonts w:ascii="Segoe UI" w:eastAsia="Times New Roman" w:hAnsi="Segoe UI" w:cs="Segoe UI"/>
                                <w:sz w:val="18"/>
                                <w:szCs w:val="18"/>
                              </w:rPr>
                              <w:t xml:space="preserve">campaign messaging and stories to support Māori mental wellbeing </w:t>
                            </w:r>
                          </w:p>
                          <w:p w14:paraId="560457DD" w14:textId="77777777" w:rsidR="00023821" w:rsidRPr="000F751F" w:rsidRDefault="008B32B0" w:rsidP="00AF08E8">
                            <w:pPr>
                              <w:pStyle w:val="ListParagraph"/>
                              <w:numPr>
                                <w:ilvl w:val="0"/>
                                <w:numId w:val="16"/>
                              </w:numPr>
                              <w:tabs>
                                <w:tab w:val="clear" w:pos="720"/>
                                <w:tab w:val="num" w:pos="851"/>
                              </w:tabs>
                              <w:spacing w:after="0" w:line="252" w:lineRule="auto"/>
                              <w:ind w:left="284" w:hanging="284"/>
                              <w:rPr>
                                <w:rFonts w:ascii="Segoe UI" w:eastAsia="Times New Roman" w:hAnsi="Segoe UI" w:cs="Segoe UI"/>
                                <w:sz w:val="18"/>
                                <w:szCs w:val="18"/>
                              </w:rPr>
                            </w:pPr>
                            <w:hyperlink r:id="rId94" w:history="1">
                              <w:r w:rsidR="00023821" w:rsidRPr="000F751F">
                                <w:rPr>
                                  <w:rFonts w:ascii="Segoe UI" w:eastAsia="Times New Roman" w:hAnsi="Segoe UI" w:cs="Segoe UI"/>
                                  <w:sz w:val="18"/>
                                  <w:szCs w:val="18"/>
                                  <w:u w:val="single"/>
                                </w:rPr>
                                <w:t>Te Puni Kōkiri</w:t>
                              </w:r>
                              <w:r w:rsidR="00023821" w:rsidRPr="000F751F">
                                <w:rPr>
                                  <w:rFonts w:ascii="Segoe UI" w:eastAsia="Times New Roman" w:hAnsi="Segoe UI" w:cs="Segoe UI"/>
                                  <w:sz w:val="18"/>
                                  <w:szCs w:val="18"/>
                                </w:rPr>
                                <w:t xml:space="preserve"> </w:t>
                              </w:r>
                            </w:hyperlink>
                            <w:r w:rsidR="00023821" w:rsidRPr="000F751F">
                              <w:rPr>
                                <w:rFonts w:ascii="Segoe UI" w:eastAsia="Times New Roman" w:hAnsi="Segoe UI" w:cs="Segoe UI"/>
                                <w:sz w:val="18"/>
                                <w:szCs w:val="18"/>
                              </w:rPr>
                              <w:t>COVID-19 resource links</w:t>
                            </w:r>
                          </w:p>
                          <w:p w14:paraId="7FABA361" w14:textId="77777777" w:rsidR="00023821" w:rsidRPr="000F751F" w:rsidRDefault="00023821" w:rsidP="00AF08E8">
                            <w:pPr>
                              <w:pStyle w:val="ListParagraph"/>
                              <w:numPr>
                                <w:ilvl w:val="0"/>
                                <w:numId w:val="16"/>
                              </w:numPr>
                              <w:tabs>
                                <w:tab w:val="clear" w:pos="720"/>
                                <w:tab w:val="num" w:pos="851"/>
                              </w:tabs>
                              <w:spacing w:after="0" w:line="252" w:lineRule="auto"/>
                              <w:ind w:left="284" w:hanging="284"/>
                              <w:rPr>
                                <w:rFonts w:ascii="Segoe UI" w:eastAsia="Times New Roman" w:hAnsi="Segoe UI" w:cs="Segoe UI"/>
                                <w:sz w:val="18"/>
                                <w:szCs w:val="18"/>
                              </w:rPr>
                            </w:pPr>
                            <w:r w:rsidRPr="000F751F">
                              <w:rPr>
                                <w:rFonts w:ascii="Segoe UI" w:eastAsia="Times New Roman" w:hAnsi="Segoe UI" w:cs="Segoe UI"/>
                                <w:sz w:val="18"/>
                                <w:szCs w:val="18"/>
                              </w:rPr>
                              <w:t xml:space="preserve">Ministry of Health guidelines for </w:t>
                            </w:r>
                            <w:hyperlink r:id="rId95" w:history="1">
                              <w:r w:rsidRPr="000F751F">
                                <w:rPr>
                                  <w:rFonts w:ascii="Segoe UI" w:eastAsia="Times New Roman" w:hAnsi="Segoe UI" w:cs="Segoe UI"/>
                                  <w:sz w:val="18"/>
                                  <w:szCs w:val="18"/>
                                  <w:u w:val="single"/>
                                </w:rPr>
                                <w:t>tangihanga</w:t>
                              </w:r>
                            </w:hyperlink>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07022E50" id="Rectangle 15" o:spid="_x0000_s1031" style="position:absolute;margin-left:613.65pt;margin-top:302.35pt;width:173.3pt;height:201.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" filled="f" stroked="f">
                <v:textbox>
                  <w:txbxContent>
                    <w:p w14:paraId="5F13BD64" w14:textId="77777777" w:rsidR="00023821" w:rsidRPr="000F751F" w:rsidRDefault="00023821" w:rsidP="00AF08E8">
                      <w:pPr>
                        <w:pStyle w:val="ListParagraph"/>
                        <w:numPr>
                          <w:ilvl w:val="0"/>
                          <w:numId w:val="16"/>
                        </w:numPr>
                        <w:tabs>
                          <w:tab w:val="clear" w:pos="720"/>
                          <w:tab w:val="num" w:pos="851"/>
                        </w:tabs>
                        <w:spacing w:after="0" w:line="252" w:lineRule="auto"/>
                        <w:ind w:left="284" w:hanging="284"/>
                        <w:rPr>
                          <w:rFonts w:ascii="Segoe UI" w:eastAsia="Times New Roman" w:hAnsi="Segoe UI" w:cs="Segoe UI"/>
                          <w:sz w:val="18"/>
                          <w:szCs w:val="18"/>
                        </w:rPr>
                      </w:pPr>
                      <w:hyperlink r:id="rId96" w:history="1">
                        <w:r w:rsidRPr="000F751F">
                          <w:rPr>
                            <w:rFonts w:ascii="Segoe UI" w:eastAsia="Times New Roman" w:hAnsi="Segoe UI" w:cs="Segoe UI"/>
                            <w:sz w:val="18"/>
                            <w:szCs w:val="18"/>
                            <w:u w:val="single"/>
                          </w:rPr>
                          <w:t>Health Promotion Agency</w:t>
                        </w:r>
                      </w:hyperlink>
                      <w:r w:rsidRPr="000F751F">
                        <w:rPr>
                          <w:rFonts w:ascii="Segoe UI" w:eastAsia="Times New Roman" w:hAnsi="Segoe UI" w:cs="Segoe UI"/>
                          <w:sz w:val="18"/>
                          <w:szCs w:val="18"/>
                        </w:rPr>
                        <w:t xml:space="preserve"> resources and support for Māori mental wellbeing </w:t>
                      </w:r>
                    </w:p>
                    <w:p w14:paraId="13559A12" w14:textId="77777777" w:rsidR="00023821" w:rsidRPr="000F751F" w:rsidRDefault="00023821" w:rsidP="00AF08E8">
                      <w:pPr>
                        <w:pStyle w:val="ListParagraph"/>
                        <w:numPr>
                          <w:ilvl w:val="0"/>
                          <w:numId w:val="16"/>
                        </w:numPr>
                        <w:tabs>
                          <w:tab w:val="clear" w:pos="720"/>
                          <w:tab w:val="num" w:pos="851"/>
                        </w:tabs>
                        <w:spacing w:after="0" w:line="252" w:lineRule="auto"/>
                        <w:ind w:left="284" w:hanging="284"/>
                        <w:rPr>
                          <w:rFonts w:ascii="Segoe UI" w:eastAsia="Times New Roman" w:hAnsi="Segoe UI" w:cs="Segoe UI"/>
                          <w:sz w:val="18"/>
                          <w:szCs w:val="18"/>
                        </w:rPr>
                      </w:pPr>
                      <w:hyperlink r:id="rId97" w:history="1">
                        <w:r w:rsidRPr="000F751F">
                          <w:rPr>
                            <w:rFonts w:ascii="Segoe UI" w:eastAsia="Times New Roman" w:hAnsi="Segoe UI" w:cs="Segoe UI"/>
                            <w:sz w:val="18"/>
                            <w:szCs w:val="18"/>
                            <w:u w:val="single"/>
                          </w:rPr>
                          <w:t>Getting Through Together</w:t>
                        </w:r>
                      </w:hyperlink>
                      <w:r w:rsidRPr="000F751F">
                        <w:rPr>
                          <w:rFonts w:ascii="Segoe UI" w:eastAsia="Times New Roman" w:hAnsi="Segoe UI" w:cs="Segoe UI"/>
                          <w:sz w:val="18"/>
                          <w:szCs w:val="18"/>
                          <w:u w:val="single"/>
                        </w:rPr>
                        <w:t xml:space="preserve"> </w:t>
                      </w:r>
                      <w:r w:rsidRPr="000F751F">
                        <w:rPr>
                          <w:rFonts w:ascii="Segoe UI" w:eastAsia="Times New Roman" w:hAnsi="Segoe UI" w:cs="Segoe UI"/>
                          <w:sz w:val="18"/>
                          <w:szCs w:val="18"/>
                        </w:rPr>
                        <w:t xml:space="preserve">campaign messaging and stories to support Māori mental wellbeing </w:t>
                      </w:r>
                    </w:p>
                    <w:p w14:paraId="560457DD" w14:textId="77777777" w:rsidR="00023821" w:rsidRPr="000F751F" w:rsidRDefault="00023821" w:rsidP="00AF08E8">
                      <w:pPr>
                        <w:pStyle w:val="ListParagraph"/>
                        <w:numPr>
                          <w:ilvl w:val="0"/>
                          <w:numId w:val="16"/>
                        </w:numPr>
                        <w:tabs>
                          <w:tab w:val="clear" w:pos="720"/>
                          <w:tab w:val="num" w:pos="851"/>
                        </w:tabs>
                        <w:spacing w:after="0" w:line="252" w:lineRule="auto"/>
                        <w:ind w:left="284" w:hanging="284"/>
                        <w:rPr>
                          <w:rFonts w:ascii="Segoe UI" w:eastAsia="Times New Roman" w:hAnsi="Segoe UI" w:cs="Segoe UI"/>
                          <w:sz w:val="18"/>
                          <w:szCs w:val="18"/>
                        </w:rPr>
                      </w:pPr>
                      <w:hyperlink r:id="rId98" w:history="1">
                        <w:r w:rsidRPr="000F751F">
                          <w:rPr>
                            <w:rFonts w:ascii="Segoe UI" w:eastAsia="Times New Roman" w:hAnsi="Segoe UI" w:cs="Segoe UI"/>
                            <w:sz w:val="18"/>
                            <w:szCs w:val="18"/>
                            <w:u w:val="single"/>
                          </w:rPr>
                          <w:t>Te Puni Kōkiri</w:t>
                        </w:r>
                        <w:r w:rsidRPr="000F751F">
                          <w:rPr>
                            <w:rFonts w:ascii="Segoe UI" w:eastAsia="Times New Roman" w:hAnsi="Segoe UI" w:cs="Segoe UI"/>
                            <w:sz w:val="18"/>
                            <w:szCs w:val="18"/>
                          </w:rPr>
                          <w:t xml:space="preserve"> </w:t>
                        </w:r>
                      </w:hyperlink>
                      <w:r w:rsidRPr="000F751F">
                        <w:rPr>
                          <w:rFonts w:ascii="Segoe UI" w:eastAsia="Times New Roman" w:hAnsi="Segoe UI" w:cs="Segoe UI"/>
                          <w:sz w:val="18"/>
                          <w:szCs w:val="18"/>
                        </w:rPr>
                        <w:t>COVID-19 resource links</w:t>
                      </w:r>
                    </w:p>
                    <w:p w14:paraId="7FABA361" w14:textId="77777777" w:rsidR="00023821" w:rsidRPr="000F751F" w:rsidRDefault="00023821" w:rsidP="00AF08E8">
                      <w:pPr>
                        <w:pStyle w:val="ListParagraph"/>
                        <w:numPr>
                          <w:ilvl w:val="0"/>
                          <w:numId w:val="16"/>
                        </w:numPr>
                        <w:tabs>
                          <w:tab w:val="clear" w:pos="720"/>
                          <w:tab w:val="num" w:pos="851"/>
                        </w:tabs>
                        <w:spacing w:after="0" w:line="252" w:lineRule="auto"/>
                        <w:ind w:left="284" w:hanging="284"/>
                        <w:rPr>
                          <w:rFonts w:ascii="Segoe UI" w:eastAsia="Times New Roman" w:hAnsi="Segoe UI" w:cs="Segoe UI"/>
                          <w:sz w:val="18"/>
                          <w:szCs w:val="18"/>
                        </w:rPr>
                      </w:pPr>
                      <w:r w:rsidRPr="000F751F">
                        <w:rPr>
                          <w:rFonts w:ascii="Segoe UI" w:eastAsia="Times New Roman" w:hAnsi="Segoe UI" w:cs="Segoe UI"/>
                          <w:sz w:val="18"/>
                          <w:szCs w:val="18"/>
                        </w:rPr>
                        <w:t xml:space="preserve">Ministry of Health guidelines for </w:t>
                      </w:r>
                      <w:hyperlink r:id="rId99" w:history="1">
                        <w:r w:rsidRPr="000F751F">
                          <w:rPr>
                            <w:rFonts w:ascii="Segoe UI" w:eastAsia="Times New Roman" w:hAnsi="Segoe UI" w:cs="Segoe UI"/>
                            <w:sz w:val="18"/>
                            <w:szCs w:val="18"/>
                            <w:u w:val="single"/>
                          </w:rPr>
                          <w:t>tangihanga</w:t>
                        </w:r>
                      </w:hyperlink>
                    </w:p>
                  </w:txbxContent>
                </v:textbox>
              </v:rect>
            </w:pict>
          </mc:Fallback>
        </mc:AlternateContent>
      </w:r>
      <w:r w:rsidR="000F751F" w:rsidRPr="00A07348">
        <w:rPr>
          <w:noProof/>
        </w:rPr>
        <mc:AlternateContent>
          <mc:Choice Requires="wps">
            <w:drawing>
              <wp:anchor distT="0" distB="0" distL="114300" distR="114300" simplePos="0" relativeHeight="251699200" behindDoc="0" locked="0" layoutInCell="1" allowOverlap="1" wp14:anchorId="7FC5765C" wp14:editId="7AD6EC79">
                <wp:simplePos x="0" y="0"/>
                <wp:positionH relativeFrom="column">
                  <wp:posOffset>10176933</wp:posOffset>
                </wp:positionH>
                <wp:positionV relativeFrom="paragraph">
                  <wp:posOffset>3873923</wp:posOffset>
                </wp:positionV>
                <wp:extent cx="2281555" cy="1782234"/>
                <wp:effectExtent l="0" t="0" r="0" b="0"/>
                <wp:wrapNone/>
                <wp:docPr id="32" name="Rectangle 31">
                  <a:extLst xmlns:a="http://schemas.openxmlformats.org/drawingml/2006/main">
                    <a:ext uri="{FF2B5EF4-FFF2-40B4-BE49-F238E27FC236}">
                      <a16:creationId xmlns:a16="http://schemas.microsoft.com/office/drawing/2014/main" id="{381CF419-EF35-4DD9-B093-13DAED4BE7E6}"/>
                    </a:ext>
                  </a:extLst>
                </wp:docPr>
                <wp:cNvGraphicFramePr/>
                <a:graphic xmlns:a="http://schemas.openxmlformats.org/drawingml/2006/main">
                  <a:graphicData uri="http://schemas.microsoft.com/office/word/2010/wordprocessingShape">
                    <wps:wsp>
                      <wps:cNvSpPr/>
                      <wps:spPr>
                        <a:xfrm>
                          <a:off x="0" y="0"/>
                          <a:ext cx="2281555" cy="1782234"/>
                        </a:xfrm>
                        <a:prstGeom prst="rect">
                          <a:avLst/>
                        </a:prstGeom>
                      </wps:spPr>
                      <wps:txbx>
                        <w:txbxContent>
                          <w:p w14:paraId="1DB9735A" w14:textId="77777777" w:rsidR="00023821" w:rsidRPr="000F751F" w:rsidRDefault="00023821" w:rsidP="00AF08E8">
                            <w:pPr>
                              <w:pStyle w:val="ListParagraph"/>
                              <w:numPr>
                                <w:ilvl w:val="0"/>
                                <w:numId w:val="16"/>
                              </w:numPr>
                              <w:tabs>
                                <w:tab w:val="clear" w:pos="720"/>
                                <w:tab w:val="num" w:pos="851"/>
                              </w:tabs>
                              <w:spacing w:after="0" w:line="252" w:lineRule="auto"/>
                              <w:ind w:left="284" w:hanging="284"/>
                              <w:rPr>
                                <w:rFonts w:ascii="Segoe UI" w:eastAsia="Times New Roman" w:hAnsi="Segoe UI" w:cs="Segoe UI"/>
                                <w:sz w:val="18"/>
                                <w:szCs w:val="18"/>
                              </w:rPr>
                            </w:pPr>
                            <w:r w:rsidRPr="000F751F">
                              <w:rPr>
                                <w:rFonts w:ascii="Segoe UI" w:eastAsia="Times New Roman" w:hAnsi="Segoe UI" w:cs="Segoe UI"/>
                                <w:sz w:val="18"/>
                                <w:szCs w:val="18"/>
                              </w:rPr>
                              <w:t xml:space="preserve">Information and advice at the </w:t>
                            </w:r>
                            <w:hyperlink r:id="rId100" w:history="1">
                              <w:r w:rsidRPr="000F751F">
                                <w:rPr>
                                  <w:rFonts w:ascii="Segoe UI" w:eastAsia="Times New Roman" w:hAnsi="Segoe UI" w:cs="Segoe UI"/>
                                  <w:sz w:val="18"/>
                                  <w:szCs w:val="18"/>
                                  <w:u w:val="single"/>
                                </w:rPr>
                                <w:t xml:space="preserve">unite against COVID-19 </w:t>
                              </w:r>
                              <w:r w:rsidRPr="000F751F">
                                <w:rPr>
                                  <w:rFonts w:ascii="Segoe UI" w:eastAsia="Times New Roman" w:hAnsi="Segoe UI" w:cs="Segoe UI"/>
                                  <w:sz w:val="18"/>
                                  <w:szCs w:val="18"/>
                                </w:rPr>
                                <w:t>website</w:t>
                              </w:r>
                            </w:hyperlink>
                            <w:r w:rsidRPr="000F751F">
                              <w:rPr>
                                <w:rFonts w:ascii="Segoe UI" w:eastAsia="Times New Roman" w:hAnsi="Segoe UI" w:cs="Segoe UI"/>
                                <w:sz w:val="18"/>
                                <w:szCs w:val="18"/>
                              </w:rPr>
                              <w:t xml:space="preserve"> for Pacific communities </w:t>
                            </w:r>
                          </w:p>
                          <w:p w14:paraId="6E8AF72B" w14:textId="77777777" w:rsidR="00023821" w:rsidRPr="000F751F" w:rsidRDefault="008B32B0" w:rsidP="00AF08E8">
                            <w:pPr>
                              <w:pStyle w:val="ListParagraph"/>
                              <w:numPr>
                                <w:ilvl w:val="0"/>
                                <w:numId w:val="16"/>
                              </w:numPr>
                              <w:tabs>
                                <w:tab w:val="clear" w:pos="720"/>
                                <w:tab w:val="num" w:pos="851"/>
                              </w:tabs>
                              <w:spacing w:after="0" w:line="252" w:lineRule="auto"/>
                              <w:ind w:left="284" w:hanging="284"/>
                              <w:rPr>
                                <w:rFonts w:ascii="Segoe UI" w:eastAsia="Times New Roman" w:hAnsi="Segoe UI" w:cs="Segoe UI"/>
                                <w:sz w:val="18"/>
                                <w:szCs w:val="18"/>
                              </w:rPr>
                            </w:pPr>
                            <w:hyperlink r:id="rId101" w:history="1">
                              <w:r w:rsidR="00023821" w:rsidRPr="000F751F">
                                <w:rPr>
                                  <w:rFonts w:ascii="Segoe UI" w:eastAsia="Times New Roman" w:hAnsi="Segoe UI" w:cs="Segoe UI"/>
                                  <w:sz w:val="18"/>
                                  <w:szCs w:val="18"/>
                                  <w:u w:val="single"/>
                                </w:rPr>
                                <w:t>We got your back Aotearoa</w:t>
                              </w:r>
                              <w:r w:rsidR="00023821" w:rsidRPr="000F751F">
                                <w:rPr>
                                  <w:rFonts w:ascii="Segoe UI" w:eastAsia="Times New Roman" w:hAnsi="Segoe UI" w:cs="Segoe UI"/>
                                  <w:sz w:val="18"/>
                                  <w:szCs w:val="18"/>
                                </w:rPr>
                                <w:t xml:space="preserve"> </w:t>
                              </w:r>
                            </w:hyperlink>
                            <w:r w:rsidR="00023821" w:rsidRPr="000F751F">
                              <w:rPr>
                                <w:rFonts w:ascii="Segoe UI" w:eastAsia="Times New Roman" w:hAnsi="Segoe UI" w:cs="Segoe UI"/>
                                <w:sz w:val="18"/>
                                <w:szCs w:val="18"/>
                              </w:rPr>
                              <w:t xml:space="preserve">campaign to help ensure COVID-19 messaging reaches Pacific communities </w:t>
                            </w:r>
                          </w:p>
                          <w:p w14:paraId="643924A8" w14:textId="77777777" w:rsidR="00023821" w:rsidRPr="000F751F" w:rsidRDefault="008B32B0" w:rsidP="00AF08E8">
                            <w:pPr>
                              <w:pStyle w:val="ListParagraph"/>
                              <w:numPr>
                                <w:ilvl w:val="0"/>
                                <w:numId w:val="16"/>
                              </w:numPr>
                              <w:tabs>
                                <w:tab w:val="clear" w:pos="720"/>
                                <w:tab w:val="num" w:pos="851"/>
                              </w:tabs>
                              <w:spacing w:after="0" w:line="252" w:lineRule="auto"/>
                              <w:ind w:left="284" w:hanging="284"/>
                              <w:rPr>
                                <w:rFonts w:ascii="Segoe UI" w:eastAsia="Times New Roman" w:hAnsi="Segoe UI" w:cs="Segoe UI"/>
                                <w:sz w:val="18"/>
                                <w:szCs w:val="18"/>
                              </w:rPr>
                            </w:pPr>
                            <w:hyperlink r:id="rId102" w:history="1">
                              <w:r w:rsidR="00023821" w:rsidRPr="000F751F">
                                <w:rPr>
                                  <w:rFonts w:ascii="Segoe UI" w:eastAsia="Times New Roman" w:hAnsi="Segoe UI" w:cs="Segoe UI"/>
                                  <w:sz w:val="18"/>
                                  <w:szCs w:val="18"/>
                                  <w:u w:val="single"/>
                                </w:rPr>
                                <w:t>COVID-19 guidance</w:t>
                              </w:r>
                              <w:r w:rsidR="00023821" w:rsidRPr="000F751F">
                                <w:rPr>
                                  <w:rFonts w:ascii="Segoe UI" w:eastAsia="Times New Roman" w:hAnsi="Segoe UI" w:cs="Segoe UI"/>
                                  <w:sz w:val="18"/>
                                  <w:szCs w:val="18"/>
                                </w:rPr>
                                <w:t xml:space="preserve"> </w:t>
                              </w:r>
                            </w:hyperlink>
                            <w:r w:rsidR="00023821" w:rsidRPr="000F751F">
                              <w:rPr>
                                <w:rFonts w:ascii="Segoe UI" w:eastAsia="Times New Roman" w:hAnsi="Segoe UI" w:cs="Segoe UI"/>
                                <w:sz w:val="18"/>
                                <w:szCs w:val="18"/>
                              </w:rPr>
                              <w:t>for religious communities</w:t>
                            </w:r>
                          </w:p>
                          <w:p w14:paraId="7F401A91" w14:textId="77777777" w:rsidR="00023821" w:rsidRPr="000F751F" w:rsidRDefault="008B32B0" w:rsidP="00AF08E8">
                            <w:pPr>
                              <w:pStyle w:val="ListParagraph"/>
                              <w:numPr>
                                <w:ilvl w:val="0"/>
                                <w:numId w:val="16"/>
                              </w:numPr>
                              <w:tabs>
                                <w:tab w:val="clear" w:pos="720"/>
                                <w:tab w:val="num" w:pos="851"/>
                              </w:tabs>
                              <w:spacing w:after="0" w:line="252" w:lineRule="auto"/>
                              <w:ind w:left="284" w:hanging="284"/>
                              <w:rPr>
                                <w:rFonts w:ascii="Segoe UI" w:eastAsia="Times New Roman" w:hAnsi="Segoe UI" w:cs="Segoe UI"/>
                                <w:sz w:val="18"/>
                                <w:szCs w:val="18"/>
                              </w:rPr>
                            </w:pPr>
                            <w:hyperlink r:id="rId103" w:history="1">
                              <w:r w:rsidR="00023821" w:rsidRPr="000F751F">
                                <w:rPr>
                                  <w:rFonts w:ascii="Segoe UI" w:eastAsia="Times New Roman" w:hAnsi="Segoe UI" w:cs="Segoe UI"/>
                                  <w:sz w:val="18"/>
                                  <w:szCs w:val="18"/>
                                  <w:u w:val="single"/>
                                </w:rPr>
                                <w:t>Health Promotion Agency</w:t>
                              </w:r>
                              <w:r w:rsidR="00023821" w:rsidRPr="000F751F">
                                <w:rPr>
                                  <w:rFonts w:ascii="Segoe UI" w:eastAsia="Times New Roman" w:hAnsi="Segoe UI" w:cs="Segoe UI"/>
                                  <w:sz w:val="18"/>
                                  <w:szCs w:val="18"/>
                                </w:rPr>
                                <w:t xml:space="preserve"> </w:t>
                              </w:r>
                            </w:hyperlink>
                            <w:r w:rsidR="00023821" w:rsidRPr="000F751F">
                              <w:rPr>
                                <w:rFonts w:ascii="Segoe UI" w:eastAsia="Times New Roman" w:hAnsi="Segoe UI" w:cs="Segoe UI"/>
                                <w:sz w:val="18"/>
                                <w:szCs w:val="18"/>
                              </w:rPr>
                              <w:t>resources for Pacific peoples</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7FC5765C" id="Rectangle 31" o:spid="_x0000_s1032" style="position:absolute;margin-left:801.35pt;margin-top:305.05pt;width:179.65pt;height:140.3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" filled="f" stroked="f">
                <v:textbox>
                  <w:txbxContent>
                    <w:p w14:paraId="1DB9735A" w14:textId="77777777" w:rsidR="00023821" w:rsidRPr="000F751F" w:rsidRDefault="00023821" w:rsidP="00AF08E8">
                      <w:pPr>
                        <w:pStyle w:val="ListParagraph"/>
                        <w:numPr>
                          <w:ilvl w:val="0"/>
                          <w:numId w:val="16"/>
                        </w:numPr>
                        <w:tabs>
                          <w:tab w:val="clear" w:pos="720"/>
                          <w:tab w:val="num" w:pos="851"/>
                        </w:tabs>
                        <w:spacing w:after="0" w:line="252" w:lineRule="auto"/>
                        <w:ind w:left="284" w:hanging="284"/>
                        <w:rPr>
                          <w:rFonts w:ascii="Segoe UI" w:eastAsia="Times New Roman" w:hAnsi="Segoe UI" w:cs="Segoe UI"/>
                          <w:sz w:val="18"/>
                          <w:szCs w:val="18"/>
                        </w:rPr>
                      </w:pPr>
                      <w:r w:rsidRPr="000F751F">
                        <w:rPr>
                          <w:rFonts w:ascii="Segoe UI" w:eastAsia="Times New Roman" w:hAnsi="Segoe UI" w:cs="Segoe UI"/>
                          <w:sz w:val="18"/>
                          <w:szCs w:val="18"/>
                        </w:rPr>
                        <w:t xml:space="preserve">Information and advice at the </w:t>
                      </w:r>
                      <w:hyperlink r:id="rId104" w:history="1">
                        <w:r w:rsidRPr="000F751F">
                          <w:rPr>
                            <w:rFonts w:ascii="Segoe UI" w:eastAsia="Times New Roman" w:hAnsi="Segoe UI" w:cs="Segoe UI"/>
                            <w:sz w:val="18"/>
                            <w:szCs w:val="18"/>
                            <w:u w:val="single"/>
                          </w:rPr>
                          <w:t xml:space="preserve">unite against COVID-19 </w:t>
                        </w:r>
                        <w:r w:rsidRPr="000F751F">
                          <w:rPr>
                            <w:rFonts w:ascii="Segoe UI" w:eastAsia="Times New Roman" w:hAnsi="Segoe UI" w:cs="Segoe UI"/>
                            <w:sz w:val="18"/>
                            <w:szCs w:val="18"/>
                          </w:rPr>
                          <w:t>website</w:t>
                        </w:r>
                      </w:hyperlink>
                      <w:r w:rsidRPr="000F751F">
                        <w:rPr>
                          <w:rFonts w:ascii="Segoe UI" w:eastAsia="Times New Roman" w:hAnsi="Segoe UI" w:cs="Segoe UI"/>
                          <w:sz w:val="18"/>
                          <w:szCs w:val="18"/>
                        </w:rPr>
                        <w:t xml:space="preserve"> for Pacific communities </w:t>
                      </w:r>
                    </w:p>
                    <w:p w14:paraId="6E8AF72B" w14:textId="77777777" w:rsidR="00023821" w:rsidRPr="000F751F" w:rsidRDefault="00023821" w:rsidP="00AF08E8">
                      <w:pPr>
                        <w:pStyle w:val="ListParagraph"/>
                        <w:numPr>
                          <w:ilvl w:val="0"/>
                          <w:numId w:val="16"/>
                        </w:numPr>
                        <w:tabs>
                          <w:tab w:val="clear" w:pos="720"/>
                          <w:tab w:val="num" w:pos="851"/>
                        </w:tabs>
                        <w:spacing w:after="0" w:line="252" w:lineRule="auto"/>
                        <w:ind w:left="284" w:hanging="284"/>
                        <w:rPr>
                          <w:rFonts w:ascii="Segoe UI" w:eastAsia="Times New Roman" w:hAnsi="Segoe UI" w:cs="Segoe UI"/>
                          <w:sz w:val="18"/>
                          <w:szCs w:val="18"/>
                        </w:rPr>
                      </w:pPr>
                      <w:hyperlink r:id="rId105" w:history="1">
                        <w:r w:rsidRPr="000F751F">
                          <w:rPr>
                            <w:rFonts w:ascii="Segoe UI" w:eastAsia="Times New Roman" w:hAnsi="Segoe UI" w:cs="Segoe UI"/>
                            <w:sz w:val="18"/>
                            <w:szCs w:val="18"/>
                            <w:u w:val="single"/>
                          </w:rPr>
                          <w:t>We got your back Aotearoa</w:t>
                        </w:r>
                        <w:r w:rsidRPr="000F751F">
                          <w:rPr>
                            <w:rFonts w:ascii="Segoe UI" w:eastAsia="Times New Roman" w:hAnsi="Segoe UI" w:cs="Segoe UI"/>
                            <w:sz w:val="18"/>
                            <w:szCs w:val="18"/>
                          </w:rPr>
                          <w:t xml:space="preserve"> </w:t>
                        </w:r>
                      </w:hyperlink>
                      <w:r w:rsidRPr="000F751F">
                        <w:rPr>
                          <w:rFonts w:ascii="Segoe UI" w:eastAsia="Times New Roman" w:hAnsi="Segoe UI" w:cs="Segoe UI"/>
                          <w:sz w:val="18"/>
                          <w:szCs w:val="18"/>
                        </w:rPr>
                        <w:t xml:space="preserve">campaign to help ensure COVID-19 messaging reaches Pacific communities </w:t>
                      </w:r>
                    </w:p>
                    <w:p w14:paraId="643924A8" w14:textId="77777777" w:rsidR="00023821" w:rsidRPr="000F751F" w:rsidRDefault="00023821" w:rsidP="00AF08E8">
                      <w:pPr>
                        <w:pStyle w:val="ListParagraph"/>
                        <w:numPr>
                          <w:ilvl w:val="0"/>
                          <w:numId w:val="16"/>
                        </w:numPr>
                        <w:tabs>
                          <w:tab w:val="clear" w:pos="720"/>
                          <w:tab w:val="num" w:pos="851"/>
                        </w:tabs>
                        <w:spacing w:after="0" w:line="252" w:lineRule="auto"/>
                        <w:ind w:left="284" w:hanging="284"/>
                        <w:rPr>
                          <w:rFonts w:ascii="Segoe UI" w:eastAsia="Times New Roman" w:hAnsi="Segoe UI" w:cs="Segoe UI"/>
                          <w:sz w:val="18"/>
                          <w:szCs w:val="18"/>
                        </w:rPr>
                      </w:pPr>
                      <w:hyperlink r:id="rId106" w:history="1">
                        <w:r w:rsidRPr="000F751F">
                          <w:rPr>
                            <w:rFonts w:ascii="Segoe UI" w:eastAsia="Times New Roman" w:hAnsi="Segoe UI" w:cs="Segoe UI"/>
                            <w:sz w:val="18"/>
                            <w:szCs w:val="18"/>
                            <w:u w:val="single"/>
                          </w:rPr>
                          <w:t>COVID-19 guidance</w:t>
                        </w:r>
                        <w:r w:rsidRPr="000F751F">
                          <w:rPr>
                            <w:rFonts w:ascii="Segoe UI" w:eastAsia="Times New Roman" w:hAnsi="Segoe UI" w:cs="Segoe UI"/>
                            <w:sz w:val="18"/>
                            <w:szCs w:val="18"/>
                          </w:rPr>
                          <w:t xml:space="preserve"> </w:t>
                        </w:r>
                      </w:hyperlink>
                      <w:r w:rsidRPr="000F751F">
                        <w:rPr>
                          <w:rFonts w:ascii="Segoe UI" w:eastAsia="Times New Roman" w:hAnsi="Segoe UI" w:cs="Segoe UI"/>
                          <w:sz w:val="18"/>
                          <w:szCs w:val="18"/>
                        </w:rPr>
                        <w:t>for religious communities</w:t>
                      </w:r>
                    </w:p>
                    <w:p w14:paraId="7F401A91" w14:textId="77777777" w:rsidR="00023821" w:rsidRPr="000F751F" w:rsidRDefault="00023821" w:rsidP="00AF08E8">
                      <w:pPr>
                        <w:pStyle w:val="ListParagraph"/>
                        <w:numPr>
                          <w:ilvl w:val="0"/>
                          <w:numId w:val="16"/>
                        </w:numPr>
                        <w:tabs>
                          <w:tab w:val="clear" w:pos="720"/>
                          <w:tab w:val="num" w:pos="851"/>
                        </w:tabs>
                        <w:spacing w:after="0" w:line="252" w:lineRule="auto"/>
                        <w:ind w:left="284" w:hanging="284"/>
                        <w:rPr>
                          <w:rFonts w:ascii="Segoe UI" w:eastAsia="Times New Roman" w:hAnsi="Segoe UI" w:cs="Segoe UI"/>
                          <w:sz w:val="18"/>
                          <w:szCs w:val="18"/>
                        </w:rPr>
                      </w:pPr>
                      <w:hyperlink r:id="rId107" w:history="1">
                        <w:r w:rsidRPr="000F751F">
                          <w:rPr>
                            <w:rFonts w:ascii="Segoe UI" w:eastAsia="Times New Roman" w:hAnsi="Segoe UI" w:cs="Segoe UI"/>
                            <w:sz w:val="18"/>
                            <w:szCs w:val="18"/>
                            <w:u w:val="single"/>
                          </w:rPr>
                          <w:t>Health Promotion Agency</w:t>
                        </w:r>
                        <w:r w:rsidRPr="000F751F">
                          <w:rPr>
                            <w:rFonts w:ascii="Segoe UI" w:eastAsia="Times New Roman" w:hAnsi="Segoe UI" w:cs="Segoe UI"/>
                            <w:sz w:val="18"/>
                            <w:szCs w:val="18"/>
                          </w:rPr>
                          <w:t xml:space="preserve"> </w:t>
                        </w:r>
                      </w:hyperlink>
                      <w:r w:rsidRPr="000F751F">
                        <w:rPr>
                          <w:rFonts w:ascii="Segoe UI" w:eastAsia="Times New Roman" w:hAnsi="Segoe UI" w:cs="Segoe UI"/>
                          <w:sz w:val="18"/>
                          <w:szCs w:val="18"/>
                        </w:rPr>
                        <w:t>resources for Pacific peoples</w:t>
                      </w:r>
                    </w:p>
                  </w:txbxContent>
                </v:textbox>
              </v:rect>
            </w:pict>
          </mc:Fallback>
        </mc:AlternateContent>
      </w:r>
      <w:r w:rsidR="000F751F" w:rsidRPr="00A07348">
        <w:rPr>
          <w:noProof/>
        </w:rPr>
        <mc:AlternateContent>
          <mc:Choice Requires="wps">
            <w:drawing>
              <wp:anchor distT="0" distB="0" distL="114300" distR="114300" simplePos="0" relativeHeight="251700224" behindDoc="0" locked="0" layoutInCell="1" allowOverlap="1" wp14:anchorId="0F3155A8" wp14:editId="56A8B54D">
                <wp:simplePos x="0" y="0"/>
                <wp:positionH relativeFrom="column">
                  <wp:posOffset>10320867</wp:posOffset>
                </wp:positionH>
                <wp:positionV relativeFrom="paragraph">
                  <wp:posOffset>3416723</wp:posOffset>
                </wp:positionV>
                <wp:extent cx="1786466" cy="457200"/>
                <wp:effectExtent l="0" t="0" r="4445" b="0"/>
                <wp:wrapNone/>
                <wp:docPr id="33" name="Rectangle 32">
                  <a:extLst xmlns:a="http://schemas.openxmlformats.org/drawingml/2006/main">
                    <a:ext uri="{FF2B5EF4-FFF2-40B4-BE49-F238E27FC236}">
                      <a16:creationId xmlns:a16="http://schemas.microsoft.com/office/drawing/2014/main" id="{677DC373-99C4-400E-A2A9-267389B74134}"/>
                    </a:ext>
                  </a:extLst>
                </wp:docPr>
                <wp:cNvGraphicFramePr/>
                <a:graphic xmlns:a="http://schemas.openxmlformats.org/drawingml/2006/main">
                  <a:graphicData uri="http://schemas.microsoft.com/office/word/2010/wordprocessingShape">
                    <wps:wsp>
                      <wps:cNvSpPr/>
                      <wps:spPr>
                        <a:xfrm>
                          <a:off x="0" y="0"/>
                          <a:ext cx="1786466" cy="4572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9482F33" w14:textId="77777777" w:rsidR="00023821" w:rsidRDefault="00023821" w:rsidP="00A07348">
                            <w:pPr>
                              <w:pStyle w:val="NormalWeb"/>
                              <w:spacing w:before="0" w:beforeAutospacing="0" w:after="160" w:afterAutospacing="0"/>
                            </w:pPr>
                            <w:r>
                              <w:rPr>
                                <w:rFonts w:ascii="Segoe UI Semibold" w:hAnsi="Segoe UI Semibold" w:cs="Segoe UI Semibold"/>
                                <w:color w:val="000000" w:themeColor="text1"/>
                                <w:kern w:val="24"/>
                                <w:sz w:val="18"/>
                                <w:szCs w:val="18"/>
                                <w:lang w:val="en-US"/>
                              </w:rPr>
                              <w:t>Mental wellbeing support for Pacific peoples</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0F3155A8" id="Rectangle 32" o:spid="_x0000_s1033" style="position:absolute;margin-left:812.65pt;margin-top:269.05pt;width:140.65pt;height:36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" fillcolor="white [3212]" stroked="f" strokeweight="2pt">
                <v:textbox>
                  <w:txbxContent>
                    <w:p w14:paraId="59482F33" w14:textId="77777777" w:rsidR="00023821" w:rsidRDefault="00023821" w:rsidP="00A07348">
                      <w:pPr>
                        <w:pStyle w:val="NormalWeb"/>
                        <w:spacing w:before="0" w:beforeAutospacing="0" w:after="160" w:afterAutospacing="0"/>
                      </w:pPr>
                      <w:r>
                        <w:rPr>
                          <w:rFonts w:ascii="Segoe UI Semibold" w:hAnsi="Segoe UI Semibold" w:cs="Segoe UI Semibold"/>
                          <w:color w:val="000000" w:themeColor="text1"/>
                          <w:kern w:val="24"/>
                          <w:sz w:val="18"/>
                          <w:szCs w:val="18"/>
                          <w:lang w:val="en-US"/>
                        </w:rPr>
                        <w:t>Mental wellbeing support for Pacific peoples</w:t>
                      </w:r>
                    </w:p>
                  </w:txbxContent>
                </v:textbox>
              </v:rect>
            </w:pict>
          </mc:Fallback>
        </mc:AlternateContent>
      </w:r>
      <w:r w:rsidR="000F751F" w:rsidRPr="00A07348">
        <w:rPr>
          <w:noProof/>
        </w:rPr>
        <mc:AlternateContent>
          <mc:Choice Requires="wps">
            <w:drawing>
              <wp:anchor distT="0" distB="0" distL="114300" distR="114300" simplePos="0" relativeHeight="251698176" behindDoc="0" locked="0" layoutInCell="1" allowOverlap="1" wp14:anchorId="6388BABF" wp14:editId="7437AB3F">
                <wp:simplePos x="0" y="0"/>
                <wp:positionH relativeFrom="column">
                  <wp:posOffset>10176933</wp:posOffset>
                </wp:positionH>
                <wp:positionV relativeFrom="paragraph">
                  <wp:posOffset>3547957</wp:posOffset>
                </wp:positionV>
                <wp:extent cx="2522220" cy="2903220"/>
                <wp:effectExtent l="0" t="0" r="11430" b="11430"/>
                <wp:wrapNone/>
                <wp:docPr id="30" name="Rectangle 29">
                  <a:extLst xmlns:a="http://schemas.openxmlformats.org/drawingml/2006/main">
                    <a:ext uri="{FF2B5EF4-FFF2-40B4-BE49-F238E27FC236}">
                      <a16:creationId xmlns:a16="http://schemas.microsoft.com/office/drawing/2014/main" id="{68693FDD-DD03-4E9C-B697-CCB8EFDEAF5E}"/>
                    </a:ext>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522220" cy="2903220"/>
                        </a:xfrm>
                        <a:prstGeom prst="rect">
                          <a:avLst/>
                        </a:prstGeom>
                        <a:noFill/>
                        <a:ln w="12700">
                          <a:solidFill>
                            <a:srgbClr val="A9D18E"/>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6831F503" id="Rectangle 29" o:spid="_x0000_s1026" style="position:absolute;margin-left:801.35pt;margin-top:279.35pt;width:198.6pt;height:228.6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" filled="f" strokecolor="#a9d18e" strokeweight="1pt"/>
            </w:pict>
          </mc:Fallback>
        </mc:AlternateContent>
      </w:r>
      <w:r w:rsidR="000F751F" w:rsidRPr="00107A79">
        <w:rPr>
          <w:noProof/>
        </w:rPr>
        <mc:AlternateContent>
          <mc:Choice Requires="wps">
            <w:drawing>
              <wp:anchor distT="0" distB="0" distL="114300" distR="114300" simplePos="0" relativeHeight="251677696" behindDoc="0" locked="0" layoutInCell="1" allowOverlap="1" wp14:anchorId="3C5844F6" wp14:editId="16B18D52">
                <wp:simplePos x="0" y="0"/>
                <wp:positionH relativeFrom="column">
                  <wp:posOffset>169050</wp:posOffset>
                </wp:positionH>
                <wp:positionV relativeFrom="paragraph">
                  <wp:posOffset>6756752</wp:posOffset>
                </wp:positionV>
                <wp:extent cx="12530092" cy="1299210"/>
                <wp:effectExtent l="0" t="0" r="24130" b="15240"/>
                <wp:wrapNone/>
                <wp:docPr id="41" name="Rectangle 40">
                  <a:extLst xmlns:a="http://schemas.openxmlformats.org/drawingml/2006/main">
                    <a:ext uri="{FF2B5EF4-FFF2-40B4-BE49-F238E27FC236}">
                      <a16:creationId xmlns:a16="http://schemas.microsoft.com/office/drawing/2014/main" id="{E8BEFBA4-7976-4B13-AC39-F82FEDED79D5}"/>
                    </a:ext>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2530092" cy="1299210"/>
                        </a:xfrm>
                        <a:prstGeom prst="rect">
                          <a:avLst/>
                        </a:prstGeom>
                        <a:noFill/>
                        <a:ln w="12700">
                          <a:solidFill>
                            <a:srgbClr val="A9D18E"/>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324B5FF3" id="Rectangle 40" o:spid="_x0000_s1026" style="position:absolute;margin-left:13.3pt;margin-top:532.05pt;width:986.6pt;height:102.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" filled="f" strokecolor="#a9d18e" strokeweight="1pt"/>
            </w:pict>
          </mc:Fallback>
        </mc:AlternateContent>
      </w:r>
      <w:r w:rsidR="000F751F" w:rsidRPr="00A07348">
        <w:rPr>
          <w:noProof/>
        </w:rPr>
        <mc:AlternateContent>
          <mc:Choice Requires="wps">
            <w:drawing>
              <wp:anchor distT="0" distB="0" distL="114300" distR="114300" simplePos="0" relativeHeight="251684864" behindDoc="0" locked="0" layoutInCell="1" allowOverlap="1" wp14:anchorId="42AEC919" wp14:editId="7D11ABF7">
                <wp:simplePos x="0" y="0"/>
                <wp:positionH relativeFrom="column">
                  <wp:posOffset>368834</wp:posOffset>
                </wp:positionH>
                <wp:positionV relativeFrom="paragraph">
                  <wp:posOffset>3418040</wp:posOffset>
                </wp:positionV>
                <wp:extent cx="1655909" cy="295705"/>
                <wp:effectExtent l="0" t="0" r="1905" b="9525"/>
                <wp:wrapNone/>
                <wp:docPr id="38" name="Rectangle 6"/>
                <wp:cNvGraphicFramePr/>
                <a:graphic xmlns:a="http://schemas.openxmlformats.org/drawingml/2006/main">
                  <a:graphicData uri="http://schemas.microsoft.com/office/word/2010/wordprocessingShape">
                    <wps:wsp>
                      <wps:cNvSpPr/>
                      <wps:spPr>
                        <a:xfrm>
                          <a:off x="0" y="0"/>
                          <a:ext cx="1655909" cy="29570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6198405" w14:textId="77777777" w:rsidR="00023821" w:rsidRDefault="00023821" w:rsidP="00A07348">
                            <w:pPr>
                              <w:pStyle w:val="NormalWeb"/>
                              <w:spacing w:before="0" w:beforeAutospacing="0" w:after="160" w:afterAutospacing="0"/>
                            </w:pPr>
                            <w:r>
                              <w:rPr>
                                <w:rFonts w:ascii="Segoe UI Semibold" w:hAnsi="Segoe UI Semibold" w:cs="Segoe UI Semibold"/>
                                <w:color w:val="000000" w:themeColor="text1"/>
                                <w:kern w:val="24"/>
                                <w:sz w:val="18"/>
                                <w:szCs w:val="18"/>
                                <w:lang w:val="en-US"/>
                              </w:rPr>
                              <w:t>Mental wellbeing resources for all</w:t>
                            </w:r>
                          </w:p>
                        </w:txbxContent>
                      </wps:txbx>
                      <wps:bodyPr wrap="square" rtlCol="0" anchor="ctr"/>
                    </wps:wsp>
                  </a:graphicData>
                </a:graphic>
                <wp14:sizeRelH relativeFrom="margin">
                  <wp14:pctWidth>0</wp14:pctWidth>
                </wp14:sizeRelH>
              </wp:anchor>
            </w:drawing>
          </mc:Choice>
          <mc:Fallback>
            <w:pict>
              <v:rect w14:anchorId="42AEC919" id="Rectangle 6" o:spid="_x0000_s1034" style="position:absolute;margin-left:29.05pt;margin-top:269.15pt;width:130.4pt;height:23.3pt;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" fillcolor="white [3212]" stroked="f" strokeweight="2pt">
                <v:textbox>
                  <w:txbxContent>
                    <w:p w14:paraId="16198405" w14:textId="77777777" w:rsidR="00023821" w:rsidRDefault="00023821" w:rsidP="00A07348">
                      <w:pPr>
                        <w:pStyle w:val="NormalWeb"/>
                        <w:spacing w:before="0" w:beforeAutospacing="0" w:after="160" w:afterAutospacing="0"/>
                      </w:pPr>
                      <w:r>
                        <w:rPr>
                          <w:rFonts w:ascii="Segoe UI Semibold" w:hAnsi="Segoe UI Semibold" w:cs="Segoe UI Semibold"/>
                          <w:color w:val="000000" w:themeColor="text1"/>
                          <w:kern w:val="24"/>
                          <w:sz w:val="18"/>
                          <w:szCs w:val="18"/>
                          <w:lang w:val="en-US"/>
                        </w:rPr>
                        <w:t>Mental wellbeing resources for all</w:t>
                      </w:r>
                    </w:p>
                  </w:txbxContent>
                </v:textbox>
              </v:rect>
            </w:pict>
          </mc:Fallback>
        </mc:AlternateContent>
      </w:r>
      <w:r w:rsidR="000F751F" w:rsidRPr="00A07348">
        <w:rPr>
          <w:noProof/>
        </w:rPr>
        <mc:AlternateContent>
          <mc:Choice Requires="wps">
            <w:drawing>
              <wp:anchor distT="0" distB="0" distL="114300" distR="114300" simplePos="0" relativeHeight="251688960" behindDoc="0" locked="0" layoutInCell="1" allowOverlap="1" wp14:anchorId="501194B0" wp14:editId="75464CAA">
                <wp:simplePos x="0" y="0"/>
                <wp:positionH relativeFrom="column">
                  <wp:posOffset>2996341</wp:posOffset>
                </wp:positionH>
                <wp:positionV relativeFrom="paragraph">
                  <wp:posOffset>3350260</wp:posOffset>
                </wp:positionV>
                <wp:extent cx="1570612" cy="444500"/>
                <wp:effectExtent l="0" t="0" r="0" b="0"/>
                <wp:wrapNone/>
                <wp:docPr id="24" name="Rectangle 23">
                  <a:extLst xmlns:a="http://schemas.openxmlformats.org/drawingml/2006/main">
                    <a:ext uri="{FF2B5EF4-FFF2-40B4-BE49-F238E27FC236}">
                      <a16:creationId xmlns:a16="http://schemas.microsoft.com/office/drawing/2014/main" id="{244376B6-CA0F-4B21-8D77-5760037B21EA}"/>
                    </a:ext>
                  </a:extLst>
                </wp:docPr>
                <wp:cNvGraphicFramePr/>
                <a:graphic xmlns:a="http://schemas.openxmlformats.org/drawingml/2006/main">
                  <a:graphicData uri="http://schemas.microsoft.com/office/word/2010/wordprocessingShape">
                    <wps:wsp>
                      <wps:cNvSpPr/>
                      <wps:spPr>
                        <a:xfrm>
                          <a:off x="0" y="0"/>
                          <a:ext cx="1570612" cy="4445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F8D939F" w14:textId="77777777" w:rsidR="00023821" w:rsidRDefault="00023821" w:rsidP="00A07348">
                            <w:pPr>
                              <w:pStyle w:val="NormalWeb"/>
                              <w:spacing w:before="0" w:beforeAutospacing="0" w:after="160" w:afterAutospacing="0"/>
                            </w:pPr>
                            <w:r>
                              <w:rPr>
                                <w:rFonts w:ascii="Segoe UI Semibold" w:hAnsi="Segoe UI Semibold" w:cs="Segoe UI Semibold"/>
                                <w:color w:val="000000" w:themeColor="text1"/>
                                <w:kern w:val="24"/>
                                <w:sz w:val="18"/>
                                <w:szCs w:val="18"/>
                                <w:lang w:val="en-US"/>
                              </w:rPr>
                              <w:t>Support for workers and workplaces</w:t>
                            </w:r>
                          </w:p>
                        </w:txbxContent>
                      </wps:txbx>
                      <wps:bodyPr rtlCol="0" anchor="ctr">
                        <a:noAutofit/>
                      </wps:bodyPr>
                    </wps:wsp>
                  </a:graphicData>
                </a:graphic>
                <wp14:sizeRelV relativeFrom="margin">
                  <wp14:pctHeight>0</wp14:pctHeight>
                </wp14:sizeRelV>
              </wp:anchor>
            </w:drawing>
          </mc:Choice>
          <mc:Fallback>
            <w:pict>
              <v:rect w14:anchorId="501194B0" id="Rectangle 23" o:spid="_x0000_s1035" style="position:absolute;margin-left:235.95pt;margin-top:263.8pt;width:123.65pt;height:35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" fillcolor="white [3212]" stroked="f" strokeweight="2pt">
                <v:textbox>
                  <w:txbxContent>
                    <w:p w14:paraId="7F8D939F" w14:textId="77777777" w:rsidR="00023821" w:rsidRDefault="00023821" w:rsidP="00A07348">
                      <w:pPr>
                        <w:pStyle w:val="NormalWeb"/>
                        <w:spacing w:before="0" w:beforeAutospacing="0" w:after="160" w:afterAutospacing="0"/>
                      </w:pPr>
                      <w:r>
                        <w:rPr>
                          <w:rFonts w:ascii="Segoe UI Semibold" w:hAnsi="Segoe UI Semibold" w:cs="Segoe UI Semibold"/>
                          <w:color w:val="000000" w:themeColor="text1"/>
                          <w:kern w:val="24"/>
                          <w:sz w:val="18"/>
                          <w:szCs w:val="18"/>
                          <w:lang w:val="en-US"/>
                        </w:rPr>
                        <w:t>Support for workers and workplaces</w:t>
                      </w:r>
                    </w:p>
                  </w:txbxContent>
                </v:textbox>
              </v:rect>
            </w:pict>
          </mc:Fallback>
        </mc:AlternateContent>
      </w:r>
      <w:r w:rsidR="000F751F" w:rsidRPr="00A07348">
        <w:rPr>
          <w:noProof/>
        </w:rPr>
        <mc:AlternateContent>
          <mc:Choice Requires="wps">
            <w:drawing>
              <wp:anchor distT="0" distB="0" distL="114300" distR="114300" simplePos="0" relativeHeight="251697152" behindDoc="0" locked="0" layoutInCell="1" allowOverlap="1" wp14:anchorId="0BD16EB7" wp14:editId="0989866F">
                <wp:simplePos x="0" y="0"/>
                <wp:positionH relativeFrom="column">
                  <wp:posOffset>7968332</wp:posOffset>
                </wp:positionH>
                <wp:positionV relativeFrom="paragraph">
                  <wp:posOffset>3354198</wp:posOffset>
                </wp:positionV>
                <wp:extent cx="1671955" cy="444345"/>
                <wp:effectExtent l="0" t="0" r="4445" b="0"/>
                <wp:wrapNone/>
                <wp:docPr id="26" name="Rectangle 25">
                  <a:extLst xmlns:a="http://schemas.openxmlformats.org/drawingml/2006/main">
                    <a:ext uri="{FF2B5EF4-FFF2-40B4-BE49-F238E27FC236}">
                      <a16:creationId xmlns:a16="http://schemas.microsoft.com/office/drawing/2014/main" id="{61460F18-16E2-4B42-89D3-3E05018A7343}"/>
                    </a:ext>
                  </a:extLst>
                </wp:docPr>
                <wp:cNvGraphicFramePr/>
                <a:graphic xmlns:a="http://schemas.openxmlformats.org/drawingml/2006/main">
                  <a:graphicData uri="http://schemas.microsoft.com/office/word/2010/wordprocessingShape">
                    <wps:wsp>
                      <wps:cNvSpPr/>
                      <wps:spPr>
                        <a:xfrm>
                          <a:off x="0" y="0"/>
                          <a:ext cx="1671955" cy="44434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6A7C83B" w14:textId="77777777" w:rsidR="00023821" w:rsidRDefault="00023821" w:rsidP="00A07348">
                            <w:pPr>
                              <w:pStyle w:val="NormalWeb"/>
                              <w:spacing w:before="0" w:beforeAutospacing="0" w:after="160" w:afterAutospacing="0"/>
                            </w:pPr>
                            <w:r>
                              <w:rPr>
                                <w:rFonts w:ascii="Segoe UI Semibold" w:hAnsi="Segoe UI Semibold" w:cs="Segoe UI Semibold"/>
                                <w:color w:val="000000" w:themeColor="text1"/>
                                <w:kern w:val="24"/>
                                <w:sz w:val="18"/>
                                <w:szCs w:val="18"/>
                                <w:lang w:val="en-US"/>
                              </w:rPr>
                              <w:t xml:space="preserve">Mental wellbeing support for Māori </w:t>
                            </w:r>
                          </w:p>
                        </w:txbxContent>
                      </wps:txbx>
                      <wps:bodyPr rtlCol="0" anchor="ctr">
                        <a:noAutofit/>
                      </wps:bodyPr>
                    </wps:wsp>
                  </a:graphicData>
                </a:graphic>
                <wp14:sizeRelV relativeFrom="margin">
                  <wp14:pctHeight>0</wp14:pctHeight>
                </wp14:sizeRelV>
              </wp:anchor>
            </w:drawing>
          </mc:Choice>
          <mc:Fallback>
            <w:pict>
              <v:rect w14:anchorId="0BD16EB7" id="Rectangle 25" o:spid="_x0000_s1036" style="position:absolute;margin-left:627.45pt;margin-top:264.1pt;width:131.65pt;height:35pt;z-index:251697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" fillcolor="white [3212]" stroked="f" strokeweight="2pt">
                <v:textbox>
                  <w:txbxContent>
                    <w:p w14:paraId="76A7C83B" w14:textId="77777777" w:rsidR="00023821" w:rsidRDefault="00023821" w:rsidP="00A07348">
                      <w:pPr>
                        <w:pStyle w:val="NormalWeb"/>
                        <w:spacing w:before="0" w:beforeAutospacing="0" w:after="160" w:afterAutospacing="0"/>
                      </w:pPr>
                      <w:r>
                        <w:rPr>
                          <w:rFonts w:ascii="Segoe UI Semibold" w:hAnsi="Segoe UI Semibold" w:cs="Segoe UI Semibold"/>
                          <w:color w:val="000000" w:themeColor="text1"/>
                          <w:kern w:val="24"/>
                          <w:sz w:val="18"/>
                          <w:szCs w:val="18"/>
                          <w:lang w:val="en-US"/>
                        </w:rPr>
                        <w:t xml:space="preserve">Mental wellbeing support for Māori </w:t>
                      </w:r>
                    </w:p>
                  </w:txbxContent>
                </v:textbox>
              </v:rect>
            </w:pict>
          </mc:Fallback>
        </mc:AlternateContent>
      </w:r>
      <w:r w:rsidR="000F751F" w:rsidRPr="00A07348">
        <w:rPr>
          <w:noProof/>
        </w:rPr>
        <mc:AlternateContent>
          <mc:Choice Requires="wps">
            <w:drawing>
              <wp:anchor distT="0" distB="0" distL="114300" distR="114300" simplePos="0" relativeHeight="251695104" behindDoc="0" locked="0" layoutInCell="1" allowOverlap="1" wp14:anchorId="740D78E2" wp14:editId="348738F7">
                <wp:simplePos x="0" y="0"/>
                <wp:positionH relativeFrom="column">
                  <wp:posOffset>7791610</wp:posOffset>
                </wp:positionH>
                <wp:positionV relativeFrom="paragraph">
                  <wp:posOffset>3548668</wp:posOffset>
                </wp:positionV>
                <wp:extent cx="2274474" cy="2900013"/>
                <wp:effectExtent l="0" t="0" r="12065" b="15240"/>
                <wp:wrapNone/>
                <wp:docPr id="36" name="Rectangle 35">
                  <a:extLst xmlns:a="http://schemas.openxmlformats.org/drawingml/2006/main">
                    <a:ext uri="{FF2B5EF4-FFF2-40B4-BE49-F238E27FC236}">
                      <a16:creationId xmlns:a16="http://schemas.microsoft.com/office/drawing/2014/main" id="{C1D1D965-33EE-4107-AD51-EC004C5416B1}"/>
                    </a:ext>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274474" cy="2900013"/>
                        </a:xfrm>
                        <a:prstGeom prst="rect">
                          <a:avLst/>
                        </a:prstGeom>
                        <a:noFill/>
                        <a:ln w="12700">
                          <a:solidFill>
                            <a:srgbClr val="A9D18E"/>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01A75EB0" id="Rectangle 35" o:spid="_x0000_s1026" style="position:absolute;margin-left:613.5pt;margin-top:279.4pt;width:179.1pt;height:228.3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" filled="f" strokecolor="#a9d18e" strokeweight="1pt"/>
            </w:pict>
          </mc:Fallback>
        </mc:AlternateContent>
      </w:r>
      <w:r w:rsidR="000F751F" w:rsidRPr="00A07348">
        <w:rPr>
          <w:noProof/>
        </w:rPr>
        <mc:AlternateContent>
          <mc:Choice Requires="wps">
            <w:drawing>
              <wp:anchor distT="0" distB="0" distL="114300" distR="114300" simplePos="0" relativeHeight="251693056" behindDoc="0" locked="0" layoutInCell="1" allowOverlap="1" wp14:anchorId="676772DF" wp14:editId="6F0B7CB3">
                <wp:simplePos x="0" y="0"/>
                <wp:positionH relativeFrom="column">
                  <wp:posOffset>5384800</wp:posOffset>
                </wp:positionH>
                <wp:positionV relativeFrom="paragraph">
                  <wp:posOffset>3327823</wp:posOffset>
                </wp:positionV>
                <wp:extent cx="2205355" cy="444500"/>
                <wp:effectExtent l="0" t="0" r="4445" b="0"/>
                <wp:wrapNone/>
                <wp:docPr id="25" name="Rectangle 24">
                  <a:extLst xmlns:a="http://schemas.openxmlformats.org/drawingml/2006/main">
                    <a:ext uri="{FF2B5EF4-FFF2-40B4-BE49-F238E27FC236}">
                      <a16:creationId xmlns:a16="http://schemas.microsoft.com/office/drawing/2014/main" id="{078B053B-15E5-4E49-9ED6-1FE5939E9A7B}"/>
                    </a:ext>
                  </a:extLst>
                </wp:docPr>
                <wp:cNvGraphicFramePr/>
                <a:graphic xmlns:a="http://schemas.openxmlformats.org/drawingml/2006/main">
                  <a:graphicData uri="http://schemas.microsoft.com/office/word/2010/wordprocessingShape">
                    <wps:wsp>
                      <wps:cNvSpPr/>
                      <wps:spPr>
                        <a:xfrm>
                          <a:off x="0" y="0"/>
                          <a:ext cx="2205355" cy="4445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A6E6061" w14:textId="3E61A1A3" w:rsidR="00023821" w:rsidRDefault="00023821" w:rsidP="00A07348">
                            <w:pPr>
                              <w:pStyle w:val="NormalWeb"/>
                              <w:spacing w:before="0" w:beforeAutospacing="0" w:after="0" w:afterAutospacing="0" w:line="256" w:lineRule="auto"/>
                            </w:pPr>
                            <w:r>
                              <w:rPr>
                                <w:rFonts w:ascii="Segoe UI Semibold" w:hAnsi="Segoe UI Semibold" w:cs="Segoe UI Semibold"/>
                                <w:color w:val="000000" w:themeColor="text1"/>
                                <w:kern w:val="24"/>
                                <w:sz w:val="18"/>
                                <w:szCs w:val="18"/>
                                <w:lang w:val="en-US"/>
                              </w:rPr>
                              <w:t>Ministry of Health COVID-19 guidance for health services</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676772DF" id="Rectangle 24" o:spid="_x0000_s1037" style="position:absolute;margin-left:424pt;margin-top:262.05pt;width:173.65pt;height:3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" fillcolor="white [3212]" stroked="f" strokeweight="2pt">
                <v:textbox>
                  <w:txbxContent>
                    <w:p w14:paraId="7A6E6061" w14:textId="3E61A1A3" w:rsidR="00023821" w:rsidRDefault="00023821" w:rsidP="00A07348">
                      <w:pPr>
                        <w:pStyle w:val="NormalWeb"/>
                        <w:spacing w:before="0" w:beforeAutospacing="0" w:after="0" w:afterAutospacing="0" w:line="256" w:lineRule="auto"/>
                      </w:pPr>
                      <w:r>
                        <w:rPr>
                          <w:rFonts w:ascii="Segoe UI Semibold" w:hAnsi="Segoe UI Semibold" w:cs="Segoe UI Semibold"/>
                          <w:color w:val="000000" w:themeColor="text1"/>
                          <w:kern w:val="24"/>
                          <w:sz w:val="18"/>
                          <w:szCs w:val="18"/>
                          <w:lang w:val="en-US"/>
                        </w:rPr>
                        <w:t>Ministry of Health COVID-19 guidance for health services</w:t>
                      </w:r>
                    </w:p>
                  </w:txbxContent>
                </v:textbox>
              </v:rect>
            </w:pict>
          </mc:Fallback>
        </mc:AlternateContent>
      </w:r>
      <w:r w:rsidR="000F751F" w:rsidRPr="00A07348">
        <w:rPr>
          <w:noProof/>
        </w:rPr>
        <mc:AlternateContent>
          <mc:Choice Requires="wps">
            <w:drawing>
              <wp:anchor distT="0" distB="0" distL="114300" distR="114300" simplePos="0" relativeHeight="251691008" behindDoc="0" locked="0" layoutInCell="1" allowOverlap="1" wp14:anchorId="494E3697" wp14:editId="42A11BB8">
                <wp:simplePos x="0" y="0"/>
                <wp:positionH relativeFrom="column">
                  <wp:posOffset>5278967</wp:posOffset>
                </wp:positionH>
                <wp:positionV relativeFrom="paragraph">
                  <wp:posOffset>3547957</wp:posOffset>
                </wp:positionV>
                <wp:extent cx="2391410" cy="2902796"/>
                <wp:effectExtent l="0" t="0" r="27940" b="12065"/>
                <wp:wrapNone/>
                <wp:docPr id="34" name="Rectangle 33">
                  <a:extLst xmlns:a="http://schemas.openxmlformats.org/drawingml/2006/main">
                    <a:ext uri="{FF2B5EF4-FFF2-40B4-BE49-F238E27FC236}">
                      <a16:creationId xmlns:a16="http://schemas.microsoft.com/office/drawing/2014/main" id="{2BD6B3B1-AAB7-40E0-88AC-DF8F48D4A6D0}"/>
                    </a:ext>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391410" cy="2902796"/>
                        </a:xfrm>
                        <a:prstGeom prst="rect">
                          <a:avLst/>
                        </a:prstGeom>
                        <a:noFill/>
                        <a:ln w="12700">
                          <a:solidFill>
                            <a:srgbClr val="A9D18E"/>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56CB1078" id="Rectangle 33" o:spid="_x0000_s1026" style="position:absolute;margin-left:415.65pt;margin-top:279.35pt;width:188.3pt;height:228.5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" filled="f" strokecolor="#a9d18e" strokeweight="1pt"/>
            </w:pict>
          </mc:Fallback>
        </mc:AlternateContent>
      </w:r>
      <w:r w:rsidR="000F751F" w:rsidRPr="00A07348">
        <w:rPr>
          <w:noProof/>
        </w:rPr>
        <mc:AlternateContent>
          <mc:Choice Requires="wps">
            <w:drawing>
              <wp:anchor distT="0" distB="0" distL="114300" distR="114300" simplePos="0" relativeHeight="251686912" behindDoc="0" locked="0" layoutInCell="1" allowOverlap="1" wp14:anchorId="467D1419" wp14:editId="39B14054">
                <wp:simplePos x="0" y="0"/>
                <wp:positionH relativeFrom="column">
                  <wp:posOffset>2832100</wp:posOffset>
                </wp:positionH>
                <wp:positionV relativeFrom="paragraph">
                  <wp:posOffset>3546898</wp:posOffset>
                </wp:positionV>
                <wp:extent cx="2314575" cy="2903855"/>
                <wp:effectExtent l="0" t="0" r="28575" b="10795"/>
                <wp:wrapNone/>
                <wp:docPr id="29" name="Rectangle 28">
                  <a:extLst xmlns:a="http://schemas.openxmlformats.org/drawingml/2006/main">
                    <a:ext uri="{FF2B5EF4-FFF2-40B4-BE49-F238E27FC236}">
                      <a16:creationId xmlns:a16="http://schemas.microsoft.com/office/drawing/2014/main" id="{FEBC569F-6036-43B1-BF4D-F63383CB232A}"/>
                    </a:ext>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314575" cy="2903855"/>
                        </a:xfrm>
                        <a:prstGeom prst="rect">
                          <a:avLst/>
                        </a:prstGeom>
                        <a:noFill/>
                        <a:ln w="12700">
                          <a:solidFill>
                            <a:srgbClr val="A9D18E"/>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V relativeFrom="margin">
                  <wp14:pctHeight>0</wp14:pctHeight>
                </wp14:sizeRelV>
              </wp:anchor>
            </w:drawing>
          </mc:Choice>
          <mc:Fallback>
            <w:pict>
              <v:rect w14:anchorId="08EB1ABF" id="Rectangle 28" o:spid="_x0000_s1026" style="position:absolute;margin-left:223pt;margin-top:279.3pt;width:182.25pt;height:228.65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" filled="f" strokecolor="#a9d18e" strokeweight="1pt"/>
            </w:pict>
          </mc:Fallback>
        </mc:AlternateContent>
      </w:r>
      <w:r w:rsidR="000F751F" w:rsidRPr="00A07348">
        <w:rPr>
          <w:noProof/>
        </w:rPr>
        <mc:AlternateContent>
          <mc:Choice Requires="wps">
            <w:drawing>
              <wp:anchor distT="0" distB="0" distL="114300" distR="114300" simplePos="0" relativeHeight="251682816" behindDoc="0" locked="0" layoutInCell="1" allowOverlap="1" wp14:anchorId="1E8E9947" wp14:editId="5FFDB23A">
                <wp:simplePos x="0" y="0"/>
                <wp:positionH relativeFrom="column">
                  <wp:posOffset>214065</wp:posOffset>
                </wp:positionH>
                <wp:positionV relativeFrom="paragraph">
                  <wp:posOffset>3545803</wp:posOffset>
                </wp:positionV>
                <wp:extent cx="2521207" cy="2907030"/>
                <wp:effectExtent l="0" t="0" r="12700" b="26670"/>
                <wp:wrapNone/>
                <wp:docPr id="27" name="Rectangle 26">
                  <a:extLst xmlns:a="http://schemas.openxmlformats.org/drawingml/2006/main">
                    <a:ext uri="{FF2B5EF4-FFF2-40B4-BE49-F238E27FC236}">
                      <a16:creationId xmlns:a16="http://schemas.microsoft.com/office/drawing/2014/main" id="{4355F0C1-95E8-4087-830C-C29179EE0FAA}"/>
                    </a:ext>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521207" cy="2907030"/>
                        </a:xfrm>
                        <a:prstGeom prst="rect">
                          <a:avLst/>
                        </a:prstGeom>
                        <a:noFill/>
                        <a:ln w="12700">
                          <a:solidFill>
                            <a:srgbClr val="A9D18E"/>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51F0963F" id="Rectangle 26" o:spid="_x0000_s1026" style="position:absolute;margin-left:16.85pt;margin-top:279.2pt;width:198.5pt;height:228.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" filled="f" strokecolor="#a9d18e" strokeweight="1pt"/>
            </w:pict>
          </mc:Fallback>
        </mc:AlternateContent>
      </w:r>
      <w:r w:rsidR="000F751F" w:rsidRPr="00A07348">
        <w:rPr>
          <w:noProof/>
        </w:rPr>
        <mc:AlternateContent>
          <mc:Choice Requires="wps">
            <w:drawing>
              <wp:anchor distT="0" distB="0" distL="114300" distR="114300" simplePos="0" relativeHeight="251683840" behindDoc="0" locked="0" layoutInCell="1" allowOverlap="1" wp14:anchorId="57A00B21" wp14:editId="0EA58E03">
                <wp:simplePos x="0" y="0"/>
                <wp:positionH relativeFrom="column">
                  <wp:posOffset>171780</wp:posOffset>
                </wp:positionH>
                <wp:positionV relativeFrom="paragraph">
                  <wp:posOffset>3714941</wp:posOffset>
                </wp:positionV>
                <wp:extent cx="2426067" cy="2685518"/>
                <wp:effectExtent l="0" t="0" r="0" b="0"/>
                <wp:wrapNone/>
                <wp:docPr id="8" name="Rectangle 7">
                  <a:extLst xmlns:a="http://schemas.openxmlformats.org/drawingml/2006/main">
                    <a:ext uri="{FF2B5EF4-FFF2-40B4-BE49-F238E27FC236}">
                      <a16:creationId xmlns:a16="http://schemas.microsoft.com/office/drawing/2014/main" id="{99F8A4CE-A0BD-4C98-82E5-125267B1EE5D}"/>
                    </a:ext>
                  </a:extLst>
                </wp:docPr>
                <wp:cNvGraphicFramePr/>
                <a:graphic xmlns:a="http://schemas.openxmlformats.org/drawingml/2006/main">
                  <a:graphicData uri="http://schemas.microsoft.com/office/word/2010/wordprocessingShape">
                    <wps:wsp>
                      <wps:cNvSpPr/>
                      <wps:spPr>
                        <a:xfrm>
                          <a:off x="0" y="0"/>
                          <a:ext cx="2426067" cy="2685518"/>
                        </a:xfrm>
                        <a:prstGeom prst="rect">
                          <a:avLst/>
                        </a:prstGeom>
                      </wps:spPr>
                      <wps:txbx>
                        <w:txbxContent>
                          <w:p w14:paraId="0623DA1D" w14:textId="77777777" w:rsidR="00023821" w:rsidRPr="000F751F" w:rsidRDefault="008B32B0" w:rsidP="00AF08E8">
                            <w:pPr>
                              <w:pStyle w:val="ListParagraph"/>
                              <w:numPr>
                                <w:ilvl w:val="0"/>
                                <w:numId w:val="16"/>
                              </w:numPr>
                              <w:tabs>
                                <w:tab w:val="clear" w:pos="720"/>
                                <w:tab w:val="num" w:pos="851"/>
                              </w:tabs>
                              <w:spacing w:after="0" w:line="252" w:lineRule="auto"/>
                              <w:ind w:left="284" w:hanging="284"/>
                              <w:rPr>
                                <w:rFonts w:ascii="Segoe UI" w:eastAsia="Times New Roman" w:hAnsi="Segoe UI" w:cs="Segoe UI"/>
                                <w:color w:val="000000" w:themeColor="text1"/>
                                <w:kern w:val="24"/>
                                <w:sz w:val="18"/>
                                <w:szCs w:val="18"/>
                              </w:rPr>
                            </w:pPr>
                            <w:hyperlink r:id="rId108" w:history="1">
                              <w:r w:rsidR="00023821" w:rsidRPr="000F751F">
                                <w:rPr>
                                  <w:rFonts w:ascii="Segoe UI" w:eastAsia="Times New Roman" w:hAnsi="Segoe UI" w:cs="Segoe UI"/>
                                  <w:color w:val="000000" w:themeColor="text1"/>
                                  <w:sz w:val="18"/>
                                  <w:szCs w:val="18"/>
                                  <w:u w:val="single"/>
                                </w:rPr>
                                <w:t>Ministry of Health</w:t>
                              </w:r>
                            </w:hyperlink>
                            <w:r w:rsidR="00023821" w:rsidRPr="000F751F">
                              <w:rPr>
                                <w:rFonts w:ascii="Segoe UI" w:eastAsia="Times New Roman" w:hAnsi="Segoe UI" w:cs="Segoe UI"/>
                                <w:color w:val="000000" w:themeColor="text1"/>
                                <w:kern w:val="24"/>
                                <w:sz w:val="18"/>
                                <w:szCs w:val="18"/>
                              </w:rPr>
                              <w:t xml:space="preserve"> information and tools to support mental wellbeing during the COVID-19 response and recovery</w:t>
                            </w:r>
                          </w:p>
                          <w:p w14:paraId="287347C1" w14:textId="79558638" w:rsidR="00023821" w:rsidRPr="000F751F" w:rsidRDefault="008B32B0" w:rsidP="00AF08E8">
                            <w:pPr>
                              <w:pStyle w:val="ListParagraph"/>
                              <w:numPr>
                                <w:ilvl w:val="0"/>
                                <w:numId w:val="16"/>
                              </w:numPr>
                              <w:tabs>
                                <w:tab w:val="clear" w:pos="720"/>
                                <w:tab w:val="num" w:pos="851"/>
                              </w:tabs>
                              <w:spacing w:after="0" w:line="252" w:lineRule="auto"/>
                              <w:ind w:left="284" w:hanging="284"/>
                              <w:rPr>
                                <w:rFonts w:ascii="Segoe UI" w:eastAsia="Times New Roman" w:hAnsi="Segoe UI" w:cs="Segoe UI"/>
                                <w:color w:val="000000" w:themeColor="text1"/>
                                <w:kern w:val="24"/>
                                <w:sz w:val="18"/>
                                <w:szCs w:val="18"/>
                              </w:rPr>
                            </w:pPr>
                            <w:hyperlink r:id="rId109" w:history="1">
                              <w:r w:rsidR="00023821" w:rsidRPr="000F751F">
                                <w:rPr>
                                  <w:rFonts w:ascii="Segoe UI" w:eastAsia="Times New Roman" w:hAnsi="Segoe UI" w:cs="Segoe UI"/>
                                  <w:color w:val="000000" w:themeColor="text1"/>
                                  <w:sz w:val="18"/>
                                  <w:szCs w:val="18"/>
                                  <w:u w:val="single"/>
                                </w:rPr>
                                <w:t>Health Promotion Agency</w:t>
                              </w:r>
                              <w:r w:rsidR="00023821" w:rsidRPr="000F751F">
                                <w:rPr>
                                  <w:rFonts w:ascii="Segoe UI" w:eastAsia="Times New Roman" w:hAnsi="Segoe UI" w:cs="Segoe UI"/>
                                  <w:color w:val="000000" w:themeColor="text1"/>
                                  <w:sz w:val="18"/>
                                  <w:szCs w:val="18"/>
                                </w:rPr>
                                <w:t xml:space="preserve"> </w:t>
                              </w:r>
                            </w:hyperlink>
                            <w:r w:rsidR="00023821" w:rsidRPr="000F751F">
                              <w:rPr>
                                <w:rFonts w:ascii="Segoe UI" w:eastAsia="Times New Roman" w:hAnsi="Segoe UI" w:cs="Segoe UI"/>
                                <w:color w:val="000000" w:themeColor="text1"/>
                                <w:kern w:val="24"/>
                                <w:sz w:val="18"/>
                                <w:szCs w:val="18"/>
                              </w:rPr>
                              <w:t xml:space="preserve">mental wellbeing resources, including for new parents, older people, </w:t>
                            </w:r>
                            <w:r w:rsidR="00023821">
                              <w:rPr>
                                <w:rFonts w:ascii="Segoe UI" w:eastAsia="Times New Roman" w:hAnsi="Segoe UI" w:cs="Segoe UI"/>
                                <w:color w:val="000000" w:themeColor="text1"/>
                                <w:kern w:val="24"/>
                                <w:sz w:val="18"/>
                                <w:szCs w:val="18"/>
                              </w:rPr>
                              <w:t>r</w:t>
                            </w:r>
                            <w:r w:rsidR="00023821" w:rsidRPr="000F751F">
                              <w:rPr>
                                <w:rFonts w:ascii="Segoe UI" w:eastAsia="Times New Roman" w:hAnsi="Segoe UI" w:cs="Segoe UI"/>
                                <w:color w:val="000000" w:themeColor="text1"/>
                                <w:kern w:val="24"/>
                                <w:sz w:val="18"/>
                                <w:szCs w:val="18"/>
                              </w:rPr>
                              <w:t>ainbow communities, the Deaf community and people in rural communities</w:t>
                            </w:r>
                          </w:p>
                          <w:p w14:paraId="699479F2" w14:textId="77777777" w:rsidR="00023821" w:rsidRPr="000F751F" w:rsidRDefault="00023821" w:rsidP="00AF08E8">
                            <w:pPr>
                              <w:pStyle w:val="ListParagraph"/>
                              <w:numPr>
                                <w:ilvl w:val="0"/>
                                <w:numId w:val="16"/>
                              </w:numPr>
                              <w:tabs>
                                <w:tab w:val="clear" w:pos="720"/>
                                <w:tab w:val="num" w:pos="851"/>
                              </w:tabs>
                              <w:spacing w:after="0" w:line="252" w:lineRule="auto"/>
                              <w:ind w:left="284" w:hanging="284"/>
                              <w:rPr>
                                <w:rFonts w:ascii="Segoe UI" w:eastAsia="Times New Roman" w:hAnsi="Segoe UI" w:cs="Segoe UI"/>
                                <w:color w:val="000000" w:themeColor="text1"/>
                                <w:kern w:val="24"/>
                                <w:sz w:val="18"/>
                                <w:szCs w:val="18"/>
                              </w:rPr>
                            </w:pPr>
                            <w:r w:rsidRPr="000F751F">
                              <w:rPr>
                                <w:rFonts w:ascii="Segoe UI" w:eastAsia="Times New Roman" w:hAnsi="Segoe UI" w:cs="Segoe UI"/>
                                <w:color w:val="000000" w:themeColor="text1"/>
                                <w:kern w:val="24"/>
                                <w:sz w:val="18"/>
                                <w:szCs w:val="18"/>
                              </w:rPr>
                              <w:t xml:space="preserve">COVID-19 </w:t>
                            </w:r>
                            <w:hyperlink r:id="rId110" w:history="1">
                              <w:r w:rsidRPr="000F751F">
                                <w:rPr>
                                  <w:rFonts w:ascii="Segoe UI" w:eastAsia="Times New Roman" w:hAnsi="Segoe UI" w:cs="Segoe UI"/>
                                  <w:sz w:val="18"/>
                                  <w:szCs w:val="18"/>
                                  <w:u w:val="single"/>
                                </w:rPr>
                                <w:t xml:space="preserve">factsheets and guidance </w:t>
                              </w:r>
                            </w:hyperlink>
                            <w:r w:rsidRPr="000F751F">
                              <w:rPr>
                                <w:rFonts w:ascii="Segoe UI" w:eastAsia="Times New Roman" w:hAnsi="Segoe UI" w:cs="Segoe UI"/>
                                <w:color w:val="000000" w:themeColor="text1"/>
                                <w:kern w:val="24"/>
                                <w:sz w:val="18"/>
                                <w:szCs w:val="18"/>
                              </w:rPr>
                              <w:t>to ensure help and support is available to people experiencing family violence and sexual violence</w:t>
                            </w:r>
                          </w:p>
                          <w:p w14:paraId="00173A05" w14:textId="77777777" w:rsidR="00023821" w:rsidRPr="000F751F" w:rsidRDefault="008B32B0" w:rsidP="00AF08E8">
                            <w:pPr>
                              <w:pStyle w:val="ListParagraph"/>
                              <w:numPr>
                                <w:ilvl w:val="0"/>
                                <w:numId w:val="16"/>
                              </w:numPr>
                              <w:tabs>
                                <w:tab w:val="clear" w:pos="720"/>
                                <w:tab w:val="num" w:pos="851"/>
                              </w:tabs>
                              <w:spacing w:after="0" w:line="252" w:lineRule="auto"/>
                              <w:ind w:left="284" w:hanging="284"/>
                              <w:rPr>
                                <w:rFonts w:ascii="Segoe UI" w:eastAsia="Times New Roman" w:hAnsi="Segoe UI" w:cs="Segoe UI"/>
                                <w:color w:val="000000" w:themeColor="text1"/>
                                <w:kern w:val="24"/>
                                <w:sz w:val="18"/>
                                <w:szCs w:val="18"/>
                              </w:rPr>
                            </w:pPr>
                            <w:hyperlink r:id="rId111" w:history="1">
                              <w:r w:rsidR="00023821" w:rsidRPr="000F751F">
                                <w:rPr>
                                  <w:rFonts w:ascii="Segoe UI" w:eastAsia="Times New Roman" w:hAnsi="Segoe UI" w:cs="Segoe UI"/>
                                  <w:sz w:val="18"/>
                                  <w:szCs w:val="18"/>
                                  <w:u w:val="single"/>
                                </w:rPr>
                                <w:t>Ministry of Education</w:t>
                              </w:r>
                              <w:r w:rsidR="00023821" w:rsidRPr="000F751F">
                                <w:rPr>
                                  <w:rFonts w:ascii="Segoe UI" w:eastAsia="Times New Roman" w:hAnsi="Segoe UI" w:cs="Segoe UI"/>
                                  <w:sz w:val="18"/>
                                  <w:szCs w:val="18"/>
                                </w:rPr>
                                <w:t xml:space="preserve"> </w:t>
                              </w:r>
                            </w:hyperlink>
                            <w:r w:rsidR="00023821" w:rsidRPr="000F751F">
                              <w:rPr>
                                <w:rFonts w:ascii="Segoe UI" w:eastAsia="Times New Roman" w:hAnsi="Segoe UI" w:cs="Segoe UI"/>
                                <w:color w:val="000000" w:themeColor="text1"/>
                                <w:kern w:val="24"/>
                                <w:sz w:val="18"/>
                                <w:szCs w:val="18"/>
                              </w:rPr>
                              <w:t>information and guidance to support the wellbeing of children and young people during COVID-19</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57A00B21" id="Rectangle 7" o:spid="_x0000_s1038" style="position:absolute;margin-left:13.55pt;margin-top:292.5pt;width:191.05pt;height:211.4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" filled="f" stroked="f">
                <v:textbox>
                  <w:txbxContent>
                    <w:p w14:paraId="0623DA1D" w14:textId="77777777" w:rsidR="00023821" w:rsidRPr="000F751F" w:rsidRDefault="00023821" w:rsidP="00AF08E8">
                      <w:pPr>
                        <w:pStyle w:val="ListParagraph"/>
                        <w:numPr>
                          <w:ilvl w:val="0"/>
                          <w:numId w:val="16"/>
                        </w:numPr>
                        <w:tabs>
                          <w:tab w:val="clear" w:pos="720"/>
                          <w:tab w:val="num" w:pos="851"/>
                        </w:tabs>
                        <w:spacing w:after="0" w:line="252" w:lineRule="auto"/>
                        <w:ind w:left="284" w:hanging="284"/>
                        <w:rPr>
                          <w:rFonts w:ascii="Segoe UI" w:eastAsia="Times New Roman" w:hAnsi="Segoe UI" w:cs="Segoe UI"/>
                          <w:color w:val="000000" w:themeColor="text1"/>
                          <w:kern w:val="24"/>
                          <w:sz w:val="18"/>
                          <w:szCs w:val="18"/>
                        </w:rPr>
                      </w:pPr>
                      <w:hyperlink r:id="rId112" w:history="1">
                        <w:r w:rsidRPr="000F751F">
                          <w:rPr>
                            <w:rFonts w:ascii="Segoe UI" w:eastAsia="Times New Roman" w:hAnsi="Segoe UI" w:cs="Segoe UI"/>
                            <w:color w:val="000000" w:themeColor="text1"/>
                            <w:sz w:val="18"/>
                            <w:szCs w:val="18"/>
                            <w:u w:val="single"/>
                          </w:rPr>
                          <w:t>Ministry of Health</w:t>
                        </w:r>
                      </w:hyperlink>
                      <w:r w:rsidRPr="000F751F">
                        <w:rPr>
                          <w:rFonts w:ascii="Segoe UI" w:eastAsia="Times New Roman" w:hAnsi="Segoe UI" w:cs="Segoe UI"/>
                          <w:color w:val="000000" w:themeColor="text1"/>
                          <w:kern w:val="24"/>
                          <w:sz w:val="18"/>
                          <w:szCs w:val="18"/>
                        </w:rPr>
                        <w:t xml:space="preserve"> information and tools to support mental wellbeing during the COVID-19 response and recovery</w:t>
                      </w:r>
                    </w:p>
                    <w:p w14:paraId="287347C1" w14:textId="79558638" w:rsidR="00023821" w:rsidRPr="000F751F" w:rsidRDefault="00023821" w:rsidP="00AF08E8">
                      <w:pPr>
                        <w:pStyle w:val="ListParagraph"/>
                        <w:numPr>
                          <w:ilvl w:val="0"/>
                          <w:numId w:val="16"/>
                        </w:numPr>
                        <w:tabs>
                          <w:tab w:val="clear" w:pos="720"/>
                          <w:tab w:val="num" w:pos="851"/>
                        </w:tabs>
                        <w:spacing w:after="0" w:line="252" w:lineRule="auto"/>
                        <w:ind w:left="284" w:hanging="284"/>
                        <w:rPr>
                          <w:rFonts w:ascii="Segoe UI" w:eastAsia="Times New Roman" w:hAnsi="Segoe UI" w:cs="Segoe UI"/>
                          <w:color w:val="000000" w:themeColor="text1"/>
                          <w:kern w:val="24"/>
                          <w:sz w:val="18"/>
                          <w:szCs w:val="18"/>
                        </w:rPr>
                      </w:pPr>
                      <w:hyperlink r:id="rId113" w:history="1">
                        <w:r w:rsidRPr="000F751F">
                          <w:rPr>
                            <w:rFonts w:ascii="Segoe UI" w:eastAsia="Times New Roman" w:hAnsi="Segoe UI" w:cs="Segoe UI"/>
                            <w:color w:val="000000" w:themeColor="text1"/>
                            <w:sz w:val="18"/>
                            <w:szCs w:val="18"/>
                            <w:u w:val="single"/>
                          </w:rPr>
                          <w:t>Health Promotion Agency</w:t>
                        </w:r>
                        <w:r w:rsidRPr="000F751F">
                          <w:rPr>
                            <w:rFonts w:ascii="Segoe UI" w:eastAsia="Times New Roman" w:hAnsi="Segoe UI" w:cs="Segoe UI"/>
                            <w:color w:val="000000" w:themeColor="text1"/>
                            <w:sz w:val="18"/>
                            <w:szCs w:val="18"/>
                          </w:rPr>
                          <w:t xml:space="preserve"> </w:t>
                        </w:r>
                      </w:hyperlink>
                      <w:r w:rsidRPr="000F751F">
                        <w:rPr>
                          <w:rFonts w:ascii="Segoe UI" w:eastAsia="Times New Roman" w:hAnsi="Segoe UI" w:cs="Segoe UI"/>
                          <w:color w:val="000000" w:themeColor="text1"/>
                          <w:kern w:val="24"/>
                          <w:sz w:val="18"/>
                          <w:szCs w:val="18"/>
                        </w:rPr>
                        <w:t xml:space="preserve">mental wellbeing resources, including for new parents, older people, </w:t>
                      </w:r>
                      <w:r>
                        <w:rPr>
                          <w:rFonts w:ascii="Segoe UI" w:eastAsia="Times New Roman" w:hAnsi="Segoe UI" w:cs="Segoe UI"/>
                          <w:color w:val="000000" w:themeColor="text1"/>
                          <w:kern w:val="24"/>
                          <w:sz w:val="18"/>
                          <w:szCs w:val="18"/>
                        </w:rPr>
                        <w:t>r</w:t>
                      </w:r>
                      <w:r w:rsidRPr="000F751F">
                        <w:rPr>
                          <w:rFonts w:ascii="Segoe UI" w:eastAsia="Times New Roman" w:hAnsi="Segoe UI" w:cs="Segoe UI"/>
                          <w:color w:val="000000" w:themeColor="text1"/>
                          <w:kern w:val="24"/>
                          <w:sz w:val="18"/>
                          <w:szCs w:val="18"/>
                        </w:rPr>
                        <w:t>ainbow communities, the Deaf community and people in rural communities</w:t>
                      </w:r>
                    </w:p>
                    <w:p w14:paraId="699479F2" w14:textId="77777777" w:rsidR="00023821" w:rsidRPr="000F751F" w:rsidRDefault="00023821" w:rsidP="00AF08E8">
                      <w:pPr>
                        <w:pStyle w:val="ListParagraph"/>
                        <w:numPr>
                          <w:ilvl w:val="0"/>
                          <w:numId w:val="16"/>
                        </w:numPr>
                        <w:tabs>
                          <w:tab w:val="clear" w:pos="720"/>
                          <w:tab w:val="num" w:pos="851"/>
                        </w:tabs>
                        <w:spacing w:after="0" w:line="252" w:lineRule="auto"/>
                        <w:ind w:left="284" w:hanging="284"/>
                        <w:rPr>
                          <w:rFonts w:ascii="Segoe UI" w:eastAsia="Times New Roman" w:hAnsi="Segoe UI" w:cs="Segoe UI"/>
                          <w:color w:val="000000" w:themeColor="text1"/>
                          <w:kern w:val="24"/>
                          <w:sz w:val="18"/>
                          <w:szCs w:val="18"/>
                        </w:rPr>
                      </w:pPr>
                      <w:r w:rsidRPr="000F751F">
                        <w:rPr>
                          <w:rFonts w:ascii="Segoe UI" w:eastAsia="Times New Roman" w:hAnsi="Segoe UI" w:cs="Segoe UI"/>
                          <w:color w:val="000000" w:themeColor="text1"/>
                          <w:kern w:val="24"/>
                          <w:sz w:val="18"/>
                          <w:szCs w:val="18"/>
                        </w:rPr>
                        <w:t xml:space="preserve">COVID-19 </w:t>
                      </w:r>
                      <w:hyperlink r:id="rId114" w:history="1">
                        <w:r w:rsidRPr="000F751F">
                          <w:rPr>
                            <w:rFonts w:ascii="Segoe UI" w:eastAsia="Times New Roman" w:hAnsi="Segoe UI" w:cs="Segoe UI"/>
                            <w:sz w:val="18"/>
                            <w:szCs w:val="18"/>
                            <w:u w:val="single"/>
                          </w:rPr>
                          <w:t xml:space="preserve">factsheets and guidance </w:t>
                        </w:r>
                      </w:hyperlink>
                      <w:r w:rsidRPr="000F751F">
                        <w:rPr>
                          <w:rFonts w:ascii="Segoe UI" w:eastAsia="Times New Roman" w:hAnsi="Segoe UI" w:cs="Segoe UI"/>
                          <w:color w:val="000000" w:themeColor="text1"/>
                          <w:kern w:val="24"/>
                          <w:sz w:val="18"/>
                          <w:szCs w:val="18"/>
                        </w:rPr>
                        <w:t>to ensure help and support is available to people experiencing family violence and sexual violence</w:t>
                      </w:r>
                    </w:p>
                    <w:p w14:paraId="00173A05" w14:textId="77777777" w:rsidR="00023821" w:rsidRPr="000F751F" w:rsidRDefault="00023821" w:rsidP="00AF08E8">
                      <w:pPr>
                        <w:pStyle w:val="ListParagraph"/>
                        <w:numPr>
                          <w:ilvl w:val="0"/>
                          <w:numId w:val="16"/>
                        </w:numPr>
                        <w:tabs>
                          <w:tab w:val="clear" w:pos="720"/>
                          <w:tab w:val="num" w:pos="851"/>
                        </w:tabs>
                        <w:spacing w:after="0" w:line="252" w:lineRule="auto"/>
                        <w:ind w:left="284" w:hanging="284"/>
                        <w:rPr>
                          <w:rFonts w:ascii="Segoe UI" w:eastAsia="Times New Roman" w:hAnsi="Segoe UI" w:cs="Segoe UI"/>
                          <w:color w:val="000000" w:themeColor="text1"/>
                          <w:kern w:val="24"/>
                          <w:sz w:val="18"/>
                          <w:szCs w:val="18"/>
                        </w:rPr>
                      </w:pPr>
                      <w:hyperlink r:id="rId115" w:history="1">
                        <w:r w:rsidRPr="000F751F">
                          <w:rPr>
                            <w:rFonts w:ascii="Segoe UI" w:eastAsia="Times New Roman" w:hAnsi="Segoe UI" w:cs="Segoe UI"/>
                            <w:sz w:val="18"/>
                            <w:szCs w:val="18"/>
                            <w:u w:val="single"/>
                          </w:rPr>
                          <w:t>Ministry of Education</w:t>
                        </w:r>
                        <w:r w:rsidRPr="000F751F">
                          <w:rPr>
                            <w:rFonts w:ascii="Segoe UI" w:eastAsia="Times New Roman" w:hAnsi="Segoe UI" w:cs="Segoe UI"/>
                            <w:sz w:val="18"/>
                            <w:szCs w:val="18"/>
                          </w:rPr>
                          <w:t xml:space="preserve"> </w:t>
                        </w:r>
                      </w:hyperlink>
                      <w:r w:rsidRPr="000F751F">
                        <w:rPr>
                          <w:rFonts w:ascii="Segoe UI" w:eastAsia="Times New Roman" w:hAnsi="Segoe UI" w:cs="Segoe UI"/>
                          <w:color w:val="000000" w:themeColor="text1"/>
                          <w:kern w:val="24"/>
                          <w:sz w:val="18"/>
                          <w:szCs w:val="18"/>
                        </w:rPr>
                        <w:t>information and guidance to support the wellbeing of children and young people during COVID-19</w:t>
                      </w:r>
                    </w:p>
                  </w:txbxContent>
                </v:textbox>
              </v:rect>
            </w:pict>
          </mc:Fallback>
        </mc:AlternateContent>
      </w:r>
      <w:r w:rsidR="00A07348" w:rsidRPr="00107A79">
        <w:rPr>
          <w:noProof/>
        </w:rPr>
        <mc:AlternateContent>
          <mc:Choice Requires="wps">
            <w:drawing>
              <wp:anchor distT="0" distB="0" distL="114300" distR="114300" simplePos="0" relativeHeight="251675648" behindDoc="0" locked="0" layoutInCell="1" allowOverlap="1" wp14:anchorId="3C357240" wp14:editId="59DCA2E0">
                <wp:simplePos x="0" y="0"/>
                <wp:positionH relativeFrom="column">
                  <wp:posOffset>3322320</wp:posOffset>
                </wp:positionH>
                <wp:positionV relativeFrom="paragraph">
                  <wp:posOffset>2957596</wp:posOffset>
                </wp:positionV>
                <wp:extent cx="5161219" cy="332936"/>
                <wp:effectExtent l="0" t="0" r="1905" b="0"/>
                <wp:wrapNone/>
                <wp:docPr id="48" name="Rectangle 47">
                  <a:extLst xmlns:a="http://schemas.openxmlformats.org/drawingml/2006/main">
                    <a:ext uri="{FF2B5EF4-FFF2-40B4-BE49-F238E27FC236}">
                      <a16:creationId xmlns:a16="http://schemas.microsoft.com/office/drawing/2014/main" id="{90A91955-511E-4D81-8E23-B6F143A5EE27}"/>
                    </a:ext>
                  </a:extLst>
                </wp:docPr>
                <wp:cNvGraphicFramePr/>
                <a:graphic xmlns:a="http://schemas.openxmlformats.org/drawingml/2006/main">
                  <a:graphicData uri="http://schemas.microsoft.com/office/word/2010/wordprocessingShape">
                    <wps:wsp>
                      <wps:cNvSpPr/>
                      <wps:spPr>
                        <a:xfrm>
                          <a:off x="0" y="0"/>
                          <a:ext cx="5161219" cy="332936"/>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A1D8CD2" w14:textId="77777777" w:rsidR="00023821" w:rsidRDefault="00023821" w:rsidP="00107A79">
                            <w:pPr>
                              <w:pStyle w:val="NormalWeb"/>
                              <w:spacing w:before="0" w:beforeAutospacing="0" w:after="160" w:afterAutospacing="0"/>
                              <w:jc w:val="center"/>
                            </w:pPr>
                            <w:r>
                              <w:rPr>
                                <w:rFonts w:ascii="Segoe UI Semibold" w:hAnsi="Segoe UI Semibold" w:cs="Segoe UI Semibold"/>
                                <w:color w:val="000000" w:themeColor="text1"/>
                                <w:kern w:val="24"/>
                                <w:lang w:val="en-US"/>
                              </w:rPr>
                              <w:t xml:space="preserve">Resources available to support mental wellbeing and the workforce </w:t>
                            </w:r>
                          </w:p>
                        </w:txbxContent>
                      </wps:txbx>
                      <wps:bodyPr rtlCol="0" anchor="ctr">
                        <a:noAutofit/>
                      </wps:bodyPr>
                    </wps:wsp>
                  </a:graphicData>
                </a:graphic>
                <wp14:sizeRelV relativeFrom="margin">
                  <wp14:pctHeight>0</wp14:pctHeight>
                </wp14:sizeRelV>
              </wp:anchor>
            </w:drawing>
          </mc:Choice>
          <mc:Fallback>
            <w:pict>
              <v:rect w14:anchorId="3C357240" id="Rectangle 47" o:spid="_x0000_s1039" style="position:absolute;margin-left:261.6pt;margin-top:232.9pt;width:406.4pt;height:26.2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" fillcolor="white [3212]" stroked="f" strokeweight="2pt">
                <v:textbox>
                  <w:txbxContent>
                    <w:p w14:paraId="0A1D8CD2" w14:textId="77777777" w:rsidR="00023821" w:rsidRDefault="00023821" w:rsidP="00107A79">
                      <w:pPr>
                        <w:pStyle w:val="NormalWeb"/>
                        <w:spacing w:before="0" w:beforeAutospacing="0" w:after="160" w:afterAutospacing="0"/>
                        <w:jc w:val="center"/>
                      </w:pPr>
                      <w:r>
                        <w:rPr>
                          <w:rFonts w:ascii="Segoe UI Semibold" w:hAnsi="Segoe UI Semibold" w:cs="Segoe UI Semibold"/>
                          <w:color w:val="000000" w:themeColor="text1"/>
                          <w:kern w:val="24"/>
                          <w:lang w:val="en-US"/>
                        </w:rPr>
                        <w:t xml:space="preserve">Resources available to support mental wellbeing and the workforce </w:t>
                      </w:r>
                    </w:p>
                  </w:txbxContent>
                </v:textbox>
              </v:rect>
            </w:pict>
          </mc:Fallback>
        </mc:AlternateContent>
      </w:r>
      <w:r w:rsidR="00A07348" w:rsidRPr="00A07348">
        <w:rPr>
          <w:noProof/>
        </w:rPr>
        <mc:AlternateContent>
          <mc:Choice Requires="wps">
            <w:drawing>
              <wp:anchor distT="0" distB="0" distL="114300" distR="114300" simplePos="0" relativeHeight="251706368" behindDoc="0" locked="0" layoutInCell="1" allowOverlap="1" wp14:anchorId="28D4E0FA" wp14:editId="13E679FA">
                <wp:simplePos x="0" y="0"/>
                <wp:positionH relativeFrom="column">
                  <wp:posOffset>7522845</wp:posOffset>
                </wp:positionH>
                <wp:positionV relativeFrom="paragraph">
                  <wp:posOffset>21248</wp:posOffset>
                </wp:positionV>
                <wp:extent cx="1103246" cy="304800"/>
                <wp:effectExtent l="0" t="0" r="1905" b="0"/>
                <wp:wrapNone/>
                <wp:docPr id="21" name="Rectangle 20">
                  <a:extLst xmlns:a="http://schemas.openxmlformats.org/drawingml/2006/main">
                    <a:ext uri="{FF2B5EF4-FFF2-40B4-BE49-F238E27FC236}">
                      <a16:creationId xmlns:a16="http://schemas.microsoft.com/office/drawing/2014/main" id="{B76FAA95-A228-4C6A-8DA6-1C16C761CCF7}"/>
                    </a:ext>
                  </a:extLst>
                </wp:docPr>
                <wp:cNvGraphicFramePr/>
                <a:graphic xmlns:a="http://schemas.openxmlformats.org/drawingml/2006/main">
                  <a:graphicData uri="http://schemas.microsoft.com/office/word/2010/wordprocessingShape">
                    <wps:wsp>
                      <wps:cNvSpPr/>
                      <wps:spPr>
                        <a:xfrm>
                          <a:off x="0" y="0"/>
                          <a:ext cx="1103246" cy="3048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253C5FA" w14:textId="77777777" w:rsidR="00023821" w:rsidRDefault="00023821" w:rsidP="00A07348">
                            <w:pPr>
                              <w:pStyle w:val="NormalWeb"/>
                              <w:spacing w:before="0" w:beforeAutospacing="0" w:after="160" w:afterAutospacing="0"/>
                              <w:jc w:val="center"/>
                            </w:pPr>
                            <w:r>
                              <w:rPr>
                                <w:rFonts w:ascii="Segoe UI Semibold" w:hAnsi="Segoe UI Semibold" w:cs="Segoe UI Semibold"/>
                                <w:color w:val="000000" w:themeColor="text1"/>
                                <w:kern w:val="24"/>
                              </w:rPr>
                              <w:t xml:space="preserve">Key actions </w:t>
                            </w:r>
                          </w:p>
                        </w:txbxContent>
                      </wps:txbx>
                      <wps:bodyPr rtlCol="0" anchor="ctr">
                        <a:noAutofit/>
                      </wps:bodyPr>
                    </wps:wsp>
                  </a:graphicData>
                </a:graphic>
                <wp14:sizeRelV relativeFrom="margin">
                  <wp14:pctHeight>0</wp14:pctHeight>
                </wp14:sizeRelV>
              </wp:anchor>
            </w:drawing>
          </mc:Choice>
          <mc:Fallback>
            <w:pict>
              <v:rect w14:anchorId="28D4E0FA" id="Rectangle 20" o:spid="_x0000_s1040" style="position:absolute;margin-left:592.35pt;margin-top:1.65pt;width:86.85pt;height:24pt;z-index:251706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" fillcolor="white [3212]" stroked="f" strokeweight="2pt">
                <v:textbox>
                  <w:txbxContent>
                    <w:p w14:paraId="1253C5FA" w14:textId="77777777" w:rsidR="00023821" w:rsidRDefault="00023821" w:rsidP="00A07348">
                      <w:pPr>
                        <w:pStyle w:val="NormalWeb"/>
                        <w:spacing w:before="0" w:beforeAutospacing="0" w:after="160" w:afterAutospacing="0"/>
                        <w:jc w:val="center"/>
                      </w:pPr>
                      <w:r>
                        <w:rPr>
                          <w:rFonts w:ascii="Segoe UI Semibold" w:hAnsi="Segoe UI Semibold" w:cs="Segoe UI Semibold"/>
                          <w:color w:val="000000" w:themeColor="text1"/>
                          <w:kern w:val="24"/>
                        </w:rPr>
                        <w:t xml:space="preserve">Key actions </w:t>
                      </w:r>
                    </w:p>
                  </w:txbxContent>
                </v:textbox>
              </v:rect>
            </w:pict>
          </mc:Fallback>
        </mc:AlternateContent>
      </w:r>
      <w:r w:rsidR="00A07348" w:rsidRPr="00A07348">
        <w:rPr>
          <w:noProof/>
        </w:rPr>
        <mc:AlternateContent>
          <mc:Choice Requires="wps">
            <w:drawing>
              <wp:anchor distT="0" distB="0" distL="114300" distR="114300" simplePos="0" relativeHeight="251702272" behindDoc="0" locked="0" layoutInCell="1" allowOverlap="1" wp14:anchorId="6127DB4E" wp14:editId="63B47068">
                <wp:simplePos x="0" y="0"/>
                <wp:positionH relativeFrom="column">
                  <wp:posOffset>7289409</wp:posOffset>
                </wp:positionH>
                <wp:positionV relativeFrom="paragraph">
                  <wp:posOffset>316035</wp:posOffset>
                </wp:positionV>
                <wp:extent cx="5411373" cy="2520315"/>
                <wp:effectExtent l="0" t="0" r="0" b="0"/>
                <wp:wrapNone/>
                <wp:docPr id="18" name="Rectangle 17">
                  <a:extLst xmlns:a="http://schemas.openxmlformats.org/drawingml/2006/main">
                    <a:ext uri="{FF2B5EF4-FFF2-40B4-BE49-F238E27FC236}">
                      <a16:creationId xmlns:a16="http://schemas.microsoft.com/office/drawing/2014/main" id="{6F3AED5E-1CB2-4C08-96E3-D6C8C95D9A90}"/>
                    </a:ext>
                  </a:extLst>
                </wp:docPr>
                <wp:cNvGraphicFramePr/>
                <a:graphic xmlns:a="http://schemas.openxmlformats.org/drawingml/2006/main">
                  <a:graphicData uri="http://schemas.microsoft.com/office/word/2010/wordprocessingShape">
                    <wps:wsp>
                      <wps:cNvSpPr/>
                      <wps:spPr>
                        <a:xfrm>
                          <a:off x="0" y="0"/>
                          <a:ext cx="5411373" cy="2520315"/>
                        </a:xfrm>
                        <a:prstGeom prst="rect">
                          <a:avLst/>
                        </a:prstGeom>
                      </wps:spPr>
                      <wps:txbx>
                        <w:txbxContent>
                          <w:p w14:paraId="7599932F" w14:textId="77777777" w:rsidR="00023821" w:rsidRPr="00A07348" w:rsidRDefault="00023821" w:rsidP="00AF08E8">
                            <w:pPr>
                              <w:pStyle w:val="ListParagraph"/>
                              <w:numPr>
                                <w:ilvl w:val="0"/>
                                <w:numId w:val="16"/>
                              </w:numPr>
                              <w:tabs>
                                <w:tab w:val="clear" w:pos="720"/>
                                <w:tab w:val="num" w:pos="851"/>
                              </w:tabs>
                              <w:spacing w:after="0" w:line="252" w:lineRule="auto"/>
                              <w:ind w:left="284" w:hanging="284"/>
                              <w:rPr>
                                <w:rFonts w:ascii="Segoe UI" w:eastAsia="Times New Roman" w:hAnsi="Segoe UI" w:cs="Segoe UI"/>
                                <w:color w:val="000000" w:themeColor="text1"/>
                                <w:kern w:val="24"/>
                                <w:sz w:val="18"/>
                                <w:szCs w:val="18"/>
                              </w:rPr>
                            </w:pPr>
                            <w:r w:rsidRPr="00A07348">
                              <w:rPr>
                                <w:rFonts w:ascii="Segoe UI" w:eastAsia="Times New Roman" w:hAnsi="Segoe UI" w:cs="Segoe UI"/>
                                <w:color w:val="000000" w:themeColor="text1"/>
                                <w:kern w:val="24"/>
                                <w:sz w:val="18"/>
                                <w:szCs w:val="18"/>
                              </w:rPr>
                              <w:t>Make sure your staff are safe and well.</w:t>
                            </w:r>
                          </w:p>
                          <w:p w14:paraId="1FB06996" w14:textId="77777777" w:rsidR="00023821" w:rsidRPr="00A07348" w:rsidRDefault="00023821" w:rsidP="00AF08E8">
                            <w:pPr>
                              <w:pStyle w:val="ListParagraph"/>
                              <w:numPr>
                                <w:ilvl w:val="0"/>
                                <w:numId w:val="16"/>
                              </w:numPr>
                              <w:tabs>
                                <w:tab w:val="clear" w:pos="720"/>
                                <w:tab w:val="num" w:pos="851"/>
                              </w:tabs>
                              <w:spacing w:after="0" w:line="252" w:lineRule="auto"/>
                              <w:ind w:left="284" w:hanging="284"/>
                              <w:rPr>
                                <w:rFonts w:ascii="Segoe UI" w:eastAsia="Times New Roman" w:hAnsi="Segoe UI" w:cs="Segoe UI"/>
                                <w:color w:val="000000" w:themeColor="text1"/>
                                <w:kern w:val="24"/>
                                <w:sz w:val="18"/>
                                <w:szCs w:val="18"/>
                              </w:rPr>
                            </w:pPr>
                            <w:r w:rsidRPr="00A07348">
                              <w:rPr>
                                <w:rFonts w:ascii="Segoe UI" w:eastAsia="Times New Roman" w:hAnsi="Segoe UI" w:cs="Segoe UI"/>
                                <w:color w:val="000000" w:themeColor="text1"/>
                                <w:kern w:val="24"/>
                                <w:sz w:val="18"/>
                                <w:szCs w:val="18"/>
                              </w:rPr>
                              <w:t>Refresh your plans for adapting and providing essential services in the COVID Alert Level 2 to 4 environment.</w:t>
                            </w:r>
                          </w:p>
                          <w:p w14:paraId="4DCF6E8B" w14:textId="77777777" w:rsidR="00023821" w:rsidRPr="00A07348" w:rsidRDefault="00023821" w:rsidP="00AF08E8">
                            <w:pPr>
                              <w:pStyle w:val="ListParagraph"/>
                              <w:numPr>
                                <w:ilvl w:val="0"/>
                                <w:numId w:val="16"/>
                              </w:numPr>
                              <w:tabs>
                                <w:tab w:val="clear" w:pos="720"/>
                                <w:tab w:val="num" w:pos="851"/>
                              </w:tabs>
                              <w:spacing w:after="0" w:line="252" w:lineRule="auto"/>
                              <w:ind w:left="284" w:hanging="284"/>
                              <w:rPr>
                                <w:rFonts w:ascii="Segoe UI" w:eastAsia="Times New Roman" w:hAnsi="Segoe UI" w:cs="Segoe UI"/>
                                <w:color w:val="000000" w:themeColor="text1"/>
                                <w:kern w:val="24"/>
                                <w:sz w:val="18"/>
                                <w:szCs w:val="18"/>
                              </w:rPr>
                            </w:pPr>
                            <w:r w:rsidRPr="00A07348">
                              <w:rPr>
                                <w:rFonts w:ascii="Segoe UI" w:eastAsia="Times New Roman" w:hAnsi="Segoe UI" w:cs="Segoe UI"/>
                                <w:color w:val="000000" w:themeColor="text1"/>
                                <w:kern w:val="24"/>
                                <w:sz w:val="18"/>
                                <w:szCs w:val="18"/>
                              </w:rPr>
                              <w:t>Whether you are at national, regional or local levels, coordinate with others to support and deliver mental health and wellbeing services.</w:t>
                            </w:r>
                          </w:p>
                          <w:p w14:paraId="29D0962D" w14:textId="77777777" w:rsidR="00023821" w:rsidRPr="00A07348" w:rsidRDefault="00023821" w:rsidP="00AF08E8">
                            <w:pPr>
                              <w:pStyle w:val="ListParagraph"/>
                              <w:numPr>
                                <w:ilvl w:val="0"/>
                                <w:numId w:val="16"/>
                              </w:numPr>
                              <w:tabs>
                                <w:tab w:val="clear" w:pos="720"/>
                                <w:tab w:val="num" w:pos="851"/>
                              </w:tabs>
                              <w:spacing w:after="0" w:line="252" w:lineRule="auto"/>
                              <w:ind w:left="284" w:hanging="284"/>
                              <w:rPr>
                                <w:rFonts w:ascii="Segoe UI" w:eastAsia="Times New Roman" w:hAnsi="Segoe UI" w:cs="Segoe UI"/>
                                <w:color w:val="000000" w:themeColor="text1"/>
                                <w:kern w:val="24"/>
                                <w:sz w:val="18"/>
                                <w:szCs w:val="18"/>
                              </w:rPr>
                            </w:pPr>
                            <w:r w:rsidRPr="00A07348">
                              <w:rPr>
                                <w:rFonts w:ascii="Segoe UI" w:eastAsia="Times New Roman" w:hAnsi="Segoe UI" w:cs="Segoe UI"/>
                                <w:color w:val="000000" w:themeColor="text1"/>
                                <w:kern w:val="24"/>
                                <w:sz w:val="18"/>
                                <w:szCs w:val="18"/>
                              </w:rPr>
                              <w:t>Maintain a picture of mental health and addiction service needs and use, and share your information.</w:t>
                            </w:r>
                          </w:p>
                          <w:p w14:paraId="421E015B" w14:textId="77777777" w:rsidR="00023821" w:rsidRPr="00A07348" w:rsidRDefault="00023821" w:rsidP="00AF08E8">
                            <w:pPr>
                              <w:pStyle w:val="ListParagraph"/>
                              <w:numPr>
                                <w:ilvl w:val="0"/>
                                <w:numId w:val="16"/>
                              </w:numPr>
                              <w:tabs>
                                <w:tab w:val="clear" w:pos="720"/>
                                <w:tab w:val="num" w:pos="851"/>
                              </w:tabs>
                              <w:spacing w:after="0" w:line="252" w:lineRule="auto"/>
                              <w:ind w:left="284" w:hanging="284"/>
                              <w:rPr>
                                <w:rFonts w:ascii="Segoe UI" w:eastAsia="Times New Roman" w:hAnsi="Segoe UI" w:cs="Segoe UI"/>
                                <w:color w:val="000000" w:themeColor="text1"/>
                                <w:kern w:val="24"/>
                                <w:sz w:val="18"/>
                                <w:szCs w:val="18"/>
                              </w:rPr>
                            </w:pPr>
                            <w:r w:rsidRPr="00A07348">
                              <w:rPr>
                                <w:rFonts w:ascii="Segoe UI" w:eastAsia="Times New Roman" w:hAnsi="Segoe UI" w:cs="Segoe UI"/>
                                <w:color w:val="000000" w:themeColor="text1"/>
                                <w:kern w:val="24"/>
                                <w:sz w:val="18"/>
                                <w:szCs w:val="18"/>
                              </w:rPr>
                              <w:t>Reinforce the government’s mental health and wellbeing messages when you engage with your clients and whānau.</w:t>
                            </w:r>
                          </w:p>
                          <w:p w14:paraId="1426E511" w14:textId="4AD0C751" w:rsidR="00023821" w:rsidRPr="00A07348" w:rsidRDefault="00023821" w:rsidP="00AF08E8">
                            <w:pPr>
                              <w:pStyle w:val="ListParagraph"/>
                              <w:numPr>
                                <w:ilvl w:val="0"/>
                                <w:numId w:val="16"/>
                              </w:numPr>
                              <w:tabs>
                                <w:tab w:val="clear" w:pos="720"/>
                                <w:tab w:val="num" w:pos="851"/>
                              </w:tabs>
                              <w:spacing w:after="0" w:line="252" w:lineRule="auto"/>
                              <w:ind w:left="284" w:hanging="284"/>
                              <w:rPr>
                                <w:rFonts w:ascii="Segoe UI" w:eastAsia="Times New Roman" w:hAnsi="Segoe UI" w:cs="Segoe UI"/>
                                <w:color w:val="000000" w:themeColor="text1"/>
                                <w:kern w:val="24"/>
                                <w:sz w:val="18"/>
                                <w:szCs w:val="18"/>
                              </w:rPr>
                            </w:pPr>
                            <w:r w:rsidRPr="00A07348">
                              <w:rPr>
                                <w:rFonts w:ascii="Segoe UI" w:eastAsia="Times New Roman" w:hAnsi="Segoe UI" w:cs="Segoe UI"/>
                                <w:color w:val="000000" w:themeColor="text1"/>
                                <w:kern w:val="24"/>
                                <w:sz w:val="18"/>
                                <w:szCs w:val="18"/>
                              </w:rPr>
                              <w:t>Seek assistance if you are at risk of being unable to provide essential services. Regional service providers, work with your DHB. National services, or services contracted directly by the Ministry of Health</w:t>
                            </w:r>
                            <w:r>
                              <w:rPr>
                                <w:rFonts w:ascii="Segoe UI" w:eastAsia="Times New Roman" w:hAnsi="Segoe UI" w:cs="Segoe UI"/>
                                <w:color w:val="000000" w:themeColor="text1"/>
                                <w:kern w:val="24"/>
                                <w:sz w:val="18"/>
                                <w:szCs w:val="18"/>
                              </w:rPr>
                              <w:t xml:space="preserve">, contact the Ministry of Health. </w:t>
                            </w:r>
                          </w:p>
                          <w:p w14:paraId="332E6AF5" w14:textId="77777777" w:rsidR="00023821" w:rsidRPr="00A07348" w:rsidRDefault="00023821" w:rsidP="00AF08E8">
                            <w:pPr>
                              <w:pStyle w:val="ListParagraph"/>
                              <w:numPr>
                                <w:ilvl w:val="0"/>
                                <w:numId w:val="16"/>
                              </w:numPr>
                              <w:tabs>
                                <w:tab w:val="clear" w:pos="720"/>
                                <w:tab w:val="num" w:pos="851"/>
                              </w:tabs>
                              <w:spacing w:after="0" w:line="252" w:lineRule="auto"/>
                              <w:ind w:left="284" w:hanging="284"/>
                              <w:rPr>
                                <w:rFonts w:ascii="Segoe UI" w:eastAsia="Times New Roman" w:hAnsi="Segoe UI" w:cs="Segoe UI"/>
                                <w:color w:val="000000" w:themeColor="text1"/>
                                <w:kern w:val="24"/>
                                <w:sz w:val="18"/>
                                <w:szCs w:val="18"/>
                              </w:rPr>
                            </w:pPr>
                            <w:r w:rsidRPr="00A07348">
                              <w:rPr>
                                <w:rFonts w:ascii="Segoe UI" w:eastAsia="Times New Roman" w:hAnsi="Segoe UI" w:cs="Segoe UI"/>
                                <w:color w:val="000000" w:themeColor="text1"/>
                                <w:kern w:val="24"/>
                                <w:sz w:val="18"/>
                                <w:szCs w:val="18"/>
                              </w:rPr>
                              <w:t>Inform other agencies if you are concerned that your clients’ broader welfare needs are not being met (eg, financial support, housing, basic supplies).</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6127DB4E" id="Rectangle 17" o:spid="_x0000_s1041" style="position:absolute;margin-left:573.95pt;margin-top:24.9pt;width:426.1pt;height:198.4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" filled="f" stroked="f">
                <v:textbox>
                  <w:txbxContent>
                    <w:p w14:paraId="7599932F" w14:textId="77777777" w:rsidR="00023821" w:rsidRPr="00A07348" w:rsidRDefault="00023821" w:rsidP="00AF08E8">
                      <w:pPr>
                        <w:pStyle w:val="ListParagraph"/>
                        <w:numPr>
                          <w:ilvl w:val="0"/>
                          <w:numId w:val="16"/>
                        </w:numPr>
                        <w:tabs>
                          <w:tab w:val="clear" w:pos="720"/>
                          <w:tab w:val="num" w:pos="851"/>
                        </w:tabs>
                        <w:spacing w:after="0" w:line="252" w:lineRule="auto"/>
                        <w:ind w:left="284" w:hanging="284"/>
                        <w:rPr>
                          <w:rFonts w:ascii="Segoe UI" w:eastAsia="Times New Roman" w:hAnsi="Segoe UI" w:cs="Segoe UI"/>
                          <w:color w:val="000000" w:themeColor="text1"/>
                          <w:kern w:val="24"/>
                          <w:sz w:val="18"/>
                          <w:szCs w:val="18"/>
                        </w:rPr>
                      </w:pPr>
                      <w:r w:rsidRPr="00A07348">
                        <w:rPr>
                          <w:rFonts w:ascii="Segoe UI" w:eastAsia="Times New Roman" w:hAnsi="Segoe UI" w:cs="Segoe UI"/>
                          <w:color w:val="000000" w:themeColor="text1"/>
                          <w:kern w:val="24"/>
                          <w:sz w:val="18"/>
                          <w:szCs w:val="18"/>
                        </w:rPr>
                        <w:t>Make sure your staff are safe and well.</w:t>
                      </w:r>
                    </w:p>
                    <w:p w14:paraId="1FB06996" w14:textId="77777777" w:rsidR="00023821" w:rsidRPr="00A07348" w:rsidRDefault="00023821" w:rsidP="00AF08E8">
                      <w:pPr>
                        <w:pStyle w:val="ListParagraph"/>
                        <w:numPr>
                          <w:ilvl w:val="0"/>
                          <w:numId w:val="16"/>
                        </w:numPr>
                        <w:tabs>
                          <w:tab w:val="clear" w:pos="720"/>
                          <w:tab w:val="num" w:pos="851"/>
                        </w:tabs>
                        <w:spacing w:after="0" w:line="252" w:lineRule="auto"/>
                        <w:ind w:left="284" w:hanging="284"/>
                        <w:rPr>
                          <w:rFonts w:ascii="Segoe UI" w:eastAsia="Times New Roman" w:hAnsi="Segoe UI" w:cs="Segoe UI"/>
                          <w:color w:val="000000" w:themeColor="text1"/>
                          <w:kern w:val="24"/>
                          <w:sz w:val="18"/>
                          <w:szCs w:val="18"/>
                        </w:rPr>
                      </w:pPr>
                      <w:r w:rsidRPr="00A07348">
                        <w:rPr>
                          <w:rFonts w:ascii="Segoe UI" w:eastAsia="Times New Roman" w:hAnsi="Segoe UI" w:cs="Segoe UI"/>
                          <w:color w:val="000000" w:themeColor="text1"/>
                          <w:kern w:val="24"/>
                          <w:sz w:val="18"/>
                          <w:szCs w:val="18"/>
                        </w:rPr>
                        <w:t>Refresh your plans for adapting and providing essential services in the COVID Alert Level 2 to 4 environment.</w:t>
                      </w:r>
                    </w:p>
                    <w:p w14:paraId="4DCF6E8B" w14:textId="77777777" w:rsidR="00023821" w:rsidRPr="00A07348" w:rsidRDefault="00023821" w:rsidP="00AF08E8">
                      <w:pPr>
                        <w:pStyle w:val="ListParagraph"/>
                        <w:numPr>
                          <w:ilvl w:val="0"/>
                          <w:numId w:val="16"/>
                        </w:numPr>
                        <w:tabs>
                          <w:tab w:val="clear" w:pos="720"/>
                          <w:tab w:val="num" w:pos="851"/>
                        </w:tabs>
                        <w:spacing w:after="0" w:line="252" w:lineRule="auto"/>
                        <w:ind w:left="284" w:hanging="284"/>
                        <w:rPr>
                          <w:rFonts w:ascii="Segoe UI" w:eastAsia="Times New Roman" w:hAnsi="Segoe UI" w:cs="Segoe UI"/>
                          <w:color w:val="000000" w:themeColor="text1"/>
                          <w:kern w:val="24"/>
                          <w:sz w:val="18"/>
                          <w:szCs w:val="18"/>
                        </w:rPr>
                      </w:pPr>
                      <w:r w:rsidRPr="00A07348">
                        <w:rPr>
                          <w:rFonts w:ascii="Segoe UI" w:eastAsia="Times New Roman" w:hAnsi="Segoe UI" w:cs="Segoe UI"/>
                          <w:color w:val="000000" w:themeColor="text1"/>
                          <w:kern w:val="24"/>
                          <w:sz w:val="18"/>
                          <w:szCs w:val="18"/>
                        </w:rPr>
                        <w:t>Whether you are at national, regional or local levels, coordinate with others to support and deliver mental health and wellbeing services.</w:t>
                      </w:r>
                    </w:p>
                    <w:p w14:paraId="29D0962D" w14:textId="77777777" w:rsidR="00023821" w:rsidRPr="00A07348" w:rsidRDefault="00023821" w:rsidP="00AF08E8">
                      <w:pPr>
                        <w:pStyle w:val="ListParagraph"/>
                        <w:numPr>
                          <w:ilvl w:val="0"/>
                          <w:numId w:val="16"/>
                        </w:numPr>
                        <w:tabs>
                          <w:tab w:val="clear" w:pos="720"/>
                          <w:tab w:val="num" w:pos="851"/>
                        </w:tabs>
                        <w:spacing w:after="0" w:line="252" w:lineRule="auto"/>
                        <w:ind w:left="284" w:hanging="284"/>
                        <w:rPr>
                          <w:rFonts w:ascii="Segoe UI" w:eastAsia="Times New Roman" w:hAnsi="Segoe UI" w:cs="Segoe UI"/>
                          <w:color w:val="000000" w:themeColor="text1"/>
                          <w:kern w:val="24"/>
                          <w:sz w:val="18"/>
                          <w:szCs w:val="18"/>
                        </w:rPr>
                      </w:pPr>
                      <w:r w:rsidRPr="00A07348">
                        <w:rPr>
                          <w:rFonts w:ascii="Segoe UI" w:eastAsia="Times New Roman" w:hAnsi="Segoe UI" w:cs="Segoe UI"/>
                          <w:color w:val="000000" w:themeColor="text1"/>
                          <w:kern w:val="24"/>
                          <w:sz w:val="18"/>
                          <w:szCs w:val="18"/>
                        </w:rPr>
                        <w:t>Maintain a picture of mental health and addiction service needs and use, and share your information.</w:t>
                      </w:r>
                    </w:p>
                    <w:p w14:paraId="421E015B" w14:textId="77777777" w:rsidR="00023821" w:rsidRPr="00A07348" w:rsidRDefault="00023821" w:rsidP="00AF08E8">
                      <w:pPr>
                        <w:pStyle w:val="ListParagraph"/>
                        <w:numPr>
                          <w:ilvl w:val="0"/>
                          <w:numId w:val="16"/>
                        </w:numPr>
                        <w:tabs>
                          <w:tab w:val="clear" w:pos="720"/>
                          <w:tab w:val="num" w:pos="851"/>
                        </w:tabs>
                        <w:spacing w:after="0" w:line="252" w:lineRule="auto"/>
                        <w:ind w:left="284" w:hanging="284"/>
                        <w:rPr>
                          <w:rFonts w:ascii="Segoe UI" w:eastAsia="Times New Roman" w:hAnsi="Segoe UI" w:cs="Segoe UI"/>
                          <w:color w:val="000000" w:themeColor="text1"/>
                          <w:kern w:val="24"/>
                          <w:sz w:val="18"/>
                          <w:szCs w:val="18"/>
                        </w:rPr>
                      </w:pPr>
                      <w:r w:rsidRPr="00A07348">
                        <w:rPr>
                          <w:rFonts w:ascii="Segoe UI" w:eastAsia="Times New Roman" w:hAnsi="Segoe UI" w:cs="Segoe UI"/>
                          <w:color w:val="000000" w:themeColor="text1"/>
                          <w:kern w:val="24"/>
                          <w:sz w:val="18"/>
                          <w:szCs w:val="18"/>
                        </w:rPr>
                        <w:t>Reinforce the government’s mental health and wellbeing messages when you engage with your clients and whānau.</w:t>
                      </w:r>
                    </w:p>
                    <w:p w14:paraId="1426E511" w14:textId="4AD0C751" w:rsidR="00023821" w:rsidRPr="00A07348" w:rsidRDefault="00023821" w:rsidP="00AF08E8">
                      <w:pPr>
                        <w:pStyle w:val="ListParagraph"/>
                        <w:numPr>
                          <w:ilvl w:val="0"/>
                          <w:numId w:val="16"/>
                        </w:numPr>
                        <w:tabs>
                          <w:tab w:val="clear" w:pos="720"/>
                          <w:tab w:val="num" w:pos="851"/>
                        </w:tabs>
                        <w:spacing w:after="0" w:line="252" w:lineRule="auto"/>
                        <w:ind w:left="284" w:hanging="284"/>
                        <w:rPr>
                          <w:rFonts w:ascii="Segoe UI" w:eastAsia="Times New Roman" w:hAnsi="Segoe UI" w:cs="Segoe UI"/>
                          <w:color w:val="000000" w:themeColor="text1"/>
                          <w:kern w:val="24"/>
                          <w:sz w:val="18"/>
                          <w:szCs w:val="18"/>
                        </w:rPr>
                      </w:pPr>
                      <w:r w:rsidRPr="00A07348">
                        <w:rPr>
                          <w:rFonts w:ascii="Segoe UI" w:eastAsia="Times New Roman" w:hAnsi="Segoe UI" w:cs="Segoe UI"/>
                          <w:color w:val="000000" w:themeColor="text1"/>
                          <w:kern w:val="24"/>
                          <w:sz w:val="18"/>
                          <w:szCs w:val="18"/>
                        </w:rPr>
                        <w:t>Seek assistance if you are at risk of being unable to provide essential services. Regional service providers, work with your DHB. National services, or services contracted directly by the Ministry of Health</w:t>
                      </w:r>
                      <w:r>
                        <w:rPr>
                          <w:rFonts w:ascii="Segoe UI" w:eastAsia="Times New Roman" w:hAnsi="Segoe UI" w:cs="Segoe UI"/>
                          <w:color w:val="000000" w:themeColor="text1"/>
                          <w:kern w:val="24"/>
                          <w:sz w:val="18"/>
                          <w:szCs w:val="18"/>
                        </w:rPr>
                        <w:t xml:space="preserve">, contact the Ministry of Health. </w:t>
                      </w:r>
                    </w:p>
                    <w:p w14:paraId="332E6AF5" w14:textId="77777777" w:rsidR="00023821" w:rsidRPr="00A07348" w:rsidRDefault="00023821" w:rsidP="00AF08E8">
                      <w:pPr>
                        <w:pStyle w:val="ListParagraph"/>
                        <w:numPr>
                          <w:ilvl w:val="0"/>
                          <w:numId w:val="16"/>
                        </w:numPr>
                        <w:tabs>
                          <w:tab w:val="clear" w:pos="720"/>
                          <w:tab w:val="num" w:pos="851"/>
                        </w:tabs>
                        <w:spacing w:after="0" w:line="252" w:lineRule="auto"/>
                        <w:ind w:left="284" w:hanging="284"/>
                        <w:rPr>
                          <w:rFonts w:ascii="Segoe UI" w:eastAsia="Times New Roman" w:hAnsi="Segoe UI" w:cs="Segoe UI"/>
                          <w:color w:val="000000" w:themeColor="text1"/>
                          <w:kern w:val="24"/>
                          <w:sz w:val="18"/>
                          <w:szCs w:val="18"/>
                        </w:rPr>
                      </w:pPr>
                      <w:r w:rsidRPr="00A07348">
                        <w:rPr>
                          <w:rFonts w:ascii="Segoe UI" w:eastAsia="Times New Roman" w:hAnsi="Segoe UI" w:cs="Segoe UI"/>
                          <w:color w:val="000000" w:themeColor="text1"/>
                          <w:kern w:val="24"/>
                          <w:sz w:val="18"/>
                          <w:szCs w:val="18"/>
                        </w:rPr>
                        <w:t>Inform other agencies if you are concerned that your clients’ broader welfare needs are not being met (eg, financial support, housing, basic supplies).</w:t>
                      </w:r>
                    </w:p>
                  </w:txbxContent>
                </v:textbox>
              </v:rect>
            </w:pict>
          </mc:Fallback>
        </mc:AlternateContent>
      </w:r>
      <w:r w:rsidR="00A07348" w:rsidRPr="00107A79">
        <w:rPr>
          <w:noProof/>
        </w:rPr>
        <mc:AlternateContent>
          <mc:Choice Requires="wps">
            <w:drawing>
              <wp:anchor distT="0" distB="0" distL="114300" distR="114300" simplePos="0" relativeHeight="251669504" behindDoc="0" locked="0" layoutInCell="1" allowOverlap="1" wp14:anchorId="14503430" wp14:editId="7F24E576">
                <wp:simplePos x="0" y="0"/>
                <wp:positionH relativeFrom="column">
                  <wp:posOffset>3688080</wp:posOffset>
                </wp:positionH>
                <wp:positionV relativeFrom="paragraph">
                  <wp:posOffset>325414</wp:posOffset>
                </wp:positionV>
                <wp:extent cx="3441700" cy="2580494"/>
                <wp:effectExtent l="0" t="0" r="0" b="0"/>
                <wp:wrapNone/>
                <wp:docPr id="17" name="Rectangle 16">
                  <a:extLst xmlns:a="http://schemas.openxmlformats.org/drawingml/2006/main">
                    <a:ext uri="{FF2B5EF4-FFF2-40B4-BE49-F238E27FC236}">
                      <a16:creationId xmlns:a16="http://schemas.microsoft.com/office/drawing/2014/main" id="{528CEEAF-36B3-4375-8AA5-31FFB4C7B00F}"/>
                    </a:ext>
                  </a:extLst>
                </wp:docPr>
                <wp:cNvGraphicFramePr/>
                <a:graphic xmlns:a="http://schemas.openxmlformats.org/drawingml/2006/main">
                  <a:graphicData uri="http://schemas.microsoft.com/office/word/2010/wordprocessingShape">
                    <wps:wsp>
                      <wps:cNvSpPr/>
                      <wps:spPr>
                        <a:xfrm>
                          <a:off x="0" y="0"/>
                          <a:ext cx="3441700" cy="2580494"/>
                        </a:xfrm>
                        <a:prstGeom prst="rect">
                          <a:avLst/>
                        </a:prstGeom>
                      </wps:spPr>
                      <wps:txbx>
                        <w:txbxContent>
                          <w:p w14:paraId="42CB4ACE" w14:textId="77777777" w:rsidR="00023821" w:rsidRPr="00A07348" w:rsidRDefault="00023821" w:rsidP="00AF08E8">
                            <w:pPr>
                              <w:pStyle w:val="ListParagraph"/>
                              <w:numPr>
                                <w:ilvl w:val="0"/>
                                <w:numId w:val="16"/>
                              </w:numPr>
                              <w:tabs>
                                <w:tab w:val="clear" w:pos="720"/>
                                <w:tab w:val="num" w:pos="851"/>
                              </w:tabs>
                              <w:spacing w:after="0" w:line="252" w:lineRule="auto"/>
                              <w:ind w:left="284" w:hanging="284"/>
                              <w:rPr>
                                <w:rFonts w:ascii="Segoe UI" w:eastAsia="Times New Roman" w:hAnsi="Segoe UI" w:cs="Segoe UI"/>
                                <w:color w:val="000000" w:themeColor="text1"/>
                                <w:kern w:val="24"/>
                                <w:sz w:val="18"/>
                                <w:szCs w:val="18"/>
                              </w:rPr>
                            </w:pPr>
                            <w:r w:rsidRPr="00A07348">
                              <w:rPr>
                                <w:rFonts w:ascii="Segoe UI" w:eastAsia="Times New Roman" w:hAnsi="Segoe UI" w:cs="Segoe UI"/>
                                <w:color w:val="000000" w:themeColor="text1"/>
                                <w:kern w:val="24"/>
                                <w:sz w:val="18"/>
                                <w:szCs w:val="18"/>
                              </w:rPr>
                              <w:t>Community organisations, iwi and hāpu provide services and support for the mental wellbeing of hapū, iwi, diverse populations, and geographic communities.</w:t>
                            </w:r>
                          </w:p>
                          <w:p w14:paraId="0C018B18" w14:textId="77777777" w:rsidR="00023821" w:rsidRPr="00A07348" w:rsidRDefault="00023821" w:rsidP="00AF08E8">
                            <w:pPr>
                              <w:pStyle w:val="ListParagraph"/>
                              <w:numPr>
                                <w:ilvl w:val="0"/>
                                <w:numId w:val="16"/>
                              </w:numPr>
                              <w:tabs>
                                <w:tab w:val="clear" w:pos="720"/>
                                <w:tab w:val="num" w:pos="851"/>
                              </w:tabs>
                              <w:spacing w:after="0" w:line="252" w:lineRule="auto"/>
                              <w:ind w:left="284" w:hanging="284"/>
                              <w:rPr>
                                <w:rFonts w:ascii="Segoe UI" w:eastAsia="Times New Roman" w:hAnsi="Segoe UI" w:cs="Segoe UI"/>
                                <w:color w:val="000000" w:themeColor="text1"/>
                                <w:kern w:val="24"/>
                                <w:sz w:val="18"/>
                                <w:szCs w:val="18"/>
                              </w:rPr>
                            </w:pPr>
                            <w:r w:rsidRPr="00A07348">
                              <w:rPr>
                                <w:rFonts w:ascii="Segoe UI" w:eastAsia="Times New Roman" w:hAnsi="Segoe UI" w:cs="Segoe UI"/>
                                <w:color w:val="000000" w:themeColor="text1"/>
                                <w:kern w:val="24"/>
                                <w:sz w:val="18"/>
                                <w:szCs w:val="18"/>
                              </w:rPr>
                              <w:t>District health boards run the psychosocial support subfunction in each region within the Civil Defence and Emergency Management (CDEM) welfare support framework.</w:t>
                            </w:r>
                          </w:p>
                          <w:p w14:paraId="3241CB6C" w14:textId="0FDAD2FD" w:rsidR="00023821" w:rsidRPr="00A07348" w:rsidRDefault="00023821" w:rsidP="00AF08E8">
                            <w:pPr>
                              <w:pStyle w:val="ListParagraph"/>
                              <w:numPr>
                                <w:ilvl w:val="0"/>
                                <w:numId w:val="16"/>
                              </w:numPr>
                              <w:tabs>
                                <w:tab w:val="clear" w:pos="720"/>
                                <w:tab w:val="num" w:pos="851"/>
                              </w:tabs>
                              <w:spacing w:after="0" w:line="252" w:lineRule="auto"/>
                              <w:ind w:left="284" w:hanging="284"/>
                              <w:rPr>
                                <w:rFonts w:ascii="Segoe UI" w:eastAsia="Times New Roman" w:hAnsi="Segoe UI" w:cs="Segoe UI"/>
                                <w:color w:val="000000" w:themeColor="text1"/>
                                <w:kern w:val="24"/>
                                <w:sz w:val="18"/>
                                <w:szCs w:val="18"/>
                              </w:rPr>
                            </w:pPr>
                            <w:r w:rsidRPr="00A07348">
                              <w:rPr>
                                <w:rFonts w:ascii="Segoe UI" w:eastAsia="Times New Roman" w:hAnsi="Segoe UI" w:cs="Segoe UI"/>
                                <w:color w:val="000000" w:themeColor="text1"/>
                                <w:kern w:val="24"/>
                                <w:sz w:val="18"/>
                                <w:szCs w:val="18"/>
                              </w:rPr>
                              <w:t>The Ministry of Health provides national leadership and coordination for psychosocial response</w:t>
                            </w:r>
                            <w:r>
                              <w:rPr>
                                <w:rFonts w:ascii="Segoe UI" w:eastAsia="Times New Roman" w:hAnsi="Segoe UI" w:cs="Segoe UI"/>
                                <w:color w:val="000000" w:themeColor="text1"/>
                                <w:kern w:val="24"/>
                                <w:sz w:val="18"/>
                                <w:szCs w:val="18"/>
                              </w:rPr>
                              <w:t>s</w:t>
                            </w:r>
                            <w:r w:rsidRPr="00A07348">
                              <w:rPr>
                                <w:rFonts w:ascii="Segoe UI" w:eastAsia="Times New Roman" w:hAnsi="Segoe UI" w:cs="Segoe UI"/>
                                <w:color w:val="000000" w:themeColor="text1"/>
                                <w:kern w:val="24"/>
                                <w:sz w:val="18"/>
                                <w:szCs w:val="18"/>
                              </w:rPr>
                              <w:t xml:space="preserve"> and development of national mental wellbeing responses to COVID-19.</w:t>
                            </w:r>
                          </w:p>
                          <w:p w14:paraId="2125AE73" w14:textId="77777777" w:rsidR="00023821" w:rsidRPr="00A07348" w:rsidRDefault="00023821" w:rsidP="00AF08E8">
                            <w:pPr>
                              <w:pStyle w:val="ListParagraph"/>
                              <w:numPr>
                                <w:ilvl w:val="0"/>
                                <w:numId w:val="16"/>
                              </w:numPr>
                              <w:tabs>
                                <w:tab w:val="clear" w:pos="720"/>
                                <w:tab w:val="num" w:pos="851"/>
                              </w:tabs>
                              <w:spacing w:after="0" w:line="252" w:lineRule="auto"/>
                              <w:ind w:left="284" w:hanging="284"/>
                              <w:rPr>
                                <w:rFonts w:ascii="Segoe UI" w:eastAsia="Times New Roman" w:hAnsi="Segoe UI" w:cs="Segoe UI"/>
                                <w:color w:val="000000" w:themeColor="text1"/>
                                <w:kern w:val="24"/>
                                <w:sz w:val="18"/>
                                <w:szCs w:val="18"/>
                              </w:rPr>
                            </w:pPr>
                            <w:r w:rsidRPr="00A07348">
                              <w:rPr>
                                <w:rFonts w:ascii="Segoe UI" w:eastAsia="Times New Roman" w:hAnsi="Segoe UI" w:cs="Segoe UI"/>
                                <w:color w:val="000000" w:themeColor="text1"/>
                                <w:kern w:val="24"/>
                                <w:sz w:val="18"/>
                                <w:szCs w:val="18"/>
                              </w:rPr>
                              <w:t>Other government agencies lead and coordinate responses to wellbeing needs.</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14503430" id="Rectangle 16" o:spid="_x0000_s1042" style="position:absolute;margin-left:290.4pt;margin-top:25.6pt;width:271pt;height:203.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" filled="f" stroked="f">
                <v:textbox>
                  <w:txbxContent>
                    <w:p w14:paraId="42CB4ACE" w14:textId="77777777" w:rsidR="00023821" w:rsidRPr="00A07348" w:rsidRDefault="00023821" w:rsidP="00AF08E8">
                      <w:pPr>
                        <w:pStyle w:val="ListParagraph"/>
                        <w:numPr>
                          <w:ilvl w:val="0"/>
                          <w:numId w:val="16"/>
                        </w:numPr>
                        <w:tabs>
                          <w:tab w:val="clear" w:pos="720"/>
                          <w:tab w:val="num" w:pos="851"/>
                        </w:tabs>
                        <w:spacing w:after="0" w:line="252" w:lineRule="auto"/>
                        <w:ind w:left="284" w:hanging="284"/>
                        <w:rPr>
                          <w:rFonts w:ascii="Segoe UI" w:eastAsia="Times New Roman" w:hAnsi="Segoe UI" w:cs="Segoe UI"/>
                          <w:color w:val="000000" w:themeColor="text1"/>
                          <w:kern w:val="24"/>
                          <w:sz w:val="18"/>
                          <w:szCs w:val="18"/>
                        </w:rPr>
                      </w:pPr>
                      <w:r w:rsidRPr="00A07348">
                        <w:rPr>
                          <w:rFonts w:ascii="Segoe UI" w:eastAsia="Times New Roman" w:hAnsi="Segoe UI" w:cs="Segoe UI"/>
                          <w:color w:val="000000" w:themeColor="text1"/>
                          <w:kern w:val="24"/>
                          <w:sz w:val="18"/>
                          <w:szCs w:val="18"/>
                        </w:rPr>
                        <w:t>Community organisations, iwi and hāpu provide services and support for the mental wellbeing of hapū, iwi, diverse populations, and geographic communities.</w:t>
                      </w:r>
                    </w:p>
                    <w:p w14:paraId="0C018B18" w14:textId="77777777" w:rsidR="00023821" w:rsidRPr="00A07348" w:rsidRDefault="00023821" w:rsidP="00AF08E8">
                      <w:pPr>
                        <w:pStyle w:val="ListParagraph"/>
                        <w:numPr>
                          <w:ilvl w:val="0"/>
                          <w:numId w:val="16"/>
                        </w:numPr>
                        <w:tabs>
                          <w:tab w:val="clear" w:pos="720"/>
                          <w:tab w:val="num" w:pos="851"/>
                        </w:tabs>
                        <w:spacing w:after="0" w:line="252" w:lineRule="auto"/>
                        <w:ind w:left="284" w:hanging="284"/>
                        <w:rPr>
                          <w:rFonts w:ascii="Segoe UI" w:eastAsia="Times New Roman" w:hAnsi="Segoe UI" w:cs="Segoe UI"/>
                          <w:color w:val="000000" w:themeColor="text1"/>
                          <w:kern w:val="24"/>
                          <w:sz w:val="18"/>
                          <w:szCs w:val="18"/>
                        </w:rPr>
                      </w:pPr>
                      <w:r w:rsidRPr="00A07348">
                        <w:rPr>
                          <w:rFonts w:ascii="Segoe UI" w:eastAsia="Times New Roman" w:hAnsi="Segoe UI" w:cs="Segoe UI"/>
                          <w:color w:val="000000" w:themeColor="text1"/>
                          <w:kern w:val="24"/>
                          <w:sz w:val="18"/>
                          <w:szCs w:val="18"/>
                        </w:rPr>
                        <w:t>District health boards run the psychosocial support subfunction in each region within the Civil Defence and Emergency Management (CDEM) welfare support framework.</w:t>
                      </w:r>
                    </w:p>
                    <w:p w14:paraId="3241CB6C" w14:textId="0FDAD2FD" w:rsidR="00023821" w:rsidRPr="00A07348" w:rsidRDefault="00023821" w:rsidP="00AF08E8">
                      <w:pPr>
                        <w:pStyle w:val="ListParagraph"/>
                        <w:numPr>
                          <w:ilvl w:val="0"/>
                          <w:numId w:val="16"/>
                        </w:numPr>
                        <w:tabs>
                          <w:tab w:val="clear" w:pos="720"/>
                          <w:tab w:val="num" w:pos="851"/>
                        </w:tabs>
                        <w:spacing w:after="0" w:line="252" w:lineRule="auto"/>
                        <w:ind w:left="284" w:hanging="284"/>
                        <w:rPr>
                          <w:rFonts w:ascii="Segoe UI" w:eastAsia="Times New Roman" w:hAnsi="Segoe UI" w:cs="Segoe UI"/>
                          <w:color w:val="000000" w:themeColor="text1"/>
                          <w:kern w:val="24"/>
                          <w:sz w:val="18"/>
                          <w:szCs w:val="18"/>
                        </w:rPr>
                      </w:pPr>
                      <w:r w:rsidRPr="00A07348">
                        <w:rPr>
                          <w:rFonts w:ascii="Segoe UI" w:eastAsia="Times New Roman" w:hAnsi="Segoe UI" w:cs="Segoe UI"/>
                          <w:color w:val="000000" w:themeColor="text1"/>
                          <w:kern w:val="24"/>
                          <w:sz w:val="18"/>
                          <w:szCs w:val="18"/>
                        </w:rPr>
                        <w:t>The Ministry of Health provides national leadership and coordination for psychosocial response</w:t>
                      </w:r>
                      <w:r>
                        <w:rPr>
                          <w:rFonts w:ascii="Segoe UI" w:eastAsia="Times New Roman" w:hAnsi="Segoe UI" w:cs="Segoe UI"/>
                          <w:color w:val="000000" w:themeColor="text1"/>
                          <w:kern w:val="24"/>
                          <w:sz w:val="18"/>
                          <w:szCs w:val="18"/>
                        </w:rPr>
                        <w:t>s</w:t>
                      </w:r>
                      <w:r w:rsidRPr="00A07348">
                        <w:rPr>
                          <w:rFonts w:ascii="Segoe UI" w:eastAsia="Times New Roman" w:hAnsi="Segoe UI" w:cs="Segoe UI"/>
                          <w:color w:val="000000" w:themeColor="text1"/>
                          <w:kern w:val="24"/>
                          <w:sz w:val="18"/>
                          <w:szCs w:val="18"/>
                        </w:rPr>
                        <w:t xml:space="preserve"> and development of national mental wellbeing responses to COVID-19.</w:t>
                      </w:r>
                    </w:p>
                    <w:p w14:paraId="2125AE73" w14:textId="77777777" w:rsidR="00023821" w:rsidRPr="00A07348" w:rsidRDefault="00023821" w:rsidP="00AF08E8">
                      <w:pPr>
                        <w:pStyle w:val="ListParagraph"/>
                        <w:numPr>
                          <w:ilvl w:val="0"/>
                          <w:numId w:val="16"/>
                        </w:numPr>
                        <w:tabs>
                          <w:tab w:val="clear" w:pos="720"/>
                          <w:tab w:val="num" w:pos="851"/>
                        </w:tabs>
                        <w:spacing w:after="0" w:line="252" w:lineRule="auto"/>
                        <w:ind w:left="284" w:hanging="284"/>
                        <w:rPr>
                          <w:rFonts w:ascii="Segoe UI" w:eastAsia="Times New Roman" w:hAnsi="Segoe UI" w:cs="Segoe UI"/>
                          <w:color w:val="000000" w:themeColor="text1"/>
                          <w:kern w:val="24"/>
                          <w:sz w:val="18"/>
                          <w:szCs w:val="18"/>
                        </w:rPr>
                      </w:pPr>
                      <w:r w:rsidRPr="00A07348">
                        <w:rPr>
                          <w:rFonts w:ascii="Segoe UI" w:eastAsia="Times New Roman" w:hAnsi="Segoe UI" w:cs="Segoe UI"/>
                          <w:color w:val="000000" w:themeColor="text1"/>
                          <w:kern w:val="24"/>
                          <w:sz w:val="18"/>
                          <w:szCs w:val="18"/>
                        </w:rPr>
                        <w:t>Other government agencies lead and coordinate responses to wellbeing needs.</w:t>
                      </w:r>
                    </w:p>
                  </w:txbxContent>
                </v:textbox>
              </v:rect>
            </w:pict>
          </mc:Fallback>
        </mc:AlternateContent>
      </w:r>
      <w:r w:rsidR="00A07348" w:rsidRPr="00107A79">
        <w:rPr>
          <w:noProof/>
        </w:rPr>
        <mc:AlternateContent>
          <mc:Choice Requires="wps">
            <w:drawing>
              <wp:anchor distT="0" distB="0" distL="114300" distR="114300" simplePos="0" relativeHeight="251670528" behindDoc="0" locked="0" layoutInCell="1" allowOverlap="1" wp14:anchorId="5CAC9303" wp14:editId="22AB4180">
                <wp:simplePos x="0" y="0"/>
                <wp:positionH relativeFrom="column">
                  <wp:posOffset>3688080</wp:posOffset>
                </wp:positionH>
                <wp:positionV relativeFrom="paragraph">
                  <wp:posOffset>151912</wp:posOffset>
                </wp:positionV>
                <wp:extent cx="3479165" cy="2754434"/>
                <wp:effectExtent l="0" t="0" r="26035" b="27305"/>
                <wp:wrapNone/>
                <wp:docPr id="19" name="Rectangle 18">
                  <a:extLst xmlns:a="http://schemas.openxmlformats.org/drawingml/2006/main">
                    <a:ext uri="{FF2B5EF4-FFF2-40B4-BE49-F238E27FC236}">
                      <a16:creationId xmlns:a16="http://schemas.microsoft.com/office/drawing/2014/main" id="{F271EE0D-4B99-44ED-B516-BE9A8B3D575B}"/>
                    </a:ext>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479165" cy="2754434"/>
                        </a:xfrm>
                        <a:prstGeom prst="rect">
                          <a:avLst/>
                        </a:prstGeom>
                        <a:noFill/>
                        <a:ln w="12700">
                          <a:solidFill>
                            <a:srgbClr val="A9D18E"/>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519028F2" id="Rectangle 18" o:spid="_x0000_s1026" style="position:absolute;margin-left:290.4pt;margin-top:11.95pt;width:273.95pt;height:216.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" filled="f" strokecolor="#a9d18e" strokeweight="1pt"/>
            </w:pict>
          </mc:Fallback>
        </mc:AlternateContent>
      </w:r>
      <w:r w:rsidR="00A07348" w:rsidRPr="00107A79">
        <w:rPr>
          <w:noProof/>
        </w:rPr>
        <mc:AlternateContent>
          <mc:Choice Requires="wps">
            <w:drawing>
              <wp:anchor distT="0" distB="0" distL="114300" distR="114300" simplePos="0" relativeHeight="251678720" behindDoc="0" locked="0" layoutInCell="1" allowOverlap="1" wp14:anchorId="25E39583" wp14:editId="44755D88">
                <wp:simplePos x="0" y="0"/>
                <wp:positionH relativeFrom="column">
                  <wp:posOffset>246647</wp:posOffset>
                </wp:positionH>
                <wp:positionV relativeFrom="paragraph">
                  <wp:posOffset>6870901</wp:posOffset>
                </wp:positionV>
                <wp:extent cx="12476614" cy="1136650"/>
                <wp:effectExtent l="0" t="0" r="0" b="0"/>
                <wp:wrapNone/>
                <wp:docPr id="31" name="Rectangle 30">
                  <a:extLst xmlns:a="http://schemas.openxmlformats.org/drawingml/2006/main">
                    <a:ext uri="{FF2B5EF4-FFF2-40B4-BE49-F238E27FC236}">
                      <a16:creationId xmlns:a16="http://schemas.microsoft.com/office/drawing/2014/main" id="{A1137F42-6585-4975-999A-8DC8B0A0C992}"/>
                    </a:ext>
                  </a:extLst>
                </wp:docPr>
                <wp:cNvGraphicFramePr/>
                <a:graphic xmlns:a="http://schemas.openxmlformats.org/drawingml/2006/main">
                  <a:graphicData uri="http://schemas.microsoft.com/office/word/2010/wordprocessingShape">
                    <wps:wsp>
                      <wps:cNvSpPr/>
                      <wps:spPr>
                        <a:xfrm>
                          <a:off x="0" y="0"/>
                          <a:ext cx="12476614" cy="1136650"/>
                        </a:xfrm>
                        <a:prstGeom prst="rect">
                          <a:avLst/>
                        </a:prstGeom>
                      </wps:spPr>
                      <wps:txbx>
                        <w:txbxContent>
                          <w:p w14:paraId="5920DB29" w14:textId="77777777" w:rsidR="00023821" w:rsidRPr="00A07348" w:rsidRDefault="00023821" w:rsidP="00AF08E8">
                            <w:pPr>
                              <w:pStyle w:val="ListParagraph"/>
                              <w:numPr>
                                <w:ilvl w:val="0"/>
                                <w:numId w:val="17"/>
                              </w:numPr>
                              <w:tabs>
                                <w:tab w:val="clear" w:pos="720"/>
                                <w:tab w:val="num" w:pos="993"/>
                              </w:tabs>
                              <w:spacing w:before="40" w:after="40" w:line="257" w:lineRule="auto"/>
                              <w:ind w:left="284" w:hanging="284"/>
                              <w:contextualSpacing w:val="0"/>
                              <w:rPr>
                                <w:rFonts w:ascii="Segoe UI" w:eastAsia="Times New Roman" w:hAnsi="Segoe UI" w:cs="Segoe UI"/>
                                <w:sz w:val="18"/>
                                <w:szCs w:val="24"/>
                              </w:rPr>
                            </w:pPr>
                            <w:r w:rsidRPr="00A07348">
                              <w:rPr>
                                <w:rFonts w:ascii="Segoe UI" w:hAnsi="Segoe UI" w:cs="Segoe UI"/>
                                <w:i/>
                                <w:iCs/>
                                <w:color w:val="000000"/>
                                <w:kern w:val="24"/>
                                <w:sz w:val="18"/>
                                <w:szCs w:val="18"/>
                              </w:rPr>
                              <w:t xml:space="preserve">Kia Kaha, Kia Māia, Kia Ora Aotearoa: COVID 19 Psychosocial and Mental Wellbeing Plan </w:t>
                            </w:r>
                            <w:r w:rsidRPr="00A07348">
                              <w:rPr>
                                <w:rFonts w:ascii="Segoe UI" w:hAnsi="Segoe UI" w:cs="Segoe UI"/>
                                <w:color w:val="000000"/>
                                <w:kern w:val="24"/>
                                <w:sz w:val="18"/>
                                <w:szCs w:val="18"/>
                                <w:lang w:val="en-US"/>
                              </w:rPr>
                              <w:t>provides a framework for recovery over the next 12 to 18 months and remains relevant during Alert Levels 2 to 4. It describes affected populations and expectations about the roles and responsibilities of organisations involved in planning, coordinating and delivering psychosocial and mental wellbeing responses</w:t>
                            </w:r>
                          </w:p>
                          <w:p w14:paraId="5C84A7E2" w14:textId="77777777" w:rsidR="00023821" w:rsidRPr="00A07348" w:rsidRDefault="00023821" w:rsidP="00AF08E8">
                            <w:pPr>
                              <w:pStyle w:val="ListParagraph"/>
                              <w:numPr>
                                <w:ilvl w:val="0"/>
                                <w:numId w:val="17"/>
                              </w:numPr>
                              <w:tabs>
                                <w:tab w:val="clear" w:pos="720"/>
                                <w:tab w:val="num" w:pos="993"/>
                              </w:tabs>
                              <w:spacing w:before="40" w:after="40" w:line="257" w:lineRule="auto"/>
                              <w:ind w:left="284" w:hanging="284"/>
                              <w:contextualSpacing w:val="0"/>
                              <w:rPr>
                                <w:rFonts w:ascii="Segoe UI" w:eastAsia="Times New Roman" w:hAnsi="Segoe UI" w:cs="Segoe UI"/>
                                <w:sz w:val="18"/>
                              </w:rPr>
                            </w:pPr>
                            <w:r w:rsidRPr="00A07348">
                              <w:rPr>
                                <w:rFonts w:ascii="Segoe UI" w:hAnsi="Segoe UI" w:cs="Segoe UI"/>
                                <w:i/>
                                <w:iCs/>
                                <w:color w:val="000000"/>
                                <w:kern w:val="24"/>
                                <w:sz w:val="18"/>
                                <w:szCs w:val="18"/>
                                <w:lang w:val="en-US"/>
                              </w:rPr>
                              <w:t>COVID-19 Health and Disability System Response Plan</w:t>
                            </w:r>
                            <w:r w:rsidRPr="00A07348">
                              <w:rPr>
                                <w:rFonts w:ascii="Segoe UI" w:hAnsi="Segoe UI" w:cs="Segoe UI"/>
                                <w:i/>
                                <w:iCs/>
                                <w:color w:val="000000"/>
                                <w:kern w:val="24"/>
                                <w:sz w:val="18"/>
                                <w:szCs w:val="18"/>
                              </w:rPr>
                              <w:t xml:space="preserve"> </w:t>
                            </w:r>
                            <w:r w:rsidRPr="00A07348">
                              <w:rPr>
                                <w:rFonts w:ascii="Segoe UI" w:hAnsi="Segoe UI" w:cs="Segoe UI"/>
                                <w:color w:val="000000"/>
                                <w:kern w:val="24"/>
                                <w:sz w:val="18"/>
                                <w:szCs w:val="18"/>
                                <w:lang w:val="en-US"/>
                              </w:rPr>
                              <w:t>provides a framework for the health and disability sector and related sectors to prepare for and manage the national response to COVID–19</w:t>
                            </w:r>
                          </w:p>
                          <w:p w14:paraId="682969D5" w14:textId="77777777" w:rsidR="00023821" w:rsidRPr="00A07348" w:rsidRDefault="00023821" w:rsidP="00AF08E8">
                            <w:pPr>
                              <w:pStyle w:val="ListParagraph"/>
                              <w:numPr>
                                <w:ilvl w:val="0"/>
                                <w:numId w:val="17"/>
                              </w:numPr>
                              <w:tabs>
                                <w:tab w:val="clear" w:pos="720"/>
                                <w:tab w:val="num" w:pos="993"/>
                              </w:tabs>
                              <w:spacing w:before="40" w:after="40" w:line="257" w:lineRule="auto"/>
                              <w:ind w:left="284" w:hanging="284"/>
                              <w:contextualSpacing w:val="0"/>
                              <w:rPr>
                                <w:rFonts w:ascii="Segoe UI" w:eastAsia="Times New Roman" w:hAnsi="Segoe UI" w:cs="Segoe UI"/>
                                <w:sz w:val="18"/>
                              </w:rPr>
                            </w:pPr>
                            <w:r w:rsidRPr="00A07348">
                              <w:rPr>
                                <w:rFonts w:ascii="Segoe UI" w:hAnsi="Segoe UI" w:cs="Segoe UI"/>
                                <w:i/>
                                <w:iCs/>
                                <w:color w:val="000000"/>
                                <w:kern w:val="24"/>
                                <w:sz w:val="18"/>
                                <w:szCs w:val="18"/>
                                <w:lang w:val="en-US"/>
                              </w:rPr>
                              <w:t xml:space="preserve">Whakamaua: Māori Health Action Plan 2020–2025 </w:t>
                            </w:r>
                            <w:r w:rsidRPr="00A07348">
                              <w:rPr>
                                <w:rFonts w:ascii="Segoe UI" w:hAnsi="Segoe UI" w:cs="Segoe UI"/>
                                <w:color w:val="000000"/>
                                <w:kern w:val="24"/>
                                <w:sz w:val="18"/>
                                <w:szCs w:val="18"/>
                                <w:lang w:val="en-US"/>
                              </w:rPr>
                              <w:t>sets the direction for Māori health advancement over the next five years</w:t>
                            </w:r>
                          </w:p>
                          <w:p w14:paraId="17CDFD54" w14:textId="77777777" w:rsidR="00023821" w:rsidRPr="00A07348" w:rsidRDefault="00023821" w:rsidP="00AF08E8">
                            <w:pPr>
                              <w:pStyle w:val="ListParagraph"/>
                              <w:numPr>
                                <w:ilvl w:val="0"/>
                                <w:numId w:val="17"/>
                              </w:numPr>
                              <w:tabs>
                                <w:tab w:val="clear" w:pos="720"/>
                                <w:tab w:val="num" w:pos="993"/>
                              </w:tabs>
                              <w:spacing w:before="40" w:after="40" w:line="257" w:lineRule="auto"/>
                              <w:ind w:left="284" w:hanging="284"/>
                              <w:contextualSpacing w:val="0"/>
                              <w:rPr>
                                <w:rFonts w:ascii="Segoe UI" w:eastAsia="Times New Roman" w:hAnsi="Segoe UI" w:cs="Segoe UI"/>
                                <w:sz w:val="18"/>
                              </w:rPr>
                            </w:pPr>
                            <w:r w:rsidRPr="00A07348">
                              <w:rPr>
                                <w:rFonts w:ascii="Segoe UI" w:hAnsi="Segoe UI" w:cs="Segoe UI"/>
                                <w:i/>
                                <w:iCs/>
                                <w:color w:val="000000"/>
                                <w:kern w:val="24"/>
                                <w:sz w:val="18"/>
                                <w:szCs w:val="18"/>
                                <w:lang w:val="en-US"/>
                              </w:rPr>
                              <w:t xml:space="preserve">Ola Manuia: Pacific Health and Wellbeing Action Plan 2020–2025 </w:t>
                            </w:r>
                            <w:r w:rsidRPr="00A07348">
                              <w:rPr>
                                <w:rFonts w:ascii="Segoe UI" w:hAnsi="Segoe UI" w:cs="Segoe UI"/>
                                <w:color w:val="000000" w:themeColor="text1"/>
                                <w:kern w:val="24"/>
                                <w:sz w:val="18"/>
                                <w:szCs w:val="18"/>
                                <w:lang w:val="en-US"/>
                              </w:rPr>
                              <w:t>sets out outcomes and actions to improve the health and wellbeing of Pacific populations living in Aotearoa New Zealand</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25E39583" id="Rectangle 30" o:spid="_x0000_s1043" style="position:absolute;margin-left:19.4pt;margin-top:541pt;width:982.4pt;height:89.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" filled="f" stroked="f">
                <v:textbox>
                  <w:txbxContent>
                    <w:p w14:paraId="5920DB29" w14:textId="77777777" w:rsidR="00023821" w:rsidRPr="00A07348" w:rsidRDefault="00023821" w:rsidP="00AF08E8">
                      <w:pPr>
                        <w:pStyle w:val="ListParagraph"/>
                        <w:numPr>
                          <w:ilvl w:val="0"/>
                          <w:numId w:val="17"/>
                        </w:numPr>
                        <w:tabs>
                          <w:tab w:val="clear" w:pos="720"/>
                          <w:tab w:val="num" w:pos="993"/>
                        </w:tabs>
                        <w:spacing w:before="40" w:after="40" w:line="257" w:lineRule="auto"/>
                        <w:ind w:left="284" w:hanging="284"/>
                        <w:contextualSpacing w:val="0"/>
                        <w:rPr>
                          <w:rFonts w:ascii="Segoe UI" w:eastAsia="Times New Roman" w:hAnsi="Segoe UI" w:cs="Segoe UI"/>
                          <w:sz w:val="18"/>
                          <w:szCs w:val="24"/>
                        </w:rPr>
                      </w:pPr>
                      <w:r w:rsidRPr="00A07348">
                        <w:rPr>
                          <w:rFonts w:ascii="Segoe UI" w:hAnsi="Segoe UI" w:cs="Segoe UI"/>
                          <w:i/>
                          <w:iCs/>
                          <w:color w:val="000000"/>
                          <w:kern w:val="24"/>
                          <w:sz w:val="18"/>
                          <w:szCs w:val="18"/>
                        </w:rPr>
                        <w:t xml:space="preserve">Kia Kaha, Kia Māia, Kia Ora Aotearoa: COVID 19 Psychosocial and Mental Wellbeing Plan </w:t>
                      </w:r>
                      <w:r w:rsidRPr="00A07348">
                        <w:rPr>
                          <w:rFonts w:ascii="Segoe UI" w:hAnsi="Segoe UI" w:cs="Segoe UI"/>
                          <w:color w:val="000000"/>
                          <w:kern w:val="24"/>
                          <w:sz w:val="18"/>
                          <w:szCs w:val="18"/>
                          <w:lang w:val="en-US"/>
                        </w:rPr>
                        <w:t>provides a framework for recovery over the next 12 to 18 months and remains relevant during Alert Levels 2 to 4. It describes affected populations and expectations about the roles and responsibilities of organisations involved in planning, coordinating and delivering psychosocial and mental wellbeing responses</w:t>
                      </w:r>
                    </w:p>
                    <w:p w14:paraId="5C84A7E2" w14:textId="77777777" w:rsidR="00023821" w:rsidRPr="00A07348" w:rsidRDefault="00023821" w:rsidP="00AF08E8">
                      <w:pPr>
                        <w:pStyle w:val="ListParagraph"/>
                        <w:numPr>
                          <w:ilvl w:val="0"/>
                          <w:numId w:val="17"/>
                        </w:numPr>
                        <w:tabs>
                          <w:tab w:val="clear" w:pos="720"/>
                          <w:tab w:val="num" w:pos="993"/>
                        </w:tabs>
                        <w:spacing w:before="40" w:after="40" w:line="257" w:lineRule="auto"/>
                        <w:ind w:left="284" w:hanging="284"/>
                        <w:contextualSpacing w:val="0"/>
                        <w:rPr>
                          <w:rFonts w:ascii="Segoe UI" w:eastAsia="Times New Roman" w:hAnsi="Segoe UI" w:cs="Segoe UI"/>
                          <w:sz w:val="18"/>
                        </w:rPr>
                      </w:pPr>
                      <w:r w:rsidRPr="00A07348">
                        <w:rPr>
                          <w:rFonts w:ascii="Segoe UI" w:hAnsi="Segoe UI" w:cs="Segoe UI"/>
                          <w:i/>
                          <w:iCs/>
                          <w:color w:val="000000"/>
                          <w:kern w:val="24"/>
                          <w:sz w:val="18"/>
                          <w:szCs w:val="18"/>
                          <w:lang w:val="en-US"/>
                        </w:rPr>
                        <w:t>COVID-19 Health and Disability System Response Plan</w:t>
                      </w:r>
                      <w:r w:rsidRPr="00A07348">
                        <w:rPr>
                          <w:rFonts w:ascii="Segoe UI" w:hAnsi="Segoe UI" w:cs="Segoe UI"/>
                          <w:i/>
                          <w:iCs/>
                          <w:color w:val="000000"/>
                          <w:kern w:val="24"/>
                          <w:sz w:val="18"/>
                          <w:szCs w:val="18"/>
                        </w:rPr>
                        <w:t xml:space="preserve"> </w:t>
                      </w:r>
                      <w:r w:rsidRPr="00A07348">
                        <w:rPr>
                          <w:rFonts w:ascii="Segoe UI" w:hAnsi="Segoe UI" w:cs="Segoe UI"/>
                          <w:color w:val="000000"/>
                          <w:kern w:val="24"/>
                          <w:sz w:val="18"/>
                          <w:szCs w:val="18"/>
                          <w:lang w:val="en-US"/>
                        </w:rPr>
                        <w:t>provides a framework for the health and disability sector and related sectors to prepare for and manage the national response to COVID–19</w:t>
                      </w:r>
                    </w:p>
                    <w:p w14:paraId="682969D5" w14:textId="77777777" w:rsidR="00023821" w:rsidRPr="00A07348" w:rsidRDefault="00023821" w:rsidP="00AF08E8">
                      <w:pPr>
                        <w:pStyle w:val="ListParagraph"/>
                        <w:numPr>
                          <w:ilvl w:val="0"/>
                          <w:numId w:val="17"/>
                        </w:numPr>
                        <w:tabs>
                          <w:tab w:val="clear" w:pos="720"/>
                          <w:tab w:val="num" w:pos="993"/>
                        </w:tabs>
                        <w:spacing w:before="40" w:after="40" w:line="257" w:lineRule="auto"/>
                        <w:ind w:left="284" w:hanging="284"/>
                        <w:contextualSpacing w:val="0"/>
                        <w:rPr>
                          <w:rFonts w:ascii="Segoe UI" w:eastAsia="Times New Roman" w:hAnsi="Segoe UI" w:cs="Segoe UI"/>
                          <w:sz w:val="18"/>
                        </w:rPr>
                      </w:pPr>
                      <w:r w:rsidRPr="00A07348">
                        <w:rPr>
                          <w:rFonts w:ascii="Segoe UI" w:hAnsi="Segoe UI" w:cs="Segoe UI"/>
                          <w:i/>
                          <w:iCs/>
                          <w:color w:val="000000"/>
                          <w:kern w:val="24"/>
                          <w:sz w:val="18"/>
                          <w:szCs w:val="18"/>
                          <w:lang w:val="en-US"/>
                        </w:rPr>
                        <w:t xml:space="preserve">Whakamaua: Māori Health Action Plan 2020–2025 </w:t>
                      </w:r>
                      <w:r w:rsidRPr="00A07348">
                        <w:rPr>
                          <w:rFonts w:ascii="Segoe UI" w:hAnsi="Segoe UI" w:cs="Segoe UI"/>
                          <w:color w:val="000000"/>
                          <w:kern w:val="24"/>
                          <w:sz w:val="18"/>
                          <w:szCs w:val="18"/>
                          <w:lang w:val="en-US"/>
                        </w:rPr>
                        <w:t>sets the direction for Māori health advancement over the next five years</w:t>
                      </w:r>
                    </w:p>
                    <w:p w14:paraId="17CDFD54" w14:textId="77777777" w:rsidR="00023821" w:rsidRPr="00A07348" w:rsidRDefault="00023821" w:rsidP="00AF08E8">
                      <w:pPr>
                        <w:pStyle w:val="ListParagraph"/>
                        <w:numPr>
                          <w:ilvl w:val="0"/>
                          <w:numId w:val="17"/>
                        </w:numPr>
                        <w:tabs>
                          <w:tab w:val="clear" w:pos="720"/>
                          <w:tab w:val="num" w:pos="993"/>
                        </w:tabs>
                        <w:spacing w:before="40" w:after="40" w:line="257" w:lineRule="auto"/>
                        <w:ind w:left="284" w:hanging="284"/>
                        <w:contextualSpacing w:val="0"/>
                        <w:rPr>
                          <w:rFonts w:ascii="Segoe UI" w:eastAsia="Times New Roman" w:hAnsi="Segoe UI" w:cs="Segoe UI"/>
                          <w:sz w:val="18"/>
                        </w:rPr>
                      </w:pPr>
                      <w:r w:rsidRPr="00A07348">
                        <w:rPr>
                          <w:rFonts w:ascii="Segoe UI" w:hAnsi="Segoe UI" w:cs="Segoe UI"/>
                          <w:i/>
                          <w:iCs/>
                          <w:color w:val="000000"/>
                          <w:kern w:val="24"/>
                          <w:sz w:val="18"/>
                          <w:szCs w:val="18"/>
                          <w:lang w:val="en-US"/>
                        </w:rPr>
                        <w:t xml:space="preserve">Ola Manuia: Pacific Health and Wellbeing Action Plan 2020–2025 </w:t>
                      </w:r>
                      <w:r w:rsidRPr="00A07348">
                        <w:rPr>
                          <w:rFonts w:ascii="Segoe UI" w:hAnsi="Segoe UI" w:cs="Segoe UI"/>
                          <w:color w:val="000000" w:themeColor="text1"/>
                          <w:kern w:val="24"/>
                          <w:sz w:val="18"/>
                          <w:szCs w:val="18"/>
                          <w:lang w:val="en-US"/>
                        </w:rPr>
                        <w:t>sets out outcomes and actions to improve the health and wellbeing of Pacific populations living in Aotearoa New Zealand</w:t>
                      </w:r>
                    </w:p>
                  </w:txbxContent>
                </v:textbox>
              </v:rect>
            </w:pict>
          </mc:Fallback>
        </mc:AlternateContent>
      </w:r>
      <w:r w:rsidR="00A07348" w:rsidRPr="00A07348">
        <w:rPr>
          <w:noProof/>
        </w:rPr>
        <mc:AlternateContent>
          <mc:Choice Requires="wps">
            <w:drawing>
              <wp:anchor distT="0" distB="0" distL="114300" distR="114300" simplePos="0" relativeHeight="251680768" behindDoc="0" locked="0" layoutInCell="1" allowOverlap="1" wp14:anchorId="7C6826C4" wp14:editId="24DD2BA2">
                <wp:simplePos x="0" y="0"/>
                <wp:positionH relativeFrom="column">
                  <wp:posOffset>2923674</wp:posOffset>
                </wp:positionH>
                <wp:positionV relativeFrom="paragraph">
                  <wp:posOffset>6534016</wp:posOffset>
                </wp:positionV>
                <wp:extent cx="6502512" cy="336885"/>
                <wp:effectExtent l="0" t="0" r="0" b="6350"/>
                <wp:wrapNone/>
                <wp:docPr id="42" name="Rectangle 41">
                  <a:extLst xmlns:a="http://schemas.openxmlformats.org/drawingml/2006/main">
                    <a:ext uri="{FF2B5EF4-FFF2-40B4-BE49-F238E27FC236}">
                      <a16:creationId xmlns:a16="http://schemas.microsoft.com/office/drawing/2014/main" id="{C598E891-5287-4D3E-8761-93D9C33FE28E}"/>
                    </a:ext>
                  </a:extLst>
                </wp:docPr>
                <wp:cNvGraphicFramePr/>
                <a:graphic xmlns:a="http://schemas.openxmlformats.org/drawingml/2006/main">
                  <a:graphicData uri="http://schemas.microsoft.com/office/word/2010/wordprocessingShape">
                    <wps:wsp>
                      <wps:cNvSpPr/>
                      <wps:spPr>
                        <a:xfrm>
                          <a:off x="0" y="0"/>
                          <a:ext cx="6502512" cy="33688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EB9A7FC" w14:textId="77777777" w:rsidR="00023821" w:rsidRDefault="00023821" w:rsidP="00A07348">
                            <w:pPr>
                              <w:pStyle w:val="NormalWeb"/>
                              <w:spacing w:before="0" w:beforeAutospacing="0" w:after="160" w:afterAutospacing="0"/>
                              <w:jc w:val="center"/>
                            </w:pPr>
                            <w:r>
                              <w:rPr>
                                <w:rFonts w:ascii="Segoe UI Semibold" w:hAnsi="Segoe UI Semibold" w:cs="Segoe UI Semibold"/>
                                <w:color w:val="000000" w:themeColor="text1"/>
                                <w:kern w:val="24"/>
                                <w:lang w:val="en-US"/>
                              </w:rPr>
                              <w:t>Relevant plans and resources specific to supporting health and wellbeing during COVID-19</w:t>
                            </w:r>
                          </w:p>
                        </w:txbxContent>
                      </wps:txbx>
                      <wps:bodyPr rtlCol="0" anchor="ctr">
                        <a:noAutofit/>
                      </wps:bodyPr>
                    </wps:wsp>
                  </a:graphicData>
                </a:graphic>
                <wp14:sizeRelV relativeFrom="margin">
                  <wp14:pctHeight>0</wp14:pctHeight>
                </wp14:sizeRelV>
              </wp:anchor>
            </w:drawing>
          </mc:Choice>
          <mc:Fallback>
            <w:pict>
              <v:rect w14:anchorId="7C6826C4" id="Rectangle 41" o:spid="_x0000_s1044" style="position:absolute;margin-left:230.2pt;margin-top:514.5pt;width:512pt;height:26.55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" fillcolor="white [3212]" stroked="f" strokeweight="2pt">
                <v:textbox>
                  <w:txbxContent>
                    <w:p w14:paraId="4EB9A7FC" w14:textId="77777777" w:rsidR="00023821" w:rsidRDefault="00023821" w:rsidP="00A07348">
                      <w:pPr>
                        <w:pStyle w:val="NormalWeb"/>
                        <w:spacing w:before="0" w:beforeAutospacing="0" w:after="160" w:afterAutospacing="0"/>
                        <w:jc w:val="center"/>
                      </w:pPr>
                      <w:r>
                        <w:rPr>
                          <w:rFonts w:ascii="Segoe UI Semibold" w:hAnsi="Segoe UI Semibold" w:cs="Segoe UI Semibold"/>
                          <w:color w:val="000000" w:themeColor="text1"/>
                          <w:kern w:val="24"/>
                          <w:lang w:val="en-US"/>
                        </w:rPr>
                        <w:t>Relevant plans and resources specific to supporting health and wellbeing during COVID-19</w:t>
                      </w:r>
                    </w:p>
                  </w:txbxContent>
                </v:textbox>
              </v:rect>
            </w:pict>
          </mc:Fallback>
        </mc:AlternateContent>
      </w:r>
      <w:r w:rsidR="00107A79" w:rsidRPr="00107A79">
        <w:rPr>
          <w:noProof/>
        </w:rPr>
        <mc:AlternateContent>
          <mc:Choice Requires="wps">
            <w:drawing>
              <wp:anchor distT="0" distB="0" distL="114300" distR="114300" simplePos="0" relativeHeight="251663360" behindDoc="0" locked="0" layoutInCell="1" allowOverlap="1" wp14:anchorId="50F3D8E9" wp14:editId="1EFC8A98">
                <wp:simplePos x="0" y="0"/>
                <wp:positionH relativeFrom="column">
                  <wp:posOffset>139455</wp:posOffset>
                </wp:positionH>
                <wp:positionV relativeFrom="paragraph">
                  <wp:posOffset>153052</wp:posOffset>
                </wp:positionV>
                <wp:extent cx="3453564" cy="2764383"/>
                <wp:effectExtent l="0" t="0" r="13970" b="17145"/>
                <wp:wrapNone/>
                <wp:docPr id="22" name="Rectangle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453564" cy="2764383"/>
                        </a:xfrm>
                        <a:prstGeom prst="rect">
                          <a:avLst/>
                        </a:prstGeom>
                        <a:noFill/>
                        <a:ln w="12700">
                          <a:solidFill>
                            <a:srgbClr val="A9D18E"/>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107BA468" id="Rectangle 5" o:spid="_x0000_s1026" style="position:absolute;margin-left:11pt;margin-top:12.05pt;width:271.95pt;height:217.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" filled="f" strokecolor="#a9d18e" strokeweight="1pt"/>
            </w:pict>
          </mc:Fallback>
        </mc:AlternateContent>
      </w:r>
      <w:r w:rsidR="00107A79" w:rsidRPr="00107A79">
        <w:rPr>
          <w:noProof/>
        </w:rPr>
        <mc:AlternateContent>
          <mc:Choice Requires="wps">
            <w:drawing>
              <wp:anchor distT="0" distB="0" distL="114300" distR="114300" simplePos="0" relativeHeight="251664384" behindDoc="0" locked="0" layoutInCell="1" allowOverlap="1" wp14:anchorId="52080100" wp14:editId="16F03BA8">
                <wp:simplePos x="0" y="0"/>
                <wp:positionH relativeFrom="column">
                  <wp:posOffset>139455</wp:posOffset>
                </wp:positionH>
                <wp:positionV relativeFrom="paragraph">
                  <wp:posOffset>350760</wp:posOffset>
                </wp:positionV>
                <wp:extent cx="3392812" cy="1972310"/>
                <wp:effectExtent l="0" t="0" r="0" b="0"/>
                <wp:wrapNone/>
                <wp:docPr id="12" name="Rectangle 11">
                  <a:extLst xmlns:a="http://schemas.openxmlformats.org/drawingml/2006/main">
                    <a:ext uri="{FF2B5EF4-FFF2-40B4-BE49-F238E27FC236}">
                      <a16:creationId xmlns:a16="http://schemas.microsoft.com/office/drawing/2014/main" id="{96372250-F8A6-4ACF-8186-FB414170BD3D}"/>
                    </a:ext>
                  </a:extLst>
                </wp:docPr>
                <wp:cNvGraphicFramePr/>
                <a:graphic xmlns:a="http://schemas.openxmlformats.org/drawingml/2006/main">
                  <a:graphicData uri="http://schemas.microsoft.com/office/word/2010/wordprocessingShape">
                    <wps:wsp>
                      <wps:cNvSpPr/>
                      <wps:spPr>
                        <a:xfrm>
                          <a:off x="0" y="0"/>
                          <a:ext cx="3392812" cy="1972310"/>
                        </a:xfrm>
                        <a:prstGeom prst="rect">
                          <a:avLst/>
                        </a:prstGeom>
                      </wps:spPr>
                      <wps:txbx>
                        <w:txbxContent>
                          <w:p w14:paraId="14CBDFAB" w14:textId="33B8E8EB" w:rsidR="00023821" w:rsidRPr="00107A79" w:rsidRDefault="00023821" w:rsidP="00AF08E8">
                            <w:pPr>
                              <w:pStyle w:val="ListParagraph"/>
                              <w:numPr>
                                <w:ilvl w:val="0"/>
                                <w:numId w:val="16"/>
                              </w:numPr>
                              <w:tabs>
                                <w:tab w:val="clear" w:pos="720"/>
                                <w:tab w:val="num" w:pos="851"/>
                              </w:tabs>
                              <w:spacing w:after="0" w:line="252" w:lineRule="auto"/>
                              <w:ind w:left="284" w:hanging="284"/>
                              <w:rPr>
                                <w:rFonts w:ascii="Segoe UI" w:eastAsia="Times New Roman" w:hAnsi="Segoe UI" w:cs="Segoe UI"/>
                                <w:sz w:val="18"/>
                                <w:szCs w:val="24"/>
                              </w:rPr>
                            </w:pPr>
                            <w:r w:rsidRPr="00107A79">
                              <w:rPr>
                                <w:rFonts w:ascii="Segoe UI" w:eastAsia="Times New Roman" w:hAnsi="Segoe UI" w:cs="Segoe UI"/>
                                <w:color w:val="000000" w:themeColor="text1"/>
                                <w:kern w:val="24"/>
                                <w:sz w:val="18"/>
                                <w:szCs w:val="18"/>
                              </w:rPr>
                              <w:t>We have been at these Alert Levels before</w:t>
                            </w:r>
                            <w:r>
                              <w:rPr>
                                <w:rFonts w:ascii="Segoe UI" w:eastAsia="Times New Roman" w:hAnsi="Segoe UI" w:cs="Segoe UI"/>
                                <w:color w:val="000000" w:themeColor="text1"/>
                                <w:kern w:val="24"/>
                                <w:sz w:val="18"/>
                                <w:szCs w:val="18"/>
                              </w:rPr>
                              <w:t xml:space="preserve">, </w:t>
                            </w:r>
                            <w:r w:rsidRPr="00107A79">
                              <w:rPr>
                                <w:rFonts w:ascii="Segoe UI" w:eastAsia="Times New Roman" w:hAnsi="Segoe UI" w:cs="Segoe UI"/>
                                <w:color w:val="000000" w:themeColor="text1"/>
                                <w:kern w:val="24"/>
                                <w:sz w:val="18"/>
                                <w:szCs w:val="18"/>
                              </w:rPr>
                              <w:t xml:space="preserve">and organisations at national, regional and local level know what to do. </w:t>
                            </w:r>
                          </w:p>
                          <w:p w14:paraId="6C5054CC" w14:textId="57CC408F" w:rsidR="00023821" w:rsidRPr="00107A79" w:rsidRDefault="00023821" w:rsidP="00AF08E8">
                            <w:pPr>
                              <w:pStyle w:val="ListParagraph"/>
                              <w:numPr>
                                <w:ilvl w:val="0"/>
                                <w:numId w:val="16"/>
                              </w:numPr>
                              <w:tabs>
                                <w:tab w:val="clear" w:pos="720"/>
                                <w:tab w:val="num" w:pos="851"/>
                              </w:tabs>
                              <w:spacing w:after="0" w:line="252" w:lineRule="auto"/>
                              <w:ind w:left="284" w:hanging="284"/>
                              <w:rPr>
                                <w:rFonts w:ascii="Segoe UI" w:eastAsia="Times New Roman" w:hAnsi="Segoe UI" w:cs="Segoe UI"/>
                                <w:sz w:val="18"/>
                              </w:rPr>
                            </w:pPr>
                            <w:r w:rsidRPr="00107A79">
                              <w:rPr>
                                <w:rFonts w:ascii="Segoe UI" w:eastAsia="Times New Roman" w:hAnsi="Segoe UI" w:cs="Segoe UI"/>
                                <w:color w:val="000000" w:themeColor="text1"/>
                                <w:kern w:val="24"/>
                                <w:sz w:val="18"/>
                                <w:szCs w:val="18"/>
                              </w:rPr>
                              <w:t>Communities, hapū and iwi are at the forefront of responses and have shown strength and innovation.</w:t>
                            </w:r>
                          </w:p>
                          <w:p w14:paraId="60D2005B" w14:textId="53191562" w:rsidR="00023821" w:rsidRPr="00107A79" w:rsidRDefault="00023821" w:rsidP="00AF08E8">
                            <w:pPr>
                              <w:pStyle w:val="ListParagraph"/>
                              <w:numPr>
                                <w:ilvl w:val="0"/>
                                <w:numId w:val="16"/>
                              </w:numPr>
                              <w:tabs>
                                <w:tab w:val="clear" w:pos="720"/>
                                <w:tab w:val="num" w:pos="851"/>
                              </w:tabs>
                              <w:spacing w:after="0" w:line="252" w:lineRule="auto"/>
                              <w:ind w:left="284" w:hanging="284"/>
                              <w:rPr>
                                <w:rFonts w:ascii="Segoe UI" w:eastAsia="Times New Roman" w:hAnsi="Segoe UI" w:cs="Segoe UI"/>
                                <w:sz w:val="18"/>
                              </w:rPr>
                            </w:pPr>
                            <w:r w:rsidRPr="00107A79">
                              <w:rPr>
                                <w:rFonts w:ascii="Segoe UI" w:eastAsia="Times New Roman" w:hAnsi="Segoe UI" w:cs="Segoe UI"/>
                                <w:color w:val="000000" w:themeColor="text1"/>
                                <w:kern w:val="24"/>
                                <w:sz w:val="18"/>
                                <w:szCs w:val="18"/>
                              </w:rPr>
                              <w:t>Many people may experience increased distress during higher alert levels</w:t>
                            </w:r>
                            <w:r>
                              <w:rPr>
                                <w:rFonts w:ascii="Segoe UI" w:eastAsia="Times New Roman" w:hAnsi="Segoe UI" w:cs="Segoe UI"/>
                                <w:color w:val="000000" w:themeColor="text1"/>
                                <w:kern w:val="24"/>
                                <w:sz w:val="18"/>
                                <w:szCs w:val="18"/>
                              </w:rPr>
                              <w:t>. T</w:t>
                            </w:r>
                            <w:r w:rsidRPr="00107A79">
                              <w:rPr>
                                <w:rFonts w:ascii="Segoe UI" w:eastAsia="Times New Roman" w:hAnsi="Segoe UI" w:cs="Segoe UI"/>
                                <w:color w:val="000000" w:themeColor="text1"/>
                                <w:kern w:val="24"/>
                                <w:sz w:val="18"/>
                                <w:szCs w:val="18"/>
                              </w:rPr>
                              <w:t>his is an understandable and common response.</w:t>
                            </w:r>
                          </w:p>
                          <w:p w14:paraId="736492C6" w14:textId="10390B82" w:rsidR="00023821" w:rsidRPr="00107A79" w:rsidRDefault="00023821" w:rsidP="00AF08E8">
                            <w:pPr>
                              <w:pStyle w:val="ListParagraph"/>
                              <w:numPr>
                                <w:ilvl w:val="0"/>
                                <w:numId w:val="16"/>
                              </w:numPr>
                              <w:tabs>
                                <w:tab w:val="clear" w:pos="720"/>
                                <w:tab w:val="num" w:pos="851"/>
                              </w:tabs>
                              <w:spacing w:after="0" w:line="252" w:lineRule="auto"/>
                              <w:ind w:left="284" w:hanging="284"/>
                              <w:rPr>
                                <w:rFonts w:ascii="Segoe UI" w:eastAsia="Times New Roman" w:hAnsi="Segoe UI" w:cs="Segoe UI"/>
                                <w:sz w:val="18"/>
                              </w:rPr>
                            </w:pPr>
                            <w:r w:rsidRPr="00107A79">
                              <w:rPr>
                                <w:rFonts w:ascii="Segoe UI" w:eastAsia="Times New Roman" w:hAnsi="Segoe UI" w:cs="Segoe UI"/>
                                <w:color w:val="000000" w:themeColor="text1"/>
                                <w:kern w:val="24"/>
                                <w:sz w:val="18"/>
                                <w:szCs w:val="18"/>
                              </w:rPr>
                              <w:t xml:space="preserve">A wide range of resources </w:t>
                            </w:r>
                            <w:r>
                              <w:rPr>
                                <w:rFonts w:ascii="Segoe UI" w:eastAsia="Times New Roman" w:hAnsi="Segoe UI" w:cs="Segoe UI"/>
                                <w:color w:val="000000" w:themeColor="text1"/>
                                <w:kern w:val="24"/>
                                <w:sz w:val="18"/>
                                <w:szCs w:val="18"/>
                              </w:rPr>
                              <w:t xml:space="preserve">is </w:t>
                            </w:r>
                            <w:r w:rsidRPr="00107A79">
                              <w:rPr>
                                <w:rFonts w:ascii="Segoe UI" w:eastAsia="Times New Roman" w:hAnsi="Segoe UI" w:cs="Segoe UI"/>
                                <w:color w:val="000000" w:themeColor="text1"/>
                                <w:kern w:val="24"/>
                                <w:sz w:val="18"/>
                                <w:szCs w:val="18"/>
                              </w:rPr>
                              <w:t>available to assist, across the whole population and targeted to particular populations.</w:t>
                            </w:r>
                          </w:p>
                          <w:p w14:paraId="745FAF76" w14:textId="77777777" w:rsidR="00023821" w:rsidRPr="00107A79" w:rsidRDefault="00023821" w:rsidP="00AF08E8">
                            <w:pPr>
                              <w:pStyle w:val="ListParagraph"/>
                              <w:numPr>
                                <w:ilvl w:val="0"/>
                                <w:numId w:val="16"/>
                              </w:numPr>
                              <w:tabs>
                                <w:tab w:val="clear" w:pos="720"/>
                                <w:tab w:val="num" w:pos="851"/>
                              </w:tabs>
                              <w:spacing w:after="0" w:line="252" w:lineRule="auto"/>
                              <w:ind w:left="284" w:hanging="284"/>
                              <w:rPr>
                                <w:rFonts w:ascii="Segoe UI" w:eastAsia="Times New Roman" w:hAnsi="Segoe UI" w:cs="Segoe UI"/>
                                <w:sz w:val="18"/>
                              </w:rPr>
                            </w:pPr>
                            <w:r w:rsidRPr="00107A79">
                              <w:rPr>
                                <w:rFonts w:ascii="Segoe UI" w:eastAsia="Times New Roman" w:hAnsi="Segoe UI" w:cs="Segoe UI"/>
                                <w:color w:val="000000" w:themeColor="text1"/>
                                <w:kern w:val="24"/>
                                <w:sz w:val="18"/>
                                <w:szCs w:val="18"/>
                              </w:rPr>
                              <w:t xml:space="preserve">We need to be prepared for this to happen again, but we have learnt much already, and we can do this. </w:t>
                            </w:r>
                          </w:p>
                          <w:p w14:paraId="15DB33B0" w14:textId="77777777" w:rsidR="00023821" w:rsidRPr="00107A79" w:rsidRDefault="00023821" w:rsidP="00AF08E8">
                            <w:pPr>
                              <w:pStyle w:val="ListParagraph"/>
                              <w:numPr>
                                <w:ilvl w:val="0"/>
                                <w:numId w:val="16"/>
                              </w:numPr>
                              <w:tabs>
                                <w:tab w:val="clear" w:pos="720"/>
                                <w:tab w:val="num" w:pos="851"/>
                              </w:tabs>
                              <w:spacing w:after="0" w:line="252" w:lineRule="auto"/>
                              <w:ind w:left="284" w:hanging="284"/>
                              <w:rPr>
                                <w:rFonts w:ascii="Segoe UI" w:eastAsia="Times New Roman" w:hAnsi="Segoe UI" w:cs="Segoe UI"/>
                                <w:sz w:val="18"/>
                              </w:rPr>
                            </w:pPr>
                            <w:r w:rsidRPr="00107A79">
                              <w:rPr>
                                <w:rFonts w:ascii="Segoe UI" w:eastAsia="Times New Roman" w:hAnsi="Segoe UI" w:cs="Segoe UI"/>
                                <w:color w:val="000000" w:themeColor="text1"/>
                                <w:kern w:val="24"/>
                                <w:sz w:val="18"/>
                                <w:szCs w:val="18"/>
                              </w:rPr>
                              <w:t>Working together is essential to support and empower individuals, whānau and communities to respond, recover, adapt and thrive despite the impacts of COVID</w:t>
                            </w:r>
                            <w:r w:rsidRPr="00107A79">
                              <w:rPr>
                                <w:rFonts w:ascii="Segoe UI" w:eastAsia="Times New Roman" w:hAnsi="Segoe UI" w:cs="Segoe UI"/>
                                <w:color w:val="000000" w:themeColor="text1"/>
                                <w:kern w:val="24"/>
                                <w:sz w:val="18"/>
                                <w:szCs w:val="18"/>
                              </w:rPr>
                              <w:noBreakHyphen/>
                              <w:t>19.</w:t>
                            </w:r>
                          </w:p>
                        </w:txbxContent>
                      </wps:txbx>
                      <wps:bodyPr wrap="square">
                        <a:spAutoFit/>
                      </wps:bodyPr>
                    </wps:wsp>
                  </a:graphicData>
                </a:graphic>
                <wp14:sizeRelH relativeFrom="margin">
                  <wp14:pctWidth>0</wp14:pctWidth>
                </wp14:sizeRelH>
              </wp:anchor>
            </w:drawing>
          </mc:Choice>
          <mc:Fallback>
            <w:pict>
              <v:rect w14:anchorId="52080100" id="Rectangle 11" o:spid="_x0000_s1045" style="position:absolute;margin-left:11pt;margin-top:27.6pt;width:267.15pt;height:155.3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" filled="f" stroked="f">
                <v:textbox style="mso-fit-shape-to-text:t">
                  <w:txbxContent>
                    <w:p w14:paraId="14CBDFAB" w14:textId="33B8E8EB" w:rsidR="00023821" w:rsidRPr="00107A79" w:rsidRDefault="00023821" w:rsidP="00AF08E8">
                      <w:pPr>
                        <w:pStyle w:val="ListParagraph"/>
                        <w:numPr>
                          <w:ilvl w:val="0"/>
                          <w:numId w:val="16"/>
                        </w:numPr>
                        <w:tabs>
                          <w:tab w:val="clear" w:pos="720"/>
                          <w:tab w:val="num" w:pos="851"/>
                        </w:tabs>
                        <w:spacing w:after="0" w:line="252" w:lineRule="auto"/>
                        <w:ind w:left="284" w:hanging="284"/>
                        <w:rPr>
                          <w:rFonts w:ascii="Segoe UI" w:eastAsia="Times New Roman" w:hAnsi="Segoe UI" w:cs="Segoe UI"/>
                          <w:sz w:val="18"/>
                          <w:szCs w:val="24"/>
                        </w:rPr>
                      </w:pPr>
                      <w:r w:rsidRPr="00107A79">
                        <w:rPr>
                          <w:rFonts w:ascii="Segoe UI" w:eastAsia="Times New Roman" w:hAnsi="Segoe UI" w:cs="Segoe UI"/>
                          <w:color w:val="000000" w:themeColor="text1"/>
                          <w:kern w:val="24"/>
                          <w:sz w:val="18"/>
                          <w:szCs w:val="18"/>
                        </w:rPr>
                        <w:t>We have been at these Alert Levels before</w:t>
                      </w:r>
                      <w:r>
                        <w:rPr>
                          <w:rFonts w:ascii="Segoe UI" w:eastAsia="Times New Roman" w:hAnsi="Segoe UI" w:cs="Segoe UI"/>
                          <w:color w:val="000000" w:themeColor="text1"/>
                          <w:kern w:val="24"/>
                          <w:sz w:val="18"/>
                          <w:szCs w:val="18"/>
                        </w:rPr>
                        <w:t xml:space="preserve">, </w:t>
                      </w:r>
                      <w:r w:rsidRPr="00107A79">
                        <w:rPr>
                          <w:rFonts w:ascii="Segoe UI" w:eastAsia="Times New Roman" w:hAnsi="Segoe UI" w:cs="Segoe UI"/>
                          <w:color w:val="000000" w:themeColor="text1"/>
                          <w:kern w:val="24"/>
                          <w:sz w:val="18"/>
                          <w:szCs w:val="18"/>
                        </w:rPr>
                        <w:t xml:space="preserve">and organisations at national, regional and local level know what to do. </w:t>
                      </w:r>
                    </w:p>
                    <w:p w14:paraId="6C5054CC" w14:textId="57CC408F" w:rsidR="00023821" w:rsidRPr="00107A79" w:rsidRDefault="00023821" w:rsidP="00AF08E8">
                      <w:pPr>
                        <w:pStyle w:val="ListParagraph"/>
                        <w:numPr>
                          <w:ilvl w:val="0"/>
                          <w:numId w:val="16"/>
                        </w:numPr>
                        <w:tabs>
                          <w:tab w:val="clear" w:pos="720"/>
                          <w:tab w:val="num" w:pos="851"/>
                        </w:tabs>
                        <w:spacing w:after="0" w:line="252" w:lineRule="auto"/>
                        <w:ind w:left="284" w:hanging="284"/>
                        <w:rPr>
                          <w:rFonts w:ascii="Segoe UI" w:eastAsia="Times New Roman" w:hAnsi="Segoe UI" w:cs="Segoe UI"/>
                          <w:sz w:val="18"/>
                        </w:rPr>
                      </w:pPr>
                      <w:r w:rsidRPr="00107A79">
                        <w:rPr>
                          <w:rFonts w:ascii="Segoe UI" w:eastAsia="Times New Roman" w:hAnsi="Segoe UI" w:cs="Segoe UI"/>
                          <w:color w:val="000000" w:themeColor="text1"/>
                          <w:kern w:val="24"/>
                          <w:sz w:val="18"/>
                          <w:szCs w:val="18"/>
                        </w:rPr>
                        <w:t>Communities, hapū and iwi are at the forefront of responses and have shown strength and innovation.</w:t>
                      </w:r>
                    </w:p>
                    <w:p w14:paraId="60D2005B" w14:textId="53191562" w:rsidR="00023821" w:rsidRPr="00107A79" w:rsidRDefault="00023821" w:rsidP="00AF08E8">
                      <w:pPr>
                        <w:pStyle w:val="ListParagraph"/>
                        <w:numPr>
                          <w:ilvl w:val="0"/>
                          <w:numId w:val="16"/>
                        </w:numPr>
                        <w:tabs>
                          <w:tab w:val="clear" w:pos="720"/>
                          <w:tab w:val="num" w:pos="851"/>
                        </w:tabs>
                        <w:spacing w:after="0" w:line="252" w:lineRule="auto"/>
                        <w:ind w:left="284" w:hanging="284"/>
                        <w:rPr>
                          <w:rFonts w:ascii="Segoe UI" w:eastAsia="Times New Roman" w:hAnsi="Segoe UI" w:cs="Segoe UI"/>
                          <w:sz w:val="18"/>
                        </w:rPr>
                      </w:pPr>
                      <w:r w:rsidRPr="00107A79">
                        <w:rPr>
                          <w:rFonts w:ascii="Segoe UI" w:eastAsia="Times New Roman" w:hAnsi="Segoe UI" w:cs="Segoe UI"/>
                          <w:color w:val="000000" w:themeColor="text1"/>
                          <w:kern w:val="24"/>
                          <w:sz w:val="18"/>
                          <w:szCs w:val="18"/>
                        </w:rPr>
                        <w:t>Many people may experience increased distress during higher alert levels</w:t>
                      </w:r>
                      <w:r>
                        <w:rPr>
                          <w:rFonts w:ascii="Segoe UI" w:eastAsia="Times New Roman" w:hAnsi="Segoe UI" w:cs="Segoe UI"/>
                          <w:color w:val="000000" w:themeColor="text1"/>
                          <w:kern w:val="24"/>
                          <w:sz w:val="18"/>
                          <w:szCs w:val="18"/>
                        </w:rPr>
                        <w:t>. T</w:t>
                      </w:r>
                      <w:r w:rsidRPr="00107A79">
                        <w:rPr>
                          <w:rFonts w:ascii="Segoe UI" w:eastAsia="Times New Roman" w:hAnsi="Segoe UI" w:cs="Segoe UI"/>
                          <w:color w:val="000000" w:themeColor="text1"/>
                          <w:kern w:val="24"/>
                          <w:sz w:val="18"/>
                          <w:szCs w:val="18"/>
                        </w:rPr>
                        <w:t>his is an understandable and common response.</w:t>
                      </w:r>
                    </w:p>
                    <w:p w14:paraId="736492C6" w14:textId="10390B82" w:rsidR="00023821" w:rsidRPr="00107A79" w:rsidRDefault="00023821" w:rsidP="00AF08E8">
                      <w:pPr>
                        <w:pStyle w:val="ListParagraph"/>
                        <w:numPr>
                          <w:ilvl w:val="0"/>
                          <w:numId w:val="16"/>
                        </w:numPr>
                        <w:tabs>
                          <w:tab w:val="clear" w:pos="720"/>
                          <w:tab w:val="num" w:pos="851"/>
                        </w:tabs>
                        <w:spacing w:after="0" w:line="252" w:lineRule="auto"/>
                        <w:ind w:left="284" w:hanging="284"/>
                        <w:rPr>
                          <w:rFonts w:ascii="Segoe UI" w:eastAsia="Times New Roman" w:hAnsi="Segoe UI" w:cs="Segoe UI"/>
                          <w:sz w:val="18"/>
                        </w:rPr>
                      </w:pPr>
                      <w:r w:rsidRPr="00107A79">
                        <w:rPr>
                          <w:rFonts w:ascii="Segoe UI" w:eastAsia="Times New Roman" w:hAnsi="Segoe UI" w:cs="Segoe UI"/>
                          <w:color w:val="000000" w:themeColor="text1"/>
                          <w:kern w:val="24"/>
                          <w:sz w:val="18"/>
                          <w:szCs w:val="18"/>
                        </w:rPr>
                        <w:t xml:space="preserve">A wide range of resources </w:t>
                      </w:r>
                      <w:r>
                        <w:rPr>
                          <w:rFonts w:ascii="Segoe UI" w:eastAsia="Times New Roman" w:hAnsi="Segoe UI" w:cs="Segoe UI"/>
                          <w:color w:val="000000" w:themeColor="text1"/>
                          <w:kern w:val="24"/>
                          <w:sz w:val="18"/>
                          <w:szCs w:val="18"/>
                        </w:rPr>
                        <w:t xml:space="preserve">is </w:t>
                      </w:r>
                      <w:r w:rsidRPr="00107A79">
                        <w:rPr>
                          <w:rFonts w:ascii="Segoe UI" w:eastAsia="Times New Roman" w:hAnsi="Segoe UI" w:cs="Segoe UI"/>
                          <w:color w:val="000000" w:themeColor="text1"/>
                          <w:kern w:val="24"/>
                          <w:sz w:val="18"/>
                          <w:szCs w:val="18"/>
                        </w:rPr>
                        <w:t>available to assist, across the whole population and targeted to particular populations.</w:t>
                      </w:r>
                    </w:p>
                    <w:p w14:paraId="745FAF76" w14:textId="77777777" w:rsidR="00023821" w:rsidRPr="00107A79" w:rsidRDefault="00023821" w:rsidP="00AF08E8">
                      <w:pPr>
                        <w:pStyle w:val="ListParagraph"/>
                        <w:numPr>
                          <w:ilvl w:val="0"/>
                          <w:numId w:val="16"/>
                        </w:numPr>
                        <w:tabs>
                          <w:tab w:val="clear" w:pos="720"/>
                          <w:tab w:val="num" w:pos="851"/>
                        </w:tabs>
                        <w:spacing w:after="0" w:line="252" w:lineRule="auto"/>
                        <w:ind w:left="284" w:hanging="284"/>
                        <w:rPr>
                          <w:rFonts w:ascii="Segoe UI" w:eastAsia="Times New Roman" w:hAnsi="Segoe UI" w:cs="Segoe UI"/>
                          <w:sz w:val="18"/>
                        </w:rPr>
                      </w:pPr>
                      <w:r w:rsidRPr="00107A79">
                        <w:rPr>
                          <w:rFonts w:ascii="Segoe UI" w:eastAsia="Times New Roman" w:hAnsi="Segoe UI" w:cs="Segoe UI"/>
                          <w:color w:val="000000" w:themeColor="text1"/>
                          <w:kern w:val="24"/>
                          <w:sz w:val="18"/>
                          <w:szCs w:val="18"/>
                        </w:rPr>
                        <w:t xml:space="preserve">We need to be prepared for this to happen again, but we have learnt much already, and we can do this. </w:t>
                      </w:r>
                    </w:p>
                    <w:p w14:paraId="15DB33B0" w14:textId="77777777" w:rsidR="00023821" w:rsidRPr="00107A79" w:rsidRDefault="00023821" w:rsidP="00AF08E8">
                      <w:pPr>
                        <w:pStyle w:val="ListParagraph"/>
                        <w:numPr>
                          <w:ilvl w:val="0"/>
                          <w:numId w:val="16"/>
                        </w:numPr>
                        <w:tabs>
                          <w:tab w:val="clear" w:pos="720"/>
                          <w:tab w:val="num" w:pos="851"/>
                        </w:tabs>
                        <w:spacing w:after="0" w:line="252" w:lineRule="auto"/>
                        <w:ind w:left="284" w:hanging="284"/>
                        <w:rPr>
                          <w:rFonts w:ascii="Segoe UI" w:eastAsia="Times New Roman" w:hAnsi="Segoe UI" w:cs="Segoe UI"/>
                          <w:sz w:val="18"/>
                        </w:rPr>
                      </w:pPr>
                      <w:r w:rsidRPr="00107A79">
                        <w:rPr>
                          <w:rFonts w:ascii="Segoe UI" w:eastAsia="Times New Roman" w:hAnsi="Segoe UI" w:cs="Segoe UI"/>
                          <w:color w:val="000000" w:themeColor="text1"/>
                          <w:kern w:val="24"/>
                          <w:sz w:val="18"/>
                          <w:szCs w:val="18"/>
                        </w:rPr>
                        <w:t>Working together is essential to support and empower individuals, whānau and communities to respond, recover, adapt and thrive despite the impacts of COVID</w:t>
                      </w:r>
                      <w:r w:rsidRPr="00107A79">
                        <w:rPr>
                          <w:rFonts w:ascii="Segoe UI" w:eastAsia="Times New Roman" w:hAnsi="Segoe UI" w:cs="Segoe UI"/>
                          <w:color w:val="000000" w:themeColor="text1"/>
                          <w:kern w:val="24"/>
                          <w:sz w:val="18"/>
                          <w:szCs w:val="18"/>
                        </w:rPr>
                        <w:noBreakHyphen/>
                        <w:t>19.</w:t>
                      </w:r>
                    </w:p>
                  </w:txbxContent>
                </v:textbox>
              </v:rect>
            </w:pict>
          </mc:Fallback>
        </mc:AlternateContent>
      </w:r>
    </w:p>
    <w:p w14:paraId="2243EEBC" w14:textId="2EC3EA01" w:rsidR="009A798E" w:rsidRDefault="009A798E" w:rsidP="00392AF8">
      <w:pPr>
        <w:pStyle w:val="Bullet"/>
        <w:numPr>
          <w:ilvl w:val="0"/>
          <w:numId w:val="0"/>
        </w:numPr>
        <w:sectPr w:rsidR="009A798E" w:rsidSect="00DE045E">
          <w:footerReference w:type="default" r:id="rId116"/>
          <w:endnotePr>
            <w:numFmt w:val="decimal"/>
          </w:endnotePr>
          <w:pgSz w:w="23811" w:h="16838" w:orient="landscape" w:code="8"/>
          <w:pgMar w:top="720" w:right="720" w:bottom="720" w:left="720" w:header="425" w:footer="425" w:gutter="284"/>
          <w:cols w:space="720"/>
          <w:docGrid w:linePitch="286"/>
        </w:sectPr>
      </w:pPr>
    </w:p>
    <w:p w14:paraId="01CEC911" w14:textId="0FA7EDC5" w:rsidR="00C2364D" w:rsidRDefault="00C3624A" w:rsidP="00832567">
      <w:pPr>
        <w:pStyle w:val="Heading1"/>
      </w:pPr>
      <w:bookmarkStart w:id="96" w:name="_Toc40188073"/>
      <w:bookmarkStart w:id="97" w:name="_Toc50464497"/>
      <w:bookmarkStart w:id="98" w:name="_Toc59439406"/>
      <w:bookmarkEnd w:id="95"/>
      <w:r>
        <w:t xml:space="preserve">Appendix </w:t>
      </w:r>
      <w:r w:rsidR="006B43BD">
        <w:t>B</w:t>
      </w:r>
      <w:r>
        <w:t xml:space="preserve">: </w:t>
      </w:r>
      <w:bookmarkEnd w:id="96"/>
      <w:r w:rsidR="00C2364D" w:rsidRPr="00E1163C">
        <w:t>Roles and responsibilities</w:t>
      </w:r>
      <w:bookmarkEnd w:id="97"/>
      <w:bookmarkEnd w:id="98"/>
    </w:p>
    <w:p w14:paraId="15A5603C" w14:textId="6DA2A13F" w:rsidR="00E918F2" w:rsidRDefault="00E918F2" w:rsidP="00E918F2">
      <w:pPr>
        <w:pStyle w:val="Number"/>
        <w:numPr>
          <w:ilvl w:val="0"/>
          <w:numId w:val="0"/>
        </w:numPr>
        <w:spacing w:after="120"/>
      </w:pPr>
      <w:r>
        <w:t>Everyone has a role to play in supporting mental wellbeing, from people supporting each other, to local community activity, to regional and national</w:t>
      </w:r>
      <w:r w:rsidR="00746758">
        <w:t>-</w:t>
      </w:r>
      <w:r>
        <w:t>level actions. Most of these roles precede COVID</w:t>
      </w:r>
      <w:r w:rsidR="00922D67">
        <w:noBreakHyphen/>
      </w:r>
      <w:r>
        <w:t>19 and continue to be vital in the new environment. There are</w:t>
      </w:r>
      <w:r w:rsidR="00B84F43">
        <w:t>,</w:t>
      </w:r>
      <w:r>
        <w:t xml:space="preserve"> however</w:t>
      </w:r>
      <w:r w:rsidR="00B84F43">
        <w:t>,</w:t>
      </w:r>
      <w:r>
        <w:t xml:space="preserve"> also some specific roles and responsibilities that come into play during periods of elevated COVID</w:t>
      </w:r>
      <w:r>
        <w:noBreakHyphen/>
        <w:t>19 Alert Levels.</w:t>
      </w:r>
    </w:p>
    <w:p w14:paraId="046995C6" w14:textId="77777777" w:rsidR="00E918F2" w:rsidRPr="00642265" w:rsidRDefault="00E918F2" w:rsidP="00AF08E8">
      <w:pPr>
        <w:pStyle w:val="Heading3"/>
        <w:numPr>
          <w:ilvl w:val="2"/>
          <w:numId w:val="9"/>
        </w:numPr>
        <w:rPr>
          <w:b/>
          <w:sz w:val="48"/>
        </w:rPr>
      </w:pPr>
      <w:r w:rsidRPr="00642265">
        <w:rPr>
          <w:b/>
          <w:sz w:val="48"/>
        </w:rPr>
        <w:t>Ongoing roles and responsibilities</w:t>
      </w:r>
    </w:p>
    <w:p w14:paraId="61A37457" w14:textId="6CD66907" w:rsidR="00E918F2" w:rsidRPr="00F9167B" w:rsidRDefault="00E918F2" w:rsidP="00E918F2">
      <w:pPr>
        <w:pStyle w:val="Number"/>
        <w:numPr>
          <w:ilvl w:val="0"/>
          <w:numId w:val="0"/>
        </w:numPr>
        <w:spacing w:after="120"/>
      </w:pPr>
      <w:r w:rsidRPr="00F9167B">
        <w:t>The</w:t>
      </w:r>
      <w:r>
        <w:t xml:space="preserve"> ongoing roles and responsibilities of organisations in supporting wellbeing are described below. </w:t>
      </w:r>
      <w:r w:rsidR="00746758">
        <w:t xml:space="preserve">Please note that this is not an exhaustive </w:t>
      </w:r>
      <w:r w:rsidR="00180C43">
        <w:t xml:space="preserve">list. </w:t>
      </w:r>
    </w:p>
    <w:tbl>
      <w:tblPr>
        <w:tblW w:w="9157" w:type="dxa"/>
        <w:tblInd w:w="57" w:type="dxa"/>
        <w:tblLayout w:type="fixed"/>
        <w:tblCellMar>
          <w:left w:w="57" w:type="dxa"/>
          <w:right w:w="57" w:type="dxa"/>
        </w:tblCellMar>
        <w:tblLook w:val="04A0" w:firstRow="1" w:lastRow="0" w:firstColumn="1" w:lastColumn="0" w:noHBand="0" w:noVBand="1"/>
      </w:tblPr>
      <w:tblGrid>
        <w:gridCol w:w="1388"/>
        <w:gridCol w:w="7769"/>
      </w:tblGrid>
      <w:tr w:rsidR="00E918F2" w14:paraId="75528931" w14:textId="77777777" w:rsidTr="00C74FD9">
        <w:tc>
          <w:tcPr>
            <w:tcW w:w="1388" w:type="dxa"/>
            <w:tcBorders>
              <w:bottom w:val="single" w:sz="4" w:space="0" w:color="A6A6A6" w:themeColor="background1" w:themeShade="A6"/>
            </w:tcBorders>
            <w:shd w:val="clear" w:color="auto" w:fill="auto"/>
          </w:tcPr>
          <w:p w14:paraId="56B31C46" w14:textId="77777777" w:rsidR="00E918F2" w:rsidRPr="005A23C2" w:rsidRDefault="00E918F2" w:rsidP="00C74FD9">
            <w:pPr>
              <w:pStyle w:val="TableText"/>
              <w:rPr>
                <w:sz w:val="20"/>
              </w:rPr>
            </w:pPr>
            <w:r w:rsidRPr="005A23C2">
              <w:rPr>
                <w:sz w:val="20"/>
              </w:rPr>
              <w:t>Ministry of Health</w:t>
            </w:r>
          </w:p>
        </w:tc>
        <w:tc>
          <w:tcPr>
            <w:tcW w:w="7769" w:type="dxa"/>
            <w:tcBorders>
              <w:bottom w:val="single" w:sz="4" w:space="0" w:color="A6A6A6" w:themeColor="background1" w:themeShade="A6"/>
            </w:tcBorders>
            <w:shd w:val="clear" w:color="auto" w:fill="auto"/>
          </w:tcPr>
          <w:p w14:paraId="30508E22" w14:textId="77777777" w:rsidR="00E918F2" w:rsidRDefault="00E918F2" w:rsidP="00C74FD9">
            <w:pPr>
              <w:spacing w:after="60"/>
              <w:rPr>
                <w:sz w:val="20"/>
              </w:rPr>
            </w:pPr>
            <w:r w:rsidRPr="005A23C2">
              <w:rPr>
                <w:sz w:val="20"/>
              </w:rPr>
              <w:t xml:space="preserve">The Ministry </w:t>
            </w:r>
            <w:r>
              <w:rPr>
                <w:sz w:val="20"/>
              </w:rPr>
              <w:t xml:space="preserve">(MoH) </w:t>
            </w:r>
            <w:r w:rsidRPr="005A23C2">
              <w:rPr>
                <w:sz w:val="20"/>
              </w:rPr>
              <w:t>sets the policy framework for mental health and addiction services, in collaboration with other agencies, and steers new service directions.</w:t>
            </w:r>
          </w:p>
          <w:p w14:paraId="1D698CFD" w14:textId="77777777" w:rsidR="00E918F2" w:rsidRPr="005A23C2" w:rsidRDefault="00E918F2" w:rsidP="00C74FD9">
            <w:pPr>
              <w:spacing w:after="60"/>
              <w:rPr>
                <w:sz w:val="20"/>
              </w:rPr>
            </w:pPr>
            <w:r>
              <w:rPr>
                <w:sz w:val="20"/>
              </w:rPr>
              <w:t>The Suicide Prevention Office (SPO), which sits within MoH, provides national leadership on action to prevent suicide.</w:t>
            </w:r>
          </w:p>
        </w:tc>
      </w:tr>
      <w:tr w:rsidR="00E918F2" w14:paraId="0E1146C9" w14:textId="77777777" w:rsidTr="00C74FD9">
        <w:tc>
          <w:tcPr>
            <w:tcW w:w="1388" w:type="dxa"/>
            <w:tcBorders>
              <w:bottom w:val="single" w:sz="4" w:space="0" w:color="A6A6A6" w:themeColor="background1" w:themeShade="A6"/>
            </w:tcBorders>
            <w:shd w:val="clear" w:color="auto" w:fill="auto"/>
          </w:tcPr>
          <w:p w14:paraId="7A662158" w14:textId="77777777" w:rsidR="00E918F2" w:rsidRPr="005A23C2" w:rsidRDefault="00E918F2" w:rsidP="00C74FD9">
            <w:pPr>
              <w:pStyle w:val="TableText"/>
              <w:rPr>
                <w:sz w:val="20"/>
              </w:rPr>
            </w:pPr>
            <w:r w:rsidRPr="005A23C2">
              <w:rPr>
                <w:sz w:val="20"/>
              </w:rPr>
              <w:t xml:space="preserve">Government </w:t>
            </w:r>
            <w:r>
              <w:rPr>
                <w:sz w:val="20"/>
              </w:rPr>
              <w:t>agencies</w:t>
            </w:r>
            <w:r w:rsidRPr="005A23C2">
              <w:rPr>
                <w:sz w:val="20"/>
              </w:rPr>
              <w:t xml:space="preserve"> </w:t>
            </w:r>
          </w:p>
        </w:tc>
        <w:tc>
          <w:tcPr>
            <w:tcW w:w="7769" w:type="dxa"/>
            <w:tcBorders>
              <w:bottom w:val="single" w:sz="4" w:space="0" w:color="A6A6A6" w:themeColor="background1" w:themeShade="A6"/>
            </w:tcBorders>
            <w:shd w:val="clear" w:color="auto" w:fill="auto"/>
          </w:tcPr>
          <w:p w14:paraId="3B1A399C" w14:textId="448C4927" w:rsidR="00E918F2" w:rsidRPr="005A23C2" w:rsidRDefault="00E918F2" w:rsidP="00C74FD9">
            <w:pPr>
              <w:widowControl w:val="0"/>
              <w:rPr>
                <w:sz w:val="20"/>
              </w:rPr>
            </w:pPr>
            <w:r w:rsidRPr="005A23C2">
              <w:rPr>
                <w:sz w:val="20"/>
              </w:rPr>
              <w:t xml:space="preserve">Other government agencies with roles that </w:t>
            </w:r>
            <w:r w:rsidR="008846D9">
              <w:rPr>
                <w:sz w:val="20"/>
              </w:rPr>
              <w:t>contribute to</w:t>
            </w:r>
            <w:r w:rsidRPr="005A23C2">
              <w:rPr>
                <w:sz w:val="20"/>
              </w:rPr>
              <w:t xml:space="preserve"> psychosocial wellbeing include:</w:t>
            </w:r>
          </w:p>
          <w:p w14:paraId="7820ED43" w14:textId="55041E8D" w:rsidR="00E918F2" w:rsidRPr="005A23C2" w:rsidRDefault="00E918F2" w:rsidP="00E918F2">
            <w:pPr>
              <w:pStyle w:val="Bullet"/>
              <w:widowControl w:val="0"/>
              <w:numPr>
                <w:ilvl w:val="0"/>
                <w:numId w:val="7"/>
              </w:numPr>
              <w:rPr>
                <w:sz w:val="20"/>
              </w:rPr>
            </w:pPr>
            <w:r w:rsidRPr="005A23C2">
              <w:rPr>
                <w:sz w:val="20"/>
              </w:rPr>
              <w:t xml:space="preserve">the Ministry of Business, Innovation and Employment </w:t>
            </w:r>
            <w:r>
              <w:rPr>
                <w:sz w:val="20"/>
              </w:rPr>
              <w:t xml:space="preserve">(MBIE) </w:t>
            </w:r>
            <w:r w:rsidRPr="005A23C2">
              <w:rPr>
                <w:sz w:val="20"/>
              </w:rPr>
              <w:t>has responsibilities for workplaces</w:t>
            </w:r>
            <w:r w:rsidR="00BB044B">
              <w:rPr>
                <w:sz w:val="20"/>
              </w:rPr>
              <w:t>,</w:t>
            </w:r>
            <w:r w:rsidRPr="005A23C2">
              <w:rPr>
                <w:sz w:val="20"/>
              </w:rPr>
              <w:t xml:space="preserve"> and refugee and migrant support</w:t>
            </w:r>
          </w:p>
          <w:p w14:paraId="34F13B88" w14:textId="11F55A1D" w:rsidR="00C208B9" w:rsidRDefault="00C208B9" w:rsidP="00E918F2">
            <w:pPr>
              <w:pStyle w:val="TableText"/>
              <w:numPr>
                <w:ilvl w:val="0"/>
                <w:numId w:val="7"/>
              </w:numPr>
              <w:rPr>
                <w:sz w:val="20"/>
              </w:rPr>
            </w:pPr>
            <w:r>
              <w:rPr>
                <w:sz w:val="20"/>
              </w:rPr>
              <w:t>the Department of Conservation (DOC) support</w:t>
            </w:r>
            <w:r w:rsidR="003C075A">
              <w:rPr>
                <w:sz w:val="20"/>
              </w:rPr>
              <w:t>s</w:t>
            </w:r>
            <w:r>
              <w:rPr>
                <w:sz w:val="20"/>
              </w:rPr>
              <w:t xml:space="preserve"> New Zealanders to connect with nature and heritage</w:t>
            </w:r>
          </w:p>
          <w:p w14:paraId="223B0A25" w14:textId="7205AA77" w:rsidR="00E918F2" w:rsidRDefault="00E918F2" w:rsidP="00E918F2">
            <w:pPr>
              <w:pStyle w:val="TableText"/>
              <w:numPr>
                <w:ilvl w:val="0"/>
                <w:numId w:val="7"/>
              </w:numPr>
              <w:rPr>
                <w:sz w:val="20"/>
              </w:rPr>
            </w:pPr>
            <w:r w:rsidRPr="005E4F7A">
              <w:rPr>
                <w:sz w:val="20"/>
              </w:rPr>
              <w:t xml:space="preserve">the Department of Corrections (Corrections) </w:t>
            </w:r>
            <w:r>
              <w:rPr>
                <w:sz w:val="20"/>
              </w:rPr>
              <w:t>provides primary</w:t>
            </w:r>
            <w:r w:rsidR="00F85634">
              <w:rPr>
                <w:sz w:val="20"/>
              </w:rPr>
              <w:t xml:space="preserve"> (and some secondary)</w:t>
            </w:r>
            <w:r>
              <w:rPr>
                <w:sz w:val="20"/>
              </w:rPr>
              <w:t xml:space="preserve"> mental health support for </w:t>
            </w:r>
            <w:r w:rsidR="00F85634">
              <w:rPr>
                <w:sz w:val="20"/>
              </w:rPr>
              <w:t>people in their care</w:t>
            </w:r>
            <w:r>
              <w:rPr>
                <w:sz w:val="20"/>
              </w:rPr>
              <w:t>, and works to reduce r</w:t>
            </w:r>
            <w:r w:rsidRPr="005E4F7A">
              <w:rPr>
                <w:sz w:val="20"/>
              </w:rPr>
              <w:t>eoffendin</w:t>
            </w:r>
            <w:r>
              <w:rPr>
                <w:sz w:val="20"/>
              </w:rPr>
              <w:t xml:space="preserve">g </w:t>
            </w:r>
          </w:p>
          <w:p w14:paraId="11A4652F" w14:textId="309F4A77" w:rsidR="006266EC" w:rsidRDefault="00E918F2" w:rsidP="00AF08E8">
            <w:pPr>
              <w:pStyle w:val="Bullet"/>
              <w:widowControl w:val="0"/>
              <w:numPr>
                <w:ilvl w:val="0"/>
                <w:numId w:val="14"/>
              </w:numPr>
              <w:rPr>
                <w:sz w:val="20"/>
              </w:rPr>
            </w:pPr>
            <w:r w:rsidRPr="00F11872">
              <w:rPr>
                <w:sz w:val="20"/>
              </w:rPr>
              <w:t xml:space="preserve">the Ministry </w:t>
            </w:r>
            <w:r w:rsidR="001F62D1">
              <w:rPr>
                <w:sz w:val="20"/>
              </w:rPr>
              <w:t>for</w:t>
            </w:r>
            <w:r w:rsidRPr="00F11872">
              <w:rPr>
                <w:sz w:val="20"/>
              </w:rPr>
              <w:t xml:space="preserve"> Culture and Heritage (MCH), Manatū Taonga, supports cultural life and heritage (including arts, culture, heritage, sport, media and broadcasting sectors) </w:t>
            </w:r>
          </w:p>
          <w:p w14:paraId="4E00E902" w14:textId="09FEDE57" w:rsidR="00E918F2" w:rsidRPr="005A23C2" w:rsidRDefault="00E918F2" w:rsidP="00AF08E8">
            <w:pPr>
              <w:pStyle w:val="Bullet"/>
              <w:widowControl w:val="0"/>
              <w:numPr>
                <w:ilvl w:val="0"/>
                <w:numId w:val="14"/>
              </w:numPr>
              <w:rPr>
                <w:sz w:val="20"/>
              </w:rPr>
            </w:pPr>
            <w:r>
              <w:rPr>
                <w:sz w:val="20"/>
              </w:rPr>
              <w:t xml:space="preserve">the Department of Internal Affairs (DIA) functions include local government system leadership, regulating gambling and community development support </w:t>
            </w:r>
          </w:p>
          <w:p w14:paraId="2B81DA75" w14:textId="0E000EDC" w:rsidR="00530D43" w:rsidRPr="005A23C2" w:rsidRDefault="00820ABF" w:rsidP="00E918F2">
            <w:pPr>
              <w:pStyle w:val="TableText"/>
              <w:numPr>
                <w:ilvl w:val="0"/>
                <w:numId w:val="7"/>
              </w:numPr>
              <w:rPr>
                <w:sz w:val="20"/>
              </w:rPr>
            </w:pPr>
            <w:bookmarkStart w:id="99" w:name="_Hlk57714977"/>
            <w:r>
              <w:rPr>
                <w:sz w:val="20"/>
              </w:rPr>
              <w:t>t</w:t>
            </w:r>
            <w:r w:rsidR="00DC3AA4">
              <w:rPr>
                <w:sz w:val="20"/>
              </w:rPr>
              <w:t xml:space="preserve">he Ministry of Education (MoE) provides </w:t>
            </w:r>
            <w:r>
              <w:rPr>
                <w:sz w:val="20"/>
              </w:rPr>
              <w:t xml:space="preserve">specialist services to support the wellbeing of children, and young people, and provides </w:t>
            </w:r>
            <w:r w:rsidR="00DC3AA4">
              <w:rPr>
                <w:sz w:val="20"/>
              </w:rPr>
              <w:t xml:space="preserve">psychosocial </w:t>
            </w:r>
            <w:r>
              <w:rPr>
                <w:sz w:val="20"/>
              </w:rPr>
              <w:t>support</w:t>
            </w:r>
            <w:r w:rsidR="00DC3AA4">
              <w:rPr>
                <w:sz w:val="20"/>
              </w:rPr>
              <w:t xml:space="preserve"> </w:t>
            </w:r>
            <w:r>
              <w:rPr>
                <w:sz w:val="20"/>
              </w:rPr>
              <w:t>after emergencies for</w:t>
            </w:r>
            <w:r w:rsidR="00DC3AA4">
              <w:rPr>
                <w:sz w:val="20"/>
              </w:rPr>
              <w:t xml:space="preserve"> children and young people in early childhood services, schools and tertiary education</w:t>
            </w:r>
            <w:r>
              <w:rPr>
                <w:sz w:val="20"/>
              </w:rPr>
              <w:t xml:space="preserve"> </w:t>
            </w:r>
            <w:bookmarkEnd w:id="99"/>
          </w:p>
          <w:p w14:paraId="269C5094" w14:textId="77777777" w:rsidR="00E918F2" w:rsidRPr="005A23C2" w:rsidRDefault="00E918F2" w:rsidP="00E918F2">
            <w:pPr>
              <w:pStyle w:val="Bullet"/>
              <w:widowControl w:val="0"/>
              <w:numPr>
                <w:ilvl w:val="0"/>
                <w:numId w:val="7"/>
              </w:numPr>
              <w:rPr>
                <w:sz w:val="20"/>
              </w:rPr>
            </w:pPr>
            <w:r w:rsidRPr="005A23C2">
              <w:rPr>
                <w:sz w:val="20"/>
              </w:rPr>
              <w:t xml:space="preserve">the Ministry of Housing and Urban Development </w:t>
            </w:r>
            <w:r>
              <w:rPr>
                <w:sz w:val="20"/>
              </w:rPr>
              <w:t xml:space="preserve">(MHUD) </w:t>
            </w:r>
            <w:r w:rsidRPr="005A23C2">
              <w:rPr>
                <w:sz w:val="20"/>
              </w:rPr>
              <w:t>leads the housing and urban development work programme</w:t>
            </w:r>
          </w:p>
          <w:p w14:paraId="55CC0E16" w14:textId="2876D63D" w:rsidR="00E918F2" w:rsidRPr="00F14C06" w:rsidRDefault="00E918F2" w:rsidP="007E52CA">
            <w:pPr>
              <w:pStyle w:val="Bullet"/>
              <w:widowControl w:val="0"/>
              <w:numPr>
                <w:ilvl w:val="0"/>
                <w:numId w:val="7"/>
              </w:numPr>
              <w:rPr>
                <w:sz w:val="20"/>
              </w:rPr>
            </w:pPr>
            <w:r w:rsidRPr="00F14C06">
              <w:rPr>
                <w:sz w:val="20"/>
              </w:rPr>
              <w:t>the Ministry of Justice (MoJ) work</w:t>
            </w:r>
            <w:r w:rsidR="00180C43" w:rsidRPr="00F14C06">
              <w:rPr>
                <w:sz w:val="20"/>
              </w:rPr>
              <w:t>s</w:t>
            </w:r>
            <w:r w:rsidRPr="00F14C06">
              <w:rPr>
                <w:sz w:val="20"/>
              </w:rPr>
              <w:t xml:space="preserve"> with other agencies</w:t>
            </w:r>
            <w:r w:rsidR="00101AA6" w:rsidRPr="00F14C06">
              <w:rPr>
                <w:sz w:val="20"/>
              </w:rPr>
              <w:t xml:space="preserve"> on the</w:t>
            </w:r>
            <w:r w:rsidR="00F14C06" w:rsidRPr="00F14C06">
              <w:rPr>
                <w:sz w:val="20"/>
              </w:rPr>
              <w:t xml:space="preserve"> Joint Venture for Family Violence and</w:t>
            </w:r>
            <w:r w:rsidR="00F14C06">
              <w:rPr>
                <w:sz w:val="20"/>
              </w:rPr>
              <w:t xml:space="preserve"> </w:t>
            </w:r>
            <w:r w:rsidR="00F14C06" w:rsidRPr="00F14C06">
              <w:rPr>
                <w:sz w:val="20"/>
              </w:rPr>
              <w:t>Sexual Violence</w:t>
            </w:r>
            <w:r w:rsidR="00F14C06">
              <w:rPr>
                <w:sz w:val="20"/>
              </w:rPr>
              <w:t xml:space="preserve"> (</w:t>
            </w:r>
            <w:r w:rsidR="00101AA6" w:rsidRPr="00F14C06">
              <w:rPr>
                <w:sz w:val="20"/>
              </w:rPr>
              <w:t>Joint Venture</w:t>
            </w:r>
            <w:r w:rsidR="00F14C06">
              <w:rPr>
                <w:sz w:val="20"/>
              </w:rPr>
              <w:t>)</w:t>
            </w:r>
            <w:r w:rsidRPr="00F14C06">
              <w:rPr>
                <w:sz w:val="20"/>
              </w:rPr>
              <w:t xml:space="preserve"> to prevent and respond to family violence</w:t>
            </w:r>
          </w:p>
          <w:p w14:paraId="10455768" w14:textId="77777777" w:rsidR="00E918F2" w:rsidRPr="005A23C2" w:rsidRDefault="00E918F2" w:rsidP="00E918F2">
            <w:pPr>
              <w:pStyle w:val="Bullet"/>
              <w:widowControl w:val="0"/>
              <w:numPr>
                <w:ilvl w:val="0"/>
                <w:numId w:val="7"/>
              </w:numPr>
              <w:rPr>
                <w:sz w:val="20"/>
              </w:rPr>
            </w:pPr>
            <w:r w:rsidRPr="005A23C2">
              <w:rPr>
                <w:sz w:val="20"/>
              </w:rPr>
              <w:t xml:space="preserve">the Ministry for Pacific Peoples </w:t>
            </w:r>
            <w:r>
              <w:rPr>
                <w:sz w:val="20"/>
              </w:rPr>
              <w:t xml:space="preserve">(MPP) </w:t>
            </w:r>
            <w:r w:rsidRPr="005A23C2">
              <w:rPr>
                <w:sz w:val="20"/>
              </w:rPr>
              <w:t>provides policies and interventions to support Pacific Peoples</w:t>
            </w:r>
          </w:p>
          <w:p w14:paraId="234EC353" w14:textId="77777777" w:rsidR="002F584E" w:rsidRDefault="002F584E" w:rsidP="002F584E">
            <w:pPr>
              <w:pStyle w:val="TableText"/>
              <w:ind w:left="720"/>
              <w:rPr>
                <w:sz w:val="20"/>
              </w:rPr>
            </w:pPr>
          </w:p>
          <w:p w14:paraId="4F36FC75" w14:textId="6EC554AF" w:rsidR="00E918F2" w:rsidRPr="005A23C2" w:rsidRDefault="00E918F2" w:rsidP="00E918F2">
            <w:pPr>
              <w:pStyle w:val="TableText"/>
              <w:numPr>
                <w:ilvl w:val="0"/>
                <w:numId w:val="7"/>
              </w:numPr>
              <w:rPr>
                <w:sz w:val="20"/>
              </w:rPr>
            </w:pPr>
            <w:r w:rsidRPr="005A23C2">
              <w:rPr>
                <w:sz w:val="20"/>
              </w:rPr>
              <w:t xml:space="preserve">the Ministry for Primary Industries </w:t>
            </w:r>
            <w:r>
              <w:rPr>
                <w:sz w:val="20"/>
              </w:rPr>
              <w:t xml:space="preserve">(MPI) </w:t>
            </w:r>
            <w:r w:rsidRPr="005A23C2">
              <w:rPr>
                <w:sz w:val="20"/>
              </w:rPr>
              <w:t xml:space="preserve">supports psychosocial needs of people in rural primary industries </w:t>
            </w:r>
            <w:r w:rsidR="00C478AA">
              <w:rPr>
                <w:sz w:val="20"/>
              </w:rPr>
              <w:t>affected</w:t>
            </w:r>
            <w:r w:rsidRPr="005A23C2">
              <w:rPr>
                <w:sz w:val="20"/>
              </w:rPr>
              <w:t xml:space="preserve"> by adverse events</w:t>
            </w:r>
          </w:p>
          <w:p w14:paraId="0B7FFFE1" w14:textId="3E9B3F07" w:rsidR="00E918F2" w:rsidRPr="005A23C2" w:rsidRDefault="00E918F2" w:rsidP="00E918F2">
            <w:pPr>
              <w:pStyle w:val="TableText"/>
              <w:keepLines/>
              <w:numPr>
                <w:ilvl w:val="0"/>
                <w:numId w:val="7"/>
              </w:numPr>
              <w:ind w:left="714" w:hanging="357"/>
              <w:rPr>
                <w:sz w:val="20"/>
              </w:rPr>
            </w:pPr>
            <w:r w:rsidRPr="005A23C2">
              <w:rPr>
                <w:sz w:val="20"/>
              </w:rPr>
              <w:t xml:space="preserve">the Ministry of Social Development </w:t>
            </w:r>
            <w:r>
              <w:rPr>
                <w:sz w:val="20"/>
              </w:rPr>
              <w:t xml:space="preserve">(MSD) </w:t>
            </w:r>
            <w:r w:rsidR="00DD4755">
              <w:rPr>
                <w:sz w:val="20"/>
              </w:rPr>
              <w:t>provides information and resources to help</w:t>
            </w:r>
            <w:r w:rsidR="00DD4755" w:rsidRPr="005A23C2">
              <w:rPr>
                <w:sz w:val="20"/>
              </w:rPr>
              <w:t xml:space="preserve"> </w:t>
            </w:r>
            <w:r w:rsidRPr="005A23C2">
              <w:rPr>
                <w:sz w:val="20"/>
              </w:rPr>
              <w:t xml:space="preserve">individuals, whānau and communities connect </w:t>
            </w:r>
            <w:r w:rsidR="00DD4755">
              <w:rPr>
                <w:sz w:val="20"/>
              </w:rPr>
              <w:t>to</w:t>
            </w:r>
            <w:r w:rsidR="00DD4755" w:rsidRPr="005A23C2">
              <w:rPr>
                <w:sz w:val="20"/>
              </w:rPr>
              <w:t xml:space="preserve"> </w:t>
            </w:r>
            <w:r w:rsidRPr="005A23C2">
              <w:rPr>
                <w:sz w:val="20"/>
              </w:rPr>
              <w:t xml:space="preserve">psychosocial support </w:t>
            </w:r>
            <w:r w:rsidR="00DD4755">
              <w:rPr>
                <w:sz w:val="20"/>
              </w:rPr>
              <w:t>providers</w:t>
            </w:r>
          </w:p>
          <w:p w14:paraId="48881961" w14:textId="6120B4A3" w:rsidR="00E918F2" w:rsidRPr="005A23C2" w:rsidRDefault="00C208B9" w:rsidP="005563F2">
            <w:pPr>
              <w:pStyle w:val="Bullet"/>
              <w:keepLines/>
              <w:widowControl w:val="0"/>
              <w:numPr>
                <w:ilvl w:val="0"/>
                <w:numId w:val="7"/>
              </w:numPr>
              <w:ind w:left="714" w:hanging="357"/>
              <w:rPr>
                <w:sz w:val="20"/>
              </w:rPr>
            </w:pPr>
            <w:r>
              <w:rPr>
                <w:sz w:val="20"/>
              </w:rPr>
              <w:t xml:space="preserve">the </w:t>
            </w:r>
            <w:r w:rsidR="00E918F2" w:rsidRPr="005A23C2">
              <w:rPr>
                <w:sz w:val="20"/>
              </w:rPr>
              <w:t xml:space="preserve">Ministry of Youth Development </w:t>
            </w:r>
            <w:r w:rsidR="00E918F2">
              <w:rPr>
                <w:sz w:val="20"/>
              </w:rPr>
              <w:t>(MYD) supports young people to strengthen their wellbeing, build resilience, connect with their communities, and thrive</w:t>
            </w:r>
          </w:p>
          <w:p w14:paraId="28427262" w14:textId="04D95A60" w:rsidR="00E918F2" w:rsidRDefault="00E918F2" w:rsidP="00E918F2">
            <w:pPr>
              <w:pStyle w:val="Bullet"/>
              <w:widowControl w:val="0"/>
              <w:numPr>
                <w:ilvl w:val="0"/>
                <w:numId w:val="7"/>
              </w:numPr>
              <w:rPr>
                <w:sz w:val="20"/>
              </w:rPr>
            </w:pPr>
            <w:r>
              <w:rPr>
                <w:sz w:val="20"/>
              </w:rPr>
              <w:t>the New Zealand Police (NZP) work involve</w:t>
            </w:r>
            <w:r w:rsidR="00195754">
              <w:rPr>
                <w:sz w:val="20"/>
              </w:rPr>
              <w:t>s</w:t>
            </w:r>
            <w:r>
              <w:rPr>
                <w:sz w:val="20"/>
              </w:rPr>
              <w:t xml:space="preserve"> responding to people experiencing </w:t>
            </w:r>
            <w:r w:rsidR="00FE207F">
              <w:rPr>
                <w:sz w:val="20"/>
              </w:rPr>
              <w:t>severe mental distress or addiction issues</w:t>
            </w:r>
          </w:p>
          <w:p w14:paraId="182AF2C5" w14:textId="77777777" w:rsidR="00E918F2" w:rsidRPr="005A23C2" w:rsidRDefault="00E918F2" w:rsidP="00E918F2">
            <w:pPr>
              <w:pStyle w:val="Bullet"/>
              <w:widowControl w:val="0"/>
              <w:numPr>
                <w:ilvl w:val="0"/>
                <w:numId w:val="7"/>
              </w:numPr>
              <w:rPr>
                <w:sz w:val="20"/>
              </w:rPr>
            </w:pPr>
            <w:r w:rsidRPr="005A23C2">
              <w:rPr>
                <w:sz w:val="20"/>
              </w:rPr>
              <w:t xml:space="preserve">the Office for Disability Issues </w:t>
            </w:r>
            <w:r>
              <w:rPr>
                <w:sz w:val="20"/>
              </w:rPr>
              <w:t xml:space="preserve">(ODI) </w:t>
            </w:r>
            <w:r w:rsidRPr="005A23C2">
              <w:rPr>
                <w:sz w:val="20"/>
              </w:rPr>
              <w:t>is a government focal point for disability issues</w:t>
            </w:r>
          </w:p>
          <w:p w14:paraId="42B028E3" w14:textId="0798042D" w:rsidR="00E918F2" w:rsidRPr="005A23C2" w:rsidRDefault="00E918F2" w:rsidP="00E918F2">
            <w:pPr>
              <w:pStyle w:val="Bullet"/>
              <w:widowControl w:val="0"/>
              <w:numPr>
                <w:ilvl w:val="0"/>
                <w:numId w:val="7"/>
              </w:numPr>
              <w:rPr>
                <w:sz w:val="20"/>
              </w:rPr>
            </w:pPr>
            <w:r w:rsidRPr="005A23C2">
              <w:rPr>
                <w:sz w:val="20"/>
              </w:rPr>
              <w:t xml:space="preserve">the Office for Ethnic Communities </w:t>
            </w:r>
            <w:r>
              <w:rPr>
                <w:sz w:val="20"/>
              </w:rPr>
              <w:t xml:space="preserve">(OEC) </w:t>
            </w:r>
            <w:r w:rsidR="00680C99">
              <w:rPr>
                <w:sz w:val="20"/>
              </w:rPr>
              <w:t>provides information</w:t>
            </w:r>
            <w:r w:rsidR="00680C99" w:rsidRPr="005A23C2">
              <w:rPr>
                <w:sz w:val="20"/>
              </w:rPr>
              <w:t xml:space="preserve"> </w:t>
            </w:r>
            <w:r w:rsidR="00680C99">
              <w:rPr>
                <w:sz w:val="20"/>
              </w:rPr>
              <w:t xml:space="preserve">and services for </w:t>
            </w:r>
            <w:r w:rsidRPr="005A23C2">
              <w:rPr>
                <w:sz w:val="20"/>
              </w:rPr>
              <w:t>ethnic communities</w:t>
            </w:r>
            <w:r w:rsidR="00680C99">
              <w:rPr>
                <w:sz w:val="20"/>
              </w:rPr>
              <w:t xml:space="preserve"> and seeks to ensure</w:t>
            </w:r>
            <w:r w:rsidRPr="005A23C2">
              <w:rPr>
                <w:sz w:val="20"/>
              </w:rPr>
              <w:t xml:space="preserve"> </w:t>
            </w:r>
            <w:r w:rsidR="00680C99">
              <w:rPr>
                <w:sz w:val="20"/>
              </w:rPr>
              <w:t xml:space="preserve">they </w:t>
            </w:r>
            <w:r w:rsidRPr="005A23C2">
              <w:rPr>
                <w:sz w:val="20"/>
              </w:rPr>
              <w:t xml:space="preserve">are strong and connected </w:t>
            </w:r>
          </w:p>
          <w:p w14:paraId="7B1D6494" w14:textId="77777777" w:rsidR="00E918F2" w:rsidRPr="0017240E" w:rsidRDefault="00E918F2" w:rsidP="00E918F2">
            <w:pPr>
              <w:pStyle w:val="Bullet"/>
              <w:widowControl w:val="0"/>
              <w:numPr>
                <w:ilvl w:val="0"/>
                <w:numId w:val="7"/>
              </w:numPr>
              <w:rPr>
                <w:sz w:val="20"/>
              </w:rPr>
            </w:pPr>
            <w:r w:rsidRPr="005A23C2">
              <w:rPr>
                <w:sz w:val="20"/>
              </w:rPr>
              <w:t xml:space="preserve">the Office </w:t>
            </w:r>
            <w:r w:rsidRPr="009E0F7C">
              <w:rPr>
                <w:sz w:val="20"/>
              </w:rPr>
              <w:t>for Seniors (</w:t>
            </w:r>
            <w:r w:rsidRPr="004267F3">
              <w:rPr>
                <w:sz w:val="20"/>
              </w:rPr>
              <w:t>O</w:t>
            </w:r>
            <w:r>
              <w:rPr>
                <w:sz w:val="20"/>
              </w:rPr>
              <w:t>F</w:t>
            </w:r>
            <w:r w:rsidRPr="004267F3">
              <w:rPr>
                <w:sz w:val="20"/>
              </w:rPr>
              <w:t>S)</w:t>
            </w:r>
            <w:r w:rsidRPr="009E0F7C">
              <w:rPr>
                <w:sz w:val="20"/>
              </w:rPr>
              <w:t xml:space="preserve"> provides information about the issues and concerns of older people</w:t>
            </w:r>
          </w:p>
          <w:p w14:paraId="31A872FC" w14:textId="77777777" w:rsidR="00E918F2" w:rsidRPr="005A23C2" w:rsidRDefault="00E918F2" w:rsidP="00E918F2">
            <w:pPr>
              <w:pStyle w:val="Bullet"/>
              <w:widowControl w:val="0"/>
              <w:numPr>
                <w:ilvl w:val="0"/>
                <w:numId w:val="7"/>
              </w:numPr>
              <w:rPr>
                <w:sz w:val="20"/>
              </w:rPr>
            </w:pPr>
            <w:r w:rsidRPr="005A23C2">
              <w:rPr>
                <w:sz w:val="20"/>
              </w:rPr>
              <w:t xml:space="preserve">Oranga Tamariki </w:t>
            </w:r>
            <w:r>
              <w:rPr>
                <w:sz w:val="20"/>
              </w:rPr>
              <w:t xml:space="preserve">(OT) </w:t>
            </w:r>
            <w:r w:rsidRPr="005A23C2">
              <w:rPr>
                <w:sz w:val="20"/>
              </w:rPr>
              <w:t xml:space="preserve">provides services for children, family and whānau </w:t>
            </w:r>
          </w:p>
          <w:p w14:paraId="264FF2B5" w14:textId="2EA90852" w:rsidR="00E918F2" w:rsidRPr="005A23C2" w:rsidRDefault="00E918F2" w:rsidP="00E918F2">
            <w:pPr>
              <w:pStyle w:val="Bullet"/>
              <w:widowControl w:val="0"/>
              <w:numPr>
                <w:ilvl w:val="0"/>
                <w:numId w:val="7"/>
              </w:numPr>
              <w:rPr>
                <w:sz w:val="20"/>
              </w:rPr>
            </w:pPr>
            <w:r w:rsidRPr="005A23C2">
              <w:rPr>
                <w:sz w:val="20"/>
              </w:rPr>
              <w:t xml:space="preserve">the Social Wellbeing Agency </w:t>
            </w:r>
            <w:r>
              <w:rPr>
                <w:sz w:val="20"/>
              </w:rPr>
              <w:t xml:space="preserve">(SWA) </w:t>
            </w:r>
            <w:r w:rsidRPr="005A23C2">
              <w:rPr>
                <w:sz w:val="20"/>
              </w:rPr>
              <w:t xml:space="preserve">considers social wellbeing </w:t>
            </w:r>
            <w:r w:rsidR="00C478AA">
              <w:rPr>
                <w:sz w:val="20"/>
              </w:rPr>
              <w:t>outcomes</w:t>
            </w:r>
            <w:r w:rsidRPr="005A23C2">
              <w:rPr>
                <w:sz w:val="20"/>
              </w:rPr>
              <w:t xml:space="preserve"> and supports social innovation</w:t>
            </w:r>
          </w:p>
          <w:p w14:paraId="641ED654" w14:textId="2B99ACB7" w:rsidR="00E918F2" w:rsidRPr="005A23C2" w:rsidRDefault="00E918F2" w:rsidP="00E918F2">
            <w:pPr>
              <w:pStyle w:val="Bullet"/>
              <w:widowControl w:val="0"/>
              <w:numPr>
                <w:ilvl w:val="0"/>
                <w:numId w:val="7"/>
              </w:numPr>
              <w:spacing w:after="60"/>
              <w:rPr>
                <w:sz w:val="20"/>
              </w:rPr>
            </w:pPr>
            <w:r w:rsidRPr="005A23C2">
              <w:rPr>
                <w:sz w:val="20"/>
              </w:rPr>
              <w:t xml:space="preserve">Te Puni Kōkiri </w:t>
            </w:r>
            <w:r>
              <w:rPr>
                <w:sz w:val="20"/>
              </w:rPr>
              <w:t xml:space="preserve">(TPK) </w:t>
            </w:r>
            <w:r w:rsidRPr="005A23C2">
              <w:rPr>
                <w:sz w:val="20"/>
              </w:rPr>
              <w:t xml:space="preserve">links to iwi and Māori providers and advises on appropriate cultural responses. </w:t>
            </w:r>
          </w:p>
        </w:tc>
      </w:tr>
      <w:tr w:rsidR="00E918F2" w14:paraId="34E95D7B" w14:textId="77777777" w:rsidTr="00C74FD9">
        <w:tc>
          <w:tcPr>
            <w:tcW w:w="1388" w:type="dxa"/>
            <w:tcBorders>
              <w:bottom w:val="single" w:sz="4" w:space="0" w:color="A6A6A6" w:themeColor="background1" w:themeShade="A6"/>
            </w:tcBorders>
            <w:shd w:val="clear" w:color="auto" w:fill="auto"/>
          </w:tcPr>
          <w:p w14:paraId="47D54092" w14:textId="77777777" w:rsidR="00E918F2" w:rsidRPr="005A23C2" w:rsidRDefault="00E918F2" w:rsidP="00C74FD9">
            <w:pPr>
              <w:pStyle w:val="TableText"/>
              <w:rPr>
                <w:b/>
                <w:sz w:val="20"/>
              </w:rPr>
            </w:pPr>
            <w:r w:rsidRPr="005A23C2">
              <w:rPr>
                <w:sz w:val="20"/>
              </w:rPr>
              <w:t>District health boards</w:t>
            </w:r>
          </w:p>
        </w:tc>
        <w:tc>
          <w:tcPr>
            <w:tcW w:w="7769" w:type="dxa"/>
            <w:tcBorders>
              <w:bottom w:val="single" w:sz="4" w:space="0" w:color="A6A6A6" w:themeColor="background1" w:themeShade="A6"/>
            </w:tcBorders>
            <w:shd w:val="clear" w:color="auto" w:fill="auto"/>
          </w:tcPr>
          <w:p w14:paraId="5B1AF9AE" w14:textId="77777777" w:rsidR="00E918F2" w:rsidRPr="005A23C2" w:rsidRDefault="00E918F2" w:rsidP="00C74FD9">
            <w:pPr>
              <w:pStyle w:val="TableText"/>
              <w:rPr>
                <w:sz w:val="20"/>
              </w:rPr>
            </w:pPr>
            <w:r w:rsidRPr="005A23C2">
              <w:rPr>
                <w:sz w:val="20"/>
              </w:rPr>
              <w:t>DHBs plan, fund and deliver health services for their local communities</w:t>
            </w:r>
            <w:r>
              <w:rPr>
                <w:sz w:val="20"/>
              </w:rPr>
              <w:t xml:space="preserve">. This </w:t>
            </w:r>
            <w:r w:rsidRPr="005A23C2">
              <w:rPr>
                <w:sz w:val="20"/>
              </w:rPr>
              <w:t>in</w:t>
            </w:r>
            <w:r>
              <w:rPr>
                <w:sz w:val="20"/>
              </w:rPr>
              <w:t>cludes</w:t>
            </w:r>
            <w:r w:rsidRPr="005A23C2">
              <w:rPr>
                <w:sz w:val="20"/>
              </w:rPr>
              <w:t xml:space="preserve"> collaborati</w:t>
            </w:r>
            <w:r>
              <w:rPr>
                <w:sz w:val="20"/>
              </w:rPr>
              <w:t xml:space="preserve">ng </w:t>
            </w:r>
            <w:r w:rsidRPr="005A23C2">
              <w:rPr>
                <w:sz w:val="20"/>
              </w:rPr>
              <w:t>with other agencies, Māori and Pacific providers and community organisations.</w:t>
            </w:r>
          </w:p>
        </w:tc>
      </w:tr>
      <w:tr w:rsidR="00E918F2" w14:paraId="3233EDA2" w14:textId="77777777" w:rsidTr="00C74FD9">
        <w:tc>
          <w:tcPr>
            <w:tcW w:w="1388" w:type="dxa"/>
            <w:tcBorders>
              <w:bottom w:val="single" w:sz="4" w:space="0" w:color="A6A6A6" w:themeColor="background1" w:themeShade="A6"/>
            </w:tcBorders>
            <w:shd w:val="clear" w:color="auto" w:fill="auto"/>
          </w:tcPr>
          <w:p w14:paraId="77B40648" w14:textId="77777777" w:rsidR="00E918F2" w:rsidRPr="005A23C2" w:rsidRDefault="00E918F2" w:rsidP="00C74FD9">
            <w:pPr>
              <w:pStyle w:val="TableText"/>
              <w:rPr>
                <w:sz w:val="20"/>
              </w:rPr>
            </w:pPr>
            <w:r w:rsidRPr="005A23C2">
              <w:rPr>
                <w:sz w:val="20"/>
              </w:rPr>
              <w:t>Other Crown entities</w:t>
            </w:r>
          </w:p>
        </w:tc>
        <w:tc>
          <w:tcPr>
            <w:tcW w:w="7769" w:type="dxa"/>
            <w:tcBorders>
              <w:bottom w:val="single" w:sz="4" w:space="0" w:color="A6A6A6" w:themeColor="background1" w:themeShade="A6"/>
            </w:tcBorders>
            <w:shd w:val="clear" w:color="auto" w:fill="auto"/>
          </w:tcPr>
          <w:p w14:paraId="5061E6C0" w14:textId="0838D03E" w:rsidR="00E918F2" w:rsidRPr="005A23C2" w:rsidRDefault="00E918F2" w:rsidP="00C74FD9">
            <w:pPr>
              <w:pStyle w:val="Bullet"/>
              <w:numPr>
                <w:ilvl w:val="0"/>
                <w:numId w:val="0"/>
              </w:numPr>
              <w:ind w:left="284" w:hanging="284"/>
              <w:rPr>
                <w:sz w:val="20"/>
              </w:rPr>
            </w:pPr>
            <w:r w:rsidRPr="005A23C2">
              <w:rPr>
                <w:sz w:val="20"/>
              </w:rPr>
              <w:t xml:space="preserve">Crown entities with roles that </w:t>
            </w:r>
            <w:r w:rsidR="008846D9">
              <w:rPr>
                <w:sz w:val="20"/>
              </w:rPr>
              <w:t>contribute to</w:t>
            </w:r>
            <w:r w:rsidR="00DE118A">
              <w:rPr>
                <w:sz w:val="20"/>
              </w:rPr>
              <w:t xml:space="preserve"> </w:t>
            </w:r>
            <w:r w:rsidRPr="005A23C2">
              <w:rPr>
                <w:sz w:val="20"/>
              </w:rPr>
              <w:t>psychosocial wellbeing include:</w:t>
            </w:r>
          </w:p>
          <w:p w14:paraId="56DE317C" w14:textId="389ADBD8" w:rsidR="00E918F2" w:rsidRDefault="00E918F2" w:rsidP="00E918F2">
            <w:pPr>
              <w:pStyle w:val="Bullet"/>
              <w:widowControl w:val="0"/>
              <w:numPr>
                <w:ilvl w:val="0"/>
                <w:numId w:val="7"/>
              </w:numPr>
              <w:rPr>
                <w:sz w:val="20"/>
              </w:rPr>
            </w:pPr>
            <w:bookmarkStart w:id="100" w:name="_Hlk57815690"/>
            <w:r>
              <w:rPr>
                <w:sz w:val="20"/>
              </w:rPr>
              <w:t>the A</w:t>
            </w:r>
            <w:r w:rsidRPr="00F62987">
              <w:rPr>
                <w:sz w:val="20"/>
              </w:rPr>
              <w:t>ccident Compensation Corporation (ACC)</w:t>
            </w:r>
            <w:r>
              <w:rPr>
                <w:sz w:val="20"/>
              </w:rPr>
              <w:t xml:space="preserve"> provides funding for treatment and rehabilitation services and financial compensation for </w:t>
            </w:r>
            <w:r w:rsidR="004D1559">
              <w:rPr>
                <w:sz w:val="20"/>
              </w:rPr>
              <w:t xml:space="preserve">certain </w:t>
            </w:r>
            <w:r>
              <w:rPr>
                <w:sz w:val="20"/>
              </w:rPr>
              <w:t>mental injuries</w:t>
            </w:r>
          </w:p>
          <w:bookmarkEnd w:id="100"/>
          <w:p w14:paraId="251D44CE" w14:textId="77777777" w:rsidR="00E918F2" w:rsidRPr="005A23C2" w:rsidRDefault="00E918F2" w:rsidP="00E918F2">
            <w:pPr>
              <w:pStyle w:val="Bullet"/>
              <w:numPr>
                <w:ilvl w:val="0"/>
                <w:numId w:val="7"/>
              </w:numPr>
              <w:rPr>
                <w:sz w:val="20"/>
              </w:rPr>
            </w:pPr>
            <w:r w:rsidRPr="005A23C2">
              <w:rPr>
                <w:sz w:val="20"/>
              </w:rPr>
              <w:t>the Health Promotion Agency provides mental wellbeing campaigns targeted to a range of audiences</w:t>
            </w:r>
          </w:p>
          <w:p w14:paraId="6EE555BF" w14:textId="77777777" w:rsidR="00E918F2" w:rsidRPr="005A23C2" w:rsidRDefault="00E918F2" w:rsidP="00E918F2">
            <w:pPr>
              <w:pStyle w:val="Bullet"/>
              <w:numPr>
                <w:ilvl w:val="0"/>
                <w:numId w:val="7"/>
              </w:numPr>
              <w:rPr>
                <w:sz w:val="20"/>
              </w:rPr>
            </w:pPr>
            <w:r w:rsidRPr="005A23C2">
              <w:rPr>
                <w:sz w:val="20"/>
              </w:rPr>
              <w:t>Health Quality and Safety Commission works to improve the quality and safety of health and disability support services</w:t>
            </w:r>
          </w:p>
          <w:p w14:paraId="6F176217" w14:textId="33EEDCAA" w:rsidR="00E918F2" w:rsidRPr="005A23C2" w:rsidRDefault="00E918F2" w:rsidP="00E918F2">
            <w:pPr>
              <w:pStyle w:val="Bullet"/>
              <w:numPr>
                <w:ilvl w:val="0"/>
                <w:numId w:val="7"/>
              </w:numPr>
              <w:rPr>
                <w:sz w:val="20"/>
              </w:rPr>
            </w:pPr>
            <w:r w:rsidRPr="005A23C2">
              <w:rPr>
                <w:sz w:val="20"/>
              </w:rPr>
              <w:t xml:space="preserve">the Human Rights Commission </w:t>
            </w:r>
            <w:r w:rsidR="002D2AAA">
              <w:rPr>
                <w:sz w:val="20"/>
              </w:rPr>
              <w:t xml:space="preserve">(HRC) </w:t>
            </w:r>
            <w:r w:rsidRPr="005A23C2">
              <w:rPr>
                <w:sz w:val="20"/>
              </w:rPr>
              <w:t xml:space="preserve">responds to enquiries and complaints regarding human rights </w:t>
            </w:r>
          </w:p>
          <w:p w14:paraId="6F1B0729" w14:textId="29940833" w:rsidR="00E918F2" w:rsidRDefault="00E918F2" w:rsidP="00E918F2">
            <w:pPr>
              <w:pStyle w:val="Bullet"/>
              <w:widowControl w:val="0"/>
              <w:numPr>
                <w:ilvl w:val="0"/>
                <w:numId w:val="7"/>
              </w:numPr>
              <w:rPr>
                <w:sz w:val="20"/>
              </w:rPr>
            </w:pPr>
            <w:r w:rsidRPr="005A23C2">
              <w:rPr>
                <w:sz w:val="20"/>
              </w:rPr>
              <w:t xml:space="preserve">the Mental Health and Wellbeing Commission (in </w:t>
            </w:r>
            <w:r w:rsidR="00FA4627">
              <w:rPr>
                <w:sz w:val="20"/>
              </w:rPr>
              <w:t xml:space="preserve">its </w:t>
            </w:r>
            <w:r w:rsidRPr="005A23C2">
              <w:rPr>
                <w:sz w:val="20"/>
              </w:rPr>
              <w:t>initial form</w:t>
            </w:r>
            <w:r w:rsidR="00FA4627">
              <w:rPr>
                <w:sz w:val="20"/>
              </w:rPr>
              <w:t xml:space="preserve"> as a Ministerial </w:t>
            </w:r>
            <w:r w:rsidR="00FC384D">
              <w:rPr>
                <w:sz w:val="20"/>
              </w:rPr>
              <w:t>Advisory Committee until February 2021</w:t>
            </w:r>
            <w:r w:rsidRPr="005A23C2">
              <w:rPr>
                <w:sz w:val="20"/>
              </w:rPr>
              <w:t xml:space="preserve">) has independent oversight of mental health and wellbeing </w:t>
            </w:r>
          </w:p>
          <w:p w14:paraId="7AEEA501" w14:textId="77777777" w:rsidR="00E918F2" w:rsidRPr="005A23C2" w:rsidRDefault="00E918F2" w:rsidP="00E918F2">
            <w:pPr>
              <w:pStyle w:val="Bullet"/>
              <w:widowControl w:val="0"/>
              <w:numPr>
                <w:ilvl w:val="0"/>
                <w:numId w:val="7"/>
              </w:numPr>
              <w:rPr>
                <w:sz w:val="20"/>
              </w:rPr>
            </w:pPr>
            <w:r>
              <w:rPr>
                <w:sz w:val="20"/>
              </w:rPr>
              <w:t xml:space="preserve">Sport NZ supports the play, active recreation and sport sector </w:t>
            </w:r>
          </w:p>
          <w:p w14:paraId="303D13F8" w14:textId="3C567FF7" w:rsidR="00E918F2" w:rsidRPr="005A23C2" w:rsidRDefault="00E918F2" w:rsidP="00E918F2">
            <w:pPr>
              <w:pStyle w:val="Bullet"/>
              <w:numPr>
                <w:ilvl w:val="0"/>
                <w:numId w:val="7"/>
              </w:numPr>
              <w:spacing w:after="60"/>
              <w:rPr>
                <w:sz w:val="20"/>
              </w:rPr>
            </w:pPr>
            <w:r w:rsidRPr="005A23C2">
              <w:rPr>
                <w:sz w:val="20"/>
              </w:rPr>
              <w:t xml:space="preserve">Worksafe New Zealand is the primary </w:t>
            </w:r>
            <w:r w:rsidRPr="00300374">
              <w:rPr>
                <w:sz w:val="20"/>
              </w:rPr>
              <w:t>regulator</w:t>
            </w:r>
            <w:r w:rsidR="00ED645E" w:rsidRPr="00300374">
              <w:rPr>
                <w:sz w:val="20"/>
              </w:rPr>
              <w:t xml:space="preserve"> </w:t>
            </w:r>
            <w:r w:rsidR="00ED645E" w:rsidRPr="00300374">
              <w:rPr>
                <w:lang w:val="en-US" w:eastAsia="en-NZ"/>
              </w:rPr>
              <w:t>for health and safety at work</w:t>
            </w:r>
            <w:r w:rsidR="00A12B78">
              <w:rPr>
                <w:lang w:val="en-US" w:eastAsia="en-NZ"/>
              </w:rPr>
              <w:t>.</w:t>
            </w:r>
          </w:p>
        </w:tc>
      </w:tr>
      <w:tr w:rsidR="00E918F2" w14:paraId="2E73D192" w14:textId="77777777" w:rsidTr="00C74FD9">
        <w:tc>
          <w:tcPr>
            <w:tcW w:w="1388" w:type="dxa"/>
            <w:tcBorders>
              <w:top w:val="single" w:sz="4" w:space="0" w:color="A6A6A6" w:themeColor="background1" w:themeShade="A6"/>
              <w:bottom w:val="single" w:sz="4" w:space="0" w:color="A6A6A6" w:themeColor="background1" w:themeShade="A6"/>
            </w:tcBorders>
            <w:shd w:val="clear" w:color="auto" w:fill="auto"/>
          </w:tcPr>
          <w:p w14:paraId="0D301FD8" w14:textId="77777777" w:rsidR="00E918F2" w:rsidRPr="005A23C2" w:rsidRDefault="00E918F2" w:rsidP="00C74FD9">
            <w:pPr>
              <w:pStyle w:val="TableText"/>
              <w:rPr>
                <w:b/>
                <w:sz w:val="20"/>
              </w:rPr>
            </w:pPr>
            <w:r w:rsidRPr="005A23C2">
              <w:rPr>
                <w:sz w:val="20"/>
              </w:rPr>
              <w:t>Iwi, hapū, and Māori organisations</w:t>
            </w:r>
          </w:p>
        </w:tc>
        <w:tc>
          <w:tcPr>
            <w:tcW w:w="7769" w:type="dxa"/>
            <w:tcBorders>
              <w:top w:val="single" w:sz="4" w:space="0" w:color="A6A6A6" w:themeColor="background1" w:themeShade="A6"/>
              <w:bottom w:val="single" w:sz="4" w:space="0" w:color="A6A6A6" w:themeColor="background1" w:themeShade="A6"/>
            </w:tcBorders>
            <w:shd w:val="clear" w:color="auto" w:fill="auto"/>
          </w:tcPr>
          <w:p w14:paraId="0A425998" w14:textId="10F851A6" w:rsidR="00E918F2" w:rsidRPr="005A23C2" w:rsidRDefault="00E918F2" w:rsidP="00C74FD9">
            <w:pPr>
              <w:pStyle w:val="TableText"/>
              <w:rPr>
                <w:sz w:val="20"/>
              </w:rPr>
            </w:pPr>
            <w:r w:rsidRPr="005A23C2">
              <w:rPr>
                <w:sz w:val="20"/>
              </w:rPr>
              <w:t>Iwi, hapū and wh</w:t>
            </w:r>
            <w:r>
              <w:rPr>
                <w:sz w:val="20"/>
              </w:rPr>
              <w:t>ā</w:t>
            </w:r>
            <w:r w:rsidRPr="005A23C2">
              <w:rPr>
                <w:sz w:val="20"/>
              </w:rPr>
              <w:t>nau, and Māori organisations provide wide-ranging services to support the wellbeing of their people.</w:t>
            </w:r>
            <w:r>
              <w:rPr>
                <w:sz w:val="20"/>
              </w:rPr>
              <w:t xml:space="preserve"> </w:t>
            </w:r>
            <w:r w:rsidRPr="005A23C2">
              <w:rPr>
                <w:sz w:val="20"/>
              </w:rPr>
              <w:t xml:space="preserve">This includes the roles of national forums (such as the Iwi Chairs Forum), national community organisations (such as the Māori Women’s Welfare League), Whānau Ora Commissioning Agencies, and local groups (such </w:t>
            </w:r>
            <w:r w:rsidR="00A12B78">
              <w:rPr>
                <w:sz w:val="20"/>
              </w:rPr>
              <w:t xml:space="preserve">as </w:t>
            </w:r>
            <w:r w:rsidRPr="005A23C2">
              <w:rPr>
                <w:sz w:val="20"/>
              </w:rPr>
              <w:t>marae committees).</w:t>
            </w:r>
          </w:p>
        </w:tc>
      </w:tr>
      <w:tr w:rsidR="00E918F2" w14:paraId="12DD2F26" w14:textId="77777777" w:rsidTr="00C74FD9">
        <w:tc>
          <w:tcPr>
            <w:tcW w:w="1388" w:type="dxa"/>
            <w:tcBorders>
              <w:top w:val="single" w:sz="4" w:space="0" w:color="A6A6A6" w:themeColor="background1" w:themeShade="A6"/>
              <w:bottom w:val="single" w:sz="4" w:space="0" w:color="A6A6A6" w:themeColor="background1" w:themeShade="A6"/>
            </w:tcBorders>
            <w:shd w:val="clear" w:color="auto" w:fill="auto"/>
          </w:tcPr>
          <w:p w14:paraId="2C3B8E1B" w14:textId="77777777" w:rsidR="00E918F2" w:rsidRPr="005A23C2" w:rsidRDefault="00E918F2" w:rsidP="00C74FD9">
            <w:pPr>
              <w:pStyle w:val="TableText"/>
              <w:rPr>
                <w:b/>
                <w:sz w:val="20"/>
              </w:rPr>
            </w:pPr>
            <w:r w:rsidRPr="005A23C2">
              <w:rPr>
                <w:sz w:val="20"/>
              </w:rPr>
              <w:t>Local authorities</w:t>
            </w:r>
          </w:p>
        </w:tc>
        <w:tc>
          <w:tcPr>
            <w:tcW w:w="7769" w:type="dxa"/>
            <w:tcBorders>
              <w:top w:val="single" w:sz="4" w:space="0" w:color="A6A6A6" w:themeColor="background1" w:themeShade="A6"/>
              <w:bottom w:val="single" w:sz="4" w:space="0" w:color="A6A6A6" w:themeColor="background1" w:themeShade="A6"/>
            </w:tcBorders>
            <w:shd w:val="clear" w:color="auto" w:fill="auto"/>
          </w:tcPr>
          <w:p w14:paraId="03C760E7" w14:textId="77777777" w:rsidR="00E918F2" w:rsidRPr="005A23C2" w:rsidRDefault="00E918F2" w:rsidP="00C74FD9">
            <w:pPr>
              <w:pStyle w:val="TableText"/>
              <w:rPr>
                <w:sz w:val="20"/>
              </w:rPr>
            </w:pPr>
            <w:r w:rsidRPr="005A23C2">
              <w:rPr>
                <w:sz w:val="20"/>
              </w:rPr>
              <w:t xml:space="preserve">Local authorities support </w:t>
            </w:r>
            <w:r w:rsidRPr="005A23C2">
              <w:rPr>
                <w:sz w:val="20"/>
                <w:shd w:val="clear" w:color="auto" w:fill="FFFFFF"/>
              </w:rPr>
              <w:t xml:space="preserve">social, economic, environmental, and cultural wellbeing under the Local Government Act 2002, including </w:t>
            </w:r>
            <w:r w:rsidRPr="005A23C2">
              <w:rPr>
                <w:sz w:val="20"/>
              </w:rPr>
              <w:t>services such parks, libraries and community centres.</w:t>
            </w:r>
          </w:p>
        </w:tc>
      </w:tr>
      <w:tr w:rsidR="00E918F2" w:rsidRPr="00863D7A" w14:paraId="1263B47E" w14:textId="77777777" w:rsidTr="00C74FD9">
        <w:tc>
          <w:tcPr>
            <w:tcW w:w="1388" w:type="dxa"/>
            <w:tcBorders>
              <w:top w:val="single" w:sz="4" w:space="0" w:color="A6A6A6" w:themeColor="background1" w:themeShade="A6"/>
              <w:bottom w:val="single" w:sz="4" w:space="0" w:color="A6A6A6" w:themeColor="background1" w:themeShade="A6"/>
            </w:tcBorders>
            <w:shd w:val="clear" w:color="auto" w:fill="auto"/>
          </w:tcPr>
          <w:p w14:paraId="4A66853E" w14:textId="77777777" w:rsidR="00E918F2" w:rsidRPr="005A23C2" w:rsidRDefault="00E918F2" w:rsidP="00C74FD9">
            <w:pPr>
              <w:pStyle w:val="TableText"/>
              <w:rPr>
                <w:sz w:val="20"/>
              </w:rPr>
            </w:pPr>
            <w:r w:rsidRPr="005A23C2">
              <w:rPr>
                <w:sz w:val="20"/>
              </w:rPr>
              <w:t>National community organisations</w:t>
            </w:r>
          </w:p>
        </w:tc>
        <w:tc>
          <w:tcPr>
            <w:tcW w:w="7769" w:type="dxa"/>
            <w:tcBorders>
              <w:top w:val="single" w:sz="4" w:space="0" w:color="A6A6A6" w:themeColor="background1" w:themeShade="A6"/>
              <w:bottom w:val="single" w:sz="4" w:space="0" w:color="A6A6A6" w:themeColor="background1" w:themeShade="A6"/>
            </w:tcBorders>
            <w:shd w:val="clear" w:color="auto" w:fill="auto"/>
          </w:tcPr>
          <w:p w14:paraId="5A127D74" w14:textId="77777777" w:rsidR="00E918F2" w:rsidRPr="005A23C2" w:rsidRDefault="00E918F2" w:rsidP="00C74FD9">
            <w:pPr>
              <w:pStyle w:val="TableText"/>
              <w:keepLines/>
              <w:rPr>
                <w:sz w:val="20"/>
              </w:rPr>
            </w:pPr>
            <w:r w:rsidRPr="005A23C2">
              <w:rPr>
                <w:sz w:val="20"/>
              </w:rPr>
              <w:t>National community organisations include the Mental Health Foundation, membership-based organisations (such as the Platform Charitable Trust and New Zealand Drug Foundation), and national bodies with local branches (such as Emerge Aotearoa, Pathways, Salvation Army, Age Concern).</w:t>
            </w:r>
          </w:p>
        </w:tc>
      </w:tr>
      <w:tr w:rsidR="00E918F2" w14:paraId="74996679" w14:textId="77777777" w:rsidTr="005563F2">
        <w:trPr>
          <w:cantSplit/>
        </w:trPr>
        <w:tc>
          <w:tcPr>
            <w:tcW w:w="1388" w:type="dxa"/>
            <w:tcBorders>
              <w:top w:val="single" w:sz="4" w:space="0" w:color="A6A6A6" w:themeColor="background1" w:themeShade="A6"/>
              <w:bottom w:val="single" w:sz="4" w:space="0" w:color="A6A6A6" w:themeColor="background1" w:themeShade="A6"/>
            </w:tcBorders>
            <w:shd w:val="clear" w:color="auto" w:fill="auto"/>
          </w:tcPr>
          <w:p w14:paraId="16100816" w14:textId="77777777" w:rsidR="00E918F2" w:rsidRPr="005A23C2" w:rsidRDefault="00E918F2" w:rsidP="00C74FD9">
            <w:pPr>
              <w:pStyle w:val="TableText"/>
              <w:rPr>
                <w:b/>
                <w:sz w:val="20"/>
              </w:rPr>
            </w:pPr>
            <w:r w:rsidRPr="005A23C2">
              <w:rPr>
                <w:sz w:val="20"/>
              </w:rPr>
              <w:t>Local community organisations and networks</w:t>
            </w:r>
          </w:p>
        </w:tc>
        <w:tc>
          <w:tcPr>
            <w:tcW w:w="7769" w:type="dxa"/>
            <w:tcBorders>
              <w:top w:val="single" w:sz="4" w:space="0" w:color="A6A6A6" w:themeColor="background1" w:themeShade="A6"/>
              <w:bottom w:val="single" w:sz="4" w:space="0" w:color="A6A6A6" w:themeColor="background1" w:themeShade="A6"/>
            </w:tcBorders>
            <w:shd w:val="clear" w:color="auto" w:fill="auto"/>
          </w:tcPr>
          <w:p w14:paraId="00130452" w14:textId="0FC45E76" w:rsidR="00E918F2" w:rsidRPr="005A23C2" w:rsidRDefault="00E918F2" w:rsidP="00C74FD9">
            <w:pPr>
              <w:pStyle w:val="TableText"/>
              <w:rPr>
                <w:sz w:val="20"/>
              </w:rPr>
            </w:pPr>
            <w:r w:rsidRPr="005A23C2">
              <w:rPr>
                <w:sz w:val="20"/>
              </w:rPr>
              <w:t xml:space="preserve">Community organisations provide diverse services and initiatives that strengthen communities. Some focus on particular populations, such as faith-based groups, </w:t>
            </w:r>
            <w:r w:rsidR="00A12B78">
              <w:rPr>
                <w:sz w:val="20"/>
              </w:rPr>
              <w:t>disabled</w:t>
            </w:r>
            <w:r w:rsidR="00A12B78" w:rsidRPr="005A23C2">
              <w:rPr>
                <w:sz w:val="20"/>
              </w:rPr>
              <w:t xml:space="preserve"> </w:t>
            </w:r>
            <w:r>
              <w:rPr>
                <w:sz w:val="20"/>
              </w:rPr>
              <w:t xml:space="preserve">people’s </w:t>
            </w:r>
            <w:r w:rsidRPr="005A23C2">
              <w:rPr>
                <w:sz w:val="20"/>
              </w:rPr>
              <w:t>organisations and rural support trusts. Networks include those for people with lived experience of mental health and addiction.</w:t>
            </w:r>
          </w:p>
        </w:tc>
      </w:tr>
      <w:tr w:rsidR="00BD0388" w14:paraId="5078631F" w14:textId="77777777" w:rsidTr="00C74FD9">
        <w:tc>
          <w:tcPr>
            <w:tcW w:w="1388" w:type="dxa"/>
            <w:tcBorders>
              <w:top w:val="single" w:sz="4" w:space="0" w:color="A6A6A6" w:themeColor="background1" w:themeShade="A6"/>
              <w:bottom w:val="single" w:sz="4" w:space="0" w:color="A6A6A6" w:themeColor="background1" w:themeShade="A6"/>
            </w:tcBorders>
            <w:shd w:val="clear" w:color="auto" w:fill="auto"/>
          </w:tcPr>
          <w:p w14:paraId="19ACF6A0" w14:textId="490D695E" w:rsidR="00BD0388" w:rsidRPr="005A23C2" w:rsidRDefault="00CC608E" w:rsidP="00C74FD9">
            <w:pPr>
              <w:pStyle w:val="TableText"/>
              <w:rPr>
                <w:sz w:val="20"/>
              </w:rPr>
            </w:pPr>
            <w:r w:rsidRPr="00997801">
              <w:rPr>
                <w:sz w:val="20"/>
              </w:rPr>
              <w:t>Educational institutions</w:t>
            </w:r>
          </w:p>
        </w:tc>
        <w:tc>
          <w:tcPr>
            <w:tcW w:w="7769" w:type="dxa"/>
            <w:tcBorders>
              <w:top w:val="single" w:sz="4" w:space="0" w:color="A6A6A6" w:themeColor="background1" w:themeShade="A6"/>
              <w:bottom w:val="single" w:sz="4" w:space="0" w:color="A6A6A6" w:themeColor="background1" w:themeShade="A6"/>
            </w:tcBorders>
            <w:shd w:val="clear" w:color="auto" w:fill="auto"/>
          </w:tcPr>
          <w:p w14:paraId="1B7E1F02" w14:textId="23A6429E" w:rsidR="00BD0388" w:rsidRPr="005A23C2" w:rsidRDefault="0000460D" w:rsidP="00C74FD9">
            <w:pPr>
              <w:pStyle w:val="TableText"/>
              <w:rPr>
                <w:sz w:val="20"/>
              </w:rPr>
            </w:pPr>
            <w:bookmarkStart w:id="101" w:name="_Hlk54882695"/>
            <w:r>
              <w:rPr>
                <w:sz w:val="20"/>
              </w:rPr>
              <w:t>E</w:t>
            </w:r>
            <w:r w:rsidR="00C22112">
              <w:rPr>
                <w:sz w:val="20"/>
              </w:rPr>
              <w:t xml:space="preserve">arly learning services, schools and tertiary learning </w:t>
            </w:r>
            <w:r>
              <w:rPr>
                <w:sz w:val="20"/>
              </w:rPr>
              <w:t>institutions</w:t>
            </w:r>
            <w:r w:rsidR="00C22112">
              <w:rPr>
                <w:sz w:val="20"/>
              </w:rPr>
              <w:t xml:space="preserve"> provide for learning needs of children young people, </w:t>
            </w:r>
            <w:r>
              <w:rPr>
                <w:sz w:val="20"/>
              </w:rPr>
              <w:t xml:space="preserve">including supports for </w:t>
            </w:r>
            <w:r w:rsidR="00C22112">
              <w:rPr>
                <w:sz w:val="20"/>
              </w:rPr>
              <w:t>mental wellbeing</w:t>
            </w:r>
            <w:r w:rsidR="00A12B78">
              <w:rPr>
                <w:sz w:val="20"/>
              </w:rPr>
              <w:t>.</w:t>
            </w:r>
            <w:r w:rsidR="00C22112">
              <w:rPr>
                <w:sz w:val="20"/>
              </w:rPr>
              <w:t xml:space="preserve"> </w:t>
            </w:r>
            <w:bookmarkEnd w:id="101"/>
          </w:p>
        </w:tc>
      </w:tr>
      <w:tr w:rsidR="00E918F2" w14:paraId="2FD95CEF" w14:textId="77777777" w:rsidTr="00C74FD9">
        <w:tc>
          <w:tcPr>
            <w:tcW w:w="1388" w:type="dxa"/>
            <w:tcBorders>
              <w:top w:val="single" w:sz="4" w:space="0" w:color="A6A6A6" w:themeColor="background1" w:themeShade="A6"/>
              <w:bottom w:val="single" w:sz="4" w:space="0" w:color="A6A6A6" w:themeColor="background1" w:themeShade="A6"/>
            </w:tcBorders>
            <w:shd w:val="clear" w:color="auto" w:fill="auto"/>
          </w:tcPr>
          <w:p w14:paraId="3BFD2200" w14:textId="77777777" w:rsidR="00E918F2" w:rsidRPr="005A23C2" w:rsidRDefault="00E918F2" w:rsidP="00C74FD9">
            <w:pPr>
              <w:pStyle w:val="TableText"/>
              <w:rPr>
                <w:sz w:val="20"/>
              </w:rPr>
            </w:pPr>
            <w:r w:rsidRPr="005A23C2">
              <w:rPr>
                <w:sz w:val="20"/>
              </w:rPr>
              <w:t>Workforce centres</w:t>
            </w:r>
          </w:p>
        </w:tc>
        <w:tc>
          <w:tcPr>
            <w:tcW w:w="7769" w:type="dxa"/>
            <w:tcBorders>
              <w:top w:val="single" w:sz="4" w:space="0" w:color="A6A6A6" w:themeColor="background1" w:themeShade="A6"/>
              <w:bottom w:val="single" w:sz="4" w:space="0" w:color="A6A6A6" w:themeColor="background1" w:themeShade="A6"/>
            </w:tcBorders>
            <w:shd w:val="clear" w:color="auto" w:fill="auto"/>
          </w:tcPr>
          <w:p w14:paraId="790E2CCB" w14:textId="6240A2E1" w:rsidR="00E918F2" w:rsidRPr="005A23C2" w:rsidRDefault="00FC384D" w:rsidP="00C74FD9">
            <w:pPr>
              <w:pStyle w:val="TableText"/>
              <w:rPr>
                <w:sz w:val="20"/>
              </w:rPr>
            </w:pPr>
            <w:r>
              <w:rPr>
                <w:sz w:val="20"/>
              </w:rPr>
              <w:t>National c</w:t>
            </w:r>
            <w:r w:rsidR="00E918F2" w:rsidRPr="005A23C2">
              <w:rPr>
                <w:sz w:val="20"/>
              </w:rPr>
              <w:t xml:space="preserve">entres </w:t>
            </w:r>
            <w:r>
              <w:rPr>
                <w:sz w:val="20"/>
              </w:rPr>
              <w:t xml:space="preserve">focused on supporting the </w:t>
            </w:r>
            <w:r w:rsidR="00E918F2" w:rsidRPr="005A23C2">
              <w:rPr>
                <w:sz w:val="20"/>
              </w:rPr>
              <w:t>develop</w:t>
            </w:r>
            <w:r>
              <w:rPr>
                <w:sz w:val="20"/>
              </w:rPr>
              <w:t>ment of</w:t>
            </w:r>
            <w:r w:rsidR="00E918F2" w:rsidRPr="005A23C2">
              <w:rPr>
                <w:sz w:val="20"/>
              </w:rPr>
              <w:t xml:space="preserve"> the mental health and addiction workforce including Te Pou, Te Rau Ora, Werry Workforce </w:t>
            </w:r>
            <w:r w:rsidR="006951E3" w:rsidRPr="006951E3">
              <w:rPr>
                <w:sz w:val="20"/>
              </w:rPr>
              <w:t xml:space="preserve">Whāraurau </w:t>
            </w:r>
            <w:r w:rsidR="00E918F2" w:rsidRPr="005A23C2">
              <w:rPr>
                <w:sz w:val="20"/>
              </w:rPr>
              <w:t>and Le Va.</w:t>
            </w:r>
          </w:p>
        </w:tc>
      </w:tr>
      <w:tr w:rsidR="00E918F2" w14:paraId="4B190D8A" w14:textId="77777777" w:rsidTr="00C74FD9">
        <w:tc>
          <w:tcPr>
            <w:tcW w:w="1388" w:type="dxa"/>
            <w:tcBorders>
              <w:top w:val="single" w:sz="4" w:space="0" w:color="A6A6A6" w:themeColor="background1" w:themeShade="A6"/>
              <w:bottom w:val="single" w:sz="4" w:space="0" w:color="A6A6A6" w:themeColor="background1" w:themeShade="A6"/>
            </w:tcBorders>
            <w:shd w:val="clear" w:color="auto" w:fill="auto"/>
          </w:tcPr>
          <w:p w14:paraId="40CF19F6" w14:textId="77777777" w:rsidR="00E918F2" w:rsidRPr="005A23C2" w:rsidRDefault="00E918F2" w:rsidP="00C74FD9">
            <w:pPr>
              <w:pStyle w:val="TableText"/>
              <w:rPr>
                <w:sz w:val="20"/>
              </w:rPr>
            </w:pPr>
            <w:r w:rsidRPr="005A23C2">
              <w:rPr>
                <w:sz w:val="20"/>
              </w:rPr>
              <w:t>Philanthropic funders</w:t>
            </w:r>
          </w:p>
        </w:tc>
        <w:tc>
          <w:tcPr>
            <w:tcW w:w="7769" w:type="dxa"/>
            <w:tcBorders>
              <w:top w:val="single" w:sz="4" w:space="0" w:color="A6A6A6" w:themeColor="background1" w:themeShade="A6"/>
              <w:bottom w:val="single" w:sz="4" w:space="0" w:color="A6A6A6" w:themeColor="background1" w:themeShade="A6"/>
            </w:tcBorders>
            <w:shd w:val="clear" w:color="auto" w:fill="auto"/>
          </w:tcPr>
          <w:p w14:paraId="6423C3BD" w14:textId="77777777" w:rsidR="00E918F2" w:rsidRPr="005A23C2" w:rsidRDefault="00E918F2" w:rsidP="00C74FD9">
            <w:pPr>
              <w:pStyle w:val="TableText"/>
              <w:rPr>
                <w:sz w:val="20"/>
              </w:rPr>
            </w:pPr>
            <w:r w:rsidRPr="005A23C2">
              <w:rPr>
                <w:sz w:val="20"/>
              </w:rPr>
              <w:t>Philanthropic trusts provide grants to support diverse charitable purposes within communities.</w:t>
            </w:r>
          </w:p>
        </w:tc>
      </w:tr>
      <w:tr w:rsidR="00E918F2" w14:paraId="74D84845" w14:textId="77777777" w:rsidTr="00C74FD9">
        <w:tc>
          <w:tcPr>
            <w:tcW w:w="1388" w:type="dxa"/>
            <w:tcBorders>
              <w:top w:val="single" w:sz="4" w:space="0" w:color="A6A6A6" w:themeColor="background1" w:themeShade="A6"/>
              <w:bottom w:val="single" w:sz="4" w:space="0" w:color="A6A6A6" w:themeColor="background1" w:themeShade="A6"/>
            </w:tcBorders>
            <w:shd w:val="clear" w:color="auto" w:fill="auto"/>
          </w:tcPr>
          <w:p w14:paraId="1B2945D8" w14:textId="77777777" w:rsidR="00E918F2" w:rsidRPr="005A23C2" w:rsidRDefault="00E918F2" w:rsidP="00C74FD9">
            <w:pPr>
              <w:pStyle w:val="TableText"/>
              <w:rPr>
                <w:sz w:val="20"/>
              </w:rPr>
            </w:pPr>
            <w:r w:rsidRPr="005A23C2">
              <w:rPr>
                <w:sz w:val="20"/>
              </w:rPr>
              <w:t xml:space="preserve">Businesses </w:t>
            </w:r>
          </w:p>
        </w:tc>
        <w:tc>
          <w:tcPr>
            <w:tcW w:w="7769" w:type="dxa"/>
            <w:tcBorders>
              <w:top w:val="single" w:sz="4" w:space="0" w:color="A6A6A6" w:themeColor="background1" w:themeShade="A6"/>
              <w:bottom w:val="single" w:sz="4" w:space="0" w:color="A6A6A6" w:themeColor="background1" w:themeShade="A6"/>
            </w:tcBorders>
            <w:shd w:val="clear" w:color="auto" w:fill="auto"/>
          </w:tcPr>
          <w:p w14:paraId="196939BA" w14:textId="77777777" w:rsidR="00E918F2" w:rsidRPr="005A23C2" w:rsidRDefault="00E918F2" w:rsidP="00C74FD9">
            <w:pPr>
              <w:pStyle w:val="TableText"/>
              <w:rPr>
                <w:sz w:val="20"/>
              </w:rPr>
            </w:pPr>
            <w:r w:rsidRPr="005A23C2">
              <w:rPr>
                <w:sz w:val="20"/>
              </w:rPr>
              <w:t xml:space="preserve">Businesses have staff health and safety responsibilities. Many provide sponsorship or support for community activities. </w:t>
            </w:r>
          </w:p>
        </w:tc>
      </w:tr>
      <w:tr w:rsidR="00E918F2" w14:paraId="127BD451" w14:textId="77777777" w:rsidTr="00C74FD9">
        <w:tc>
          <w:tcPr>
            <w:tcW w:w="1388" w:type="dxa"/>
            <w:tcBorders>
              <w:top w:val="single" w:sz="4" w:space="0" w:color="A6A6A6" w:themeColor="background1" w:themeShade="A6"/>
              <w:bottom w:val="single" w:sz="4" w:space="0" w:color="A6A6A6" w:themeColor="background1" w:themeShade="A6"/>
            </w:tcBorders>
            <w:shd w:val="clear" w:color="auto" w:fill="auto"/>
          </w:tcPr>
          <w:p w14:paraId="285965A5" w14:textId="77777777" w:rsidR="00E918F2" w:rsidRPr="005A23C2" w:rsidRDefault="00E918F2" w:rsidP="00C74FD9">
            <w:pPr>
              <w:pStyle w:val="TableText"/>
              <w:rPr>
                <w:b/>
                <w:sz w:val="20"/>
              </w:rPr>
            </w:pPr>
            <w:r w:rsidRPr="005A23C2">
              <w:rPr>
                <w:sz w:val="20"/>
              </w:rPr>
              <w:t>People and whānau</w:t>
            </w:r>
          </w:p>
        </w:tc>
        <w:tc>
          <w:tcPr>
            <w:tcW w:w="7769" w:type="dxa"/>
            <w:tcBorders>
              <w:top w:val="single" w:sz="4" w:space="0" w:color="A6A6A6" w:themeColor="background1" w:themeShade="A6"/>
              <w:bottom w:val="single" w:sz="4" w:space="0" w:color="A6A6A6" w:themeColor="background1" w:themeShade="A6"/>
            </w:tcBorders>
            <w:shd w:val="clear" w:color="auto" w:fill="auto"/>
          </w:tcPr>
          <w:p w14:paraId="089D380C" w14:textId="76A1EE5A" w:rsidR="00E918F2" w:rsidRPr="005A23C2" w:rsidRDefault="00E918F2" w:rsidP="00C74FD9">
            <w:pPr>
              <w:pStyle w:val="TableText"/>
              <w:rPr>
                <w:sz w:val="20"/>
              </w:rPr>
            </w:pPr>
            <w:r w:rsidRPr="005A23C2">
              <w:rPr>
                <w:sz w:val="20"/>
              </w:rPr>
              <w:t xml:space="preserve">As individuals and whānau, we all have skills and abilities that allow us to support mental wellbeing by listening, </w:t>
            </w:r>
            <w:r w:rsidR="00A12B78">
              <w:rPr>
                <w:sz w:val="20"/>
              </w:rPr>
              <w:t xml:space="preserve">and </w:t>
            </w:r>
            <w:r w:rsidRPr="005A23C2">
              <w:rPr>
                <w:sz w:val="20"/>
              </w:rPr>
              <w:t>provid</w:t>
            </w:r>
            <w:r w:rsidR="00A12B78">
              <w:rPr>
                <w:sz w:val="20"/>
              </w:rPr>
              <w:t>ing</w:t>
            </w:r>
            <w:r w:rsidRPr="005A23C2">
              <w:rPr>
                <w:sz w:val="20"/>
              </w:rPr>
              <w:t xml:space="preserve"> comfort and practical support.</w:t>
            </w:r>
          </w:p>
        </w:tc>
      </w:tr>
    </w:tbl>
    <w:p w14:paraId="338CE47E" w14:textId="77777777" w:rsidR="00E918F2" w:rsidRPr="00170FE3" w:rsidRDefault="00E918F2" w:rsidP="00AF08E8">
      <w:pPr>
        <w:pStyle w:val="Heading3"/>
        <w:numPr>
          <w:ilvl w:val="2"/>
          <w:numId w:val="9"/>
        </w:numPr>
        <w:rPr>
          <w:b/>
          <w:sz w:val="48"/>
        </w:rPr>
      </w:pPr>
      <w:r w:rsidRPr="00170FE3">
        <w:rPr>
          <w:b/>
          <w:sz w:val="48"/>
        </w:rPr>
        <w:t xml:space="preserve">During elevated Alert Levels </w:t>
      </w:r>
    </w:p>
    <w:p w14:paraId="3F269109" w14:textId="77777777" w:rsidR="00E918F2" w:rsidRDefault="00E918F2" w:rsidP="00E918F2">
      <w:pPr>
        <w:pStyle w:val="Number"/>
        <w:numPr>
          <w:ilvl w:val="0"/>
          <w:numId w:val="0"/>
        </w:numPr>
        <w:spacing w:after="120"/>
      </w:pPr>
      <w:r>
        <w:t>Key support agencies and activities for the psychosocial response during periods when COVID</w:t>
      </w:r>
      <w:r>
        <w:noBreakHyphen/>
        <w:t xml:space="preserve">19 Alert Levels are elevated are outlined below. </w:t>
      </w:r>
    </w:p>
    <w:tbl>
      <w:tblPr>
        <w:tblW w:w="9582" w:type="dxa"/>
        <w:tblInd w:w="57" w:type="dxa"/>
        <w:tblLayout w:type="fixed"/>
        <w:tblCellMar>
          <w:left w:w="57" w:type="dxa"/>
          <w:right w:w="57" w:type="dxa"/>
        </w:tblCellMar>
        <w:tblLook w:val="04A0" w:firstRow="1" w:lastRow="0" w:firstColumn="1" w:lastColumn="0" w:noHBand="0" w:noVBand="1"/>
      </w:tblPr>
      <w:tblGrid>
        <w:gridCol w:w="1348"/>
        <w:gridCol w:w="8234"/>
      </w:tblGrid>
      <w:tr w:rsidR="00E918F2" w:rsidRPr="00642265" w14:paraId="7ED32C92" w14:textId="77777777" w:rsidTr="00C74FD9">
        <w:trPr>
          <w:cantSplit/>
        </w:trPr>
        <w:tc>
          <w:tcPr>
            <w:tcW w:w="1348" w:type="dxa"/>
            <w:tcBorders>
              <w:top w:val="nil"/>
              <w:left w:val="nil"/>
              <w:bottom w:val="single" w:sz="4" w:space="0" w:color="A6A6A6" w:themeColor="background1" w:themeShade="A6"/>
              <w:right w:val="nil"/>
            </w:tcBorders>
            <w:hideMark/>
          </w:tcPr>
          <w:p w14:paraId="4596E940" w14:textId="77777777" w:rsidR="00E918F2" w:rsidRPr="00642265" w:rsidRDefault="00E918F2" w:rsidP="00C74FD9">
            <w:pPr>
              <w:pStyle w:val="TableText"/>
              <w:rPr>
                <w:sz w:val="20"/>
              </w:rPr>
            </w:pPr>
            <w:r w:rsidRPr="00642265">
              <w:rPr>
                <w:sz w:val="20"/>
              </w:rPr>
              <w:t>Governance and coordination</w:t>
            </w:r>
          </w:p>
        </w:tc>
        <w:tc>
          <w:tcPr>
            <w:tcW w:w="8234" w:type="dxa"/>
            <w:tcBorders>
              <w:top w:val="nil"/>
              <w:left w:val="nil"/>
              <w:bottom w:val="single" w:sz="4" w:space="0" w:color="A6A6A6" w:themeColor="background1" w:themeShade="A6"/>
              <w:right w:val="nil"/>
            </w:tcBorders>
            <w:hideMark/>
          </w:tcPr>
          <w:p w14:paraId="497F1411" w14:textId="64B58BB8" w:rsidR="00E918F2" w:rsidRPr="00642265" w:rsidRDefault="00E918F2" w:rsidP="00C74FD9">
            <w:pPr>
              <w:pStyle w:val="TableText"/>
              <w:rPr>
                <w:sz w:val="20"/>
              </w:rPr>
            </w:pPr>
            <w:r w:rsidRPr="00642265">
              <w:rPr>
                <w:sz w:val="20"/>
              </w:rPr>
              <w:t xml:space="preserve">The National Emergency Management Agency, hosted by the Department of the Prime Minister and Cabinet, coordinates the management of emergencies via the National Crisis Management Centre. </w:t>
            </w:r>
          </w:p>
          <w:p w14:paraId="2B31A585" w14:textId="23BE06F5" w:rsidR="00E918F2" w:rsidRPr="00642265" w:rsidRDefault="00E918F2" w:rsidP="00C74FD9">
            <w:pPr>
              <w:pStyle w:val="TableText"/>
              <w:rPr>
                <w:sz w:val="20"/>
              </w:rPr>
            </w:pPr>
            <w:r w:rsidRPr="00642265">
              <w:rPr>
                <w:sz w:val="20"/>
              </w:rPr>
              <w:t xml:space="preserve">The National Welfare Coordination Group plans and coordinates welfare services. Psychosocial support is a welfare subfunction listed in the </w:t>
            </w:r>
            <w:r w:rsidRPr="00642265">
              <w:rPr>
                <w:i/>
                <w:iCs/>
                <w:sz w:val="20"/>
              </w:rPr>
              <w:t>National Civil Defence Emergency Management (CDEM) Plan Order 2015</w:t>
            </w:r>
            <w:r w:rsidRPr="00642265">
              <w:rPr>
                <w:sz w:val="20"/>
              </w:rPr>
              <w:t>.</w:t>
            </w:r>
          </w:p>
          <w:p w14:paraId="2AA7B4E3" w14:textId="0C219797" w:rsidR="00E918F2" w:rsidRPr="00642265" w:rsidRDefault="00DD4755" w:rsidP="00C74FD9">
            <w:pPr>
              <w:pStyle w:val="TableText"/>
              <w:rPr>
                <w:sz w:val="20"/>
              </w:rPr>
            </w:pPr>
            <w:bookmarkStart w:id="102" w:name="_Hlk57651162"/>
            <w:r>
              <w:rPr>
                <w:sz w:val="20"/>
              </w:rPr>
              <w:t>After</w:t>
            </w:r>
            <w:r w:rsidRPr="00642265">
              <w:rPr>
                <w:sz w:val="20"/>
              </w:rPr>
              <w:t xml:space="preserve"> </w:t>
            </w:r>
            <w:r w:rsidR="00E918F2" w:rsidRPr="00642265">
              <w:rPr>
                <w:sz w:val="20"/>
              </w:rPr>
              <w:t xml:space="preserve">the transition out of Alert Level 4, a Caring for Communities Group </w:t>
            </w:r>
            <w:r>
              <w:rPr>
                <w:sz w:val="20"/>
              </w:rPr>
              <w:t>was</w:t>
            </w:r>
            <w:r w:rsidR="00E918F2" w:rsidRPr="00642265">
              <w:rPr>
                <w:sz w:val="20"/>
              </w:rPr>
              <w:t xml:space="preserve"> established to </w:t>
            </w:r>
            <w:r>
              <w:rPr>
                <w:sz w:val="20"/>
              </w:rPr>
              <w:t>respond to cross-agency system issues and support regional social sector responses</w:t>
            </w:r>
            <w:bookmarkEnd w:id="102"/>
            <w:r>
              <w:rPr>
                <w:sz w:val="20"/>
              </w:rPr>
              <w:t xml:space="preserve"> regionally</w:t>
            </w:r>
            <w:r w:rsidR="00E918F2" w:rsidRPr="00642265">
              <w:rPr>
                <w:sz w:val="20"/>
              </w:rPr>
              <w:t>.</w:t>
            </w:r>
          </w:p>
        </w:tc>
      </w:tr>
      <w:tr w:rsidR="00E918F2" w:rsidRPr="00642265" w14:paraId="6906D984" w14:textId="77777777" w:rsidTr="00C74FD9">
        <w:trPr>
          <w:cantSplit/>
        </w:trPr>
        <w:tc>
          <w:tcPr>
            <w:tcW w:w="1348" w:type="dxa"/>
            <w:tcBorders>
              <w:top w:val="nil"/>
              <w:left w:val="nil"/>
              <w:bottom w:val="single" w:sz="4" w:space="0" w:color="A6A6A6" w:themeColor="background1" w:themeShade="A6"/>
              <w:right w:val="nil"/>
            </w:tcBorders>
            <w:hideMark/>
          </w:tcPr>
          <w:p w14:paraId="0661E184" w14:textId="77777777" w:rsidR="00E918F2" w:rsidRPr="00642265" w:rsidRDefault="00E918F2" w:rsidP="00C74FD9">
            <w:pPr>
              <w:pStyle w:val="TableText"/>
              <w:ind w:right="113"/>
              <w:rPr>
                <w:b/>
                <w:sz w:val="20"/>
              </w:rPr>
            </w:pPr>
            <w:r w:rsidRPr="00642265">
              <w:rPr>
                <w:sz w:val="20"/>
              </w:rPr>
              <w:t>Ministry of Health</w:t>
            </w:r>
          </w:p>
        </w:tc>
        <w:tc>
          <w:tcPr>
            <w:tcW w:w="8234" w:type="dxa"/>
            <w:tcBorders>
              <w:top w:val="nil"/>
              <w:left w:val="nil"/>
              <w:bottom w:val="single" w:sz="4" w:space="0" w:color="A6A6A6" w:themeColor="background1" w:themeShade="A6"/>
              <w:right w:val="nil"/>
            </w:tcBorders>
            <w:hideMark/>
          </w:tcPr>
          <w:p w14:paraId="74153DD2" w14:textId="2FE0F340" w:rsidR="00E918F2" w:rsidRPr="00642265" w:rsidRDefault="00E918F2" w:rsidP="00C74FD9">
            <w:pPr>
              <w:pStyle w:val="TableText"/>
              <w:rPr>
                <w:sz w:val="20"/>
              </w:rPr>
            </w:pPr>
            <w:r w:rsidRPr="00642265">
              <w:rPr>
                <w:sz w:val="20"/>
              </w:rPr>
              <w:t>The Ministry of Health is responsible for national health coordination</w:t>
            </w:r>
            <w:r w:rsidR="00A12B78">
              <w:rPr>
                <w:sz w:val="20"/>
              </w:rPr>
              <w:t>,</w:t>
            </w:r>
            <w:r w:rsidRPr="00642265">
              <w:rPr>
                <w:sz w:val="20"/>
              </w:rPr>
              <w:t xml:space="preserve"> including working with others to </w:t>
            </w:r>
            <w:r w:rsidR="004D6E13">
              <w:rPr>
                <w:sz w:val="20"/>
              </w:rPr>
              <w:t>coordinate</w:t>
            </w:r>
            <w:r w:rsidR="004D6E13" w:rsidRPr="00642265">
              <w:rPr>
                <w:sz w:val="20"/>
              </w:rPr>
              <w:t xml:space="preserve"> </w:t>
            </w:r>
            <w:r w:rsidRPr="00642265">
              <w:rPr>
                <w:sz w:val="20"/>
              </w:rPr>
              <w:t>provision of psychosocial support</w:t>
            </w:r>
            <w:r w:rsidR="004D6E13">
              <w:rPr>
                <w:sz w:val="20"/>
              </w:rPr>
              <w:t xml:space="preserve"> at the national level</w:t>
            </w:r>
            <w:r w:rsidRPr="00642265">
              <w:rPr>
                <w:sz w:val="20"/>
              </w:rPr>
              <w:t>. The Ministry has established a dedicated COVID-19 Health System Response directorate, including an Incident Management Team that manages periods of resurgence.</w:t>
            </w:r>
          </w:p>
          <w:p w14:paraId="6DF19C52" w14:textId="77777777" w:rsidR="00E918F2" w:rsidRPr="00642265" w:rsidRDefault="00E918F2" w:rsidP="00C74FD9">
            <w:pPr>
              <w:pStyle w:val="TableText"/>
              <w:rPr>
                <w:sz w:val="20"/>
              </w:rPr>
            </w:pPr>
            <w:r w:rsidRPr="00642265">
              <w:rPr>
                <w:sz w:val="20"/>
              </w:rPr>
              <w:t>The Ministry is a member agency of the National Welfare Coordination Group and Caring for Communities Group.</w:t>
            </w:r>
          </w:p>
        </w:tc>
      </w:tr>
      <w:tr w:rsidR="00E918F2" w:rsidRPr="00642265" w14:paraId="04D7D668" w14:textId="77777777" w:rsidTr="00C74FD9">
        <w:trPr>
          <w:cantSplit/>
        </w:trPr>
        <w:tc>
          <w:tcPr>
            <w:tcW w:w="1348" w:type="dxa"/>
            <w:tcBorders>
              <w:top w:val="single" w:sz="4" w:space="0" w:color="A6A6A6" w:themeColor="background1" w:themeShade="A6"/>
              <w:left w:val="nil"/>
              <w:bottom w:val="single" w:sz="4" w:space="0" w:color="A6A6A6" w:themeColor="background1" w:themeShade="A6"/>
              <w:right w:val="nil"/>
            </w:tcBorders>
            <w:hideMark/>
          </w:tcPr>
          <w:p w14:paraId="46D3942A" w14:textId="77777777" w:rsidR="00E918F2" w:rsidRPr="00642265" w:rsidRDefault="00E918F2" w:rsidP="00C74FD9">
            <w:pPr>
              <w:pStyle w:val="TableText"/>
              <w:ind w:right="113"/>
              <w:rPr>
                <w:b/>
                <w:sz w:val="20"/>
              </w:rPr>
            </w:pPr>
            <w:r w:rsidRPr="00642265">
              <w:rPr>
                <w:sz w:val="20"/>
              </w:rPr>
              <w:t>Government agencies</w:t>
            </w:r>
          </w:p>
        </w:tc>
        <w:tc>
          <w:tcPr>
            <w:tcW w:w="8234" w:type="dxa"/>
            <w:tcBorders>
              <w:top w:val="single" w:sz="4" w:space="0" w:color="A6A6A6" w:themeColor="background1" w:themeShade="A6"/>
              <w:left w:val="nil"/>
              <w:bottom w:val="single" w:sz="4" w:space="0" w:color="A6A6A6" w:themeColor="background1" w:themeShade="A6"/>
              <w:right w:val="nil"/>
            </w:tcBorders>
            <w:hideMark/>
          </w:tcPr>
          <w:p w14:paraId="3DE7E8B9" w14:textId="63E0B4A4" w:rsidR="00E918F2" w:rsidRPr="00642265" w:rsidRDefault="00E918F2" w:rsidP="00C74FD9">
            <w:pPr>
              <w:pStyle w:val="TableText"/>
              <w:rPr>
                <w:sz w:val="20"/>
              </w:rPr>
            </w:pPr>
            <w:r w:rsidRPr="00642265">
              <w:rPr>
                <w:sz w:val="20"/>
              </w:rPr>
              <w:t xml:space="preserve">Each government agency leads the response for the sector it serves. Under the </w:t>
            </w:r>
            <w:r w:rsidRPr="00642265">
              <w:rPr>
                <w:i/>
                <w:iCs/>
                <w:sz w:val="20"/>
              </w:rPr>
              <w:t>National CDEM Plan Order 2015</w:t>
            </w:r>
            <w:r w:rsidR="00A12B78">
              <w:rPr>
                <w:i/>
                <w:iCs/>
                <w:sz w:val="20"/>
              </w:rPr>
              <w:t>,</w:t>
            </w:r>
            <w:r w:rsidRPr="00642265">
              <w:rPr>
                <w:i/>
                <w:iCs/>
                <w:sz w:val="20"/>
              </w:rPr>
              <w:t xml:space="preserve"> </w:t>
            </w:r>
            <w:r w:rsidRPr="00642265">
              <w:rPr>
                <w:sz w:val="20"/>
              </w:rPr>
              <w:t xml:space="preserve">other government organisations that may be required to coordinate </w:t>
            </w:r>
            <w:r w:rsidR="00DD4755">
              <w:rPr>
                <w:sz w:val="20"/>
              </w:rPr>
              <w:t xml:space="preserve">aspects of </w:t>
            </w:r>
            <w:r w:rsidRPr="00642265">
              <w:rPr>
                <w:sz w:val="20"/>
              </w:rPr>
              <w:t>psychosocial services are the Ministry of Education, Ministry for Primary Industries, Ministry of Social Development and Te Puni Kōkiri.</w:t>
            </w:r>
          </w:p>
        </w:tc>
      </w:tr>
      <w:tr w:rsidR="00E918F2" w:rsidRPr="00642265" w14:paraId="5FEE7643" w14:textId="77777777" w:rsidTr="00C74FD9">
        <w:trPr>
          <w:cantSplit/>
        </w:trPr>
        <w:tc>
          <w:tcPr>
            <w:tcW w:w="1348" w:type="dxa"/>
            <w:tcBorders>
              <w:top w:val="single" w:sz="4" w:space="0" w:color="A6A6A6" w:themeColor="background1" w:themeShade="A6"/>
              <w:left w:val="nil"/>
              <w:bottom w:val="single" w:sz="4" w:space="0" w:color="A6A6A6" w:themeColor="background1" w:themeShade="A6"/>
              <w:right w:val="nil"/>
            </w:tcBorders>
            <w:hideMark/>
          </w:tcPr>
          <w:p w14:paraId="6748F50C" w14:textId="43791548" w:rsidR="00E918F2" w:rsidRPr="00642265" w:rsidRDefault="00E918F2" w:rsidP="00C74FD9">
            <w:pPr>
              <w:pStyle w:val="TableText"/>
              <w:ind w:right="113"/>
              <w:rPr>
                <w:sz w:val="20"/>
              </w:rPr>
            </w:pPr>
            <w:r w:rsidRPr="00642265">
              <w:rPr>
                <w:sz w:val="20"/>
              </w:rPr>
              <w:t>D</w:t>
            </w:r>
            <w:r w:rsidR="00530D43">
              <w:rPr>
                <w:sz w:val="20"/>
              </w:rPr>
              <w:t>istrict health boards</w:t>
            </w:r>
            <w:r w:rsidRPr="00642265">
              <w:rPr>
                <w:sz w:val="20"/>
              </w:rPr>
              <w:t xml:space="preserve"> </w:t>
            </w:r>
          </w:p>
        </w:tc>
        <w:tc>
          <w:tcPr>
            <w:tcW w:w="8234" w:type="dxa"/>
            <w:tcBorders>
              <w:top w:val="single" w:sz="4" w:space="0" w:color="A6A6A6" w:themeColor="background1" w:themeShade="A6"/>
              <w:left w:val="nil"/>
              <w:bottom w:val="single" w:sz="4" w:space="0" w:color="A6A6A6" w:themeColor="background1" w:themeShade="A6"/>
              <w:right w:val="nil"/>
            </w:tcBorders>
            <w:hideMark/>
          </w:tcPr>
          <w:p w14:paraId="74EDC012" w14:textId="77777777" w:rsidR="00E918F2" w:rsidRPr="00642265" w:rsidRDefault="00E918F2" w:rsidP="00C74FD9">
            <w:pPr>
              <w:pStyle w:val="TableText"/>
              <w:rPr>
                <w:sz w:val="20"/>
              </w:rPr>
            </w:pPr>
            <w:r w:rsidRPr="00642265">
              <w:rPr>
                <w:sz w:val="20"/>
              </w:rPr>
              <w:t xml:space="preserve">DHBs are responsible at the regional level for coordinating the provision of psychosocial support services. DHBs advise primary health organisations (PHOs) and community organisations on the type and nature of services needed for ongoing psychosocial support. </w:t>
            </w:r>
          </w:p>
        </w:tc>
      </w:tr>
      <w:tr w:rsidR="00E918F2" w:rsidRPr="00642265" w14:paraId="71A3769F" w14:textId="77777777" w:rsidTr="00C74FD9">
        <w:trPr>
          <w:cantSplit/>
        </w:trPr>
        <w:tc>
          <w:tcPr>
            <w:tcW w:w="1348" w:type="dxa"/>
            <w:tcBorders>
              <w:top w:val="single" w:sz="4" w:space="0" w:color="A6A6A6" w:themeColor="background1" w:themeShade="A6"/>
              <w:left w:val="nil"/>
              <w:bottom w:val="single" w:sz="4" w:space="0" w:color="A6A6A6" w:themeColor="background1" w:themeShade="A6"/>
              <w:right w:val="nil"/>
            </w:tcBorders>
            <w:hideMark/>
          </w:tcPr>
          <w:p w14:paraId="5A3BCEC4" w14:textId="77777777" w:rsidR="00E918F2" w:rsidRPr="00642265" w:rsidRDefault="00E918F2" w:rsidP="00C74FD9">
            <w:pPr>
              <w:pStyle w:val="TableText"/>
              <w:ind w:right="113"/>
              <w:rPr>
                <w:sz w:val="20"/>
              </w:rPr>
            </w:pPr>
            <w:r w:rsidRPr="00642265">
              <w:rPr>
                <w:sz w:val="20"/>
              </w:rPr>
              <w:t>Iwi, hapū, whānau</w:t>
            </w:r>
          </w:p>
        </w:tc>
        <w:tc>
          <w:tcPr>
            <w:tcW w:w="8234" w:type="dxa"/>
            <w:tcBorders>
              <w:top w:val="single" w:sz="4" w:space="0" w:color="A6A6A6" w:themeColor="background1" w:themeShade="A6"/>
              <w:left w:val="nil"/>
              <w:bottom w:val="single" w:sz="4" w:space="0" w:color="A6A6A6" w:themeColor="background1" w:themeShade="A6"/>
              <w:right w:val="nil"/>
            </w:tcBorders>
            <w:hideMark/>
          </w:tcPr>
          <w:p w14:paraId="43781AA8" w14:textId="77777777" w:rsidR="00E918F2" w:rsidRPr="00642265" w:rsidRDefault="00E918F2" w:rsidP="00C74FD9">
            <w:pPr>
              <w:pStyle w:val="TableText"/>
              <w:rPr>
                <w:sz w:val="20"/>
              </w:rPr>
            </w:pPr>
            <w:r w:rsidRPr="00642265">
              <w:rPr>
                <w:sz w:val="20"/>
              </w:rPr>
              <w:t xml:space="preserve">Iwi, collectively or individually, have a national role and relationship as Treaty Partners, along with the roles of Te Puni Kōkiri and Te Arawhiti as the two key enablers of this on behalf of the government. </w:t>
            </w:r>
          </w:p>
        </w:tc>
      </w:tr>
      <w:tr w:rsidR="00E918F2" w:rsidRPr="00642265" w14:paraId="75A869DF" w14:textId="77777777" w:rsidTr="00C74FD9">
        <w:trPr>
          <w:cantSplit/>
        </w:trPr>
        <w:tc>
          <w:tcPr>
            <w:tcW w:w="1348" w:type="dxa"/>
            <w:tcBorders>
              <w:top w:val="single" w:sz="4" w:space="0" w:color="A6A6A6" w:themeColor="background1" w:themeShade="A6"/>
              <w:left w:val="nil"/>
              <w:bottom w:val="single" w:sz="4" w:space="0" w:color="A6A6A6" w:themeColor="background1" w:themeShade="A6"/>
              <w:right w:val="nil"/>
            </w:tcBorders>
            <w:hideMark/>
          </w:tcPr>
          <w:p w14:paraId="270A9891" w14:textId="77777777" w:rsidR="00E918F2" w:rsidRPr="00642265" w:rsidRDefault="00E918F2" w:rsidP="00C74FD9">
            <w:pPr>
              <w:pStyle w:val="TableText"/>
              <w:rPr>
                <w:sz w:val="20"/>
              </w:rPr>
            </w:pPr>
            <w:r w:rsidRPr="00642265">
              <w:rPr>
                <w:sz w:val="20"/>
              </w:rPr>
              <w:t>Community organisations</w:t>
            </w:r>
          </w:p>
        </w:tc>
        <w:tc>
          <w:tcPr>
            <w:tcW w:w="8234" w:type="dxa"/>
            <w:tcBorders>
              <w:top w:val="single" w:sz="4" w:space="0" w:color="A6A6A6" w:themeColor="background1" w:themeShade="A6"/>
              <w:left w:val="nil"/>
              <w:bottom w:val="single" w:sz="4" w:space="0" w:color="A6A6A6" w:themeColor="background1" w:themeShade="A6"/>
              <w:right w:val="nil"/>
            </w:tcBorders>
            <w:hideMark/>
          </w:tcPr>
          <w:p w14:paraId="5C8BAE3E" w14:textId="57A088F7" w:rsidR="00E918F2" w:rsidRPr="00642265" w:rsidRDefault="00E918F2" w:rsidP="00C74FD9">
            <w:pPr>
              <w:pStyle w:val="TableText"/>
              <w:rPr>
                <w:sz w:val="20"/>
              </w:rPr>
            </w:pPr>
            <w:r w:rsidRPr="00642265">
              <w:rPr>
                <w:sz w:val="20"/>
              </w:rPr>
              <w:t xml:space="preserve">Under the </w:t>
            </w:r>
            <w:r w:rsidRPr="00642265">
              <w:rPr>
                <w:i/>
                <w:iCs/>
                <w:sz w:val="20"/>
              </w:rPr>
              <w:t>National CDEM Plan Order 2015</w:t>
            </w:r>
            <w:r w:rsidRPr="00642265">
              <w:rPr>
                <w:sz w:val="20"/>
              </w:rPr>
              <w:t>, roles in coordinating services are identified for the NZ Red Cross</w:t>
            </w:r>
            <w:r w:rsidR="004E5BAD">
              <w:rPr>
                <w:sz w:val="20"/>
              </w:rPr>
              <w:t>,</w:t>
            </w:r>
            <w:r w:rsidRPr="00642265">
              <w:rPr>
                <w:sz w:val="20"/>
              </w:rPr>
              <w:t xml:space="preserve"> the Salvation Army and Victim Support. Many other community organisations provide vital contributions, nationally and locally.</w:t>
            </w:r>
          </w:p>
        </w:tc>
      </w:tr>
    </w:tbl>
    <w:p w14:paraId="5CC951BC" w14:textId="77777777" w:rsidR="00F672BB" w:rsidRDefault="00F672BB">
      <w:pPr>
        <w:rPr>
          <w:b/>
          <w:color w:val="0A6AB4"/>
          <w:spacing w:val="-5"/>
          <w:sz w:val="48"/>
        </w:rPr>
      </w:pPr>
      <w:bookmarkStart w:id="103" w:name="_Toc40188074"/>
      <w:r>
        <w:br w:type="page"/>
      </w:r>
    </w:p>
    <w:p w14:paraId="4F179AA6" w14:textId="50845964" w:rsidR="00AF5314" w:rsidRDefault="00AF5314" w:rsidP="00832567">
      <w:pPr>
        <w:pStyle w:val="Heading1"/>
      </w:pPr>
      <w:bookmarkStart w:id="104" w:name="_Toc50464499"/>
      <w:bookmarkStart w:id="105" w:name="_Toc59439407"/>
      <w:bookmarkEnd w:id="103"/>
      <w:r w:rsidRPr="00CE5C74">
        <w:t>Glossary of terms</w:t>
      </w:r>
      <w:bookmarkEnd w:id="104"/>
      <w:bookmarkEnd w:id="105"/>
    </w:p>
    <w:tbl>
      <w:tblPr>
        <w:tblW w:w="4931" w:type="pct"/>
        <w:tblInd w:w="57" w:type="dxa"/>
        <w:tblBorders>
          <w:top w:val="single" w:sz="4" w:space="0" w:color="A6A6A6" w:themeColor="background1" w:themeShade="A6"/>
          <w:bottom w:val="single" w:sz="4" w:space="0" w:color="A6A6A6" w:themeColor="background1" w:themeShade="A6"/>
          <w:insideH w:val="single" w:sz="4" w:space="0" w:color="A6A6A6" w:themeColor="background1" w:themeShade="A6"/>
        </w:tblBorders>
        <w:tblLayout w:type="fixed"/>
        <w:tblCellMar>
          <w:left w:w="57" w:type="dxa"/>
          <w:right w:w="57" w:type="dxa"/>
        </w:tblCellMar>
        <w:tblLook w:val="00A0" w:firstRow="1" w:lastRow="0" w:firstColumn="1" w:lastColumn="0" w:noHBand="0" w:noVBand="0"/>
      </w:tblPr>
      <w:tblGrid>
        <w:gridCol w:w="1781"/>
        <w:gridCol w:w="7445"/>
      </w:tblGrid>
      <w:tr w:rsidR="00AF5314" w:rsidRPr="000A2EF8" w14:paraId="689BB0FC" w14:textId="77777777" w:rsidTr="00AF5314">
        <w:trPr>
          <w:cantSplit/>
        </w:trPr>
        <w:tc>
          <w:tcPr>
            <w:tcW w:w="965" w:type="pct"/>
            <w:tcBorders>
              <w:top w:val="nil"/>
              <w:bottom w:val="single" w:sz="4" w:space="0" w:color="FFFFFF" w:themeColor="background1"/>
            </w:tcBorders>
            <w:shd w:val="clear" w:color="auto" w:fill="D9D9D9" w:themeFill="background1" w:themeFillShade="D9"/>
          </w:tcPr>
          <w:p w14:paraId="5794BE20" w14:textId="77777777" w:rsidR="00AF5314" w:rsidRPr="005A23C2" w:rsidRDefault="00AF5314" w:rsidP="007D06C8">
            <w:pPr>
              <w:pStyle w:val="TableText"/>
              <w:rPr>
                <w:sz w:val="20"/>
              </w:rPr>
            </w:pPr>
            <w:r w:rsidRPr="005A23C2">
              <w:rPr>
                <w:sz w:val="20"/>
              </w:rPr>
              <w:t>Addiction</w:t>
            </w:r>
          </w:p>
        </w:tc>
        <w:tc>
          <w:tcPr>
            <w:tcW w:w="4035" w:type="pct"/>
            <w:tcBorders>
              <w:top w:val="nil"/>
            </w:tcBorders>
          </w:tcPr>
          <w:p w14:paraId="004EBA14" w14:textId="4B61D329" w:rsidR="00AF5314" w:rsidRPr="005A23C2" w:rsidRDefault="002860E9" w:rsidP="007D06C8">
            <w:pPr>
              <w:pStyle w:val="TableText"/>
              <w:rPr>
                <w:sz w:val="20"/>
              </w:rPr>
            </w:pPr>
            <w:r>
              <w:rPr>
                <w:sz w:val="20"/>
              </w:rPr>
              <w:t xml:space="preserve">In </w:t>
            </w:r>
            <w:r w:rsidRPr="00F14C06">
              <w:rPr>
                <w:i/>
                <w:iCs/>
                <w:sz w:val="20"/>
              </w:rPr>
              <w:t>Kia Kaha</w:t>
            </w:r>
            <w:r w:rsidR="00AF5314" w:rsidRPr="005A23C2">
              <w:rPr>
                <w:sz w:val="20"/>
              </w:rPr>
              <w:t>, addiction refer</w:t>
            </w:r>
            <w:r>
              <w:rPr>
                <w:sz w:val="20"/>
              </w:rPr>
              <w:t>s</w:t>
            </w:r>
            <w:r w:rsidR="00AF5314" w:rsidRPr="005A23C2">
              <w:rPr>
                <w:sz w:val="20"/>
              </w:rPr>
              <w:t xml:space="preserve"> to a wide range of harm</w:t>
            </w:r>
            <w:r w:rsidR="009132B6">
              <w:rPr>
                <w:sz w:val="20"/>
              </w:rPr>
              <w:t xml:space="preserve">s arising </w:t>
            </w:r>
            <w:r w:rsidR="00AF5314" w:rsidRPr="005A23C2">
              <w:rPr>
                <w:sz w:val="20"/>
              </w:rPr>
              <w:t>from misuse of substances or from gambling.</w:t>
            </w:r>
          </w:p>
          <w:p w14:paraId="67454CAF" w14:textId="198F6101" w:rsidR="00AF5314" w:rsidRPr="005A23C2" w:rsidRDefault="00AF5314" w:rsidP="007D06C8">
            <w:pPr>
              <w:pStyle w:val="TableText"/>
              <w:rPr>
                <w:sz w:val="20"/>
              </w:rPr>
            </w:pPr>
            <w:r w:rsidRPr="005A23C2">
              <w:rPr>
                <w:sz w:val="20"/>
              </w:rPr>
              <w:t>Addiction services refers to services which support people’s recovery from</w:t>
            </w:r>
            <w:r w:rsidR="002860E9">
              <w:rPr>
                <w:sz w:val="20"/>
              </w:rPr>
              <w:t xml:space="preserve"> harm caused by</w:t>
            </w:r>
            <w:r w:rsidRPr="005A23C2">
              <w:rPr>
                <w:sz w:val="20"/>
              </w:rPr>
              <w:t xml:space="preserve"> alcohol</w:t>
            </w:r>
            <w:r w:rsidR="002860E9">
              <w:rPr>
                <w:sz w:val="20"/>
              </w:rPr>
              <w:t>,</w:t>
            </w:r>
            <w:r w:rsidRPr="005A23C2">
              <w:rPr>
                <w:sz w:val="20"/>
              </w:rPr>
              <w:t xml:space="preserve"> other drug</w:t>
            </w:r>
            <w:r w:rsidR="009132B6">
              <w:rPr>
                <w:sz w:val="20"/>
              </w:rPr>
              <w:t>s</w:t>
            </w:r>
            <w:r w:rsidRPr="005A23C2">
              <w:rPr>
                <w:sz w:val="20"/>
              </w:rPr>
              <w:t xml:space="preserve"> or gambling.</w:t>
            </w:r>
          </w:p>
        </w:tc>
      </w:tr>
      <w:tr w:rsidR="00C0693C" w:rsidRPr="000A2EF8" w14:paraId="23A92A9A" w14:textId="77777777" w:rsidTr="00AF5314">
        <w:trPr>
          <w:cantSplit/>
        </w:trPr>
        <w:tc>
          <w:tcPr>
            <w:tcW w:w="965" w:type="pct"/>
            <w:tcBorders>
              <w:top w:val="single" w:sz="4" w:space="0" w:color="FFFFFF" w:themeColor="background1"/>
              <w:bottom w:val="single" w:sz="4" w:space="0" w:color="FFFFFF" w:themeColor="background1"/>
            </w:tcBorders>
            <w:shd w:val="clear" w:color="auto" w:fill="D9D9D9" w:themeFill="background1" w:themeFillShade="D9"/>
          </w:tcPr>
          <w:p w14:paraId="2C759CD0" w14:textId="5B1A290A" w:rsidR="00C0693C" w:rsidRPr="005A23C2" w:rsidRDefault="00C0693C" w:rsidP="007D06C8">
            <w:pPr>
              <w:pStyle w:val="TableText"/>
              <w:rPr>
                <w:sz w:val="20"/>
              </w:rPr>
            </w:pPr>
            <w:r>
              <w:rPr>
                <w:sz w:val="20"/>
              </w:rPr>
              <w:t>Communities</w:t>
            </w:r>
          </w:p>
        </w:tc>
        <w:tc>
          <w:tcPr>
            <w:tcW w:w="4035" w:type="pct"/>
          </w:tcPr>
          <w:p w14:paraId="370DB36D" w14:textId="76300982" w:rsidR="00C0693C" w:rsidRPr="005A23C2" w:rsidRDefault="00C0693C" w:rsidP="007D06C8">
            <w:pPr>
              <w:pStyle w:val="TableText"/>
              <w:rPr>
                <w:sz w:val="20"/>
              </w:rPr>
            </w:pPr>
            <w:r>
              <w:rPr>
                <w:sz w:val="20"/>
              </w:rPr>
              <w:t xml:space="preserve">Communities are groups of people based around </w:t>
            </w:r>
            <w:r w:rsidR="0004272D">
              <w:rPr>
                <w:sz w:val="20"/>
              </w:rPr>
              <w:t>common</w:t>
            </w:r>
            <w:r>
              <w:rPr>
                <w:sz w:val="20"/>
              </w:rPr>
              <w:t xml:space="preserve"> localit</w:t>
            </w:r>
            <w:r w:rsidR="009132B6">
              <w:rPr>
                <w:sz w:val="20"/>
              </w:rPr>
              <w:t>y</w:t>
            </w:r>
            <w:r>
              <w:rPr>
                <w:sz w:val="20"/>
              </w:rPr>
              <w:t>, identit</w:t>
            </w:r>
            <w:r w:rsidR="009132B6">
              <w:rPr>
                <w:sz w:val="20"/>
              </w:rPr>
              <w:t>y</w:t>
            </w:r>
            <w:r>
              <w:rPr>
                <w:sz w:val="20"/>
              </w:rPr>
              <w:t xml:space="preserve"> or interests</w:t>
            </w:r>
            <w:r w:rsidR="00D639DB">
              <w:rPr>
                <w:sz w:val="20"/>
              </w:rPr>
              <w:t>/purpose</w:t>
            </w:r>
            <w:r>
              <w:rPr>
                <w:sz w:val="20"/>
              </w:rPr>
              <w:t xml:space="preserve">. </w:t>
            </w:r>
            <w:r w:rsidR="00B122FF">
              <w:rPr>
                <w:sz w:val="20"/>
              </w:rPr>
              <w:t>C</w:t>
            </w:r>
            <w:r w:rsidR="00D639DB">
              <w:rPr>
                <w:sz w:val="20"/>
              </w:rPr>
              <w:t>ommunities feature a variety of organisations through which collective action can be expressed – such as schools, churches, community organisations and local businesses.</w:t>
            </w:r>
          </w:p>
        </w:tc>
      </w:tr>
      <w:tr w:rsidR="005235F9" w:rsidRPr="000A2EF8" w14:paraId="7BF57E04" w14:textId="77777777" w:rsidTr="00AF5314">
        <w:trPr>
          <w:cantSplit/>
        </w:trPr>
        <w:tc>
          <w:tcPr>
            <w:tcW w:w="965" w:type="pct"/>
            <w:tcBorders>
              <w:top w:val="single" w:sz="4" w:space="0" w:color="FFFFFF" w:themeColor="background1"/>
              <w:bottom w:val="single" w:sz="4" w:space="0" w:color="FFFFFF" w:themeColor="background1"/>
            </w:tcBorders>
            <w:shd w:val="clear" w:color="auto" w:fill="D9D9D9" w:themeFill="background1" w:themeFillShade="D9"/>
          </w:tcPr>
          <w:p w14:paraId="1D94399B" w14:textId="3DE43133" w:rsidR="005235F9" w:rsidRPr="005A23C2" w:rsidRDefault="005235F9" w:rsidP="007D06C8">
            <w:pPr>
              <w:pStyle w:val="TableText"/>
              <w:rPr>
                <w:sz w:val="20"/>
              </w:rPr>
            </w:pPr>
            <w:r w:rsidRPr="005A23C2">
              <w:rPr>
                <w:sz w:val="20"/>
              </w:rPr>
              <w:t>Community organisations</w:t>
            </w:r>
          </w:p>
        </w:tc>
        <w:tc>
          <w:tcPr>
            <w:tcW w:w="4035" w:type="pct"/>
          </w:tcPr>
          <w:p w14:paraId="5A72AA20" w14:textId="57F50781" w:rsidR="005235F9" w:rsidRPr="005A23C2" w:rsidRDefault="005235F9" w:rsidP="007D06C8">
            <w:pPr>
              <w:pStyle w:val="TableText"/>
              <w:rPr>
                <w:sz w:val="20"/>
              </w:rPr>
            </w:pPr>
            <w:r w:rsidRPr="005A23C2">
              <w:rPr>
                <w:sz w:val="20"/>
              </w:rPr>
              <w:t xml:space="preserve">This term is used for </w:t>
            </w:r>
            <w:r w:rsidR="00C30C5B" w:rsidRPr="005A23C2">
              <w:rPr>
                <w:sz w:val="20"/>
              </w:rPr>
              <w:t xml:space="preserve">non-government organisations </w:t>
            </w:r>
            <w:r w:rsidR="00C30C5B">
              <w:rPr>
                <w:sz w:val="20"/>
              </w:rPr>
              <w:t xml:space="preserve">and </w:t>
            </w:r>
            <w:r w:rsidRPr="005A23C2">
              <w:rPr>
                <w:sz w:val="20"/>
              </w:rPr>
              <w:t>not-for-profit organisations</w:t>
            </w:r>
            <w:r w:rsidR="00424D97" w:rsidRPr="005A23C2">
              <w:rPr>
                <w:sz w:val="20"/>
              </w:rPr>
              <w:t>, national and local, including</w:t>
            </w:r>
            <w:r w:rsidRPr="005A23C2">
              <w:rPr>
                <w:sz w:val="20"/>
              </w:rPr>
              <w:t xml:space="preserve"> </w:t>
            </w:r>
            <w:r w:rsidR="00424D97" w:rsidRPr="005A23C2">
              <w:rPr>
                <w:sz w:val="20"/>
              </w:rPr>
              <w:t xml:space="preserve">service </w:t>
            </w:r>
            <w:r w:rsidRPr="005A23C2">
              <w:rPr>
                <w:sz w:val="20"/>
              </w:rPr>
              <w:t xml:space="preserve">providers </w:t>
            </w:r>
            <w:r w:rsidR="00424D97" w:rsidRPr="005A23C2">
              <w:rPr>
                <w:sz w:val="20"/>
              </w:rPr>
              <w:t>and volunteer-based groups</w:t>
            </w:r>
            <w:r w:rsidR="00C30C5B">
              <w:rPr>
                <w:sz w:val="20"/>
              </w:rPr>
              <w:t>.</w:t>
            </w:r>
          </w:p>
        </w:tc>
      </w:tr>
      <w:tr w:rsidR="00AF5314" w:rsidRPr="000A2EF8" w14:paraId="08B277F1" w14:textId="77777777" w:rsidTr="00AF5314">
        <w:trPr>
          <w:cantSplit/>
        </w:trPr>
        <w:tc>
          <w:tcPr>
            <w:tcW w:w="965" w:type="pct"/>
            <w:tcBorders>
              <w:top w:val="single" w:sz="4" w:space="0" w:color="FFFFFF" w:themeColor="background1"/>
              <w:bottom w:val="single" w:sz="4" w:space="0" w:color="FFFFFF" w:themeColor="background1"/>
            </w:tcBorders>
            <w:shd w:val="clear" w:color="auto" w:fill="D9D9D9" w:themeFill="background1" w:themeFillShade="D9"/>
          </w:tcPr>
          <w:p w14:paraId="37E1B2DA" w14:textId="77777777" w:rsidR="00AF5314" w:rsidRPr="005A23C2" w:rsidRDefault="00AF5314" w:rsidP="007D06C8">
            <w:pPr>
              <w:pStyle w:val="TableText"/>
              <w:rPr>
                <w:sz w:val="20"/>
              </w:rPr>
            </w:pPr>
            <w:r w:rsidRPr="005A23C2">
              <w:rPr>
                <w:sz w:val="20"/>
              </w:rPr>
              <w:t>Equity</w:t>
            </w:r>
          </w:p>
        </w:tc>
        <w:tc>
          <w:tcPr>
            <w:tcW w:w="4035" w:type="pct"/>
          </w:tcPr>
          <w:p w14:paraId="68971FF9" w14:textId="5845ED21" w:rsidR="00AF5314" w:rsidRPr="005A23C2" w:rsidRDefault="00AF5314" w:rsidP="007D06C8">
            <w:pPr>
              <w:pStyle w:val="TableText"/>
              <w:rPr>
                <w:sz w:val="20"/>
              </w:rPr>
            </w:pPr>
            <w:r w:rsidRPr="005A23C2">
              <w:rPr>
                <w:sz w:val="20"/>
              </w:rPr>
              <w:t>In Aotearoa</w:t>
            </w:r>
            <w:r w:rsidR="00601F6E">
              <w:rPr>
                <w:sz w:val="20"/>
              </w:rPr>
              <w:t xml:space="preserve"> </w:t>
            </w:r>
            <w:r w:rsidRPr="005A23C2">
              <w:rPr>
                <w:sz w:val="20"/>
              </w:rPr>
              <w:t xml:space="preserve">New Zealand, people have differences in health that are not only avoidable but unfair and unjust. Equity recognises </w:t>
            </w:r>
            <w:r w:rsidR="002860E9">
              <w:rPr>
                <w:sz w:val="20"/>
              </w:rPr>
              <w:t xml:space="preserve">that </w:t>
            </w:r>
            <w:r w:rsidRPr="005A23C2">
              <w:rPr>
                <w:sz w:val="20"/>
              </w:rPr>
              <w:t>different people with different levels of advantage require different approaches and resources to get equitable health outcomes.</w:t>
            </w:r>
          </w:p>
        </w:tc>
      </w:tr>
      <w:tr w:rsidR="00AF5314" w:rsidRPr="000A2EF8" w14:paraId="5DBB87BA" w14:textId="77777777" w:rsidTr="00AF5314">
        <w:trPr>
          <w:cantSplit/>
        </w:trPr>
        <w:tc>
          <w:tcPr>
            <w:tcW w:w="965" w:type="pct"/>
            <w:tcBorders>
              <w:top w:val="single" w:sz="4" w:space="0" w:color="FFFFFF" w:themeColor="background1"/>
              <w:bottom w:val="single" w:sz="4" w:space="0" w:color="FFFFFF" w:themeColor="background1"/>
            </w:tcBorders>
            <w:shd w:val="clear" w:color="auto" w:fill="D9D9D9" w:themeFill="background1" w:themeFillShade="D9"/>
          </w:tcPr>
          <w:p w14:paraId="41AFFBEB" w14:textId="77777777" w:rsidR="00AF5314" w:rsidRPr="005A23C2" w:rsidRDefault="00AF5314" w:rsidP="007D06C8">
            <w:pPr>
              <w:pStyle w:val="TableText"/>
              <w:rPr>
                <w:sz w:val="20"/>
              </w:rPr>
            </w:pPr>
            <w:r w:rsidRPr="005A23C2">
              <w:rPr>
                <w:sz w:val="20"/>
              </w:rPr>
              <w:t>Kaupapa Māori</w:t>
            </w:r>
          </w:p>
          <w:p w14:paraId="17603606" w14:textId="2C5DE9C9" w:rsidR="00AF5314" w:rsidRPr="005A23C2" w:rsidRDefault="00AF5314" w:rsidP="007D06C8">
            <w:pPr>
              <w:pStyle w:val="TableText"/>
              <w:rPr>
                <w:sz w:val="20"/>
              </w:rPr>
            </w:pPr>
            <w:r w:rsidRPr="005A23C2">
              <w:rPr>
                <w:sz w:val="20"/>
              </w:rPr>
              <w:t>services</w:t>
            </w:r>
          </w:p>
          <w:p w14:paraId="61053AE0" w14:textId="77777777" w:rsidR="00AF5314" w:rsidRPr="005A23C2" w:rsidRDefault="00AF5314" w:rsidP="007D06C8">
            <w:pPr>
              <w:pStyle w:val="TableText"/>
              <w:rPr>
                <w:sz w:val="20"/>
              </w:rPr>
            </w:pPr>
          </w:p>
          <w:p w14:paraId="20B09425" w14:textId="77777777" w:rsidR="00AF5314" w:rsidRPr="005A23C2" w:rsidRDefault="00AF5314" w:rsidP="007D06C8">
            <w:pPr>
              <w:pStyle w:val="TableText"/>
              <w:rPr>
                <w:sz w:val="20"/>
              </w:rPr>
            </w:pPr>
          </w:p>
          <w:p w14:paraId="31301114" w14:textId="77777777" w:rsidR="00AF5314" w:rsidRPr="005A23C2" w:rsidRDefault="00AF5314" w:rsidP="007D06C8">
            <w:pPr>
              <w:pStyle w:val="TableText"/>
              <w:rPr>
                <w:sz w:val="20"/>
              </w:rPr>
            </w:pPr>
          </w:p>
          <w:p w14:paraId="1C0C0A9A" w14:textId="77777777" w:rsidR="00AF5314" w:rsidRPr="005A23C2" w:rsidRDefault="00AF5314" w:rsidP="007D06C8">
            <w:pPr>
              <w:pStyle w:val="TableText"/>
              <w:rPr>
                <w:sz w:val="20"/>
              </w:rPr>
            </w:pPr>
          </w:p>
          <w:p w14:paraId="14FF83B9" w14:textId="77777777" w:rsidR="00AF5314" w:rsidRPr="005A23C2" w:rsidRDefault="00AF5314" w:rsidP="007D06C8">
            <w:pPr>
              <w:pStyle w:val="TableText"/>
              <w:rPr>
                <w:sz w:val="20"/>
              </w:rPr>
            </w:pPr>
          </w:p>
          <w:p w14:paraId="296D1884" w14:textId="29DE8E5A" w:rsidR="00AF5314" w:rsidRPr="005A23C2" w:rsidRDefault="00AF5314" w:rsidP="007D06C8">
            <w:pPr>
              <w:pStyle w:val="TableText"/>
              <w:rPr>
                <w:sz w:val="20"/>
              </w:rPr>
            </w:pPr>
          </w:p>
        </w:tc>
        <w:tc>
          <w:tcPr>
            <w:tcW w:w="4035" w:type="pct"/>
          </w:tcPr>
          <w:p w14:paraId="59523E4B" w14:textId="77777777" w:rsidR="00AF5314" w:rsidRPr="005A23C2" w:rsidRDefault="00AF5314" w:rsidP="007D06C8">
            <w:pPr>
              <w:pStyle w:val="TableText"/>
              <w:rPr>
                <w:sz w:val="20"/>
              </w:rPr>
            </w:pPr>
            <w:r w:rsidRPr="005A23C2">
              <w:rPr>
                <w:sz w:val="20"/>
              </w:rPr>
              <w:t>Kaupapa Māori services provide health and social services for Māori within a Māori cultural context across a broad range of conditions and ailments and within a whānau-centred framework.</w:t>
            </w:r>
          </w:p>
          <w:p w14:paraId="432CA1E1" w14:textId="77777777" w:rsidR="00AF5314" w:rsidRPr="005A23C2" w:rsidRDefault="00AF5314" w:rsidP="007D06C8">
            <w:pPr>
              <w:pStyle w:val="TableText"/>
              <w:rPr>
                <w:sz w:val="20"/>
              </w:rPr>
            </w:pPr>
            <w:r w:rsidRPr="005A23C2">
              <w:rPr>
                <w:sz w:val="20"/>
              </w:rPr>
              <w:t>Kaupapa Māori services provide health and social services that are:</w:t>
            </w:r>
          </w:p>
          <w:p w14:paraId="224B1E64" w14:textId="77777777" w:rsidR="00AF5314" w:rsidRPr="004267F3" w:rsidRDefault="00AF5314" w:rsidP="004267F3">
            <w:pPr>
              <w:pStyle w:val="Bullet"/>
              <w:rPr>
                <w:sz w:val="20"/>
              </w:rPr>
            </w:pPr>
            <w:r w:rsidRPr="004267F3">
              <w:rPr>
                <w:sz w:val="20"/>
              </w:rPr>
              <w:t>whānau centred</w:t>
            </w:r>
          </w:p>
          <w:p w14:paraId="36D99A27" w14:textId="0DA6FF35" w:rsidR="00AF5314" w:rsidRPr="004267F3" w:rsidRDefault="00AF5314" w:rsidP="004267F3">
            <w:pPr>
              <w:pStyle w:val="Bullet"/>
              <w:rPr>
                <w:sz w:val="20"/>
              </w:rPr>
            </w:pPr>
            <w:r w:rsidRPr="004267F3">
              <w:rPr>
                <w:sz w:val="20"/>
              </w:rPr>
              <w:t>delivering service</w:t>
            </w:r>
            <w:r w:rsidR="002860E9">
              <w:rPr>
                <w:sz w:val="20"/>
              </w:rPr>
              <w:t>s</w:t>
            </w:r>
            <w:r w:rsidRPr="004267F3">
              <w:rPr>
                <w:sz w:val="20"/>
              </w:rPr>
              <w:t xml:space="preserve"> for Māori by Māori</w:t>
            </w:r>
          </w:p>
          <w:p w14:paraId="54FB8A02" w14:textId="77777777" w:rsidR="00AF5314" w:rsidRPr="004267F3" w:rsidRDefault="00AF5314" w:rsidP="004267F3">
            <w:pPr>
              <w:pStyle w:val="Bullet"/>
              <w:rPr>
                <w:sz w:val="20"/>
              </w:rPr>
            </w:pPr>
            <w:r w:rsidRPr="004267F3">
              <w:rPr>
                <w:sz w:val="20"/>
              </w:rPr>
              <w:t xml:space="preserve">supportive of kaupapa Māori principles and practices </w:t>
            </w:r>
          </w:p>
          <w:p w14:paraId="50EA3F46" w14:textId="77777777" w:rsidR="00AF5314" w:rsidRPr="004267F3" w:rsidRDefault="00AF5314" w:rsidP="004267F3">
            <w:pPr>
              <w:pStyle w:val="Bullet"/>
              <w:rPr>
                <w:sz w:val="20"/>
              </w:rPr>
            </w:pPr>
            <w:r w:rsidRPr="004267F3">
              <w:rPr>
                <w:sz w:val="20"/>
              </w:rPr>
              <w:t>strong in te reo Māori</w:t>
            </w:r>
          </w:p>
          <w:p w14:paraId="458A4462" w14:textId="77777777" w:rsidR="00AF5314" w:rsidRPr="004267F3" w:rsidRDefault="00AF5314" w:rsidP="004267F3">
            <w:pPr>
              <w:pStyle w:val="Bullet"/>
              <w:rPr>
                <w:sz w:val="20"/>
              </w:rPr>
            </w:pPr>
            <w:r w:rsidRPr="004267F3">
              <w:rPr>
                <w:sz w:val="20"/>
              </w:rPr>
              <w:t>skilled in tikanga Māori</w:t>
            </w:r>
          </w:p>
          <w:p w14:paraId="646E4947" w14:textId="77777777" w:rsidR="00AF5314" w:rsidRPr="004267F3" w:rsidRDefault="00AF5314" w:rsidP="004267F3">
            <w:pPr>
              <w:pStyle w:val="Bullet"/>
              <w:rPr>
                <w:sz w:val="20"/>
              </w:rPr>
            </w:pPr>
            <w:r w:rsidRPr="004267F3">
              <w:rPr>
                <w:sz w:val="20"/>
              </w:rPr>
              <w:t>steeped in mātauranga Māori</w:t>
            </w:r>
          </w:p>
          <w:p w14:paraId="75FE1549" w14:textId="5A993D2A" w:rsidR="00AF5314" w:rsidRPr="004267F3" w:rsidRDefault="00AF5314" w:rsidP="004267F3">
            <w:pPr>
              <w:pStyle w:val="Bullet"/>
              <w:rPr>
                <w:sz w:val="20"/>
              </w:rPr>
            </w:pPr>
            <w:r w:rsidRPr="004267F3">
              <w:rPr>
                <w:sz w:val="20"/>
              </w:rPr>
              <w:t>experienced in rongoa Māori</w:t>
            </w:r>
            <w:r w:rsidR="002860E9">
              <w:rPr>
                <w:sz w:val="20"/>
              </w:rPr>
              <w:t>.</w:t>
            </w:r>
          </w:p>
          <w:p w14:paraId="2F839253" w14:textId="77777777" w:rsidR="00AF5314" w:rsidRPr="005A23C2" w:rsidRDefault="00AF5314" w:rsidP="007D06C8">
            <w:pPr>
              <w:pStyle w:val="TableText"/>
              <w:rPr>
                <w:sz w:val="20"/>
              </w:rPr>
            </w:pPr>
            <w:r w:rsidRPr="005A23C2">
              <w:rPr>
                <w:sz w:val="20"/>
              </w:rPr>
              <w:t>This includes Māori health service providers, which are:</w:t>
            </w:r>
          </w:p>
          <w:p w14:paraId="659136EB" w14:textId="68AA15FB" w:rsidR="00AF5314" w:rsidRPr="004267F3" w:rsidRDefault="00AF5314" w:rsidP="004267F3">
            <w:pPr>
              <w:pStyle w:val="Bullet"/>
              <w:rPr>
                <w:sz w:val="20"/>
              </w:rPr>
            </w:pPr>
            <w:r w:rsidRPr="004267F3">
              <w:rPr>
                <w:sz w:val="20"/>
              </w:rPr>
              <w:t xml:space="preserve">owned and governed by Māori and currently funded by the Ministry of Health and/or </w:t>
            </w:r>
            <w:r w:rsidR="002860E9" w:rsidRPr="004267F3">
              <w:rPr>
                <w:sz w:val="20"/>
              </w:rPr>
              <w:t>district health board and/or primary health organisati</w:t>
            </w:r>
            <w:r w:rsidRPr="004267F3">
              <w:rPr>
                <w:sz w:val="20"/>
              </w:rPr>
              <w:t>on for the provision of health services</w:t>
            </w:r>
            <w:r w:rsidR="002860E9">
              <w:rPr>
                <w:sz w:val="20"/>
              </w:rPr>
              <w:t>,</w:t>
            </w:r>
            <w:r w:rsidRPr="004267F3">
              <w:rPr>
                <w:sz w:val="20"/>
              </w:rPr>
              <w:t xml:space="preserve"> and </w:t>
            </w:r>
          </w:p>
          <w:p w14:paraId="0EF4BB21" w14:textId="4EF17078" w:rsidR="00AF5314" w:rsidRPr="005A23C2" w:rsidRDefault="00AF5314" w:rsidP="004267F3">
            <w:pPr>
              <w:pStyle w:val="Bullet"/>
            </w:pPr>
            <w:r w:rsidRPr="004267F3">
              <w:rPr>
                <w:sz w:val="20"/>
              </w:rPr>
              <w:t>deliver health and disability services primarily but not exclusively for Māori.</w:t>
            </w:r>
          </w:p>
        </w:tc>
      </w:tr>
      <w:tr w:rsidR="003E0DF3" w:rsidRPr="000A2EF8" w14:paraId="4E35AEEF" w14:textId="77777777" w:rsidTr="00AF5314">
        <w:trPr>
          <w:cantSplit/>
        </w:trPr>
        <w:tc>
          <w:tcPr>
            <w:tcW w:w="965" w:type="pct"/>
            <w:tcBorders>
              <w:top w:val="single" w:sz="4" w:space="0" w:color="FFFFFF" w:themeColor="background1"/>
              <w:bottom w:val="single" w:sz="4" w:space="0" w:color="FFFFFF" w:themeColor="background1"/>
            </w:tcBorders>
            <w:shd w:val="clear" w:color="auto" w:fill="D9D9D9" w:themeFill="background1" w:themeFillShade="D9"/>
          </w:tcPr>
          <w:p w14:paraId="53C65E47" w14:textId="72DEFAE3" w:rsidR="003E0DF3" w:rsidRPr="005A23C2" w:rsidRDefault="003E0DF3" w:rsidP="007D06C8">
            <w:pPr>
              <w:pStyle w:val="TableText"/>
              <w:rPr>
                <w:sz w:val="20"/>
              </w:rPr>
            </w:pPr>
            <w:r>
              <w:rPr>
                <w:sz w:val="20"/>
              </w:rPr>
              <w:t>Managed isolation</w:t>
            </w:r>
          </w:p>
        </w:tc>
        <w:tc>
          <w:tcPr>
            <w:tcW w:w="4035" w:type="pct"/>
          </w:tcPr>
          <w:p w14:paraId="7C1BB683" w14:textId="677C972E" w:rsidR="003E0DF3" w:rsidRPr="005A23C2" w:rsidRDefault="003E0DF3" w:rsidP="007D06C8">
            <w:pPr>
              <w:pStyle w:val="TableText"/>
              <w:rPr>
                <w:sz w:val="20"/>
              </w:rPr>
            </w:pPr>
            <w:r>
              <w:rPr>
                <w:sz w:val="20"/>
              </w:rPr>
              <w:t>See Quarantine</w:t>
            </w:r>
            <w:r w:rsidR="002860E9">
              <w:rPr>
                <w:sz w:val="20"/>
              </w:rPr>
              <w:t>.</w:t>
            </w:r>
          </w:p>
        </w:tc>
      </w:tr>
      <w:tr w:rsidR="00AF5314" w:rsidRPr="000A2EF8" w14:paraId="783BD787" w14:textId="77777777" w:rsidTr="00AF5314">
        <w:trPr>
          <w:cantSplit/>
        </w:trPr>
        <w:tc>
          <w:tcPr>
            <w:tcW w:w="965" w:type="pct"/>
            <w:tcBorders>
              <w:top w:val="single" w:sz="4" w:space="0" w:color="FFFFFF" w:themeColor="background1"/>
              <w:bottom w:val="single" w:sz="4" w:space="0" w:color="FFFFFF" w:themeColor="background1"/>
            </w:tcBorders>
            <w:shd w:val="clear" w:color="auto" w:fill="D9D9D9" w:themeFill="background1" w:themeFillShade="D9"/>
          </w:tcPr>
          <w:p w14:paraId="7E52C0E2" w14:textId="77777777" w:rsidR="00AF5314" w:rsidRPr="005A23C2" w:rsidRDefault="00AF5314" w:rsidP="007D06C8">
            <w:pPr>
              <w:pStyle w:val="TableText"/>
              <w:rPr>
                <w:sz w:val="20"/>
              </w:rPr>
            </w:pPr>
            <w:r w:rsidRPr="005A23C2">
              <w:rPr>
                <w:sz w:val="20"/>
              </w:rPr>
              <w:t>Mental distress</w:t>
            </w:r>
          </w:p>
        </w:tc>
        <w:tc>
          <w:tcPr>
            <w:tcW w:w="4035" w:type="pct"/>
          </w:tcPr>
          <w:p w14:paraId="47BEA7E5" w14:textId="45C28B26" w:rsidR="00AF5314" w:rsidRPr="005A23C2" w:rsidRDefault="00AF5314" w:rsidP="007D06C8">
            <w:pPr>
              <w:pStyle w:val="TableText"/>
              <w:rPr>
                <w:sz w:val="20"/>
              </w:rPr>
            </w:pPr>
            <w:r w:rsidRPr="005A23C2">
              <w:rPr>
                <w:sz w:val="20"/>
              </w:rPr>
              <w:t xml:space="preserve">Mental distress </w:t>
            </w:r>
            <w:r w:rsidR="00C30C5B">
              <w:rPr>
                <w:sz w:val="20"/>
              </w:rPr>
              <w:t xml:space="preserve">involves </w:t>
            </w:r>
            <w:r w:rsidRPr="005A23C2">
              <w:rPr>
                <w:sz w:val="20"/>
              </w:rPr>
              <w:t xml:space="preserve">thoughts, feelings, and behaviours that negatively </w:t>
            </w:r>
            <w:r w:rsidR="00DE118A">
              <w:rPr>
                <w:sz w:val="20"/>
              </w:rPr>
              <w:t>affect</w:t>
            </w:r>
            <w:r w:rsidR="008846D9">
              <w:rPr>
                <w:sz w:val="20"/>
              </w:rPr>
              <w:t xml:space="preserve"> </w:t>
            </w:r>
            <w:r w:rsidRPr="005A23C2">
              <w:rPr>
                <w:sz w:val="20"/>
              </w:rPr>
              <w:t>day</w:t>
            </w:r>
            <w:r w:rsidR="00DD7A0E">
              <w:rPr>
                <w:sz w:val="20"/>
              </w:rPr>
              <w:t>-</w:t>
            </w:r>
            <w:r w:rsidRPr="005A23C2">
              <w:rPr>
                <w:sz w:val="20"/>
              </w:rPr>
              <w:t>to</w:t>
            </w:r>
            <w:r w:rsidR="00DD7A0E">
              <w:rPr>
                <w:sz w:val="20"/>
              </w:rPr>
              <w:t>-</w:t>
            </w:r>
            <w:r w:rsidRPr="005A23C2">
              <w:rPr>
                <w:sz w:val="20"/>
              </w:rPr>
              <w:t>day wellbeing.</w:t>
            </w:r>
          </w:p>
        </w:tc>
      </w:tr>
      <w:tr w:rsidR="00AF5314" w:rsidRPr="000A2EF8" w14:paraId="7922AD8D" w14:textId="77777777" w:rsidTr="00AF5314">
        <w:trPr>
          <w:cantSplit/>
        </w:trPr>
        <w:tc>
          <w:tcPr>
            <w:tcW w:w="965" w:type="pct"/>
            <w:tcBorders>
              <w:top w:val="single" w:sz="4" w:space="0" w:color="FFFFFF" w:themeColor="background1"/>
              <w:bottom w:val="single" w:sz="4" w:space="0" w:color="FFFFFF" w:themeColor="background1"/>
            </w:tcBorders>
            <w:shd w:val="clear" w:color="auto" w:fill="D9D9D9" w:themeFill="background1" w:themeFillShade="D9"/>
          </w:tcPr>
          <w:p w14:paraId="2AC83FFE" w14:textId="77777777" w:rsidR="00AF5314" w:rsidRPr="005A23C2" w:rsidRDefault="00AF5314" w:rsidP="007D06C8">
            <w:pPr>
              <w:pStyle w:val="TableText"/>
              <w:rPr>
                <w:sz w:val="20"/>
              </w:rPr>
            </w:pPr>
            <w:r w:rsidRPr="005A23C2">
              <w:rPr>
                <w:sz w:val="20"/>
              </w:rPr>
              <w:t>Mental health</w:t>
            </w:r>
          </w:p>
        </w:tc>
        <w:tc>
          <w:tcPr>
            <w:tcW w:w="4035" w:type="pct"/>
          </w:tcPr>
          <w:p w14:paraId="5F4BC71E" w14:textId="77777777" w:rsidR="00AF5314" w:rsidRPr="005A23C2" w:rsidRDefault="00AF5314" w:rsidP="007D06C8">
            <w:pPr>
              <w:pStyle w:val="TableText"/>
              <w:rPr>
                <w:sz w:val="20"/>
              </w:rPr>
            </w:pPr>
            <w:r w:rsidRPr="005A23C2">
              <w:rPr>
                <w:sz w:val="20"/>
              </w:rPr>
              <w:t>Mental health is a state of wellbeing in which people realise their own potential, can cope with the normal stresses of life and have meaning, connection and purpose in their life.</w:t>
            </w:r>
          </w:p>
        </w:tc>
      </w:tr>
      <w:tr w:rsidR="00AF5314" w:rsidRPr="000A2EF8" w14:paraId="194E8DF6" w14:textId="77777777" w:rsidTr="00AF5314">
        <w:trPr>
          <w:cantSplit/>
        </w:trPr>
        <w:tc>
          <w:tcPr>
            <w:tcW w:w="965" w:type="pct"/>
            <w:tcBorders>
              <w:top w:val="single" w:sz="4" w:space="0" w:color="FFFFFF" w:themeColor="background1"/>
              <w:bottom w:val="single" w:sz="4" w:space="0" w:color="FFFFFF" w:themeColor="background1"/>
            </w:tcBorders>
            <w:shd w:val="clear" w:color="auto" w:fill="D9D9D9" w:themeFill="background1" w:themeFillShade="D9"/>
          </w:tcPr>
          <w:p w14:paraId="4268EA64" w14:textId="77777777" w:rsidR="00AF5314" w:rsidRPr="005A23C2" w:rsidRDefault="00AF5314" w:rsidP="007D06C8">
            <w:pPr>
              <w:pStyle w:val="TableText"/>
              <w:rPr>
                <w:sz w:val="20"/>
              </w:rPr>
            </w:pPr>
            <w:r w:rsidRPr="005A23C2">
              <w:rPr>
                <w:sz w:val="20"/>
              </w:rPr>
              <w:t>Mental wellbeing</w:t>
            </w:r>
          </w:p>
        </w:tc>
        <w:tc>
          <w:tcPr>
            <w:tcW w:w="4035" w:type="pct"/>
          </w:tcPr>
          <w:p w14:paraId="49C2E3EC" w14:textId="078CF7B0" w:rsidR="00AF5314" w:rsidRPr="005A23C2" w:rsidRDefault="00246952" w:rsidP="007D06C8">
            <w:pPr>
              <w:pStyle w:val="TableText"/>
              <w:rPr>
                <w:sz w:val="20"/>
              </w:rPr>
            </w:pPr>
            <w:bookmarkStart w:id="106" w:name="_Hlk57215107"/>
            <w:r w:rsidRPr="005A23C2">
              <w:rPr>
                <w:sz w:val="20"/>
              </w:rPr>
              <w:t xml:space="preserve">Mental wellbeing </w:t>
            </w:r>
            <w:r>
              <w:rPr>
                <w:sz w:val="20"/>
              </w:rPr>
              <w:t>is</w:t>
            </w:r>
            <w:r w:rsidRPr="005A23C2">
              <w:rPr>
                <w:sz w:val="20"/>
              </w:rPr>
              <w:t xml:space="preserve"> one component of broader wellbeing. </w:t>
            </w:r>
            <w:bookmarkEnd w:id="106"/>
            <w:r w:rsidR="00AF5314" w:rsidRPr="005A23C2">
              <w:rPr>
                <w:sz w:val="20"/>
              </w:rPr>
              <w:t>Ideas about wellbeing differ widely among different populations, groups and individuals. They also change throughout our lives and as our circumstances change.</w:t>
            </w:r>
          </w:p>
          <w:p w14:paraId="0405F6F6" w14:textId="02FB5B79" w:rsidR="00246952" w:rsidRPr="005A23C2" w:rsidRDefault="00246952">
            <w:pPr>
              <w:pStyle w:val="TableText"/>
              <w:rPr>
                <w:sz w:val="20"/>
              </w:rPr>
            </w:pPr>
            <w:r w:rsidRPr="005A23C2">
              <w:rPr>
                <w:sz w:val="20"/>
              </w:rPr>
              <w:t xml:space="preserve">Te Whare Tapa Whā </w:t>
            </w:r>
            <w:r>
              <w:rPr>
                <w:sz w:val="20"/>
              </w:rPr>
              <w:t xml:space="preserve">is a model that </w:t>
            </w:r>
            <w:r w:rsidRPr="00E257D2">
              <w:rPr>
                <w:sz w:val="20"/>
              </w:rPr>
              <w:t>represent</w:t>
            </w:r>
            <w:r>
              <w:rPr>
                <w:sz w:val="20"/>
              </w:rPr>
              <w:t>s</w:t>
            </w:r>
            <w:r w:rsidRPr="00E257D2">
              <w:rPr>
                <w:sz w:val="20"/>
              </w:rPr>
              <w:t xml:space="preserve"> a </w:t>
            </w:r>
            <w:r>
              <w:rPr>
                <w:sz w:val="20"/>
              </w:rPr>
              <w:t xml:space="preserve">holistic </w:t>
            </w:r>
            <w:r w:rsidRPr="00E257D2">
              <w:rPr>
                <w:sz w:val="20"/>
              </w:rPr>
              <w:t>Māori view of wellbeing</w:t>
            </w:r>
            <w:r>
              <w:rPr>
                <w:sz w:val="20"/>
              </w:rPr>
              <w:t xml:space="preserve">. It </w:t>
            </w:r>
            <w:r w:rsidRPr="005A23C2">
              <w:rPr>
                <w:sz w:val="20"/>
              </w:rPr>
              <w:t>uses the symbol of the wharenui (meeting house) to illustrate the four cornerstones of wellbeing: taha wairua (spiritual health), taha hinengaro (mental health), taha tinana (physical health), and taha whānau (family health).</w:t>
            </w:r>
          </w:p>
          <w:p w14:paraId="479EDC86" w14:textId="52321BD3" w:rsidR="00AF5314" w:rsidRDefault="00AF5314" w:rsidP="007D06C8">
            <w:pPr>
              <w:pStyle w:val="TableText"/>
              <w:rPr>
                <w:sz w:val="20"/>
              </w:rPr>
            </w:pPr>
            <w:r w:rsidRPr="005A23C2">
              <w:rPr>
                <w:sz w:val="20"/>
              </w:rPr>
              <w:t>For Pacific peoples,</w:t>
            </w:r>
            <w:r w:rsidR="00246952">
              <w:rPr>
                <w:sz w:val="20"/>
              </w:rPr>
              <w:t xml:space="preserve"> w</w:t>
            </w:r>
            <w:r w:rsidRPr="005A23C2">
              <w:rPr>
                <w:sz w:val="20"/>
              </w:rPr>
              <w:t>ellbeing encompasses mental, physical, spiritual, family, environmental, cultural and ancestral components, and includes cultural values that strengthen family and individual wellbeing, such as respect, reciprocity, collectivism and a focus on relationships.</w:t>
            </w:r>
          </w:p>
          <w:p w14:paraId="4F3AAEBE" w14:textId="22BAD9C1" w:rsidR="00246952" w:rsidRPr="005A23C2" w:rsidRDefault="00246952" w:rsidP="007D06C8">
            <w:pPr>
              <w:pStyle w:val="TableText"/>
              <w:rPr>
                <w:sz w:val="20"/>
              </w:rPr>
            </w:pPr>
            <w:r w:rsidRPr="005A23C2">
              <w:rPr>
                <w:sz w:val="20"/>
              </w:rPr>
              <w:t>Positive mental wellbeing</w:t>
            </w:r>
            <w:r>
              <w:rPr>
                <w:sz w:val="20"/>
              </w:rPr>
              <w:t xml:space="preserve"> (or mental health) </w:t>
            </w:r>
            <w:r w:rsidRPr="005A23C2">
              <w:rPr>
                <w:sz w:val="20"/>
              </w:rPr>
              <w:t xml:space="preserve">is most likely when we </w:t>
            </w:r>
            <w:r w:rsidR="00813EB6">
              <w:rPr>
                <w:sz w:val="20"/>
              </w:rPr>
              <w:t>feel</w:t>
            </w:r>
            <w:r w:rsidR="00813EB6" w:rsidRPr="005A23C2">
              <w:rPr>
                <w:sz w:val="20"/>
              </w:rPr>
              <w:t xml:space="preserve"> </w:t>
            </w:r>
            <w:r w:rsidRPr="005A23C2">
              <w:rPr>
                <w:sz w:val="20"/>
              </w:rPr>
              <w:t>safe</w:t>
            </w:r>
            <w:r w:rsidR="00813EB6">
              <w:rPr>
                <w:sz w:val="20"/>
              </w:rPr>
              <w:t>,</w:t>
            </w:r>
            <w:r w:rsidRPr="005A23C2">
              <w:rPr>
                <w:sz w:val="20"/>
              </w:rPr>
              <w:t xml:space="preserve"> connected, valued, worthy</w:t>
            </w:r>
            <w:r w:rsidR="00813EB6">
              <w:rPr>
                <w:sz w:val="20"/>
              </w:rPr>
              <w:t xml:space="preserve"> and</w:t>
            </w:r>
            <w:r w:rsidRPr="005A23C2">
              <w:rPr>
                <w:sz w:val="20"/>
              </w:rPr>
              <w:t xml:space="preserve"> accepted</w:t>
            </w:r>
            <w:r w:rsidR="00813EB6">
              <w:rPr>
                <w:sz w:val="20"/>
              </w:rPr>
              <w:t xml:space="preserve">; </w:t>
            </w:r>
            <w:r w:rsidR="00F87959">
              <w:rPr>
                <w:sz w:val="20"/>
              </w:rPr>
              <w:t xml:space="preserve">and </w:t>
            </w:r>
            <w:r w:rsidR="00813EB6">
              <w:rPr>
                <w:sz w:val="20"/>
              </w:rPr>
              <w:t>have</w:t>
            </w:r>
            <w:r w:rsidR="00813EB6" w:rsidRPr="005A23C2">
              <w:rPr>
                <w:sz w:val="20"/>
              </w:rPr>
              <w:t xml:space="preserve"> a sense of belonging</w:t>
            </w:r>
            <w:r w:rsidR="00F87959">
              <w:rPr>
                <w:sz w:val="20"/>
              </w:rPr>
              <w:t>,</w:t>
            </w:r>
            <w:r w:rsidR="00813EB6" w:rsidRPr="005A23C2">
              <w:rPr>
                <w:sz w:val="20"/>
              </w:rPr>
              <w:t xml:space="preserve"> identity,</w:t>
            </w:r>
            <w:r w:rsidRPr="005A23C2">
              <w:rPr>
                <w:sz w:val="20"/>
              </w:rPr>
              <w:t xml:space="preserve"> and hope for the future.</w:t>
            </w:r>
            <w:r>
              <w:rPr>
                <w:sz w:val="20"/>
              </w:rPr>
              <w:t xml:space="preserve"> </w:t>
            </w:r>
            <w:r w:rsidRPr="005A23C2">
              <w:rPr>
                <w:sz w:val="20"/>
              </w:rPr>
              <w:t xml:space="preserve">For many of us this comes from growing up in loving whānau where we feel strongly connected and are nurtured and nourished; </w:t>
            </w:r>
            <w:r w:rsidR="000E531F">
              <w:rPr>
                <w:sz w:val="20"/>
              </w:rPr>
              <w:t xml:space="preserve">having positive </w:t>
            </w:r>
            <w:r w:rsidRPr="005A23C2">
              <w:rPr>
                <w:sz w:val="20"/>
              </w:rPr>
              <w:t>school</w:t>
            </w:r>
            <w:r w:rsidR="000E531F">
              <w:rPr>
                <w:sz w:val="20"/>
              </w:rPr>
              <w:t xml:space="preserve"> experiences</w:t>
            </w:r>
            <w:r w:rsidRPr="005A23C2">
              <w:rPr>
                <w:sz w:val="20"/>
              </w:rPr>
              <w:t>; having strong cultural, social and, for some, spiritual connections; being fit and healthy; having friends and family, a job, a home and a safe neighbourhood; being creative and having fun; contributing to our communities; having control over our lives; and mattering to other people.</w:t>
            </w:r>
          </w:p>
        </w:tc>
      </w:tr>
      <w:tr w:rsidR="00AF5314" w:rsidRPr="000A2EF8" w14:paraId="68707111" w14:textId="77777777" w:rsidTr="00AF5314">
        <w:trPr>
          <w:cantSplit/>
        </w:trPr>
        <w:tc>
          <w:tcPr>
            <w:tcW w:w="965" w:type="pct"/>
            <w:tcBorders>
              <w:top w:val="single" w:sz="4" w:space="0" w:color="FFFFFF" w:themeColor="background1"/>
              <w:bottom w:val="single" w:sz="4" w:space="0" w:color="FFFFFF" w:themeColor="background1"/>
            </w:tcBorders>
            <w:shd w:val="clear" w:color="auto" w:fill="D9D9D9" w:themeFill="background1" w:themeFillShade="D9"/>
          </w:tcPr>
          <w:p w14:paraId="73E860AC" w14:textId="77898192" w:rsidR="00AF5314" w:rsidRPr="005A23C2" w:rsidRDefault="00AF5314" w:rsidP="007D06C8">
            <w:pPr>
              <w:pStyle w:val="TableText"/>
              <w:rPr>
                <w:sz w:val="20"/>
              </w:rPr>
            </w:pPr>
            <w:r w:rsidRPr="005A23C2">
              <w:rPr>
                <w:sz w:val="20"/>
              </w:rPr>
              <w:t>Primary care</w:t>
            </w:r>
          </w:p>
        </w:tc>
        <w:tc>
          <w:tcPr>
            <w:tcW w:w="4035" w:type="pct"/>
          </w:tcPr>
          <w:p w14:paraId="34D19C93" w14:textId="135AD521" w:rsidR="00AF5314" w:rsidRPr="005A23C2" w:rsidRDefault="00AF5314" w:rsidP="007D06C8">
            <w:pPr>
              <w:pStyle w:val="TableText"/>
              <w:rPr>
                <w:sz w:val="20"/>
              </w:rPr>
            </w:pPr>
            <w:r w:rsidRPr="005A23C2">
              <w:rPr>
                <w:sz w:val="20"/>
              </w:rPr>
              <w:t xml:space="preserve">Primary care relates to the professional health care provided in the community, </w:t>
            </w:r>
            <w:r w:rsidR="000E531F">
              <w:rPr>
                <w:sz w:val="20"/>
              </w:rPr>
              <w:t>through a</w:t>
            </w:r>
            <w:r w:rsidRPr="005A23C2">
              <w:rPr>
                <w:sz w:val="20"/>
              </w:rPr>
              <w:t xml:space="preserve"> general practitioner, practice nurse, nurse practitioner</w:t>
            </w:r>
            <w:r w:rsidR="000E531F">
              <w:rPr>
                <w:sz w:val="20"/>
              </w:rPr>
              <w:t xml:space="preserve"> or</w:t>
            </w:r>
            <w:r w:rsidRPr="005A23C2">
              <w:rPr>
                <w:sz w:val="20"/>
              </w:rPr>
              <w:t xml:space="preserve"> pharmacist</w:t>
            </w:r>
            <w:r w:rsidR="000E531F">
              <w:rPr>
                <w:sz w:val="20"/>
              </w:rPr>
              <w:t xml:space="preserve">, and </w:t>
            </w:r>
            <w:r w:rsidRPr="005A23C2">
              <w:rPr>
                <w:sz w:val="20"/>
              </w:rPr>
              <w:t xml:space="preserve">other </w:t>
            </w:r>
            <w:r w:rsidR="000E531F">
              <w:rPr>
                <w:sz w:val="20"/>
              </w:rPr>
              <w:t xml:space="preserve">directly accessible </w:t>
            </w:r>
            <w:r w:rsidRPr="005A23C2">
              <w:rPr>
                <w:sz w:val="20"/>
              </w:rPr>
              <w:t>health professional</w:t>
            </w:r>
            <w:r w:rsidR="000E531F">
              <w:rPr>
                <w:sz w:val="20"/>
              </w:rPr>
              <w:t>s</w:t>
            </w:r>
            <w:r w:rsidRPr="005A23C2">
              <w:rPr>
                <w:sz w:val="20"/>
              </w:rPr>
              <w:t>. Primary care covers a broad range of health services, including diagnosis and treatment, health education, counselling, disease prevention and screening.</w:t>
            </w:r>
          </w:p>
        </w:tc>
      </w:tr>
      <w:tr w:rsidR="004C4899" w:rsidRPr="000A2EF8" w14:paraId="338F0E5A" w14:textId="77777777" w:rsidTr="00AF5314">
        <w:trPr>
          <w:cantSplit/>
        </w:trPr>
        <w:tc>
          <w:tcPr>
            <w:tcW w:w="965" w:type="pct"/>
            <w:tcBorders>
              <w:top w:val="single" w:sz="4" w:space="0" w:color="FFFFFF" w:themeColor="background1"/>
              <w:bottom w:val="single" w:sz="4" w:space="0" w:color="FFFFFF" w:themeColor="background1"/>
            </w:tcBorders>
            <w:shd w:val="clear" w:color="auto" w:fill="D9D9D9" w:themeFill="background1" w:themeFillShade="D9"/>
          </w:tcPr>
          <w:p w14:paraId="3FCAECDA" w14:textId="60F51E0F" w:rsidR="004C4899" w:rsidRPr="005A23C2" w:rsidRDefault="004C4899" w:rsidP="007D06C8">
            <w:pPr>
              <w:pStyle w:val="TableText"/>
              <w:rPr>
                <w:sz w:val="20"/>
              </w:rPr>
            </w:pPr>
            <w:r>
              <w:rPr>
                <w:sz w:val="20"/>
              </w:rPr>
              <w:t xml:space="preserve">Peer/lived experience </w:t>
            </w:r>
          </w:p>
        </w:tc>
        <w:tc>
          <w:tcPr>
            <w:tcW w:w="4035" w:type="pct"/>
          </w:tcPr>
          <w:p w14:paraId="66ED2AC7" w14:textId="3CCB6711" w:rsidR="004C4899" w:rsidRPr="005A23C2" w:rsidRDefault="004C4899" w:rsidP="007D06C8">
            <w:pPr>
              <w:pStyle w:val="TableText"/>
              <w:rPr>
                <w:sz w:val="20"/>
              </w:rPr>
            </w:pPr>
            <w:r>
              <w:rPr>
                <w:sz w:val="20"/>
              </w:rPr>
              <w:t xml:space="preserve">In </w:t>
            </w:r>
            <w:r w:rsidR="002860E9" w:rsidRPr="0075261B">
              <w:rPr>
                <w:i/>
                <w:iCs/>
                <w:sz w:val="20"/>
              </w:rPr>
              <w:t>Kia Kaha</w:t>
            </w:r>
            <w:r>
              <w:rPr>
                <w:sz w:val="20"/>
              </w:rPr>
              <w:t>, being a ‘peer’ or having ‘lived experience’</w:t>
            </w:r>
            <w:r w:rsidR="002860E9">
              <w:rPr>
                <w:sz w:val="20"/>
              </w:rPr>
              <w:t xml:space="preserve"> specifically</w:t>
            </w:r>
            <w:r>
              <w:rPr>
                <w:sz w:val="20"/>
              </w:rPr>
              <w:t xml:space="preserve"> refers to people who have previous or current experience of mental health and addiction issues.</w:t>
            </w:r>
          </w:p>
        </w:tc>
      </w:tr>
      <w:tr w:rsidR="00AF5314" w:rsidRPr="000A2EF8" w14:paraId="48BCA192" w14:textId="77777777" w:rsidTr="00AF5314">
        <w:trPr>
          <w:cantSplit/>
        </w:trPr>
        <w:tc>
          <w:tcPr>
            <w:tcW w:w="965" w:type="pct"/>
            <w:tcBorders>
              <w:top w:val="single" w:sz="4" w:space="0" w:color="FFFFFF" w:themeColor="background1"/>
              <w:bottom w:val="single" w:sz="4" w:space="0" w:color="FFFFFF" w:themeColor="background1"/>
            </w:tcBorders>
            <w:shd w:val="clear" w:color="auto" w:fill="D9D9D9" w:themeFill="background1" w:themeFillShade="D9"/>
          </w:tcPr>
          <w:p w14:paraId="3CAE85D3" w14:textId="77777777" w:rsidR="00AF5314" w:rsidRPr="005A23C2" w:rsidRDefault="00AF5314" w:rsidP="007D06C8">
            <w:pPr>
              <w:pStyle w:val="TableText"/>
              <w:rPr>
                <w:sz w:val="20"/>
              </w:rPr>
            </w:pPr>
            <w:r w:rsidRPr="005A23C2">
              <w:rPr>
                <w:sz w:val="20"/>
              </w:rPr>
              <w:t xml:space="preserve">Psychosocial support </w:t>
            </w:r>
          </w:p>
        </w:tc>
        <w:tc>
          <w:tcPr>
            <w:tcW w:w="4035" w:type="pct"/>
          </w:tcPr>
          <w:p w14:paraId="0E50B1AB" w14:textId="2E05DC19" w:rsidR="00AF5314" w:rsidRPr="00DE118A" w:rsidRDefault="00AF5314" w:rsidP="00DE118A">
            <w:pPr>
              <w:pStyle w:val="ReportBody-MOH"/>
              <w:keepLines/>
              <w:numPr>
                <w:ilvl w:val="0"/>
                <w:numId w:val="0"/>
              </w:numPr>
            </w:pPr>
            <w:r w:rsidRPr="005A23C2">
              <w:rPr>
                <w:sz w:val="20"/>
              </w:rPr>
              <w:t xml:space="preserve">Psychosocial support focuses on easing the psychological, social and physical </w:t>
            </w:r>
            <w:r w:rsidR="004E2873">
              <w:rPr>
                <w:sz w:val="20"/>
              </w:rPr>
              <w:t>effects</w:t>
            </w:r>
            <w:r w:rsidRPr="005A23C2">
              <w:rPr>
                <w:sz w:val="20"/>
              </w:rPr>
              <w:t xml:space="preserve"> of an emergency. </w:t>
            </w:r>
            <w:r w:rsidR="00C44D47" w:rsidRPr="00DD4755">
              <w:rPr>
                <w:sz w:val="20"/>
              </w:rPr>
              <w:t xml:space="preserve">It includes supporting recovery of individuals and </w:t>
            </w:r>
            <w:r w:rsidR="00EB1195" w:rsidRPr="00DD4755">
              <w:rPr>
                <w:sz w:val="20"/>
              </w:rPr>
              <w:t>whānau</w:t>
            </w:r>
            <w:r w:rsidR="00C44D47" w:rsidRPr="00DD4755">
              <w:rPr>
                <w:sz w:val="20"/>
              </w:rPr>
              <w:t>, enhancing their wellbeing, and helping them adapt after their lives have been disrupted.</w:t>
            </w:r>
            <w:r w:rsidR="00C44D47" w:rsidRPr="00972D04">
              <w:t xml:space="preserve"> </w:t>
            </w:r>
          </w:p>
        </w:tc>
      </w:tr>
      <w:tr w:rsidR="00AF5314" w:rsidRPr="000A2EF8" w14:paraId="74BBEA67" w14:textId="77777777" w:rsidTr="00AF5314">
        <w:trPr>
          <w:cantSplit/>
        </w:trPr>
        <w:tc>
          <w:tcPr>
            <w:tcW w:w="965" w:type="pct"/>
            <w:tcBorders>
              <w:top w:val="single" w:sz="4" w:space="0" w:color="FFFFFF" w:themeColor="background1"/>
              <w:bottom w:val="single" w:sz="4" w:space="0" w:color="FFFFFF" w:themeColor="background1"/>
            </w:tcBorders>
            <w:shd w:val="clear" w:color="auto" w:fill="D9D9D9" w:themeFill="background1" w:themeFillShade="D9"/>
          </w:tcPr>
          <w:p w14:paraId="078F3D94" w14:textId="77777777" w:rsidR="00AF5314" w:rsidRPr="005A23C2" w:rsidRDefault="00AF5314" w:rsidP="007D06C8">
            <w:pPr>
              <w:pStyle w:val="TableText"/>
              <w:rPr>
                <w:sz w:val="20"/>
              </w:rPr>
            </w:pPr>
            <w:r w:rsidRPr="005A23C2">
              <w:rPr>
                <w:sz w:val="20"/>
              </w:rPr>
              <w:t>Quarantine</w:t>
            </w:r>
          </w:p>
        </w:tc>
        <w:tc>
          <w:tcPr>
            <w:tcW w:w="4035" w:type="pct"/>
          </w:tcPr>
          <w:p w14:paraId="544EF939" w14:textId="106C7B56" w:rsidR="00AF5314" w:rsidRPr="005A23C2" w:rsidRDefault="00AF5314" w:rsidP="0017240E">
            <w:pPr>
              <w:pStyle w:val="TableText"/>
              <w:rPr>
                <w:sz w:val="20"/>
              </w:rPr>
            </w:pPr>
            <w:r w:rsidRPr="005A23C2">
              <w:rPr>
                <w:sz w:val="20"/>
              </w:rPr>
              <w:t xml:space="preserve">Quarantine is where travellers entering </w:t>
            </w:r>
            <w:r w:rsidR="001570E8" w:rsidRPr="005A23C2">
              <w:rPr>
                <w:sz w:val="20"/>
              </w:rPr>
              <w:t>Aotearoa</w:t>
            </w:r>
            <w:r w:rsidR="00601F6E">
              <w:rPr>
                <w:sz w:val="20"/>
              </w:rPr>
              <w:t xml:space="preserve"> </w:t>
            </w:r>
            <w:r w:rsidR="001570E8" w:rsidRPr="005A23C2">
              <w:rPr>
                <w:sz w:val="20"/>
              </w:rPr>
              <w:t>New Zealand</w:t>
            </w:r>
            <w:r w:rsidRPr="005A23C2">
              <w:rPr>
                <w:sz w:val="20"/>
              </w:rPr>
              <w:t xml:space="preserve"> </w:t>
            </w:r>
            <w:r w:rsidR="00A94A3A">
              <w:rPr>
                <w:sz w:val="20"/>
              </w:rPr>
              <w:t>during the COVID-19 period</w:t>
            </w:r>
            <w:r w:rsidRPr="005A23C2">
              <w:rPr>
                <w:sz w:val="20"/>
              </w:rPr>
              <w:t xml:space="preserve"> are required to go into managed isolation in a government-provided facility (hotel) or a quarantine facility (separate hotel) if they have COVID</w:t>
            </w:r>
            <w:r w:rsidRPr="005A23C2">
              <w:rPr>
                <w:sz w:val="20"/>
              </w:rPr>
              <w:noBreakHyphen/>
              <w:t>19 symptoms.</w:t>
            </w:r>
          </w:p>
        </w:tc>
      </w:tr>
      <w:tr w:rsidR="00AF5314" w:rsidRPr="000A2EF8" w14:paraId="244738D4" w14:textId="77777777" w:rsidTr="00AF5314">
        <w:trPr>
          <w:cantSplit/>
        </w:trPr>
        <w:tc>
          <w:tcPr>
            <w:tcW w:w="965" w:type="pct"/>
            <w:tcBorders>
              <w:top w:val="single" w:sz="4" w:space="0" w:color="FFFFFF" w:themeColor="background1"/>
              <w:bottom w:val="single" w:sz="4" w:space="0" w:color="FFFFFF" w:themeColor="background1"/>
            </w:tcBorders>
            <w:shd w:val="clear" w:color="auto" w:fill="D9D9D9" w:themeFill="background1" w:themeFillShade="D9"/>
          </w:tcPr>
          <w:p w14:paraId="681C646E" w14:textId="77777777" w:rsidR="00AF5314" w:rsidRPr="005A23C2" w:rsidRDefault="00AF5314" w:rsidP="007D06C8">
            <w:pPr>
              <w:pStyle w:val="TableText"/>
              <w:rPr>
                <w:sz w:val="20"/>
              </w:rPr>
            </w:pPr>
            <w:r w:rsidRPr="005A23C2">
              <w:rPr>
                <w:sz w:val="20"/>
              </w:rPr>
              <w:t>Recovery (psychosocial)</w:t>
            </w:r>
          </w:p>
        </w:tc>
        <w:tc>
          <w:tcPr>
            <w:tcW w:w="4035" w:type="pct"/>
          </w:tcPr>
          <w:p w14:paraId="2445C946" w14:textId="6F0D3538" w:rsidR="00AF5314" w:rsidRPr="005A23C2" w:rsidRDefault="00AF5314" w:rsidP="007D06C8">
            <w:pPr>
              <w:pStyle w:val="TableText"/>
              <w:rPr>
                <w:sz w:val="20"/>
              </w:rPr>
            </w:pPr>
            <w:r w:rsidRPr="005A23C2">
              <w:rPr>
                <w:bCs/>
                <w:sz w:val="20"/>
              </w:rPr>
              <w:t xml:space="preserve">Recovery </w:t>
            </w:r>
            <w:r w:rsidR="003E0DF3">
              <w:rPr>
                <w:bCs/>
                <w:sz w:val="20"/>
              </w:rPr>
              <w:t xml:space="preserve">in a psychosocial context </w:t>
            </w:r>
            <w:r w:rsidRPr="005A23C2">
              <w:rPr>
                <w:sz w:val="20"/>
              </w:rPr>
              <w:t xml:space="preserve">begins with response and continues following the end of an emergency response, or over a transition period from response to recovery. Recovery activities are sustained for as long as required. Recovery involves activities which help restore social support structures, enabling individuals and communities to seek further support through existing and new pathways, such as community-based health and social services. </w:t>
            </w:r>
            <w:r w:rsidR="00A94A3A">
              <w:rPr>
                <w:sz w:val="20"/>
              </w:rPr>
              <w:t xml:space="preserve">Recovery in the general mental health context means living well in the presence or absence of symptoms of mental ill-health. </w:t>
            </w:r>
          </w:p>
        </w:tc>
      </w:tr>
      <w:tr w:rsidR="00AF5314" w:rsidRPr="000A2EF8" w14:paraId="7C86C109" w14:textId="77777777" w:rsidTr="00AF5314">
        <w:trPr>
          <w:cantSplit/>
        </w:trPr>
        <w:tc>
          <w:tcPr>
            <w:tcW w:w="965" w:type="pct"/>
            <w:tcBorders>
              <w:top w:val="single" w:sz="4" w:space="0" w:color="FFFFFF" w:themeColor="background1"/>
              <w:bottom w:val="single" w:sz="4" w:space="0" w:color="FFFFFF" w:themeColor="background1"/>
            </w:tcBorders>
            <w:shd w:val="clear" w:color="auto" w:fill="D9D9D9" w:themeFill="background1" w:themeFillShade="D9"/>
          </w:tcPr>
          <w:p w14:paraId="5B5BF1E8" w14:textId="77777777" w:rsidR="00AF5314" w:rsidRPr="005A23C2" w:rsidRDefault="00AF5314" w:rsidP="007D06C8">
            <w:pPr>
              <w:pStyle w:val="TableText"/>
              <w:rPr>
                <w:sz w:val="20"/>
              </w:rPr>
            </w:pPr>
            <w:r w:rsidRPr="005A23C2">
              <w:rPr>
                <w:sz w:val="20"/>
              </w:rPr>
              <w:t>Response (psychosocial)</w:t>
            </w:r>
          </w:p>
        </w:tc>
        <w:tc>
          <w:tcPr>
            <w:tcW w:w="4035" w:type="pct"/>
          </w:tcPr>
          <w:p w14:paraId="715C49C3" w14:textId="40AFD752" w:rsidR="00AF5314" w:rsidRPr="005A23C2" w:rsidRDefault="00AF5314" w:rsidP="007D06C8">
            <w:pPr>
              <w:pStyle w:val="TableText"/>
              <w:rPr>
                <w:sz w:val="20"/>
              </w:rPr>
            </w:pPr>
            <w:r w:rsidRPr="005A23C2">
              <w:rPr>
                <w:bCs/>
                <w:sz w:val="20"/>
              </w:rPr>
              <w:t xml:space="preserve">Response </w:t>
            </w:r>
            <w:r w:rsidR="003E0DF3">
              <w:rPr>
                <w:bCs/>
                <w:sz w:val="20"/>
              </w:rPr>
              <w:t xml:space="preserve">in a psychosocial context </w:t>
            </w:r>
            <w:r w:rsidRPr="005A23C2">
              <w:rPr>
                <w:sz w:val="20"/>
              </w:rPr>
              <w:t xml:space="preserve">involves ensuring that agencies work together to deliver services that contribute to psychosocial support and reduce any long-term negative psychosocial </w:t>
            </w:r>
            <w:r w:rsidR="008846D9">
              <w:rPr>
                <w:sz w:val="20"/>
              </w:rPr>
              <w:t>effects</w:t>
            </w:r>
            <w:r w:rsidR="008846D9" w:rsidRPr="005A23C2">
              <w:rPr>
                <w:sz w:val="20"/>
              </w:rPr>
              <w:t xml:space="preserve"> </w:t>
            </w:r>
            <w:r w:rsidRPr="005A23C2">
              <w:rPr>
                <w:sz w:val="20"/>
              </w:rPr>
              <w:t xml:space="preserve">on </w:t>
            </w:r>
            <w:r w:rsidR="00D53BFE">
              <w:rPr>
                <w:sz w:val="20"/>
              </w:rPr>
              <w:t xml:space="preserve">individuals, whānau and </w:t>
            </w:r>
            <w:r w:rsidRPr="005A23C2">
              <w:rPr>
                <w:sz w:val="20"/>
              </w:rPr>
              <w:t>communities. Psychosocial considerations should be well integrated into and considered in all response activities.</w:t>
            </w:r>
          </w:p>
        </w:tc>
      </w:tr>
      <w:tr w:rsidR="00AF5314" w:rsidRPr="000A2EF8" w14:paraId="228E5BB0" w14:textId="77777777" w:rsidTr="00AF5314">
        <w:trPr>
          <w:cantSplit/>
        </w:trPr>
        <w:tc>
          <w:tcPr>
            <w:tcW w:w="965" w:type="pct"/>
            <w:tcBorders>
              <w:top w:val="single" w:sz="4" w:space="0" w:color="FFFFFF" w:themeColor="background1"/>
              <w:bottom w:val="single" w:sz="4" w:space="0" w:color="FFFFFF" w:themeColor="background1"/>
            </w:tcBorders>
            <w:shd w:val="clear" w:color="auto" w:fill="D9D9D9" w:themeFill="background1" w:themeFillShade="D9"/>
          </w:tcPr>
          <w:p w14:paraId="58A87892" w14:textId="77777777" w:rsidR="00AF5314" w:rsidRPr="005A23C2" w:rsidRDefault="00AF5314" w:rsidP="007D06C8">
            <w:pPr>
              <w:pStyle w:val="TableText"/>
              <w:rPr>
                <w:sz w:val="20"/>
              </w:rPr>
            </w:pPr>
            <w:r w:rsidRPr="005A23C2">
              <w:rPr>
                <w:sz w:val="20"/>
              </w:rPr>
              <w:t>Self-isolation</w:t>
            </w:r>
          </w:p>
        </w:tc>
        <w:tc>
          <w:tcPr>
            <w:tcW w:w="4035" w:type="pct"/>
          </w:tcPr>
          <w:p w14:paraId="52264E15" w14:textId="1EE28B24" w:rsidR="00AF5314" w:rsidRPr="005A23C2" w:rsidRDefault="003E0DF3" w:rsidP="007D06C8">
            <w:pPr>
              <w:pStyle w:val="TableText"/>
              <w:rPr>
                <w:sz w:val="20"/>
              </w:rPr>
            </w:pPr>
            <w:r w:rsidRPr="005A23C2">
              <w:rPr>
                <w:sz w:val="20"/>
              </w:rPr>
              <w:t xml:space="preserve">People </w:t>
            </w:r>
            <w:r w:rsidR="0047594F">
              <w:rPr>
                <w:sz w:val="20"/>
              </w:rPr>
              <w:t>who</w:t>
            </w:r>
            <w:r w:rsidR="0047594F" w:rsidRPr="005A23C2">
              <w:rPr>
                <w:sz w:val="20"/>
              </w:rPr>
              <w:t xml:space="preserve"> </w:t>
            </w:r>
            <w:r w:rsidRPr="005A23C2">
              <w:rPr>
                <w:sz w:val="20"/>
              </w:rPr>
              <w:t>have come into contact with someone with COVID</w:t>
            </w:r>
            <w:r w:rsidRPr="005A23C2">
              <w:rPr>
                <w:sz w:val="20"/>
              </w:rPr>
              <w:noBreakHyphen/>
              <w:t>19 are required to self-isolate</w:t>
            </w:r>
            <w:r w:rsidR="0047594F">
              <w:rPr>
                <w:sz w:val="20"/>
              </w:rPr>
              <w:t>, which</w:t>
            </w:r>
            <w:r w:rsidR="00AF5314" w:rsidRPr="005A23C2">
              <w:rPr>
                <w:sz w:val="20"/>
              </w:rPr>
              <w:t xml:space="preserve"> means taking simple steps to avoid close contact with other people as much as possible</w:t>
            </w:r>
            <w:r w:rsidR="0047594F">
              <w:rPr>
                <w:sz w:val="20"/>
              </w:rPr>
              <w:t xml:space="preserve"> during the potentially infectious period</w:t>
            </w:r>
            <w:r w:rsidR="00AF5314" w:rsidRPr="005A23C2">
              <w:rPr>
                <w:sz w:val="20"/>
              </w:rPr>
              <w:t>.</w:t>
            </w:r>
          </w:p>
        </w:tc>
      </w:tr>
      <w:tr w:rsidR="00AF5314" w:rsidRPr="000A2EF8" w14:paraId="5960A7C6" w14:textId="77777777" w:rsidTr="00AF5314">
        <w:trPr>
          <w:cantSplit/>
        </w:trPr>
        <w:tc>
          <w:tcPr>
            <w:tcW w:w="965" w:type="pct"/>
            <w:tcBorders>
              <w:top w:val="single" w:sz="4" w:space="0" w:color="FFFFFF" w:themeColor="background1"/>
              <w:bottom w:val="single" w:sz="4" w:space="0" w:color="FFFFFF" w:themeColor="background1"/>
            </w:tcBorders>
            <w:shd w:val="clear" w:color="auto" w:fill="D9D9D9" w:themeFill="background1" w:themeFillShade="D9"/>
          </w:tcPr>
          <w:p w14:paraId="4A604388" w14:textId="77777777" w:rsidR="00AF5314" w:rsidRPr="005A23C2" w:rsidRDefault="00AF5314" w:rsidP="007D06C8">
            <w:pPr>
              <w:pStyle w:val="TableText"/>
              <w:rPr>
                <w:sz w:val="20"/>
              </w:rPr>
            </w:pPr>
            <w:r w:rsidRPr="005A23C2">
              <w:rPr>
                <w:sz w:val="20"/>
              </w:rPr>
              <w:t>Social wellbeing</w:t>
            </w:r>
          </w:p>
        </w:tc>
        <w:tc>
          <w:tcPr>
            <w:tcW w:w="4035" w:type="pct"/>
          </w:tcPr>
          <w:p w14:paraId="6A0B9504" w14:textId="77777777" w:rsidR="00AF5314" w:rsidRPr="005A23C2" w:rsidRDefault="00AF5314" w:rsidP="007D06C8">
            <w:pPr>
              <w:pStyle w:val="TableText"/>
              <w:rPr>
                <w:sz w:val="20"/>
              </w:rPr>
            </w:pPr>
            <w:r w:rsidRPr="005A23C2">
              <w:rPr>
                <w:sz w:val="20"/>
              </w:rPr>
              <w:t>Social wellbeing is about enabling people, whānau and communities to live the lives they aspire to, including both material conditions and quality of life. A social wellbeing approach is centred on people, with an emphasis on broad measures of wellbeing. It promotes a strengths-based approach that recognises the connections people have to family, iwi, communities and regions.</w:t>
            </w:r>
          </w:p>
        </w:tc>
      </w:tr>
      <w:tr w:rsidR="00465665" w:rsidRPr="000A2EF8" w14:paraId="36594D3E" w14:textId="77777777" w:rsidTr="00AF5314">
        <w:trPr>
          <w:cantSplit/>
        </w:trPr>
        <w:tc>
          <w:tcPr>
            <w:tcW w:w="965" w:type="pct"/>
            <w:tcBorders>
              <w:top w:val="single" w:sz="4" w:space="0" w:color="FFFFFF" w:themeColor="background1"/>
              <w:bottom w:val="single" w:sz="4" w:space="0" w:color="FFFFFF" w:themeColor="background1"/>
            </w:tcBorders>
            <w:shd w:val="clear" w:color="auto" w:fill="D9D9D9" w:themeFill="background1" w:themeFillShade="D9"/>
          </w:tcPr>
          <w:p w14:paraId="5FE83B04" w14:textId="23A85889" w:rsidR="00465665" w:rsidRPr="005A23C2" w:rsidRDefault="00465665" w:rsidP="00465665">
            <w:pPr>
              <w:pStyle w:val="TableText"/>
              <w:rPr>
                <w:sz w:val="20"/>
              </w:rPr>
            </w:pPr>
            <w:r>
              <w:rPr>
                <w:sz w:val="20"/>
              </w:rPr>
              <w:t>Specialist m</w:t>
            </w:r>
            <w:r w:rsidRPr="005A23C2">
              <w:rPr>
                <w:sz w:val="20"/>
              </w:rPr>
              <w:t>ental health and addiction services</w:t>
            </w:r>
          </w:p>
        </w:tc>
        <w:tc>
          <w:tcPr>
            <w:tcW w:w="4035" w:type="pct"/>
          </w:tcPr>
          <w:p w14:paraId="6B2CF253" w14:textId="72A4C940" w:rsidR="00465665" w:rsidRPr="005A23C2" w:rsidRDefault="00465665" w:rsidP="00465665">
            <w:pPr>
              <w:pStyle w:val="TableText"/>
              <w:rPr>
                <w:sz w:val="20"/>
              </w:rPr>
            </w:pPr>
            <w:r>
              <w:rPr>
                <w:sz w:val="20"/>
              </w:rPr>
              <w:t>Specialist m</w:t>
            </w:r>
            <w:r w:rsidRPr="005A23C2">
              <w:rPr>
                <w:sz w:val="20"/>
              </w:rPr>
              <w:t xml:space="preserve">ental health and addiction services are services designed specifically for people with </w:t>
            </w:r>
            <w:r w:rsidR="00A94A3A">
              <w:rPr>
                <w:sz w:val="20"/>
              </w:rPr>
              <w:t xml:space="preserve">acute, </w:t>
            </w:r>
            <w:r w:rsidRPr="005A23C2">
              <w:rPr>
                <w:sz w:val="20"/>
              </w:rPr>
              <w:t>complex and/or enduring mental health and/or addiction needs. These services include NGO- and DHB-delivered community and residential services</w:t>
            </w:r>
            <w:r w:rsidR="0047594F">
              <w:rPr>
                <w:sz w:val="20"/>
              </w:rPr>
              <w:t>,</w:t>
            </w:r>
            <w:r w:rsidRPr="005A23C2">
              <w:rPr>
                <w:sz w:val="20"/>
              </w:rPr>
              <w:t xml:space="preserve"> and services delivered in a hospital setting.</w:t>
            </w:r>
          </w:p>
        </w:tc>
      </w:tr>
      <w:tr w:rsidR="00465665" w:rsidRPr="000A2EF8" w14:paraId="203D2DDD" w14:textId="77777777" w:rsidTr="00AF5314">
        <w:trPr>
          <w:cantSplit/>
        </w:trPr>
        <w:tc>
          <w:tcPr>
            <w:tcW w:w="965" w:type="pct"/>
            <w:tcBorders>
              <w:top w:val="single" w:sz="4" w:space="0" w:color="FFFFFF" w:themeColor="background1"/>
              <w:bottom w:val="single" w:sz="4" w:space="0" w:color="FFFFFF" w:themeColor="background1"/>
            </w:tcBorders>
            <w:shd w:val="clear" w:color="auto" w:fill="D9D9D9" w:themeFill="background1" w:themeFillShade="D9"/>
          </w:tcPr>
          <w:p w14:paraId="6C11314A" w14:textId="77777777" w:rsidR="00465665" w:rsidRPr="005A23C2" w:rsidRDefault="00465665" w:rsidP="00465665">
            <w:pPr>
              <w:pStyle w:val="TableText"/>
              <w:rPr>
                <w:sz w:val="20"/>
              </w:rPr>
            </w:pPr>
            <w:r w:rsidRPr="005A23C2">
              <w:rPr>
                <w:sz w:val="20"/>
              </w:rPr>
              <w:t>Tāngata whaiora</w:t>
            </w:r>
          </w:p>
        </w:tc>
        <w:tc>
          <w:tcPr>
            <w:tcW w:w="4035" w:type="pct"/>
          </w:tcPr>
          <w:p w14:paraId="6A9CE655" w14:textId="7DD58214" w:rsidR="00465665" w:rsidRPr="005A23C2" w:rsidRDefault="0047594F" w:rsidP="00465665">
            <w:pPr>
              <w:pStyle w:val="TableText"/>
              <w:rPr>
                <w:sz w:val="20"/>
              </w:rPr>
            </w:pPr>
            <w:r>
              <w:rPr>
                <w:sz w:val="20"/>
              </w:rPr>
              <w:t>L</w:t>
            </w:r>
            <w:r w:rsidR="00465665" w:rsidRPr="005A23C2">
              <w:rPr>
                <w:sz w:val="20"/>
              </w:rPr>
              <w:t xml:space="preserve">iterally translated, </w:t>
            </w:r>
            <w:r>
              <w:rPr>
                <w:sz w:val="20"/>
              </w:rPr>
              <w:t xml:space="preserve">this </w:t>
            </w:r>
            <w:r w:rsidR="00465665" w:rsidRPr="005A23C2">
              <w:rPr>
                <w:sz w:val="20"/>
              </w:rPr>
              <w:t>means ‘people seeking wellness’. In</w:t>
            </w:r>
            <w:r w:rsidR="00465665" w:rsidRPr="0030690B">
              <w:rPr>
                <w:i/>
                <w:iCs/>
                <w:sz w:val="20"/>
              </w:rPr>
              <w:t xml:space="preserve"> </w:t>
            </w:r>
            <w:r w:rsidRPr="0030690B">
              <w:rPr>
                <w:i/>
                <w:iCs/>
                <w:sz w:val="20"/>
              </w:rPr>
              <w:t>Kia Kaha</w:t>
            </w:r>
            <w:r w:rsidR="00465665" w:rsidRPr="0047594F">
              <w:rPr>
                <w:sz w:val="20"/>
              </w:rPr>
              <w:t xml:space="preserve"> </w:t>
            </w:r>
            <w:r w:rsidR="00465665" w:rsidRPr="005A23C2">
              <w:rPr>
                <w:sz w:val="20"/>
              </w:rPr>
              <w:t>it refers to people from all ethnic backgrounds who experience mental health or addiction challenges and who are seeking wellness or recovery. It includes mental health and addiction service users.</w:t>
            </w:r>
          </w:p>
        </w:tc>
      </w:tr>
      <w:tr w:rsidR="00465665" w:rsidRPr="000A2EF8" w14:paraId="3214EBEF" w14:textId="77777777" w:rsidTr="00AF5314">
        <w:trPr>
          <w:cantSplit/>
        </w:trPr>
        <w:tc>
          <w:tcPr>
            <w:tcW w:w="965" w:type="pct"/>
            <w:tcBorders>
              <w:top w:val="single" w:sz="4" w:space="0" w:color="FFFFFF" w:themeColor="background1"/>
              <w:bottom w:val="single" w:sz="4" w:space="0" w:color="FFFFFF" w:themeColor="background1"/>
            </w:tcBorders>
            <w:shd w:val="clear" w:color="auto" w:fill="D9D9D9" w:themeFill="background1" w:themeFillShade="D9"/>
          </w:tcPr>
          <w:p w14:paraId="661528BC" w14:textId="17543B2F" w:rsidR="00465665" w:rsidRPr="005A23C2" w:rsidRDefault="00465665" w:rsidP="00465665">
            <w:pPr>
              <w:pStyle w:val="TableText"/>
              <w:rPr>
                <w:sz w:val="20"/>
              </w:rPr>
            </w:pPr>
            <w:r w:rsidRPr="005A23C2">
              <w:rPr>
                <w:sz w:val="20"/>
              </w:rPr>
              <w:t>Trauma</w:t>
            </w:r>
            <w:r w:rsidR="0047594F">
              <w:rPr>
                <w:sz w:val="20"/>
              </w:rPr>
              <w:t>-</w:t>
            </w:r>
            <w:r w:rsidRPr="005A23C2">
              <w:rPr>
                <w:sz w:val="20"/>
              </w:rPr>
              <w:t xml:space="preserve">informed </w:t>
            </w:r>
            <w:r w:rsidR="003E0DF3">
              <w:rPr>
                <w:sz w:val="20"/>
              </w:rPr>
              <w:t>approach</w:t>
            </w:r>
          </w:p>
        </w:tc>
        <w:tc>
          <w:tcPr>
            <w:tcW w:w="4035" w:type="pct"/>
          </w:tcPr>
          <w:p w14:paraId="27B0114C" w14:textId="77777777" w:rsidR="0047594F" w:rsidRDefault="00465665" w:rsidP="00465665">
            <w:pPr>
              <w:pStyle w:val="TableText"/>
              <w:rPr>
                <w:sz w:val="20"/>
              </w:rPr>
            </w:pPr>
            <w:r w:rsidRPr="005A23C2">
              <w:rPr>
                <w:sz w:val="20"/>
              </w:rPr>
              <w:t xml:space="preserve">Trauma-informed </w:t>
            </w:r>
            <w:r w:rsidR="003E0DF3">
              <w:rPr>
                <w:sz w:val="20"/>
              </w:rPr>
              <w:t>approaches</w:t>
            </w:r>
            <w:r w:rsidR="003E0DF3" w:rsidRPr="005A23C2">
              <w:rPr>
                <w:sz w:val="20"/>
              </w:rPr>
              <w:t xml:space="preserve"> </w:t>
            </w:r>
            <w:r w:rsidRPr="005A23C2">
              <w:rPr>
                <w:sz w:val="20"/>
              </w:rPr>
              <w:t>use a strengths-based framework that</w:t>
            </w:r>
            <w:r w:rsidR="0047594F">
              <w:rPr>
                <w:sz w:val="20"/>
              </w:rPr>
              <w:t>:</w:t>
            </w:r>
          </w:p>
          <w:p w14:paraId="6C7D26AD" w14:textId="3AE0DA71" w:rsidR="0047594F" w:rsidRDefault="00465665" w:rsidP="0030690B">
            <w:pPr>
              <w:pStyle w:val="Bullet"/>
            </w:pPr>
            <w:r w:rsidRPr="005A23C2">
              <w:t xml:space="preserve">is grounded in an understanding of and responsiveness to the </w:t>
            </w:r>
            <w:r w:rsidR="00097746">
              <w:t>results</w:t>
            </w:r>
            <w:r w:rsidRPr="005A23C2">
              <w:t xml:space="preserve"> of trauma</w:t>
            </w:r>
          </w:p>
          <w:p w14:paraId="537A1500" w14:textId="5F2900E2" w:rsidR="0047594F" w:rsidRDefault="00465665" w:rsidP="0030690B">
            <w:pPr>
              <w:pStyle w:val="Bullet"/>
            </w:pPr>
            <w:r w:rsidRPr="005A23C2">
              <w:t>emphasises physical, psychological, and emotional safety for both providers and survivors</w:t>
            </w:r>
          </w:p>
          <w:p w14:paraId="54C8B001" w14:textId="4313C427" w:rsidR="00465665" w:rsidRPr="005A23C2" w:rsidRDefault="00465665" w:rsidP="0030690B">
            <w:pPr>
              <w:pStyle w:val="Bullet"/>
            </w:pPr>
            <w:r w:rsidRPr="005A23C2">
              <w:t>creates opportunities for survivors to rebuild a sense of control and empowerment.</w:t>
            </w:r>
          </w:p>
        </w:tc>
      </w:tr>
      <w:tr w:rsidR="00465665" w:rsidRPr="000A2EF8" w14:paraId="5B1CB10F" w14:textId="77777777" w:rsidTr="00AF5314">
        <w:trPr>
          <w:cantSplit/>
        </w:trPr>
        <w:tc>
          <w:tcPr>
            <w:tcW w:w="965" w:type="pct"/>
            <w:tcBorders>
              <w:top w:val="single" w:sz="4" w:space="0" w:color="FFFFFF" w:themeColor="background1"/>
            </w:tcBorders>
            <w:shd w:val="clear" w:color="auto" w:fill="D9D9D9" w:themeFill="background1" w:themeFillShade="D9"/>
          </w:tcPr>
          <w:p w14:paraId="67ABF3EF" w14:textId="77777777" w:rsidR="00465665" w:rsidRPr="005A23C2" w:rsidRDefault="00465665" w:rsidP="00465665">
            <w:pPr>
              <w:pStyle w:val="TableText"/>
              <w:rPr>
                <w:sz w:val="20"/>
              </w:rPr>
            </w:pPr>
            <w:r w:rsidRPr="005A23C2">
              <w:rPr>
                <w:sz w:val="20"/>
              </w:rPr>
              <w:t>Wellbeing</w:t>
            </w:r>
          </w:p>
        </w:tc>
        <w:tc>
          <w:tcPr>
            <w:tcW w:w="4035" w:type="pct"/>
          </w:tcPr>
          <w:p w14:paraId="4AB9F5EF" w14:textId="0EC297D4" w:rsidR="00465665" w:rsidRPr="005A23C2" w:rsidRDefault="00465665" w:rsidP="00465665">
            <w:pPr>
              <w:pStyle w:val="TableText"/>
              <w:rPr>
                <w:sz w:val="20"/>
              </w:rPr>
            </w:pPr>
            <w:r w:rsidRPr="005A23C2">
              <w:rPr>
                <w:sz w:val="20"/>
              </w:rPr>
              <w:t>Wellbeing is when people are able to lead fulfilling lives with purpose, balance and meaning.</w:t>
            </w:r>
          </w:p>
        </w:tc>
      </w:tr>
    </w:tbl>
    <w:p w14:paraId="76C1611D" w14:textId="77777777" w:rsidR="00AF5314" w:rsidRDefault="00AF5314" w:rsidP="00AF5314"/>
    <w:p w14:paraId="1B0644A2" w14:textId="77777777" w:rsidR="00A62A1F" w:rsidRDefault="00A62A1F">
      <w:r>
        <w:br w:type="page"/>
      </w:r>
    </w:p>
    <w:p w14:paraId="76334050" w14:textId="77777777" w:rsidR="00A62A1F" w:rsidRPr="00B53475" w:rsidRDefault="00A62A1F" w:rsidP="00832567">
      <w:pPr>
        <w:pStyle w:val="Heading1"/>
      </w:pPr>
      <w:bookmarkStart w:id="107" w:name="_Toc59439408"/>
      <w:r>
        <w:t>Bibliography</w:t>
      </w:r>
      <w:bookmarkEnd w:id="107"/>
    </w:p>
    <w:p w14:paraId="0E7DDCB6" w14:textId="0275B761" w:rsidR="00A62A1F" w:rsidRDefault="00A62A1F" w:rsidP="00A62A1F">
      <w:r>
        <w:t xml:space="preserve">The documents listed below contain information that is relevant to psychosocial </w:t>
      </w:r>
      <w:r w:rsidR="00097746">
        <w:t>effects</w:t>
      </w:r>
      <w:r>
        <w:t xml:space="preserve"> and planning. Many of these documents have informed the development of this plan. </w:t>
      </w:r>
    </w:p>
    <w:p w14:paraId="0D88E2AD" w14:textId="77777777" w:rsidR="00A62A1F" w:rsidRPr="004D20E9" w:rsidRDefault="00A62A1F" w:rsidP="00A62A1F">
      <w:pPr>
        <w:rPr>
          <w:rFonts w:cs="Segoe UI"/>
          <w:sz w:val="20"/>
        </w:rPr>
      </w:pPr>
    </w:p>
    <w:p w14:paraId="5CE65043" w14:textId="6858F524" w:rsidR="00F66564" w:rsidRDefault="00F66564" w:rsidP="0008625B">
      <w:pPr>
        <w:keepLines/>
        <w:rPr>
          <w:rFonts w:cs="Segoe UI"/>
          <w:sz w:val="20"/>
        </w:rPr>
      </w:pPr>
      <w:bookmarkStart w:id="108" w:name="_Hlk56420613"/>
      <w:r w:rsidRPr="00F66564">
        <w:rPr>
          <w:rFonts w:cs="Segoe UI"/>
          <w:sz w:val="20"/>
        </w:rPr>
        <w:t xml:space="preserve">Every-Palmer S, Jenkins M, Gendall P, et al. (2020) Psychological distress, anxiety, family violence, suicidality, and wellbeing in New Zealand during the COVID-19 lockdown: A cross-sectional study. </w:t>
      </w:r>
      <w:r w:rsidRPr="002D05E5">
        <w:rPr>
          <w:rFonts w:cs="Segoe UI"/>
          <w:i/>
          <w:sz w:val="20"/>
        </w:rPr>
        <w:t>PLoS ONE</w:t>
      </w:r>
      <w:r w:rsidRPr="00F66564">
        <w:rPr>
          <w:rFonts w:cs="Segoe UI"/>
          <w:sz w:val="20"/>
        </w:rPr>
        <w:t xml:space="preserve"> 15(11): e0241658.</w:t>
      </w:r>
      <w:r w:rsidR="00C275C5">
        <w:rPr>
          <w:rFonts w:cs="Segoe UI"/>
          <w:sz w:val="20"/>
        </w:rPr>
        <w:t xml:space="preserve"> URL:</w:t>
      </w:r>
      <w:r w:rsidRPr="00F66564">
        <w:rPr>
          <w:rFonts w:cs="Segoe UI"/>
          <w:sz w:val="20"/>
        </w:rPr>
        <w:t xml:space="preserve"> </w:t>
      </w:r>
      <w:hyperlink r:id="rId117" w:history="1">
        <w:r w:rsidR="002D05E5" w:rsidRPr="002D05E5">
          <w:rPr>
            <w:rStyle w:val="Hyperlink"/>
            <w:rFonts w:cs="Segoe UI"/>
            <w:b w:val="0"/>
            <w:sz w:val="20"/>
          </w:rPr>
          <w:t>https://doi.org/10.1371/journal.pone.0241658</w:t>
        </w:r>
      </w:hyperlink>
      <w:r w:rsidR="002D05E5">
        <w:rPr>
          <w:rFonts w:cs="Segoe UI"/>
          <w:sz w:val="20"/>
        </w:rPr>
        <w:t xml:space="preserve"> (accessed 16 November 2020)</w:t>
      </w:r>
      <w:r w:rsidR="005C71F7">
        <w:rPr>
          <w:rFonts w:cs="Segoe UI"/>
          <w:sz w:val="20"/>
        </w:rPr>
        <w:t>.</w:t>
      </w:r>
    </w:p>
    <w:bookmarkEnd w:id="108"/>
    <w:p w14:paraId="6FE51462" w14:textId="77777777" w:rsidR="00F66564" w:rsidRDefault="00F66564" w:rsidP="0008625B">
      <w:pPr>
        <w:keepLines/>
        <w:rPr>
          <w:rFonts w:cs="Segoe UI"/>
          <w:sz w:val="20"/>
        </w:rPr>
      </w:pPr>
    </w:p>
    <w:p w14:paraId="550B00E4" w14:textId="06FB4079" w:rsidR="0008625B" w:rsidRPr="004D20E9" w:rsidRDefault="0008625B" w:rsidP="0008625B">
      <w:pPr>
        <w:keepLines/>
        <w:rPr>
          <w:rFonts w:cs="Segoe UI"/>
          <w:b/>
          <w:color w:val="0A6AB4"/>
          <w:spacing w:val="-5"/>
          <w:sz w:val="20"/>
        </w:rPr>
      </w:pPr>
      <w:r w:rsidRPr="004D20E9">
        <w:rPr>
          <w:rFonts w:cs="Segoe UI"/>
          <w:sz w:val="20"/>
        </w:rPr>
        <w:t xml:space="preserve">Gluckman P, Bardsley A. 2020 </w:t>
      </w:r>
      <w:r w:rsidRPr="004D20E9">
        <w:rPr>
          <w:rFonts w:cs="Segoe UI"/>
          <w:i/>
          <w:sz w:val="20"/>
        </w:rPr>
        <w:t xml:space="preserve">The future is now: implications of Covid-19 for New Zealand. </w:t>
      </w:r>
      <w:r w:rsidRPr="004D20E9">
        <w:rPr>
          <w:rFonts w:cs="Segoe UI"/>
          <w:sz w:val="20"/>
        </w:rPr>
        <w:t>URL: https://informedfutures.org/wp-content/uploads/Koi-T%C5%AB-The-Future-is-Now.pdf</w:t>
      </w:r>
      <w:r w:rsidR="002F1792" w:rsidRPr="004D20E9">
        <w:rPr>
          <w:rFonts w:cs="Segoe UI"/>
          <w:i/>
          <w:sz w:val="20"/>
        </w:rPr>
        <w:t xml:space="preserve"> </w:t>
      </w:r>
      <w:r w:rsidRPr="004D20E9">
        <w:rPr>
          <w:rFonts w:cs="Segoe UI"/>
          <w:sz w:val="20"/>
        </w:rPr>
        <w:t>(</w:t>
      </w:r>
      <w:r w:rsidR="00850081" w:rsidRPr="004D20E9">
        <w:rPr>
          <w:rFonts w:cs="Segoe UI"/>
          <w:sz w:val="20"/>
        </w:rPr>
        <w:t xml:space="preserve">accessed </w:t>
      </w:r>
      <w:r w:rsidRPr="004D20E9">
        <w:rPr>
          <w:rFonts w:cs="Segoe UI"/>
          <w:sz w:val="20"/>
        </w:rPr>
        <w:t>24 September 2020).</w:t>
      </w:r>
    </w:p>
    <w:p w14:paraId="0E0F84F7" w14:textId="77777777" w:rsidR="0008625B" w:rsidRPr="004D20E9" w:rsidRDefault="0008625B" w:rsidP="00A62A1F">
      <w:pPr>
        <w:rPr>
          <w:rFonts w:cs="Segoe UI"/>
          <w:sz w:val="20"/>
        </w:rPr>
      </w:pPr>
    </w:p>
    <w:p w14:paraId="576CAEEF" w14:textId="07BFB053" w:rsidR="00A62A1F" w:rsidRPr="004D20E9" w:rsidRDefault="00A62A1F" w:rsidP="00A62A1F">
      <w:pPr>
        <w:rPr>
          <w:rFonts w:cs="Segoe UI"/>
          <w:sz w:val="20"/>
        </w:rPr>
      </w:pPr>
      <w:r w:rsidRPr="004D20E9">
        <w:rPr>
          <w:rFonts w:cs="Segoe UI"/>
          <w:sz w:val="20"/>
        </w:rPr>
        <w:t xml:space="preserve">Government Inquiry into Mental Health and Addiction. 2018. </w:t>
      </w:r>
      <w:r w:rsidRPr="004D20E9">
        <w:rPr>
          <w:rFonts w:cs="Segoe UI"/>
          <w:i/>
          <w:sz w:val="20"/>
        </w:rPr>
        <w:t>He Ara Oranga: Report of the Government Inquiry into Mental Health and Addiction</w:t>
      </w:r>
      <w:r w:rsidRPr="004D20E9">
        <w:rPr>
          <w:rFonts w:cs="Segoe UI"/>
          <w:sz w:val="20"/>
        </w:rPr>
        <w:t>. Wellington: Government Inquiry into Mental Health and Addiction. URL: https://mentalhealth.inquiry.govt.nz</w:t>
      </w:r>
      <w:r w:rsidR="008468BF" w:rsidRPr="004D20E9">
        <w:rPr>
          <w:rFonts w:cs="Segoe UI"/>
          <w:sz w:val="20"/>
        </w:rPr>
        <w:t>/</w:t>
      </w:r>
      <w:r w:rsidRPr="004D20E9">
        <w:rPr>
          <w:rFonts w:cs="Segoe UI"/>
          <w:sz w:val="20"/>
        </w:rPr>
        <w:t>inquiry-report/he-ara-oranga</w:t>
      </w:r>
      <w:r w:rsidR="008468BF" w:rsidRPr="004D20E9">
        <w:rPr>
          <w:rFonts w:cs="Segoe UI"/>
          <w:sz w:val="20"/>
        </w:rPr>
        <w:t>/</w:t>
      </w:r>
      <w:r w:rsidR="00B9085A">
        <w:rPr>
          <w:rFonts w:cs="Segoe UI"/>
          <w:sz w:val="20"/>
        </w:rPr>
        <w:t xml:space="preserve"> </w:t>
      </w:r>
      <w:r w:rsidRPr="004D20E9">
        <w:rPr>
          <w:rFonts w:cs="Segoe UI"/>
          <w:sz w:val="20"/>
        </w:rPr>
        <w:t xml:space="preserve">(accessed 11 September 2020). </w:t>
      </w:r>
    </w:p>
    <w:p w14:paraId="7F7FE77A" w14:textId="77777777" w:rsidR="00A62A1F" w:rsidRPr="004D20E9" w:rsidRDefault="00A62A1F" w:rsidP="00A62A1F">
      <w:pPr>
        <w:rPr>
          <w:rFonts w:cs="Segoe UI"/>
          <w:sz w:val="20"/>
        </w:rPr>
      </w:pPr>
    </w:p>
    <w:p w14:paraId="764DDC69" w14:textId="2F63B9CC" w:rsidR="00BB0902" w:rsidRDefault="00BB0902" w:rsidP="00A62A1F">
      <w:pPr>
        <w:rPr>
          <w:rFonts w:cs="Segoe UI"/>
          <w:sz w:val="20"/>
        </w:rPr>
      </w:pPr>
      <w:r w:rsidRPr="00BB0902">
        <w:rPr>
          <w:rFonts w:cs="Segoe UI"/>
          <w:sz w:val="20"/>
        </w:rPr>
        <w:t>Human Rights Commission</w:t>
      </w:r>
      <w:r w:rsidR="007F1E3C">
        <w:rPr>
          <w:rFonts w:cs="Segoe UI"/>
          <w:sz w:val="20"/>
        </w:rPr>
        <w:t xml:space="preserve">. </w:t>
      </w:r>
      <w:r w:rsidRPr="00BB0902">
        <w:rPr>
          <w:rFonts w:cs="Segoe UI"/>
          <w:sz w:val="20"/>
        </w:rPr>
        <w:t>April 2020</w:t>
      </w:r>
      <w:r w:rsidR="007F1E3C">
        <w:rPr>
          <w:rFonts w:cs="Segoe UI"/>
          <w:sz w:val="20"/>
        </w:rPr>
        <w:t>.</w:t>
      </w:r>
      <w:r w:rsidRPr="00BB0902">
        <w:rPr>
          <w:rFonts w:cs="Segoe UI"/>
          <w:sz w:val="20"/>
        </w:rPr>
        <w:t xml:space="preserve"> </w:t>
      </w:r>
      <w:r w:rsidRPr="00BB0902">
        <w:rPr>
          <w:i/>
          <w:iCs/>
          <w:sz w:val="20"/>
        </w:rPr>
        <w:t>Human Rights and Te Tiriti o Waitangi: COVID-19 and Alert Level 4 in Aotearoa New Zealand</w:t>
      </w:r>
      <w:r w:rsidR="00CE2559">
        <w:rPr>
          <w:i/>
          <w:iCs/>
          <w:sz w:val="20"/>
        </w:rPr>
        <w:t>.</w:t>
      </w:r>
      <w:r w:rsidRPr="004D20E9">
        <w:rPr>
          <w:rFonts w:cs="Segoe UI"/>
          <w:sz w:val="20"/>
        </w:rPr>
        <w:t xml:space="preserve"> </w:t>
      </w:r>
    </w:p>
    <w:p w14:paraId="3C0B83FA" w14:textId="77777777" w:rsidR="00BB0902" w:rsidRDefault="00BB0902" w:rsidP="00A62A1F">
      <w:pPr>
        <w:rPr>
          <w:rFonts w:cs="Segoe UI"/>
          <w:sz w:val="20"/>
        </w:rPr>
      </w:pPr>
    </w:p>
    <w:p w14:paraId="68E03FA9" w14:textId="240DAF51" w:rsidR="00A62A1F" w:rsidRPr="004D20E9" w:rsidRDefault="00A62A1F" w:rsidP="00A62A1F">
      <w:pPr>
        <w:rPr>
          <w:rFonts w:cs="Segoe UI"/>
          <w:sz w:val="20"/>
        </w:rPr>
      </w:pPr>
      <w:r w:rsidRPr="004D20E9">
        <w:rPr>
          <w:rFonts w:cs="Segoe UI"/>
          <w:sz w:val="20"/>
        </w:rPr>
        <w:t xml:space="preserve">Insights, Social Wellbeing Agency. 2020. </w:t>
      </w:r>
      <w:r w:rsidRPr="004D20E9">
        <w:rPr>
          <w:rFonts w:cs="Segoe UI"/>
          <w:i/>
          <w:sz w:val="20"/>
        </w:rPr>
        <w:t>Short Report: Social Isolation, loneliness and COVID-19</w:t>
      </w:r>
      <w:r w:rsidRPr="004D20E9">
        <w:rPr>
          <w:rFonts w:cs="Segoe UI"/>
          <w:sz w:val="20"/>
        </w:rPr>
        <w:t xml:space="preserve">. URL: https://swa.govt.nz/assets/Publications/reports/Short-Report-V3.pdf (accessed 11 September 2020). </w:t>
      </w:r>
    </w:p>
    <w:p w14:paraId="7DF71879" w14:textId="77777777" w:rsidR="00A62A1F" w:rsidRPr="004D20E9" w:rsidRDefault="00A62A1F" w:rsidP="00A62A1F">
      <w:pPr>
        <w:rPr>
          <w:rFonts w:cs="Segoe UI"/>
          <w:sz w:val="20"/>
        </w:rPr>
      </w:pPr>
    </w:p>
    <w:p w14:paraId="0B72D13F" w14:textId="31A4A543" w:rsidR="00A62A1F" w:rsidRPr="004D20E9" w:rsidRDefault="00A62A1F" w:rsidP="00A62A1F">
      <w:pPr>
        <w:rPr>
          <w:rFonts w:cs="Segoe UI"/>
          <w:sz w:val="20"/>
        </w:rPr>
      </w:pPr>
      <w:r w:rsidRPr="004D20E9">
        <w:rPr>
          <w:rFonts w:cs="Segoe UI"/>
          <w:sz w:val="20"/>
        </w:rPr>
        <w:t xml:space="preserve">Menzies R, Gluckman P, Poulton R. 2020. </w:t>
      </w:r>
      <w:r w:rsidRPr="004D20E9">
        <w:rPr>
          <w:rFonts w:cs="Segoe UI"/>
          <w:i/>
          <w:sz w:val="20"/>
        </w:rPr>
        <w:t>Youth mental health and wellbeing in Aotearoa New Zealand</w:t>
      </w:r>
      <w:r w:rsidRPr="004D20E9">
        <w:rPr>
          <w:rFonts w:cs="Segoe UI"/>
          <w:i/>
          <w:iCs/>
          <w:sz w:val="20"/>
          <w:lang w:eastAsia="en-NZ"/>
        </w:rPr>
        <w:t xml:space="preserve">. </w:t>
      </w:r>
      <w:r w:rsidRPr="004D20E9">
        <w:rPr>
          <w:rFonts w:cs="Segoe UI"/>
          <w:sz w:val="20"/>
        </w:rPr>
        <w:t>URL: https://informedfutures.org/youth-mental-health-in-aotearoa-nz</w:t>
      </w:r>
      <w:r w:rsidR="008468BF" w:rsidRPr="004D20E9">
        <w:rPr>
          <w:rFonts w:cs="Segoe UI"/>
          <w:sz w:val="20"/>
        </w:rPr>
        <w:t>/</w:t>
      </w:r>
      <w:r w:rsidR="001D1859">
        <w:rPr>
          <w:rFonts w:cs="Segoe UI"/>
          <w:sz w:val="20"/>
        </w:rPr>
        <w:t xml:space="preserve"> </w:t>
      </w:r>
      <w:r w:rsidRPr="004D20E9">
        <w:rPr>
          <w:rFonts w:cs="Segoe UI"/>
          <w:sz w:val="20"/>
        </w:rPr>
        <w:t xml:space="preserve">(accessed 11 September 2020). </w:t>
      </w:r>
    </w:p>
    <w:p w14:paraId="4ED217F5" w14:textId="77777777" w:rsidR="00A62A1F" w:rsidRPr="004D20E9" w:rsidRDefault="00A62A1F" w:rsidP="00A62A1F">
      <w:pPr>
        <w:rPr>
          <w:rFonts w:cs="Segoe UI"/>
          <w:sz w:val="20"/>
        </w:rPr>
      </w:pPr>
    </w:p>
    <w:p w14:paraId="6CEDE313" w14:textId="25833AD5" w:rsidR="00A62A1F" w:rsidRPr="004D20E9" w:rsidRDefault="00A62A1F" w:rsidP="00A62A1F">
      <w:pPr>
        <w:rPr>
          <w:rFonts w:cs="Segoe UI"/>
          <w:sz w:val="20"/>
        </w:rPr>
      </w:pPr>
      <w:r w:rsidRPr="004D20E9">
        <w:rPr>
          <w:rFonts w:cs="Segoe UI"/>
          <w:sz w:val="20"/>
        </w:rPr>
        <w:t xml:space="preserve">Ministry of Civil Defence &amp; Emergency Management. 2015. </w:t>
      </w:r>
      <w:r w:rsidRPr="004D20E9">
        <w:rPr>
          <w:rFonts w:cs="Segoe UI"/>
          <w:i/>
          <w:sz w:val="20"/>
        </w:rPr>
        <w:t>Welfare Services in an Emergency: Director’s Guideline for CDEM Groups and agencies with responsibilities for welfare services in an emergency [DGL 11/15] Part II Section 10 – Psychosocial support.</w:t>
      </w:r>
      <w:r w:rsidRPr="004D20E9">
        <w:rPr>
          <w:rFonts w:cs="Segoe UI"/>
          <w:sz w:val="20"/>
        </w:rPr>
        <w:t xml:space="preserve"> Wellington: Ministry of Civil Defence &amp; Emergency Management. </w:t>
      </w:r>
    </w:p>
    <w:p w14:paraId="7D2D3E45" w14:textId="77777777" w:rsidR="00A62A1F" w:rsidRPr="004D20E9" w:rsidRDefault="00A62A1F" w:rsidP="00A62A1F">
      <w:pPr>
        <w:rPr>
          <w:rFonts w:cs="Segoe UI"/>
          <w:sz w:val="20"/>
        </w:rPr>
      </w:pPr>
    </w:p>
    <w:p w14:paraId="4BBACC56" w14:textId="77777777" w:rsidR="00A62A1F" w:rsidRPr="004D20E9" w:rsidRDefault="00A62A1F" w:rsidP="00A62A1F">
      <w:pPr>
        <w:rPr>
          <w:rFonts w:cs="Segoe UI"/>
          <w:sz w:val="20"/>
        </w:rPr>
      </w:pPr>
      <w:r w:rsidRPr="004D20E9">
        <w:rPr>
          <w:rFonts w:cs="Segoe UI"/>
          <w:sz w:val="20"/>
        </w:rPr>
        <w:t xml:space="preserve">Ministry of Health. 2015. </w:t>
      </w:r>
      <w:r w:rsidRPr="004D20E9">
        <w:rPr>
          <w:rFonts w:cs="Segoe UI"/>
          <w:i/>
          <w:sz w:val="20"/>
        </w:rPr>
        <w:t>National Health Emergency Plan: A framework for the health and disability sector</w:t>
      </w:r>
      <w:r w:rsidRPr="004D20E9">
        <w:rPr>
          <w:rFonts w:cs="Segoe UI"/>
          <w:sz w:val="20"/>
        </w:rPr>
        <w:t xml:space="preserve">. Wellington: Ministry of Health. URL: www.health.govt.nz/publication/national-health-emergency-plan-framework-health-and-disability-sector (accessed 11 September 2020). </w:t>
      </w:r>
    </w:p>
    <w:p w14:paraId="583DCF0A" w14:textId="77777777" w:rsidR="00A62A1F" w:rsidRPr="004D20E9" w:rsidRDefault="00A62A1F" w:rsidP="00A62A1F">
      <w:pPr>
        <w:rPr>
          <w:rFonts w:cs="Segoe UI"/>
          <w:sz w:val="20"/>
        </w:rPr>
      </w:pPr>
    </w:p>
    <w:p w14:paraId="563C9DA1" w14:textId="77777777" w:rsidR="00A62A1F" w:rsidRPr="004D20E9" w:rsidRDefault="00A62A1F" w:rsidP="00A62A1F">
      <w:pPr>
        <w:rPr>
          <w:rFonts w:cs="Segoe UI"/>
          <w:sz w:val="20"/>
        </w:rPr>
      </w:pPr>
      <w:r w:rsidRPr="004D20E9">
        <w:rPr>
          <w:rFonts w:cs="Segoe UI"/>
          <w:sz w:val="20"/>
        </w:rPr>
        <w:t xml:space="preserve">Ministry of Health. 2016. </w:t>
      </w:r>
      <w:r w:rsidRPr="004D20E9">
        <w:rPr>
          <w:rFonts w:cs="Segoe UI"/>
          <w:i/>
          <w:sz w:val="20"/>
        </w:rPr>
        <w:t>Framework for Psychosocial Support in Emergencies</w:t>
      </w:r>
      <w:r w:rsidRPr="004D20E9">
        <w:rPr>
          <w:rFonts w:cs="Segoe UI"/>
          <w:sz w:val="20"/>
        </w:rPr>
        <w:t xml:space="preserve">. Wellington: Ministry of Health. URL: https://www.health.govt.nz/publication/framework-psychosocial-support-emergencies (accessed 11 September 2020). </w:t>
      </w:r>
    </w:p>
    <w:p w14:paraId="6E781203" w14:textId="77777777" w:rsidR="00A62A1F" w:rsidRPr="004D20E9" w:rsidRDefault="00A62A1F" w:rsidP="00A62A1F">
      <w:pPr>
        <w:rPr>
          <w:rFonts w:cs="Segoe UI"/>
          <w:sz w:val="20"/>
        </w:rPr>
      </w:pPr>
    </w:p>
    <w:p w14:paraId="0F57E5D8" w14:textId="77777777" w:rsidR="00A62A1F" w:rsidRPr="004D20E9" w:rsidRDefault="00A62A1F" w:rsidP="00A62A1F">
      <w:pPr>
        <w:rPr>
          <w:rFonts w:cs="Segoe UI"/>
          <w:sz w:val="20"/>
        </w:rPr>
      </w:pPr>
      <w:r w:rsidRPr="004D20E9">
        <w:rPr>
          <w:rFonts w:cs="Segoe UI"/>
          <w:sz w:val="20"/>
        </w:rPr>
        <w:t xml:space="preserve">Ministry of Health. 2019. </w:t>
      </w:r>
      <w:r w:rsidRPr="004D20E9">
        <w:rPr>
          <w:rFonts w:cs="Segoe UI"/>
          <w:i/>
          <w:sz w:val="20"/>
        </w:rPr>
        <w:t>Achieving Equity</w:t>
      </w:r>
      <w:r w:rsidRPr="004D20E9">
        <w:rPr>
          <w:rFonts w:cs="Segoe UI"/>
          <w:sz w:val="20"/>
        </w:rPr>
        <w:t xml:space="preserve">. Wellington: Ministry of Health. URL: </w:t>
      </w:r>
      <w:hyperlink r:id="rId118" w:history="1">
        <w:r w:rsidRPr="004D20E9">
          <w:rPr>
            <w:rFonts w:cs="Segoe UI"/>
            <w:sz w:val="20"/>
          </w:rPr>
          <w:t>www.health.govt.nz/about-ministry/what-we-do/work-programme-2019-20/achieving-equity</w:t>
        </w:r>
      </w:hyperlink>
      <w:r w:rsidRPr="004D20E9">
        <w:rPr>
          <w:rFonts w:cs="Segoe UI"/>
          <w:sz w:val="20"/>
        </w:rPr>
        <w:t xml:space="preserve"> (accessed 11 September 2020).</w:t>
      </w:r>
    </w:p>
    <w:p w14:paraId="3A19408C" w14:textId="77777777" w:rsidR="00A62A1F" w:rsidRPr="004D20E9" w:rsidRDefault="00A62A1F" w:rsidP="00A62A1F">
      <w:pPr>
        <w:rPr>
          <w:rFonts w:cs="Segoe UI"/>
          <w:sz w:val="20"/>
        </w:rPr>
      </w:pPr>
    </w:p>
    <w:p w14:paraId="75CE13B9" w14:textId="77777777" w:rsidR="00A62A1F" w:rsidRPr="004D20E9" w:rsidRDefault="00A62A1F" w:rsidP="00A62A1F">
      <w:pPr>
        <w:rPr>
          <w:rFonts w:cs="Segoe UI"/>
          <w:sz w:val="20"/>
        </w:rPr>
      </w:pPr>
      <w:r w:rsidRPr="004D20E9">
        <w:rPr>
          <w:rFonts w:cs="Segoe UI"/>
          <w:sz w:val="20"/>
        </w:rPr>
        <w:t xml:space="preserve">Ministry of Health. 2020, 9 April. </w:t>
      </w:r>
      <w:r w:rsidRPr="004D20E9">
        <w:rPr>
          <w:rFonts w:cs="Segoe UI"/>
          <w:i/>
          <w:sz w:val="20"/>
        </w:rPr>
        <w:t>Psychosocial Response: Provisional plan for COVID</w:t>
      </w:r>
      <w:r w:rsidRPr="004D20E9">
        <w:rPr>
          <w:rFonts w:cs="Segoe UI"/>
          <w:i/>
          <w:sz w:val="20"/>
        </w:rPr>
        <w:noBreakHyphen/>
        <w:t>19 Response Alert Level 4</w:t>
      </w:r>
      <w:r w:rsidRPr="004D20E9">
        <w:rPr>
          <w:rFonts w:cs="Segoe UI"/>
          <w:sz w:val="20"/>
        </w:rPr>
        <w:t>. Wellington: Ministry of Health.</w:t>
      </w:r>
    </w:p>
    <w:p w14:paraId="7DD78A61" w14:textId="77777777" w:rsidR="00A62A1F" w:rsidRPr="004D20E9" w:rsidRDefault="00A62A1F" w:rsidP="00A62A1F">
      <w:pPr>
        <w:rPr>
          <w:rFonts w:cs="Segoe UI"/>
          <w:sz w:val="20"/>
        </w:rPr>
      </w:pPr>
    </w:p>
    <w:p w14:paraId="50E493EA" w14:textId="2CDC2B83" w:rsidR="00A62A1F" w:rsidRPr="004D20E9" w:rsidRDefault="00A62A1F" w:rsidP="00A62A1F">
      <w:pPr>
        <w:rPr>
          <w:rFonts w:cs="Segoe UI"/>
          <w:b/>
          <w:sz w:val="20"/>
        </w:rPr>
      </w:pPr>
      <w:r w:rsidRPr="004D20E9">
        <w:rPr>
          <w:rFonts w:cs="Segoe UI"/>
          <w:sz w:val="20"/>
        </w:rPr>
        <w:t xml:space="preserve">Ministry of Health. 2020, 15 April. </w:t>
      </w:r>
      <w:r w:rsidRPr="004D20E9">
        <w:rPr>
          <w:rFonts w:cs="Segoe UI"/>
          <w:i/>
          <w:sz w:val="20"/>
        </w:rPr>
        <w:t>COVID-19 Health and Disability System Response Plan</w:t>
      </w:r>
      <w:r w:rsidRPr="004D20E9">
        <w:rPr>
          <w:rFonts w:cs="Segoe UI"/>
          <w:sz w:val="20"/>
        </w:rPr>
        <w:t>. URL: www.health.govt.nz/publication/covid-19-health-and-disability-system-response-plan (accessed 11 September 2020).</w:t>
      </w:r>
      <w:r w:rsidRPr="004D20E9">
        <w:rPr>
          <w:rFonts w:cs="Segoe UI"/>
          <w:b/>
          <w:sz w:val="20"/>
        </w:rPr>
        <w:t xml:space="preserve"> </w:t>
      </w:r>
    </w:p>
    <w:p w14:paraId="6C0B4867" w14:textId="77777777" w:rsidR="00A62A1F" w:rsidRPr="004D20E9" w:rsidRDefault="00A62A1F" w:rsidP="00A62A1F">
      <w:pPr>
        <w:rPr>
          <w:rFonts w:cs="Segoe UI"/>
          <w:sz w:val="20"/>
        </w:rPr>
      </w:pPr>
    </w:p>
    <w:p w14:paraId="2E5AB237" w14:textId="19BCD68D" w:rsidR="00F66564" w:rsidRDefault="00F66564" w:rsidP="00A62A1F">
      <w:r>
        <w:t xml:space="preserve">Ministry of Health. May 2020. </w:t>
      </w:r>
      <w:r w:rsidRPr="002D05E5">
        <w:rPr>
          <w:i/>
        </w:rPr>
        <w:t>Kia Kaha, Kia Māia, Kia Ora Aotearoa: COVID-19 Psychosocial and Mental Wellbeing Recovery Plan</w:t>
      </w:r>
      <w:r>
        <w:t>. Wellington: Ministry of Health</w:t>
      </w:r>
      <w:r w:rsidR="00013BB7">
        <w:t>.</w:t>
      </w:r>
    </w:p>
    <w:p w14:paraId="583A984A" w14:textId="77777777" w:rsidR="00F66564" w:rsidRDefault="00F66564" w:rsidP="00A62A1F">
      <w:pPr>
        <w:rPr>
          <w:rFonts w:cs="Segoe UI"/>
          <w:sz w:val="20"/>
        </w:rPr>
      </w:pPr>
    </w:p>
    <w:p w14:paraId="760A08ED" w14:textId="3D241734" w:rsidR="003B7106" w:rsidRDefault="003B7106" w:rsidP="003B7106">
      <w:pPr>
        <w:rPr>
          <w:rFonts w:cs="Segoe UI"/>
          <w:sz w:val="20"/>
        </w:rPr>
      </w:pPr>
      <w:r w:rsidRPr="004D20E9">
        <w:rPr>
          <w:rFonts w:cs="Segoe UI"/>
          <w:sz w:val="20"/>
        </w:rPr>
        <w:t xml:space="preserve">Ministry of Health. 2020, 13 June. </w:t>
      </w:r>
      <w:r w:rsidRPr="004D20E9">
        <w:rPr>
          <w:rFonts w:cs="Segoe UI"/>
          <w:i/>
          <w:sz w:val="20"/>
        </w:rPr>
        <w:t>Ola Manuia: Pacific Health and Wellbeing Action Plan 2020–2025</w:t>
      </w:r>
      <w:r w:rsidRPr="004D20E9">
        <w:rPr>
          <w:rFonts w:cs="Segoe UI"/>
          <w:sz w:val="20"/>
        </w:rPr>
        <w:t xml:space="preserve">. Wellington: Ministry of Health. </w:t>
      </w:r>
      <w:hyperlink r:id="rId119" w:history="1">
        <w:r w:rsidRPr="004D20E9">
          <w:rPr>
            <w:rStyle w:val="Hyperlink"/>
            <w:rFonts w:cs="Segoe UI"/>
            <w:b w:val="0"/>
            <w:sz w:val="20"/>
          </w:rPr>
          <w:t>URL: www.health.govt.nz/publication/ola-manuia-pacific-health-and-wellbeing-action-plan-2020-2025</w:t>
        </w:r>
      </w:hyperlink>
      <w:r w:rsidRPr="004D20E9">
        <w:rPr>
          <w:rFonts w:cs="Segoe UI"/>
          <w:sz w:val="20"/>
        </w:rPr>
        <w:t> (accessed 30 September 2020).</w:t>
      </w:r>
    </w:p>
    <w:p w14:paraId="2C9AF5D7" w14:textId="77777777" w:rsidR="003B7106" w:rsidRDefault="003B7106" w:rsidP="003B7106">
      <w:pPr>
        <w:rPr>
          <w:rFonts w:cs="Segoe UI"/>
          <w:sz w:val="20"/>
        </w:rPr>
      </w:pPr>
    </w:p>
    <w:p w14:paraId="4CA2E34A" w14:textId="07F3C860" w:rsidR="00A62A1F" w:rsidRPr="004D20E9" w:rsidRDefault="00A62A1F" w:rsidP="00A62A1F">
      <w:pPr>
        <w:rPr>
          <w:rFonts w:cs="Segoe UI"/>
          <w:sz w:val="20"/>
        </w:rPr>
      </w:pPr>
      <w:r w:rsidRPr="004D20E9">
        <w:rPr>
          <w:rFonts w:cs="Segoe UI"/>
          <w:sz w:val="20"/>
        </w:rPr>
        <w:t xml:space="preserve">Ministry of Health. 2020, 9 July. </w:t>
      </w:r>
      <w:r w:rsidRPr="004D20E9">
        <w:rPr>
          <w:rFonts w:cs="Segoe UI"/>
          <w:i/>
          <w:sz w:val="20"/>
        </w:rPr>
        <w:t>Updated COVID-19 Māori Response Action Plan</w:t>
      </w:r>
      <w:r w:rsidRPr="004D20E9">
        <w:rPr>
          <w:rFonts w:cs="Segoe UI"/>
          <w:sz w:val="20"/>
        </w:rPr>
        <w:t xml:space="preserve">. Wellington: Ministry of Health. URL: www.health.govt.nz/system/files/documents/publications/updated-covid-19-maori-health-response-plan-jul20.pdf (accessed 11 September 2020). </w:t>
      </w:r>
    </w:p>
    <w:p w14:paraId="1FF66F5E" w14:textId="77777777" w:rsidR="00A62A1F" w:rsidRPr="004D20E9" w:rsidRDefault="00A62A1F" w:rsidP="00A62A1F">
      <w:pPr>
        <w:rPr>
          <w:rFonts w:cs="Segoe UI"/>
          <w:sz w:val="20"/>
        </w:rPr>
      </w:pPr>
    </w:p>
    <w:p w14:paraId="4C1B28B0" w14:textId="77777777" w:rsidR="00A62A1F" w:rsidRPr="004D20E9" w:rsidRDefault="00A62A1F" w:rsidP="00A62A1F">
      <w:pPr>
        <w:rPr>
          <w:rFonts w:cs="Segoe UI"/>
          <w:sz w:val="20"/>
        </w:rPr>
      </w:pPr>
      <w:r w:rsidRPr="004D20E9">
        <w:rPr>
          <w:rFonts w:cs="Segoe UI"/>
          <w:sz w:val="20"/>
        </w:rPr>
        <w:t xml:space="preserve">Ministry of Health. 2020, 31 July. </w:t>
      </w:r>
      <w:r w:rsidRPr="004D20E9">
        <w:rPr>
          <w:rFonts w:cs="Segoe UI"/>
          <w:i/>
          <w:sz w:val="20"/>
        </w:rPr>
        <w:t>Whakamaua: Māori Health Action Plan 2020–2025</w:t>
      </w:r>
      <w:r w:rsidRPr="004D20E9">
        <w:rPr>
          <w:rFonts w:cs="Segoe UI"/>
          <w:sz w:val="20"/>
        </w:rPr>
        <w:t xml:space="preserve">. </w:t>
      </w:r>
    </w:p>
    <w:p w14:paraId="48F4C2FA" w14:textId="77777777" w:rsidR="00A62A1F" w:rsidRPr="004D20E9" w:rsidRDefault="00A62A1F" w:rsidP="00A62A1F">
      <w:pPr>
        <w:rPr>
          <w:rFonts w:cs="Segoe UI"/>
          <w:sz w:val="20"/>
        </w:rPr>
      </w:pPr>
      <w:r w:rsidRPr="004D20E9">
        <w:rPr>
          <w:rFonts w:cs="Segoe UI"/>
          <w:sz w:val="20"/>
        </w:rPr>
        <w:t xml:space="preserve">Wellington: Ministry of Health. URL: www.health.govt.nz/publication/whakamaua-maori-health-action-plan-2020-2025 (accessed 11 September 2020). </w:t>
      </w:r>
    </w:p>
    <w:p w14:paraId="70E8BEE5" w14:textId="77777777" w:rsidR="00A62A1F" w:rsidRPr="004D20E9" w:rsidRDefault="00A62A1F" w:rsidP="00A62A1F">
      <w:pPr>
        <w:rPr>
          <w:rFonts w:cs="Segoe UI"/>
          <w:sz w:val="20"/>
        </w:rPr>
      </w:pPr>
    </w:p>
    <w:p w14:paraId="4FD37FB7" w14:textId="66DBC8B5" w:rsidR="002D05E5" w:rsidRDefault="002D05E5" w:rsidP="002D05E5">
      <w:pPr>
        <w:rPr>
          <w:rFonts w:cs="Segoe UI"/>
          <w:sz w:val="20"/>
        </w:rPr>
      </w:pPr>
      <w:r w:rsidRPr="002D05E5">
        <w:rPr>
          <w:rFonts w:cs="Segoe UI"/>
          <w:sz w:val="20"/>
        </w:rPr>
        <w:t>Ministry of Health. 2020, September.</w:t>
      </w:r>
      <w:r>
        <w:rPr>
          <w:rFonts w:cs="Segoe UI"/>
          <w:sz w:val="20"/>
        </w:rPr>
        <w:t xml:space="preserve"> </w:t>
      </w:r>
      <w:r w:rsidRPr="002D05E5">
        <w:rPr>
          <w:rFonts w:cs="Segoe UI"/>
          <w:i/>
          <w:sz w:val="20"/>
        </w:rPr>
        <w:t>COVID-19 Health and Wellbeing Survey</w:t>
      </w:r>
      <w:r w:rsidRPr="002D05E5">
        <w:rPr>
          <w:rFonts w:cs="Segoe UI"/>
          <w:sz w:val="20"/>
        </w:rPr>
        <w:t xml:space="preserve">. </w:t>
      </w:r>
      <w:r>
        <w:rPr>
          <w:rFonts w:cs="Segoe UI"/>
          <w:sz w:val="20"/>
        </w:rPr>
        <w:t xml:space="preserve">URL: </w:t>
      </w:r>
      <w:hyperlink r:id="rId120" w:history="1">
        <w:r w:rsidRPr="00AA6B48">
          <w:t>www.health.govt.nz/our-work/diseases-and-conditions/covid-19-novel-coronavirus/covid-19-resources-and-tools/covid-19-health-and-wellbeing-survey</w:t>
        </w:r>
      </w:hyperlink>
      <w:r w:rsidRPr="002D05E5">
        <w:rPr>
          <w:rFonts w:cs="Segoe UI"/>
          <w:sz w:val="20"/>
        </w:rPr>
        <w:t xml:space="preserve"> </w:t>
      </w:r>
      <w:r>
        <w:rPr>
          <w:rFonts w:cs="Segoe UI"/>
          <w:sz w:val="20"/>
        </w:rPr>
        <w:t>(accessed 30 September 2020)</w:t>
      </w:r>
      <w:r w:rsidR="00B9085A">
        <w:rPr>
          <w:rFonts w:cs="Segoe UI"/>
          <w:sz w:val="20"/>
        </w:rPr>
        <w:t>.</w:t>
      </w:r>
    </w:p>
    <w:p w14:paraId="18AFBC0C" w14:textId="28CDC83E" w:rsidR="00BD2DE5" w:rsidRDefault="00BD2DE5" w:rsidP="002D05E5">
      <w:pPr>
        <w:rPr>
          <w:rFonts w:cs="Segoe UI"/>
          <w:sz w:val="20"/>
        </w:rPr>
      </w:pPr>
    </w:p>
    <w:p w14:paraId="7987A89E" w14:textId="5D573C3A" w:rsidR="00BD2DE5" w:rsidRDefault="00BD2DE5" w:rsidP="002D05E5">
      <w:pPr>
        <w:rPr>
          <w:rFonts w:cs="Segoe UI"/>
          <w:sz w:val="20"/>
        </w:rPr>
      </w:pPr>
      <w:r w:rsidRPr="00BD2DE5">
        <w:rPr>
          <w:rFonts w:cs="Segoe UI"/>
          <w:sz w:val="20"/>
        </w:rPr>
        <w:t>Ministry of Health. November 2020. Annual Data Explorer 2019/20: New Zealand Health Survey [Data File]. URL: https://minhealthnz.shinyapps.io/nz-health-survey-2019-20-annual-data-explorer/</w:t>
      </w:r>
    </w:p>
    <w:p w14:paraId="66D0FCE4" w14:textId="77777777" w:rsidR="00B9085A" w:rsidRPr="004D20E9" w:rsidRDefault="00B9085A" w:rsidP="002D05E5">
      <w:pPr>
        <w:rPr>
          <w:rFonts w:cs="Segoe UI"/>
          <w:sz w:val="20"/>
        </w:rPr>
      </w:pPr>
    </w:p>
    <w:p w14:paraId="588DE8F0" w14:textId="77682653" w:rsidR="00A62A1F" w:rsidRPr="004D20E9" w:rsidRDefault="00A62A1F" w:rsidP="00A62A1F">
      <w:pPr>
        <w:rPr>
          <w:rFonts w:cs="Segoe UI"/>
          <w:sz w:val="20"/>
        </w:rPr>
      </w:pPr>
      <w:r w:rsidRPr="004D20E9">
        <w:rPr>
          <w:rFonts w:cs="Segoe UI"/>
          <w:i/>
          <w:sz w:val="20"/>
        </w:rPr>
        <w:t>National Civil Defence Emergency Management Plan Order 2015</w:t>
      </w:r>
      <w:r w:rsidRPr="004D20E9">
        <w:rPr>
          <w:rFonts w:cs="Segoe UI"/>
          <w:sz w:val="20"/>
        </w:rPr>
        <w:t>. URL: www.legislation.govt.nz/regulation/public/2015/0140/latest/DLM6486453.html?src=qs%20 (accessed 11 September 2020).</w:t>
      </w:r>
      <w:r w:rsidR="002F1792" w:rsidRPr="004D20E9">
        <w:rPr>
          <w:rFonts w:cs="Segoe UI"/>
          <w:sz w:val="20"/>
        </w:rPr>
        <w:t xml:space="preserve"> </w:t>
      </w:r>
    </w:p>
    <w:p w14:paraId="572E16A1" w14:textId="77777777" w:rsidR="00A62A1F" w:rsidRPr="004D20E9" w:rsidRDefault="00A62A1F" w:rsidP="00A62A1F">
      <w:pPr>
        <w:rPr>
          <w:rFonts w:cs="Segoe UI"/>
          <w:sz w:val="20"/>
        </w:rPr>
      </w:pPr>
    </w:p>
    <w:p w14:paraId="1E26F75B" w14:textId="77777777" w:rsidR="00A62A1F" w:rsidRPr="004D20E9" w:rsidRDefault="00A62A1F" w:rsidP="00A62A1F">
      <w:pPr>
        <w:rPr>
          <w:rFonts w:cs="Segoe UI"/>
          <w:sz w:val="20"/>
        </w:rPr>
      </w:pPr>
      <w:r w:rsidRPr="004D20E9">
        <w:rPr>
          <w:rFonts w:cs="Segoe UI"/>
          <w:sz w:val="20"/>
        </w:rPr>
        <w:t xml:space="preserve">National Ethics Advisory Committee. 2007. </w:t>
      </w:r>
      <w:r w:rsidRPr="004D20E9">
        <w:rPr>
          <w:rFonts w:cs="Segoe UI"/>
          <w:i/>
          <w:sz w:val="20"/>
        </w:rPr>
        <w:t xml:space="preserve">Getting Through Together: Ethical values for a pandemic. </w:t>
      </w:r>
      <w:r w:rsidRPr="004D20E9">
        <w:rPr>
          <w:rFonts w:cs="Segoe UI"/>
          <w:sz w:val="20"/>
        </w:rPr>
        <w:t xml:space="preserve">Wellington: Ministry of Health. URL: www.health.govt.nz/publication/getting-through-together-ethical-values-pandemic (accessed 11 September 2020). </w:t>
      </w:r>
    </w:p>
    <w:p w14:paraId="57EC21DE" w14:textId="77777777" w:rsidR="00A62A1F" w:rsidRPr="004D20E9" w:rsidRDefault="00A62A1F" w:rsidP="00A62A1F">
      <w:pPr>
        <w:rPr>
          <w:rFonts w:cs="Segoe UI"/>
          <w:sz w:val="20"/>
        </w:rPr>
      </w:pPr>
    </w:p>
    <w:p w14:paraId="18DC2A40" w14:textId="77777777" w:rsidR="00A62A1F" w:rsidRPr="004D20E9" w:rsidRDefault="00A62A1F" w:rsidP="00A62A1F">
      <w:pPr>
        <w:rPr>
          <w:rFonts w:cs="Segoe UI"/>
          <w:sz w:val="20"/>
        </w:rPr>
      </w:pPr>
      <w:r w:rsidRPr="004D20E9">
        <w:rPr>
          <w:rFonts w:cs="Segoe UI"/>
          <w:sz w:val="20"/>
        </w:rPr>
        <w:t xml:space="preserve">Nielson Research. 2020. </w:t>
      </w:r>
      <w:r w:rsidRPr="004D20E9">
        <w:rPr>
          <w:rFonts w:cs="Segoe UI"/>
          <w:i/>
          <w:sz w:val="20"/>
        </w:rPr>
        <w:t>The impact of lockdown on health risk behaviours</w:t>
      </w:r>
      <w:r w:rsidRPr="004D20E9">
        <w:rPr>
          <w:rFonts w:cs="Segoe UI"/>
          <w:sz w:val="20"/>
        </w:rPr>
        <w:t xml:space="preserve">. Te Hiringa Hauora/Health Promotion Agency. URL: www.hpa.org.nz/research-library/research-publications/the-impact-of-lockdown-on-health-risk-behaviours (accessed 11 September 2020). </w:t>
      </w:r>
    </w:p>
    <w:p w14:paraId="514DA29B" w14:textId="77777777" w:rsidR="00A62A1F" w:rsidRPr="004D20E9" w:rsidRDefault="00A62A1F" w:rsidP="00A62A1F">
      <w:pPr>
        <w:rPr>
          <w:rFonts w:cs="Segoe UI"/>
          <w:sz w:val="20"/>
        </w:rPr>
      </w:pPr>
    </w:p>
    <w:p w14:paraId="7AFBC670" w14:textId="201DCD0A" w:rsidR="00A62A1F" w:rsidRPr="004D20E9" w:rsidRDefault="00A62A1F" w:rsidP="00A62A1F">
      <w:pPr>
        <w:rPr>
          <w:rFonts w:cs="Segoe UI"/>
          <w:sz w:val="20"/>
        </w:rPr>
      </w:pPr>
      <w:r w:rsidRPr="004D20E9">
        <w:rPr>
          <w:rFonts w:cs="Segoe UI"/>
          <w:sz w:val="20"/>
        </w:rPr>
        <w:t xml:space="preserve">Poulton R, Gluckman P, Menzies R, et al. 2020. </w:t>
      </w:r>
      <w:r w:rsidRPr="004D20E9">
        <w:rPr>
          <w:rFonts w:cs="Segoe UI"/>
          <w:i/>
          <w:sz w:val="20"/>
        </w:rPr>
        <w:t>Protecting and promoting mental wellbeing: Beyond COVID-19</w:t>
      </w:r>
      <w:r w:rsidRPr="004D20E9">
        <w:rPr>
          <w:rFonts w:cs="Segoe UI"/>
          <w:sz w:val="20"/>
        </w:rPr>
        <w:t>. URL: https://informedfutures.org/protecting-and-promoting-mental-wellbeing-beyond-covid-19</w:t>
      </w:r>
      <w:r w:rsidR="008468BF" w:rsidRPr="004D20E9">
        <w:rPr>
          <w:rFonts w:cs="Segoe UI"/>
          <w:sz w:val="20"/>
        </w:rPr>
        <w:t>/</w:t>
      </w:r>
      <w:r w:rsidR="00DD2AD6">
        <w:rPr>
          <w:rFonts w:cs="Segoe UI"/>
          <w:sz w:val="20"/>
        </w:rPr>
        <w:t xml:space="preserve"> </w:t>
      </w:r>
      <w:r w:rsidRPr="004D20E9">
        <w:rPr>
          <w:rFonts w:cs="Segoe UI"/>
          <w:sz w:val="20"/>
        </w:rPr>
        <w:t xml:space="preserve">(accessed 11 September 2020). </w:t>
      </w:r>
    </w:p>
    <w:p w14:paraId="27F8B04C" w14:textId="77777777" w:rsidR="00A62A1F" w:rsidRPr="004D20E9" w:rsidRDefault="00A62A1F" w:rsidP="00A62A1F">
      <w:pPr>
        <w:rPr>
          <w:rFonts w:cs="Segoe UI"/>
          <w:sz w:val="20"/>
        </w:rPr>
      </w:pPr>
    </w:p>
    <w:p w14:paraId="0E637ADA" w14:textId="12EC9670" w:rsidR="00D42968" w:rsidRPr="004D20E9" w:rsidRDefault="00D42968" w:rsidP="00A62A1F">
      <w:pPr>
        <w:rPr>
          <w:rFonts w:cs="Segoe UI"/>
          <w:sz w:val="20"/>
        </w:rPr>
      </w:pPr>
      <w:r w:rsidRPr="004D20E9">
        <w:rPr>
          <w:rFonts w:cs="Segoe UI"/>
          <w:sz w:val="20"/>
        </w:rPr>
        <w:t xml:space="preserve">Prickett K C, Fletcher M, Chapple S, </w:t>
      </w:r>
      <w:r w:rsidR="00DD2AD6">
        <w:rPr>
          <w:rFonts w:cs="Segoe UI"/>
          <w:sz w:val="20"/>
        </w:rPr>
        <w:t>et al</w:t>
      </w:r>
      <w:r w:rsidRPr="004D20E9">
        <w:rPr>
          <w:rFonts w:cs="Segoe UI"/>
          <w:sz w:val="20"/>
        </w:rPr>
        <w:t xml:space="preserve">. (2020). </w:t>
      </w:r>
      <w:r w:rsidRPr="004D20E9">
        <w:rPr>
          <w:rFonts w:cs="Segoe UI"/>
          <w:i/>
          <w:sz w:val="20"/>
        </w:rPr>
        <w:t>Life in lockdown: The economic and social effect of lockdown during Alert Level 4 in New Zealand</w:t>
      </w:r>
      <w:r w:rsidRPr="004D20E9">
        <w:rPr>
          <w:rFonts w:cs="Segoe UI"/>
          <w:sz w:val="20"/>
        </w:rPr>
        <w:t xml:space="preserve">. Wellington, New Zealand: Victoria University of Wellington. URL: </w:t>
      </w:r>
      <w:hyperlink r:id="rId121" w:history="1">
        <w:r w:rsidRPr="004D20E9">
          <w:rPr>
            <w:rStyle w:val="Hyperlink"/>
            <w:rFonts w:cs="Segoe UI"/>
            <w:b w:val="0"/>
            <w:sz w:val="20"/>
          </w:rPr>
          <w:t>http://researcharchive.vuw.ac.nz/bitstream/handle/10063/9022/WP-20-03-covid-19-life-in-lockdown.pdf?sequence=1</w:t>
        </w:r>
      </w:hyperlink>
      <w:r w:rsidRPr="004D20E9">
        <w:rPr>
          <w:rFonts w:cs="Segoe UI"/>
          <w:b/>
          <w:sz w:val="20"/>
        </w:rPr>
        <w:t xml:space="preserve"> </w:t>
      </w:r>
      <w:r w:rsidRPr="004D20E9">
        <w:rPr>
          <w:rFonts w:cs="Segoe UI"/>
          <w:sz w:val="20"/>
        </w:rPr>
        <w:t>(accessed 1 October 2020).</w:t>
      </w:r>
    </w:p>
    <w:p w14:paraId="7BCAD0BF" w14:textId="77777777" w:rsidR="00D42968" w:rsidRPr="004D20E9" w:rsidRDefault="00D42968" w:rsidP="00A62A1F">
      <w:pPr>
        <w:rPr>
          <w:rFonts w:cs="Segoe UI"/>
          <w:sz w:val="20"/>
        </w:rPr>
      </w:pPr>
    </w:p>
    <w:p w14:paraId="0A9025F6" w14:textId="47B5653D" w:rsidR="00A62A1F" w:rsidRPr="004D20E9" w:rsidRDefault="00A62A1F" w:rsidP="00A62A1F">
      <w:pPr>
        <w:rPr>
          <w:rFonts w:cs="Segoe UI"/>
          <w:sz w:val="20"/>
        </w:rPr>
      </w:pPr>
      <w:r w:rsidRPr="004D20E9">
        <w:rPr>
          <w:rFonts w:cs="Segoe UI"/>
          <w:sz w:val="20"/>
        </w:rPr>
        <w:t xml:space="preserve">Stats NZ. 2020. </w:t>
      </w:r>
      <w:r w:rsidRPr="004D20E9">
        <w:rPr>
          <w:rFonts w:cs="Segoe UI"/>
          <w:i/>
          <w:sz w:val="20"/>
        </w:rPr>
        <w:t>Wellbeing statistics: June 2020 quarter</w:t>
      </w:r>
      <w:r w:rsidRPr="004D20E9">
        <w:rPr>
          <w:rFonts w:cs="Segoe UI"/>
          <w:sz w:val="20"/>
        </w:rPr>
        <w:t xml:space="preserve">. URL: www.stats.govt.nz/information-releases/wellbeing-statistics-june-2020-quarter (accessed 11 September 2020). </w:t>
      </w:r>
    </w:p>
    <w:p w14:paraId="570CF361" w14:textId="77777777" w:rsidR="00A62A1F" w:rsidRPr="004D20E9" w:rsidRDefault="00A62A1F" w:rsidP="00A62A1F">
      <w:pPr>
        <w:rPr>
          <w:rFonts w:cs="Segoe UI"/>
          <w:sz w:val="20"/>
        </w:rPr>
      </w:pPr>
    </w:p>
    <w:p w14:paraId="10B5E3BB" w14:textId="0AE938A9" w:rsidR="009F2611" w:rsidRPr="004D20E9" w:rsidRDefault="009F2611" w:rsidP="00A62A1F">
      <w:pPr>
        <w:rPr>
          <w:rFonts w:cs="Segoe UI"/>
          <w:sz w:val="20"/>
        </w:rPr>
      </w:pPr>
      <w:r w:rsidRPr="004D20E9">
        <w:rPr>
          <w:rFonts w:cs="Segoe UI"/>
          <w:sz w:val="20"/>
        </w:rPr>
        <w:t>Te Pou</w:t>
      </w:r>
      <w:r w:rsidR="00D42968" w:rsidRPr="004D20E9">
        <w:rPr>
          <w:rFonts w:cs="Segoe UI"/>
          <w:sz w:val="20"/>
        </w:rPr>
        <w:t xml:space="preserve">. </w:t>
      </w:r>
      <w:r w:rsidRPr="004D20E9">
        <w:rPr>
          <w:rFonts w:cs="Segoe UI"/>
          <w:sz w:val="20"/>
        </w:rPr>
        <w:t>2020</w:t>
      </w:r>
      <w:r w:rsidR="00D42968" w:rsidRPr="004D20E9">
        <w:rPr>
          <w:rFonts w:cs="Segoe UI"/>
          <w:sz w:val="20"/>
        </w:rPr>
        <w:t xml:space="preserve">. </w:t>
      </w:r>
      <w:r w:rsidRPr="004D20E9">
        <w:rPr>
          <w:rFonts w:cs="Segoe UI"/>
          <w:i/>
          <w:sz w:val="20"/>
        </w:rPr>
        <w:t>Addiction services during COVID-19</w:t>
      </w:r>
      <w:r w:rsidRPr="004D20E9">
        <w:rPr>
          <w:rFonts w:cs="Segoe UI"/>
          <w:sz w:val="20"/>
        </w:rPr>
        <w:t xml:space="preserve">. </w:t>
      </w:r>
      <w:r w:rsidR="009A7A84" w:rsidRPr="004D20E9">
        <w:rPr>
          <w:rFonts w:cs="Segoe UI"/>
          <w:sz w:val="20"/>
        </w:rPr>
        <w:t xml:space="preserve">URL: </w:t>
      </w:r>
      <w:r w:rsidRPr="004D20E9">
        <w:rPr>
          <w:rFonts w:cs="Segoe UI"/>
          <w:sz w:val="20"/>
        </w:rPr>
        <w:t xml:space="preserve">www.tepou.co.nz/uploads/files/Addiction%20sector%20COVID-19%20survey%20report.pdf </w:t>
      </w:r>
      <w:r w:rsidR="009A7A84" w:rsidRPr="004D20E9">
        <w:rPr>
          <w:rFonts w:cs="Segoe UI"/>
          <w:sz w:val="20"/>
        </w:rPr>
        <w:t>(accessed 1 October 2020).</w:t>
      </w:r>
    </w:p>
    <w:p w14:paraId="4F1F6314" w14:textId="77777777" w:rsidR="00696F38" w:rsidRPr="004D20E9" w:rsidRDefault="00696F38" w:rsidP="00696F38">
      <w:pPr>
        <w:keepLines/>
        <w:rPr>
          <w:rFonts w:cs="Segoe UI"/>
          <w:sz w:val="20"/>
        </w:rPr>
      </w:pPr>
    </w:p>
    <w:p w14:paraId="0228E670" w14:textId="168D6872" w:rsidR="00696F38" w:rsidRPr="004D20E9" w:rsidRDefault="00696F38" w:rsidP="00696F38">
      <w:pPr>
        <w:shd w:val="clear" w:color="auto" w:fill="FFFFFF"/>
        <w:rPr>
          <w:rFonts w:cs="Segoe UI"/>
          <w:sz w:val="20"/>
        </w:rPr>
      </w:pPr>
      <w:r w:rsidRPr="004D20E9">
        <w:rPr>
          <w:rFonts w:cs="Segoe UI"/>
          <w:sz w:val="20"/>
        </w:rPr>
        <w:t>The Institute for Governance and Policy Studies: School of Government at Victoria University of Wellington</w:t>
      </w:r>
      <w:r w:rsidRPr="004D20E9">
        <w:rPr>
          <w:rFonts w:cs="Segoe UI"/>
          <w:sz w:val="20"/>
          <w:lang w:eastAsia="en-NZ"/>
        </w:rPr>
        <w:t xml:space="preserve">. 2020. </w:t>
      </w:r>
      <w:r w:rsidRPr="004D20E9">
        <w:rPr>
          <w:rFonts w:cs="Segoe UI"/>
          <w:i/>
          <w:sz w:val="20"/>
        </w:rPr>
        <w:t>Policy Quarterly: Focus on COVID-19 – Volume 16, Issue 3 – August 2020.</w:t>
      </w:r>
      <w:r w:rsidR="00F97DD2">
        <w:rPr>
          <w:rFonts w:cs="Segoe UI"/>
          <w:sz w:val="20"/>
        </w:rPr>
        <w:t xml:space="preserve"> </w:t>
      </w:r>
      <w:r w:rsidRPr="004D20E9">
        <w:rPr>
          <w:rFonts w:cs="Segoe UI"/>
          <w:sz w:val="20"/>
        </w:rPr>
        <w:t xml:space="preserve">URL: </w:t>
      </w:r>
      <w:hyperlink r:id="rId122" w:history="1">
        <w:r w:rsidRPr="004D20E9">
          <w:rPr>
            <w:rStyle w:val="Hyperlink"/>
            <w:rFonts w:cs="Segoe UI"/>
            <w:b w:val="0"/>
            <w:sz w:val="20"/>
          </w:rPr>
          <w:t>https://ojs.victoria.ac.nz/pq/issue/view/712/PQ16-3</w:t>
        </w:r>
      </w:hyperlink>
      <w:r w:rsidRPr="004D20E9">
        <w:rPr>
          <w:rFonts w:cs="Segoe UI"/>
          <w:sz w:val="20"/>
        </w:rPr>
        <w:t xml:space="preserve"> (</w:t>
      </w:r>
      <w:r w:rsidR="009607D2">
        <w:rPr>
          <w:rFonts w:cs="Segoe UI"/>
          <w:sz w:val="20"/>
        </w:rPr>
        <w:t>a</w:t>
      </w:r>
      <w:r w:rsidRPr="004D20E9">
        <w:rPr>
          <w:rFonts w:cs="Segoe UI"/>
          <w:sz w:val="20"/>
        </w:rPr>
        <w:t>ccessed 1 October 2020)</w:t>
      </w:r>
      <w:r w:rsidR="005C71F7">
        <w:rPr>
          <w:rFonts w:cs="Segoe UI"/>
          <w:sz w:val="20"/>
        </w:rPr>
        <w:t>.</w:t>
      </w:r>
    </w:p>
    <w:p w14:paraId="761D06F0" w14:textId="77777777" w:rsidR="00696F38" w:rsidRPr="004D20E9" w:rsidRDefault="00696F38" w:rsidP="00696F38">
      <w:pPr>
        <w:keepLines/>
        <w:rPr>
          <w:rFonts w:cs="Segoe UI"/>
          <w:b/>
          <w:color w:val="0A6AB4"/>
          <w:spacing w:val="-5"/>
          <w:sz w:val="20"/>
        </w:rPr>
      </w:pPr>
    </w:p>
    <w:p w14:paraId="26E1C61A" w14:textId="2CEE4876" w:rsidR="00A62A1F" w:rsidRPr="004D20E9" w:rsidRDefault="00A62A1F" w:rsidP="00A62A1F">
      <w:pPr>
        <w:rPr>
          <w:rFonts w:cs="Segoe UI"/>
          <w:sz w:val="20"/>
        </w:rPr>
      </w:pPr>
      <w:r w:rsidRPr="004D20E9">
        <w:rPr>
          <w:rFonts w:cs="Segoe UI"/>
          <w:sz w:val="20"/>
        </w:rPr>
        <w:t xml:space="preserve">United Nations Commission on Human Rights. 1989. </w:t>
      </w:r>
      <w:r w:rsidRPr="004D20E9">
        <w:rPr>
          <w:rFonts w:cs="Segoe UI"/>
          <w:i/>
          <w:sz w:val="20"/>
        </w:rPr>
        <w:t>Convention on the Rights of the Child</w:t>
      </w:r>
      <w:r w:rsidRPr="004D20E9">
        <w:rPr>
          <w:rFonts w:cs="Segoe UI"/>
          <w:sz w:val="20"/>
        </w:rPr>
        <w:t>. URL: www.ohchr.org/en/professionalinterest/pages/crc.aspx (accessed 11 September 2020).</w:t>
      </w:r>
    </w:p>
    <w:p w14:paraId="3E79A292" w14:textId="77777777" w:rsidR="00A62A1F" w:rsidRPr="004D20E9" w:rsidRDefault="00A62A1F" w:rsidP="00A62A1F">
      <w:pPr>
        <w:rPr>
          <w:rFonts w:cs="Segoe UI"/>
          <w:sz w:val="20"/>
        </w:rPr>
      </w:pPr>
    </w:p>
    <w:p w14:paraId="5B5E8DAF" w14:textId="77777777" w:rsidR="00A62A1F" w:rsidRPr="004D20E9" w:rsidRDefault="00A62A1F" w:rsidP="00A62A1F">
      <w:pPr>
        <w:rPr>
          <w:rFonts w:cs="Segoe UI"/>
          <w:sz w:val="20"/>
        </w:rPr>
      </w:pPr>
      <w:r w:rsidRPr="004D20E9">
        <w:rPr>
          <w:rFonts w:cs="Segoe UI"/>
          <w:sz w:val="20"/>
        </w:rPr>
        <w:t xml:space="preserve">United Nations General Assembly. 1948. </w:t>
      </w:r>
      <w:r w:rsidRPr="004D20E9">
        <w:rPr>
          <w:rFonts w:cs="Segoe UI"/>
          <w:i/>
          <w:sz w:val="20"/>
        </w:rPr>
        <w:t xml:space="preserve">Universal Declaration of Human </w:t>
      </w:r>
      <w:r w:rsidRPr="004D20E9">
        <w:rPr>
          <w:rFonts w:cs="Segoe UI"/>
          <w:sz w:val="20"/>
        </w:rPr>
        <w:t xml:space="preserve">Rights. URL: </w:t>
      </w:r>
      <w:hyperlink r:id="rId123" w:history="1">
        <w:r w:rsidRPr="004D20E9">
          <w:rPr>
            <w:rFonts w:cs="Segoe UI"/>
            <w:sz w:val="20"/>
          </w:rPr>
          <w:t>www.un.org/en/universal-declaration-human-rights</w:t>
        </w:r>
      </w:hyperlink>
      <w:r w:rsidRPr="004D20E9">
        <w:rPr>
          <w:rFonts w:cs="Segoe UI"/>
          <w:sz w:val="20"/>
        </w:rPr>
        <w:t xml:space="preserve"> (accessed 11 September 2020).</w:t>
      </w:r>
    </w:p>
    <w:p w14:paraId="556E59D3" w14:textId="77777777" w:rsidR="00A62A1F" w:rsidRPr="004D20E9" w:rsidRDefault="00A62A1F" w:rsidP="00A62A1F">
      <w:pPr>
        <w:rPr>
          <w:rFonts w:cs="Segoe UI"/>
          <w:sz w:val="20"/>
        </w:rPr>
      </w:pPr>
    </w:p>
    <w:p w14:paraId="0578D909" w14:textId="6988CA0D" w:rsidR="00A62A1F" w:rsidRPr="004D20E9" w:rsidRDefault="00A62A1F" w:rsidP="00A62A1F">
      <w:pPr>
        <w:rPr>
          <w:rFonts w:cs="Segoe UI"/>
          <w:sz w:val="20"/>
        </w:rPr>
      </w:pPr>
      <w:r w:rsidRPr="004D20E9">
        <w:rPr>
          <w:rFonts w:cs="Segoe UI"/>
          <w:sz w:val="20"/>
        </w:rPr>
        <w:t xml:space="preserve">United Nations General Assembly. 2006. </w:t>
      </w:r>
      <w:r w:rsidRPr="004D20E9">
        <w:rPr>
          <w:rFonts w:cs="Segoe UI"/>
          <w:i/>
          <w:sz w:val="20"/>
        </w:rPr>
        <w:t>Convention on the Rights of Persons with Disabilities</w:t>
      </w:r>
      <w:r w:rsidRPr="004D20E9">
        <w:rPr>
          <w:rFonts w:cs="Segoe UI"/>
          <w:sz w:val="20"/>
        </w:rPr>
        <w:t xml:space="preserve">. </w:t>
      </w:r>
      <w:r w:rsidR="00850081" w:rsidRPr="004D20E9">
        <w:rPr>
          <w:rFonts w:cs="Segoe UI"/>
          <w:sz w:val="20"/>
        </w:rPr>
        <w:t>URL: www.un.org/development/desa/disabilities/convention-on-the-rights-of-persons-with-disabilities.html</w:t>
      </w:r>
      <w:r w:rsidR="009607D2">
        <w:rPr>
          <w:rFonts w:cs="Segoe UI"/>
          <w:sz w:val="20"/>
        </w:rPr>
        <w:t xml:space="preserve"> </w:t>
      </w:r>
      <w:r w:rsidRPr="004D20E9">
        <w:rPr>
          <w:rFonts w:cs="Segoe UI"/>
          <w:sz w:val="20"/>
        </w:rPr>
        <w:t>(accessed 11 September 2020).</w:t>
      </w:r>
    </w:p>
    <w:p w14:paraId="082AD888" w14:textId="77777777" w:rsidR="00A62A1F" w:rsidRPr="004D20E9" w:rsidRDefault="00A62A1F" w:rsidP="00A62A1F">
      <w:pPr>
        <w:rPr>
          <w:rFonts w:cs="Segoe UI"/>
          <w:sz w:val="20"/>
        </w:rPr>
      </w:pPr>
    </w:p>
    <w:p w14:paraId="666DF498" w14:textId="49AB3E9E" w:rsidR="00AF5314" w:rsidRDefault="00A62A1F" w:rsidP="00707A02">
      <w:pPr>
        <w:keepLines/>
        <w:rPr>
          <w:rFonts w:cs="Segoe UI"/>
          <w:sz w:val="20"/>
        </w:rPr>
      </w:pPr>
      <w:r w:rsidRPr="004D20E9">
        <w:rPr>
          <w:rFonts w:cs="Segoe UI"/>
          <w:sz w:val="20"/>
        </w:rPr>
        <w:t xml:space="preserve">United Nations General Assembly. 2007. </w:t>
      </w:r>
      <w:r w:rsidRPr="004D20E9">
        <w:rPr>
          <w:rFonts w:cs="Segoe UI"/>
          <w:i/>
          <w:sz w:val="20"/>
        </w:rPr>
        <w:t>United Nations Declaration on the Rights of Indigenous Peoples</w:t>
      </w:r>
      <w:r w:rsidRPr="004D20E9">
        <w:rPr>
          <w:rFonts w:cs="Segoe UI"/>
          <w:sz w:val="20"/>
        </w:rPr>
        <w:t>. URL: www.un.org/development/desa/indigenouspeoples</w:t>
      </w:r>
      <w:r w:rsidR="008468BF" w:rsidRPr="004D20E9">
        <w:rPr>
          <w:rFonts w:cs="Segoe UI"/>
          <w:sz w:val="20"/>
        </w:rPr>
        <w:t>/</w:t>
      </w:r>
      <w:r w:rsidRPr="004D20E9">
        <w:rPr>
          <w:rFonts w:cs="Segoe UI"/>
          <w:sz w:val="20"/>
        </w:rPr>
        <w:t>declaration-on-the-rights-of-indigenous-peoples.html (accessed 11 September 2020).</w:t>
      </w:r>
    </w:p>
    <w:p w14:paraId="498E1ED8" w14:textId="77777777" w:rsidR="00BD07FC" w:rsidRDefault="00BD07FC" w:rsidP="00707A02">
      <w:pPr>
        <w:keepLines/>
        <w:rPr>
          <w:rFonts w:cs="Segoe UI"/>
          <w:sz w:val="20"/>
        </w:rPr>
      </w:pPr>
    </w:p>
    <w:p w14:paraId="2B34DEB3" w14:textId="4507568F" w:rsidR="00BD07FC" w:rsidRPr="004D20E9" w:rsidRDefault="00BD07FC" w:rsidP="00707A02">
      <w:pPr>
        <w:keepLines/>
        <w:rPr>
          <w:rFonts w:cs="Segoe UI"/>
          <w:sz w:val="20"/>
        </w:rPr>
      </w:pPr>
      <w:r w:rsidRPr="00BD07FC">
        <w:rPr>
          <w:rFonts w:cs="Segoe UI"/>
          <w:sz w:val="20"/>
        </w:rPr>
        <w:t xml:space="preserve">Webb S, Kingstone S, Richardson E, </w:t>
      </w:r>
      <w:r w:rsidR="00DD2AD6">
        <w:rPr>
          <w:rFonts w:cs="Segoe UI"/>
          <w:sz w:val="20"/>
        </w:rPr>
        <w:t>et al</w:t>
      </w:r>
      <w:r w:rsidRPr="00BD07FC">
        <w:rPr>
          <w:rFonts w:cs="Segoe UI"/>
          <w:sz w:val="20"/>
        </w:rPr>
        <w:t xml:space="preserve">. </w:t>
      </w:r>
      <w:r w:rsidRPr="00BD07FC">
        <w:rPr>
          <w:rFonts w:cs="Segoe UI"/>
          <w:i/>
          <w:iCs/>
          <w:sz w:val="20"/>
        </w:rPr>
        <w:t>Rapid Evidence Brief: COVID-19 Youth Recovery Plan 2020</w:t>
      </w:r>
      <w:r w:rsidR="00DD2AD6">
        <w:rPr>
          <w:rFonts w:cs="Segoe UI"/>
          <w:i/>
          <w:iCs/>
          <w:sz w:val="20"/>
        </w:rPr>
        <w:t>–</w:t>
      </w:r>
      <w:r w:rsidRPr="00BD07FC">
        <w:rPr>
          <w:rFonts w:cs="Segoe UI"/>
          <w:i/>
          <w:iCs/>
          <w:sz w:val="20"/>
        </w:rPr>
        <w:t>2022</w:t>
      </w:r>
      <w:r w:rsidRPr="00BD07FC">
        <w:rPr>
          <w:rFonts w:cs="Segoe UI"/>
          <w:sz w:val="20"/>
        </w:rPr>
        <w:t>. 2020. Wellington: Te Hiringa Hauora/Health Promotion Agency</w:t>
      </w:r>
    </w:p>
    <w:p w14:paraId="6A831377" w14:textId="6C7E1E27" w:rsidR="00696473" w:rsidRPr="005A23C2" w:rsidRDefault="00696473" w:rsidP="00707A02">
      <w:pPr>
        <w:keepLines/>
        <w:rPr>
          <w:sz w:val="20"/>
        </w:rPr>
      </w:pPr>
    </w:p>
    <w:p w14:paraId="3D57B455" w14:textId="3B60A6D4" w:rsidR="00696473" w:rsidRPr="005A23C2" w:rsidRDefault="00696473" w:rsidP="00E027DE">
      <w:pPr>
        <w:keepLines/>
        <w:rPr>
          <w:b/>
          <w:color w:val="0A6AB4"/>
          <w:spacing w:val="-5"/>
          <w:sz w:val="20"/>
        </w:rPr>
      </w:pPr>
    </w:p>
    <w:sectPr w:rsidR="00696473" w:rsidRPr="005A23C2" w:rsidSect="009611E0">
      <w:footerReference w:type="default" r:id="rId124"/>
      <w:endnotePr>
        <w:numFmt w:val="decimal"/>
      </w:endnotePr>
      <w:pgSz w:w="11907" w:h="16834" w:code="9"/>
      <w:pgMar w:top="1134" w:right="1134" w:bottom="1134" w:left="1134" w:header="425" w:footer="425" w:gutter="284"/>
      <w:cols w:space="720"/>
      <w:docGrid w:linePitch="28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85B1FC" w16cex:dateUtc="2020-12-16T21:31:00Z"/>
  <w16cex:commentExtensible w16cex:durableId="23845D29" w16cex:dateUtc="2020-12-15T21:17:00Z"/>
  <w16cex:commentExtensible w16cex:durableId="23845FDF" w16cex:dateUtc="2020-12-15T21:28:00Z"/>
  <w16cex:commentExtensible w16cex:durableId="23846375" w16cex:dateUtc="2020-12-15T21:44:00Z"/>
  <w16cex:commentExtensible w16cex:durableId="238464AD" w16cex:dateUtc="2020-12-15T21:49:00Z"/>
  <w16cex:commentExtensible w16cex:durableId="23846A1F" w16cex:dateUtc="2020-12-15T22:12:00Z"/>
  <w16cex:commentExtensible w16cex:durableId="23846C09" w16cex:dateUtc="2020-12-15T22:20:00Z"/>
  <w16cex:commentExtensible w16cex:durableId="23846CA3" w16cex:dateUtc="2020-12-15T22:23:00Z"/>
  <w16cex:commentExtensible w16cex:durableId="23846CD0" w16cex:dateUtc="2020-12-15T22:24:00Z"/>
  <w16cex:commentExtensible w16cex:durableId="23846D75" w16cex:dateUtc="2020-12-15T22:26:00Z"/>
  <w16cex:commentExtensible w16cex:durableId="23847B03" w16cex:dateUtc="2020-12-15T23:24:00Z"/>
  <w16cex:commentExtensible w16cex:durableId="23847D02" w16cex:dateUtc="2020-12-15T23:33:00Z"/>
  <w16cex:commentExtensible w16cex:durableId="23847E4B" w16cex:dateUtc="2020-12-15T23:38:00Z"/>
  <w16cex:commentExtensible w16cex:durableId="23847FE6" w16cex:dateUtc="2020-12-15T23:45:00Z"/>
  <w16cex:commentExtensible w16cex:durableId="238483D2" w16cex:dateUtc="2020-12-16T00:02:00Z"/>
  <w16cex:commentExtensible w16cex:durableId="23848401" w16cex:dateUtc="2020-12-16T00:02:00Z"/>
  <w16cex:commentExtensible w16cex:durableId="23859AAF" w16cex:dateUtc="2020-12-16T19:51:00Z"/>
  <w16cex:commentExtensible w16cex:durableId="23859AE5" w16cex:dateUtc="2020-12-16T19:52:00Z"/>
  <w16cex:commentExtensible w16cex:durableId="23859EC4" w16cex:dateUtc="2020-12-16T20:09:00Z"/>
  <w16cex:commentExtensible w16cex:durableId="2385A19F" w16cex:dateUtc="2020-12-16T20:21:00Z"/>
  <w16cex:commentExtensible w16cex:durableId="2385A96E" w16cex:dateUtc="2020-12-16T20:54:00Z"/>
  <w16cex:commentExtensible w16cex:durableId="2385ADB7" w16cex:dateUtc="2020-12-16T21:13:00Z"/>
  <w16cex:commentExtensible w16cex:durableId="2385AF12" w16cex:dateUtc="2020-12-16T21:18:00Z"/>
  <w16cex:commentExtensible w16cex:durableId="2385B0AA" w16cex:dateUtc="2020-12-16T21:2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CFA27C" w14:textId="77777777" w:rsidR="008B32B0" w:rsidRPr="00D15C7D" w:rsidRDefault="008B32B0" w:rsidP="005C4F6F">
      <w:pPr>
        <w:pStyle w:val="Footer"/>
        <w:rPr>
          <w:sz w:val="2"/>
          <w:szCs w:val="2"/>
        </w:rPr>
      </w:pPr>
    </w:p>
  </w:endnote>
  <w:endnote w:type="continuationSeparator" w:id="0">
    <w:p w14:paraId="3CF3CA2E" w14:textId="77777777" w:rsidR="008B32B0" w:rsidRPr="00D15C7D" w:rsidRDefault="008B32B0" w:rsidP="005C4F6F">
      <w:pPr>
        <w:pStyle w:val="Footer"/>
        <w:rPr>
          <w:sz w:val="2"/>
          <w:szCs w:val="2"/>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Mäori">
    <w:altName w:val="Arial"/>
    <w:charset w:val="00"/>
    <w:family w:val="auto"/>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emibold">
    <w:panose1 w:val="020B07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Black">
    <w:panose1 w:val="020B0A02040204020203"/>
    <w:charset w:val="00"/>
    <w:family w:val="swiss"/>
    <w:pitch w:val="variable"/>
    <w:sig w:usb0="E00002FF" w:usb1="4000E47F" w:usb2="00000021" w:usb3="00000000" w:csb0="0000019F" w:csb1="00000000"/>
  </w:font>
  <w:font w:name="Lucida Sans Unicode">
    <w:panose1 w:val="020B0602030504020204"/>
    <w:charset w:val="00"/>
    <w:family w:val="swiss"/>
    <w:pitch w:val="variable"/>
    <w:sig w:usb0="80000AFF" w:usb1="0000396B" w:usb2="00000000" w:usb3="00000000" w:csb0="000000BF" w:csb1="00000000"/>
  </w:font>
  <w:font w:name="Segoe UI Light">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Basic Sans">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740099" w14:textId="62593A8B" w:rsidR="00023821" w:rsidRPr="00AC79BA" w:rsidRDefault="00023821" w:rsidP="00AC79BA">
    <w:pPr>
      <w:pStyle w:val="Footer"/>
      <w:jc w:val="right"/>
      <w:rPr>
        <w:sz w:val="18"/>
        <w:szCs w:val="18"/>
      </w:rPr>
    </w:pPr>
    <w:r w:rsidRPr="00AC79BA">
      <w:rPr>
        <w:sz w:val="18"/>
        <w:szCs w:val="18"/>
      </w:rPr>
      <w:t>Kia Kaha, Kia Māia, Kia Ora Aotearoa:</w:t>
    </w:r>
    <w:r w:rsidRPr="00AC79BA">
      <w:rPr>
        <w:sz w:val="18"/>
        <w:szCs w:val="18"/>
      </w:rPr>
      <w:br/>
      <w:t>Covid</w:t>
    </w:r>
    <w:r w:rsidRPr="00AC79BA">
      <w:rPr>
        <w:sz w:val="18"/>
        <w:szCs w:val="18"/>
      </w:rPr>
      <w:noBreakHyphen/>
      <w:t xml:space="preserve">19 Psychosocial </w:t>
    </w:r>
    <w:r>
      <w:rPr>
        <w:sz w:val="18"/>
        <w:szCs w:val="18"/>
      </w:rPr>
      <w:t>a</w:t>
    </w:r>
    <w:r w:rsidRPr="00AC79BA">
      <w:rPr>
        <w:sz w:val="18"/>
        <w:szCs w:val="18"/>
      </w:rPr>
      <w:t>nd Mental Wellbeing Plan</w:t>
    </w:r>
  </w:p>
  <w:p w14:paraId="75807C86" w14:textId="6A9146E2" w:rsidR="00023821" w:rsidRDefault="00023821">
    <w:pPr>
      <w:pStyle w:val="Footer"/>
    </w:pPr>
  </w:p>
  <w:p w14:paraId="782C4341" w14:textId="40E392B8" w:rsidR="00023821" w:rsidRPr="00AC79BA" w:rsidRDefault="00023821" w:rsidP="00AC79BA">
    <w:pPr>
      <w:pStyle w:val="Footer"/>
      <w:jc w:val="right"/>
      <w:rPr>
        <w:sz w:val="18"/>
        <w:szCs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789" w:type="dxa"/>
      <w:tblInd w:w="439" w:type="dxa"/>
      <w:tblLayout w:type="fixed"/>
      <w:tblCellMar>
        <w:left w:w="0" w:type="dxa"/>
        <w:right w:w="0" w:type="dxa"/>
      </w:tblCellMar>
      <w:tblLook w:val="04A0" w:firstRow="1" w:lastRow="0" w:firstColumn="1" w:lastColumn="0" w:noHBand="0" w:noVBand="1"/>
    </w:tblPr>
    <w:tblGrid>
      <w:gridCol w:w="8080"/>
      <w:gridCol w:w="709"/>
    </w:tblGrid>
    <w:tr w:rsidR="00023821" w14:paraId="289F71E2" w14:textId="77777777" w:rsidTr="005563F2">
      <w:trPr>
        <w:cantSplit/>
      </w:trPr>
      <w:tc>
        <w:tcPr>
          <w:tcW w:w="8080" w:type="dxa"/>
          <w:vAlign w:val="center"/>
        </w:tcPr>
        <w:p w14:paraId="71F1E25F" w14:textId="77777777" w:rsidR="00023821" w:rsidRDefault="00023821" w:rsidP="00B84351">
          <w:pPr>
            <w:pStyle w:val="RectoFooter"/>
          </w:pPr>
          <w:r>
            <w:t>KIA KAHA, KIA māIA, KIA ORA AOTEAROA:</w:t>
          </w:r>
          <w:r>
            <w:br/>
            <w:t>COVID</w:t>
          </w:r>
          <w:r>
            <w:noBreakHyphen/>
            <w:t>19 PSYCHOSOCIAL AND MENTAL WELLBEING PLAN</w:t>
          </w:r>
        </w:p>
      </w:tc>
      <w:tc>
        <w:tcPr>
          <w:tcW w:w="709" w:type="dxa"/>
          <w:vAlign w:val="center"/>
        </w:tcPr>
        <w:p w14:paraId="67865CB5" w14:textId="77777777" w:rsidR="00023821" w:rsidRPr="00931466" w:rsidRDefault="00023821" w:rsidP="006E2886">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33</w:t>
          </w:r>
          <w:r w:rsidRPr="00931466">
            <w:rPr>
              <w:rStyle w:val="PageNumber"/>
            </w:rPr>
            <w:fldChar w:fldCharType="end"/>
          </w:r>
        </w:p>
      </w:tc>
    </w:tr>
  </w:tbl>
  <w:p w14:paraId="07E0B4AF" w14:textId="77777777" w:rsidR="00023821" w:rsidRPr="00581EB8" w:rsidRDefault="00023821" w:rsidP="00581EB8">
    <w:pPr>
      <w:pStyle w:val="Foote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193998" w14:textId="080FFEEF" w:rsidR="00023821" w:rsidRDefault="00023821" w:rsidP="00753C53">
    <w:pPr>
      <w:pStyle w:val="Footer"/>
      <w:tabs>
        <w:tab w:val="left" w:pos="8205"/>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2182C9" w14:textId="77777777" w:rsidR="00023821" w:rsidRPr="00AC79BA" w:rsidRDefault="00023821" w:rsidP="00753C53">
    <w:pPr>
      <w:pStyle w:val="Footer"/>
      <w:tabs>
        <w:tab w:val="left" w:pos="7560"/>
      </w:tabs>
      <w:rPr>
        <w:sz w:val="18"/>
        <w:szCs w:val="18"/>
      </w:rPr>
    </w:pPr>
    <w:r>
      <w:rPr>
        <w:sz w:val="18"/>
        <w:szCs w:val="18"/>
      </w:rPr>
      <w:tab/>
    </w:r>
  </w:p>
  <w:tbl>
    <w:tblPr>
      <w:tblW w:w="9747" w:type="dxa"/>
      <w:tblLayout w:type="fixed"/>
      <w:tblLook w:val="04A0" w:firstRow="1" w:lastRow="0" w:firstColumn="1" w:lastColumn="0" w:noHBand="0" w:noVBand="1"/>
    </w:tblPr>
    <w:tblGrid>
      <w:gridCol w:w="675"/>
      <w:gridCol w:w="9072"/>
    </w:tblGrid>
    <w:tr w:rsidR="00023821" w14:paraId="4213FB67" w14:textId="77777777" w:rsidTr="00753C53">
      <w:trPr>
        <w:cantSplit/>
      </w:trPr>
      <w:tc>
        <w:tcPr>
          <w:tcW w:w="675" w:type="dxa"/>
          <w:vAlign w:val="center"/>
        </w:tcPr>
        <w:p w14:paraId="56A32EE3" w14:textId="0620E037" w:rsidR="00023821" w:rsidRPr="00931466" w:rsidRDefault="00023821" w:rsidP="002677B3">
          <w:pPr>
            <w:pStyle w:val="Footer"/>
            <w:jc w:val="center"/>
            <w:rPr>
              <w:rStyle w:val="PageNumber"/>
            </w:rPr>
          </w:pPr>
          <w:r>
            <w:rPr>
              <w:rStyle w:val="PageNumber"/>
            </w:rPr>
            <w:fldChar w:fldCharType="begin"/>
          </w:r>
          <w:r>
            <w:rPr>
              <w:rStyle w:val="PageNumber"/>
            </w:rPr>
            <w:instrText xml:space="preserve"> PAGE  \* Arabic  \* MERGEFORMAT </w:instrText>
          </w:r>
          <w:r>
            <w:rPr>
              <w:rStyle w:val="PageNumber"/>
            </w:rPr>
            <w:fldChar w:fldCharType="separate"/>
          </w:r>
          <w:r>
            <w:rPr>
              <w:rStyle w:val="PageNumber"/>
              <w:noProof/>
            </w:rPr>
            <w:t>3</w:t>
          </w:r>
          <w:r>
            <w:rPr>
              <w:rStyle w:val="PageNumber"/>
            </w:rPr>
            <w:fldChar w:fldCharType="end"/>
          </w:r>
        </w:p>
      </w:tc>
      <w:tc>
        <w:tcPr>
          <w:tcW w:w="9072" w:type="dxa"/>
          <w:vAlign w:val="center"/>
        </w:tcPr>
        <w:p w14:paraId="4D4A9A73" w14:textId="77777777" w:rsidR="00023821" w:rsidRDefault="00023821" w:rsidP="00753C53">
          <w:pPr>
            <w:pStyle w:val="RectoFooter"/>
            <w:jc w:val="left"/>
          </w:pPr>
          <w:r>
            <w:t>KIA KAHA, KIA māIA, KIA ORA AOTEAROA:</w:t>
          </w:r>
          <w:r>
            <w:br/>
            <w:t>COVID</w:t>
          </w:r>
          <w:r>
            <w:noBreakHyphen/>
            <w:t>19 PSYCHOSOCIAL AND MENTAL WELLBEING PLAN</w:t>
          </w:r>
        </w:p>
      </w:tc>
    </w:tr>
  </w:tbl>
  <w:p w14:paraId="13A07F27" w14:textId="77777777" w:rsidR="00023821" w:rsidRPr="00AC79BA" w:rsidRDefault="00023821" w:rsidP="00753C53">
    <w:pPr>
      <w:pStyle w:val="Footer"/>
      <w:tabs>
        <w:tab w:val="left" w:pos="7560"/>
      </w:tabs>
      <w:rPr>
        <w:sz w:val="18"/>
        <w:szCs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6645CF" w14:textId="77777777" w:rsidR="00023821" w:rsidRDefault="00023821" w:rsidP="00753C53">
    <w:pPr>
      <w:pStyle w:val="Footer"/>
      <w:tabs>
        <w:tab w:val="left" w:pos="8205"/>
        <w:tab w:val="right" w:pos="9355"/>
      </w:tabs>
    </w:pPr>
    <w:r>
      <w:tab/>
    </w:r>
    <w:r>
      <w:tab/>
    </w:r>
  </w:p>
  <w:tbl>
    <w:tblPr>
      <w:tblW w:w="8789" w:type="dxa"/>
      <w:tblInd w:w="863" w:type="dxa"/>
      <w:tblLayout w:type="fixed"/>
      <w:tblCellMar>
        <w:left w:w="0" w:type="dxa"/>
        <w:right w:w="0" w:type="dxa"/>
      </w:tblCellMar>
      <w:tblLook w:val="04A0" w:firstRow="1" w:lastRow="0" w:firstColumn="1" w:lastColumn="0" w:noHBand="0" w:noVBand="1"/>
    </w:tblPr>
    <w:tblGrid>
      <w:gridCol w:w="8080"/>
      <w:gridCol w:w="709"/>
    </w:tblGrid>
    <w:tr w:rsidR="00023821" w14:paraId="66703B68" w14:textId="77777777" w:rsidTr="00753C53">
      <w:trPr>
        <w:cantSplit/>
      </w:trPr>
      <w:tc>
        <w:tcPr>
          <w:tcW w:w="8080" w:type="dxa"/>
          <w:vAlign w:val="center"/>
        </w:tcPr>
        <w:p w14:paraId="4C911760" w14:textId="77777777" w:rsidR="00023821" w:rsidRDefault="00023821" w:rsidP="00753C53">
          <w:pPr>
            <w:pStyle w:val="RectoFooter"/>
          </w:pPr>
          <w:r>
            <w:t>KIA KAHA, KIA māIA, KIA ORA AOTEAROA:</w:t>
          </w:r>
          <w:r>
            <w:br/>
            <w:t>COVID</w:t>
          </w:r>
          <w:r>
            <w:noBreakHyphen/>
            <w:t>19 PSYCHOSOCIAL AND MENTAL WELLBEING PLAN</w:t>
          </w:r>
        </w:p>
      </w:tc>
      <w:tc>
        <w:tcPr>
          <w:tcW w:w="709" w:type="dxa"/>
          <w:vAlign w:val="center"/>
        </w:tcPr>
        <w:p w14:paraId="753AA8F2" w14:textId="77777777" w:rsidR="00023821" w:rsidRPr="00931466" w:rsidRDefault="00023821" w:rsidP="00753C53">
          <w:pPr>
            <w:pStyle w:val="Footer"/>
            <w:jc w:val="right"/>
            <w:rPr>
              <w:rStyle w:val="PageNumber"/>
            </w:rPr>
          </w:pPr>
          <w:r>
            <w:rPr>
              <w:rStyle w:val="PageNumber"/>
            </w:rPr>
            <w:fldChar w:fldCharType="begin"/>
          </w:r>
          <w:r>
            <w:rPr>
              <w:rStyle w:val="PageNumber"/>
            </w:rPr>
            <w:instrText xml:space="preserve"> PAGE  \* Arabic  \* MERGEFORMAT </w:instrText>
          </w:r>
          <w:r>
            <w:rPr>
              <w:rStyle w:val="PageNumber"/>
            </w:rPr>
            <w:fldChar w:fldCharType="separate"/>
          </w:r>
          <w:r>
            <w:rPr>
              <w:rStyle w:val="PageNumber"/>
              <w:noProof/>
            </w:rPr>
            <w:t>1</w:t>
          </w:r>
          <w:r>
            <w:rPr>
              <w:rStyle w:val="PageNumber"/>
            </w:rPr>
            <w:fldChar w:fldCharType="end"/>
          </w:r>
        </w:p>
      </w:tc>
    </w:tr>
  </w:tbl>
  <w:p w14:paraId="7AA3E968" w14:textId="77777777" w:rsidR="00023821" w:rsidRDefault="00023821" w:rsidP="00753C53">
    <w:pPr>
      <w:pStyle w:val="Footer"/>
      <w:tabs>
        <w:tab w:val="left" w:pos="8205"/>
        <w:tab w:val="right" w:pos="9355"/>
      </w:tabs>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424817" w14:textId="77777777" w:rsidR="00023821" w:rsidRDefault="00023821" w:rsidP="00753C53">
    <w:pPr>
      <w:pStyle w:val="Footer"/>
      <w:tabs>
        <w:tab w:val="left" w:pos="8205"/>
        <w:tab w:val="right" w:pos="9355"/>
      </w:tabs>
    </w:pPr>
    <w:r>
      <w:tab/>
    </w:r>
    <w:r>
      <w:tab/>
    </w:r>
  </w:p>
  <w:tbl>
    <w:tblPr>
      <w:tblW w:w="8789" w:type="dxa"/>
      <w:tblInd w:w="6363" w:type="dxa"/>
      <w:tblLayout w:type="fixed"/>
      <w:tblCellMar>
        <w:left w:w="0" w:type="dxa"/>
        <w:right w:w="0" w:type="dxa"/>
      </w:tblCellMar>
      <w:tblLook w:val="04A0" w:firstRow="1" w:lastRow="0" w:firstColumn="1" w:lastColumn="0" w:noHBand="0" w:noVBand="1"/>
    </w:tblPr>
    <w:tblGrid>
      <w:gridCol w:w="8080"/>
      <w:gridCol w:w="709"/>
    </w:tblGrid>
    <w:tr w:rsidR="00023821" w14:paraId="16B883C7" w14:textId="77777777" w:rsidTr="005563F2">
      <w:trPr>
        <w:cantSplit/>
      </w:trPr>
      <w:tc>
        <w:tcPr>
          <w:tcW w:w="8080" w:type="dxa"/>
          <w:vAlign w:val="center"/>
        </w:tcPr>
        <w:p w14:paraId="79D46834" w14:textId="77777777" w:rsidR="00023821" w:rsidRDefault="00023821" w:rsidP="00753C53">
          <w:pPr>
            <w:pStyle w:val="RectoFooter"/>
          </w:pPr>
          <w:r>
            <w:t>KIA KAHA, KIA māIA, KIA ORA AOTEAROA:</w:t>
          </w:r>
          <w:r>
            <w:br/>
            <w:t>COVID</w:t>
          </w:r>
          <w:r>
            <w:noBreakHyphen/>
            <w:t>19 PSYCHOSOCIAL AND MENTAL WELLBEING PLAN</w:t>
          </w:r>
        </w:p>
      </w:tc>
      <w:tc>
        <w:tcPr>
          <w:tcW w:w="709" w:type="dxa"/>
          <w:vAlign w:val="center"/>
        </w:tcPr>
        <w:p w14:paraId="64AE8887" w14:textId="77777777" w:rsidR="00023821" w:rsidRPr="00931466" w:rsidRDefault="00023821" w:rsidP="00753C53">
          <w:pPr>
            <w:pStyle w:val="Footer"/>
            <w:jc w:val="right"/>
            <w:rPr>
              <w:rStyle w:val="PageNumber"/>
            </w:rPr>
          </w:pPr>
          <w:r>
            <w:rPr>
              <w:rStyle w:val="PageNumber"/>
            </w:rPr>
            <w:fldChar w:fldCharType="begin"/>
          </w:r>
          <w:r>
            <w:rPr>
              <w:rStyle w:val="PageNumber"/>
            </w:rPr>
            <w:instrText xml:space="preserve"> PAGE  \* Arabic  \* MERGEFORMAT </w:instrText>
          </w:r>
          <w:r>
            <w:rPr>
              <w:rStyle w:val="PageNumber"/>
            </w:rPr>
            <w:fldChar w:fldCharType="separate"/>
          </w:r>
          <w:r>
            <w:rPr>
              <w:rStyle w:val="PageNumber"/>
              <w:noProof/>
            </w:rPr>
            <w:t>1</w:t>
          </w:r>
          <w:r>
            <w:rPr>
              <w:rStyle w:val="PageNumber"/>
            </w:rPr>
            <w:fldChar w:fldCharType="end"/>
          </w:r>
        </w:p>
      </w:tc>
    </w:tr>
  </w:tbl>
  <w:p w14:paraId="3FA42FE0" w14:textId="77777777" w:rsidR="00023821" w:rsidRDefault="00023821" w:rsidP="00753C53">
    <w:pPr>
      <w:pStyle w:val="Footer"/>
      <w:tabs>
        <w:tab w:val="left" w:pos="8205"/>
        <w:tab w:val="right" w:pos="9355"/>
      </w:tabs>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789" w:type="dxa"/>
      <w:tblLayout w:type="fixed"/>
      <w:tblCellMar>
        <w:left w:w="0" w:type="dxa"/>
        <w:right w:w="0" w:type="dxa"/>
      </w:tblCellMar>
      <w:tblLook w:val="04A0" w:firstRow="1" w:lastRow="0" w:firstColumn="1" w:lastColumn="0" w:noHBand="0" w:noVBand="1"/>
    </w:tblPr>
    <w:tblGrid>
      <w:gridCol w:w="8080"/>
      <w:gridCol w:w="709"/>
    </w:tblGrid>
    <w:tr w:rsidR="00023821" w14:paraId="6D38BD1D" w14:textId="77777777" w:rsidTr="006E2886">
      <w:trPr>
        <w:cantSplit/>
      </w:trPr>
      <w:tc>
        <w:tcPr>
          <w:tcW w:w="8080" w:type="dxa"/>
          <w:vAlign w:val="center"/>
        </w:tcPr>
        <w:p w14:paraId="77ADE6B7" w14:textId="3D748B99" w:rsidR="00023821" w:rsidRDefault="00023821" w:rsidP="00B84351">
          <w:pPr>
            <w:pStyle w:val="RectoFooter"/>
          </w:pPr>
          <w:r>
            <w:t>KIA KAHA, KIA māIA, KIA ORA AOTEAROA:</w:t>
          </w:r>
          <w:r>
            <w:br/>
            <w:t>COVID</w:t>
          </w:r>
          <w:r>
            <w:noBreakHyphen/>
            <w:t>19 PSYCHOSOCIAL AND MENTAL WELLBEING PLAN</w:t>
          </w:r>
        </w:p>
      </w:tc>
      <w:tc>
        <w:tcPr>
          <w:tcW w:w="709" w:type="dxa"/>
          <w:vAlign w:val="center"/>
        </w:tcPr>
        <w:p w14:paraId="6578FAC1" w14:textId="77777777" w:rsidR="00023821" w:rsidRPr="00931466" w:rsidRDefault="00023821" w:rsidP="006E2886">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33</w:t>
          </w:r>
          <w:r w:rsidRPr="00931466">
            <w:rPr>
              <w:rStyle w:val="PageNumber"/>
            </w:rPr>
            <w:fldChar w:fldCharType="end"/>
          </w:r>
        </w:p>
      </w:tc>
    </w:tr>
  </w:tbl>
  <w:p w14:paraId="34BBFD2B" w14:textId="77777777" w:rsidR="00023821" w:rsidRPr="00581EB8" w:rsidRDefault="00023821" w:rsidP="00581EB8">
    <w:pPr>
      <w:pStyle w:val="Footer"/>
      <w:rPr>
        <w:sz w:val="2"/>
        <w:szCs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789" w:type="dxa"/>
      <w:tblInd w:w="6928" w:type="dxa"/>
      <w:tblLayout w:type="fixed"/>
      <w:tblCellMar>
        <w:left w:w="0" w:type="dxa"/>
        <w:right w:w="0" w:type="dxa"/>
      </w:tblCellMar>
      <w:tblLook w:val="04A0" w:firstRow="1" w:lastRow="0" w:firstColumn="1" w:lastColumn="0" w:noHBand="0" w:noVBand="1"/>
    </w:tblPr>
    <w:tblGrid>
      <w:gridCol w:w="8080"/>
      <w:gridCol w:w="709"/>
    </w:tblGrid>
    <w:tr w:rsidR="00023821" w14:paraId="2D8E24F8" w14:textId="77777777" w:rsidTr="005563F2">
      <w:trPr>
        <w:cantSplit/>
      </w:trPr>
      <w:tc>
        <w:tcPr>
          <w:tcW w:w="8080" w:type="dxa"/>
          <w:vAlign w:val="center"/>
        </w:tcPr>
        <w:p w14:paraId="57D1A87A" w14:textId="77777777" w:rsidR="00023821" w:rsidRDefault="00023821" w:rsidP="00B84351">
          <w:pPr>
            <w:pStyle w:val="RectoFooter"/>
          </w:pPr>
          <w:r>
            <w:t>KIA KAHA, KIA māIA, KIA ORA AOTEAROA:</w:t>
          </w:r>
          <w:r>
            <w:br/>
            <w:t>COVID</w:t>
          </w:r>
          <w:r>
            <w:noBreakHyphen/>
            <w:t>19 PSYCHOSOCIAL AND MENTAL WELLBEING PLAN</w:t>
          </w:r>
        </w:p>
      </w:tc>
      <w:tc>
        <w:tcPr>
          <w:tcW w:w="709" w:type="dxa"/>
          <w:vAlign w:val="center"/>
        </w:tcPr>
        <w:p w14:paraId="2139480F" w14:textId="77777777" w:rsidR="00023821" w:rsidRPr="00931466" w:rsidRDefault="00023821" w:rsidP="006E2886">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33</w:t>
          </w:r>
          <w:r w:rsidRPr="00931466">
            <w:rPr>
              <w:rStyle w:val="PageNumber"/>
            </w:rPr>
            <w:fldChar w:fldCharType="end"/>
          </w:r>
        </w:p>
      </w:tc>
    </w:tr>
  </w:tbl>
  <w:p w14:paraId="412CF671" w14:textId="77777777" w:rsidR="00023821" w:rsidRPr="00581EB8" w:rsidRDefault="00023821" w:rsidP="00581EB8">
    <w:pPr>
      <w:pStyle w:val="Footer"/>
      <w:rPr>
        <w:sz w:val="2"/>
        <w:szCs w:val="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789" w:type="dxa"/>
      <w:tblInd w:w="862" w:type="dxa"/>
      <w:tblLayout w:type="fixed"/>
      <w:tblCellMar>
        <w:left w:w="0" w:type="dxa"/>
        <w:right w:w="0" w:type="dxa"/>
      </w:tblCellMar>
      <w:tblLook w:val="04A0" w:firstRow="1" w:lastRow="0" w:firstColumn="1" w:lastColumn="0" w:noHBand="0" w:noVBand="1"/>
    </w:tblPr>
    <w:tblGrid>
      <w:gridCol w:w="8080"/>
      <w:gridCol w:w="709"/>
    </w:tblGrid>
    <w:tr w:rsidR="00023821" w14:paraId="0C8CFAC5" w14:textId="77777777" w:rsidTr="005563F2">
      <w:trPr>
        <w:cantSplit/>
      </w:trPr>
      <w:tc>
        <w:tcPr>
          <w:tcW w:w="8080" w:type="dxa"/>
          <w:vAlign w:val="center"/>
        </w:tcPr>
        <w:p w14:paraId="423E4EDF" w14:textId="77777777" w:rsidR="00023821" w:rsidRDefault="00023821" w:rsidP="00B84351">
          <w:pPr>
            <w:pStyle w:val="RectoFooter"/>
          </w:pPr>
          <w:r>
            <w:t>KIA KAHA, KIA māIA, KIA ORA AOTEAROA:</w:t>
          </w:r>
          <w:r>
            <w:br/>
            <w:t>COVID</w:t>
          </w:r>
          <w:r>
            <w:noBreakHyphen/>
            <w:t>19 PSYCHOSOCIAL AND MENTAL WELLBEING PLAN</w:t>
          </w:r>
        </w:p>
      </w:tc>
      <w:tc>
        <w:tcPr>
          <w:tcW w:w="709" w:type="dxa"/>
          <w:vAlign w:val="center"/>
        </w:tcPr>
        <w:p w14:paraId="6B6493F4" w14:textId="77777777" w:rsidR="00023821" w:rsidRPr="00931466" w:rsidRDefault="00023821" w:rsidP="006E2886">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33</w:t>
          </w:r>
          <w:r w:rsidRPr="00931466">
            <w:rPr>
              <w:rStyle w:val="PageNumber"/>
            </w:rPr>
            <w:fldChar w:fldCharType="end"/>
          </w:r>
        </w:p>
      </w:tc>
    </w:tr>
  </w:tbl>
  <w:p w14:paraId="177D0640" w14:textId="77777777" w:rsidR="00023821" w:rsidRPr="00581EB8" w:rsidRDefault="00023821" w:rsidP="00581EB8">
    <w:pPr>
      <w:pStyle w:val="Footer"/>
      <w:rPr>
        <w:sz w:val="2"/>
        <w:szCs w:val="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789" w:type="dxa"/>
      <w:tblInd w:w="11325" w:type="dxa"/>
      <w:tblLayout w:type="fixed"/>
      <w:tblCellMar>
        <w:left w:w="0" w:type="dxa"/>
        <w:right w:w="0" w:type="dxa"/>
      </w:tblCellMar>
      <w:tblLook w:val="04A0" w:firstRow="1" w:lastRow="0" w:firstColumn="1" w:lastColumn="0" w:noHBand="0" w:noVBand="1"/>
    </w:tblPr>
    <w:tblGrid>
      <w:gridCol w:w="8080"/>
      <w:gridCol w:w="709"/>
    </w:tblGrid>
    <w:tr w:rsidR="00023821" w14:paraId="49998B48" w14:textId="77777777" w:rsidTr="005563F2">
      <w:trPr>
        <w:cantSplit/>
      </w:trPr>
      <w:tc>
        <w:tcPr>
          <w:tcW w:w="8080" w:type="dxa"/>
          <w:vAlign w:val="center"/>
        </w:tcPr>
        <w:p w14:paraId="4B89026F" w14:textId="77777777" w:rsidR="00023821" w:rsidRDefault="00023821" w:rsidP="00B84351">
          <w:pPr>
            <w:pStyle w:val="RectoFooter"/>
          </w:pPr>
          <w:r>
            <w:t>KIA KAHA, KIA māIA, KIA ORA AOTEAROA:</w:t>
          </w:r>
          <w:r>
            <w:br/>
            <w:t>COVID</w:t>
          </w:r>
          <w:r>
            <w:noBreakHyphen/>
            <w:t>19 PSYCHOSOCIAL AND MENTAL WELLBEING PLAN</w:t>
          </w:r>
        </w:p>
      </w:tc>
      <w:tc>
        <w:tcPr>
          <w:tcW w:w="709" w:type="dxa"/>
          <w:vAlign w:val="center"/>
        </w:tcPr>
        <w:p w14:paraId="622F3F3A" w14:textId="77777777" w:rsidR="00023821" w:rsidRPr="00931466" w:rsidRDefault="00023821" w:rsidP="006E2886">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33</w:t>
          </w:r>
          <w:r w:rsidRPr="00931466">
            <w:rPr>
              <w:rStyle w:val="PageNumber"/>
            </w:rPr>
            <w:fldChar w:fldCharType="end"/>
          </w:r>
        </w:p>
      </w:tc>
    </w:tr>
  </w:tbl>
  <w:p w14:paraId="2281229F" w14:textId="77777777" w:rsidR="00023821" w:rsidRPr="00581EB8" w:rsidRDefault="00023821" w:rsidP="00581EB8">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4E3CDF" w14:textId="77777777" w:rsidR="008B32B0" w:rsidRPr="00A26E6B" w:rsidRDefault="008B32B0" w:rsidP="00A26E6B"/>
  </w:footnote>
  <w:footnote w:type="continuationSeparator" w:id="0">
    <w:p w14:paraId="4831E857" w14:textId="77777777" w:rsidR="008B32B0" w:rsidRDefault="008B32B0">
      <w:r>
        <w:continuationSeparator/>
      </w:r>
    </w:p>
    <w:p w14:paraId="3DAB3449" w14:textId="77777777" w:rsidR="008B32B0" w:rsidRDefault="008B32B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B370B7" w14:textId="5550D262" w:rsidR="00023821" w:rsidRDefault="000238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CAD5C5" w14:textId="18A3E31A" w:rsidR="00023821" w:rsidRDefault="0002382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51932A" w14:textId="21E124E3" w:rsidR="00023821" w:rsidRDefault="0002382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4C294A" w14:textId="1F5B70BF" w:rsidR="00023821" w:rsidRDefault="0002382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1B23C1" w14:textId="12011F30" w:rsidR="00023821" w:rsidRDefault="0002382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1F1015" w14:textId="624C2CB1" w:rsidR="00023821" w:rsidRDefault="000238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817C7"/>
    <w:multiLevelType w:val="multilevel"/>
    <w:tmpl w:val="7A1E5B02"/>
    <w:lvl w:ilvl="0">
      <w:start w:val="1"/>
      <w:numFmt w:val="decimal"/>
      <w:lvlText w:val="%1"/>
      <w:lvlJc w:val="left"/>
      <w:pPr>
        <w:ind w:left="992" w:hanging="992"/>
      </w:pPr>
      <w:rPr>
        <w:rFonts w:hint="default"/>
      </w:rPr>
    </w:lvl>
    <w:lvl w:ilvl="1">
      <w:start w:val="1"/>
      <w:numFmt w:val="lowerLetter"/>
      <w:lvlText w:val="%2."/>
      <w:lvlJc w:val="left"/>
      <w:pPr>
        <w:ind w:left="992" w:hanging="992"/>
      </w:pPr>
      <w:rPr>
        <w:rFonts w:hint="default"/>
      </w:rPr>
    </w:lvl>
    <w:lvl w:ilvl="2">
      <w:start w:val="1"/>
      <w:numFmt w:val="none"/>
      <w:pStyle w:val="Heading3"/>
      <w:suff w:val="nothing"/>
      <w:lvlText w:val="%3"/>
      <w:lvlJc w:val="left"/>
      <w:pPr>
        <w:ind w:left="0" w:firstLine="0"/>
      </w:pPr>
      <w:rPr>
        <w:rFonts w:hint="default"/>
      </w:rPr>
    </w:lvl>
    <w:lvl w:ilvl="3">
      <w:start w:val="1"/>
      <w:numFmt w:val="decimal"/>
      <w:pStyle w:val="Number"/>
      <w:lvlText w:val="%4."/>
      <w:lvlJc w:val="left"/>
      <w:pPr>
        <w:ind w:left="567" w:hanging="567"/>
      </w:pPr>
      <w:rPr>
        <w:rFonts w:hint="default"/>
      </w:rPr>
    </w:lvl>
    <w:lvl w:ilvl="4">
      <w:start w:val="1"/>
      <w:numFmt w:val="lowerLetter"/>
      <w:pStyle w:val="Letter"/>
      <w:lvlText w:val="%5."/>
      <w:lvlJc w:val="left"/>
      <w:pPr>
        <w:ind w:left="1134" w:hanging="567"/>
      </w:pPr>
      <w:rPr>
        <w:rFonts w:hint="default"/>
      </w:rPr>
    </w:lvl>
    <w:lvl w:ilvl="5">
      <w:start w:val="1"/>
      <w:numFmt w:val="lowerRoman"/>
      <w:pStyle w:val="Roman"/>
      <w:lvlText w:val="%6."/>
      <w:lvlJc w:val="left"/>
      <w:pPr>
        <w:ind w:left="1701"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42E1B55"/>
    <w:multiLevelType w:val="singleLevel"/>
    <w:tmpl w:val="9DA07F32"/>
    <w:lvl w:ilvl="0">
      <w:start w:val="1"/>
      <w:numFmt w:val="bullet"/>
      <w:pStyle w:val="TableBullet"/>
      <w:lvlText w:val=""/>
      <w:lvlJc w:val="left"/>
      <w:pPr>
        <w:tabs>
          <w:tab w:val="num" w:pos="284"/>
        </w:tabs>
        <w:ind w:left="284" w:hanging="284"/>
      </w:pPr>
      <w:rPr>
        <w:rFonts w:ascii="Symbol" w:hAnsi="Symbol" w:hint="default"/>
        <w:sz w:val="16"/>
        <w:szCs w:val="16"/>
      </w:rPr>
    </w:lvl>
  </w:abstractNum>
  <w:abstractNum w:abstractNumId="2" w15:restartNumberingAfterBreak="0">
    <w:nsid w:val="1FF235A7"/>
    <w:multiLevelType w:val="hybridMultilevel"/>
    <w:tmpl w:val="EF005784"/>
    <w:lvl w:ilvl="0" w:tplc="FB4A0902">
      <w:start w:val="1"/>
      <w:numFmt w:val="bullet"/>
      <w:pStyle w:val="Tablebullets"/>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21E910CC"/>
    <w:multiLevelType w:val="hybridMultilevel"/>
    <w:tmpl w:val="545222CA"/>
    <w:lvl w:ilvl="0" w:tplc="E4BA6324">
      <w:start w:val="1"/>
      <w:numFmt w:val="bullet"/>
      <w:lvlText w:val="•"/>
      <w:lvlJc w:val="left"/>
      <w:pPr>
        <w:tabs>
          <w:tab w:val="num" w:pos="720"/>
        </w:tabs>
        <w:ind w:left="720" w:hanging="360"/>
      </w:pPr>
      <w:rPr>
        <w:rFonts w:ascii="Arial" w:hAnsi="Arial" w:hint="default"/>
        <w:sz w:val="20"/>
      </w:rPr>
    </w:lvl>
    <w:lvl w:ilvl="1" w:tplc="F52C4F6E" w:tentative="1">
      <w:start w:val="1"/>
      <w:numFmt w:val="bullet"/>
      <w:lvlText w:val="•"/>
      <w:lvlJc w:val="left"/>
      <w:pPr>
        <w:tabs>
          <w:tab w:val="num" w:pos="1440"/>
        </w:tabs>
        <w:ind w:left="1440" w:hanging="360"/>
      </w:pPr>
      <w:rPr>
        <w:rFonts w:ascii="Arial" w:hAnsi="Arial" w:hint="default"/>
      </w:rPr>
    </w:lvl>
    <w:lvl w:ilvl="2" w:tplc="B8AAEB4C" w:tentative="1">
      <w:start w:val="1"/>
      <w:numFmt w:val="bullet"/>
      <w:lvlText w:val="•"/>
      <w:lvlJc w:val="left"/>
      <w:pPr>
        <w:tabs>
          <w:tab w:val="num" w:pos="2160"/>
        </w:tabs>
        <w:ind w:left="2160" w:hanging="360"/>
      </w:pPr>
      <w:rPr>
        <w:rFonts w:ascii="Arial" w:hAnsi="Arial" w:hint="default"/>
      </w:rPr>
    </w:lvl>
    <w:lvl w:ilvl="3" w:tplc="589CAA8E" w:tentative="1">
      <w:start w:val="1"/>
      <w:numFmt w:val="bullet"/>
      <w:lvlText w:val="•"/>
      <w:lvlJc w:val="left"/>
      <w:pPr>
        <w:tabs>
          <w:tab w:val="num" w:pos="2880"/>
        </w:tabs>
        <w:ind w:left="2880" w:hanging="360"/>
      </w:pPr>
      <w:rPr>
        <w:rFonts w:ascii="Arial" w:hAnsi="Arial" w:hint="default"/>
      </w:rPr>
    </w:lvl>
    <w:lvl w:ilvl="4" w:tplc="846493F8" w:tentative="1">
      <w:start w:val="1"/>
      <w:numFmt w:val="bullet"/>
      <w:lvlText w:val="•"/>
      <w:lvlJc w:val="left"/>
      <w:pPr>
        <w:tabs>
          <w:tab w:val="num" w:pos="3600"/>
        </w:tabs>
        <w:ind w:left="3600" w:hanging="360"/>
      </w:pPr>
      <w:rPr>
        <w:rFonts w:ascii="Arial" w:hAnsi="Arial" w:hint="default"/>
      </w:rPr>
    </w:lvl>
    <w:lvl w:ilvl="5" w:tplc="305CAE2E" w:tentative="1">
      <w:start w:val="1"/>
      <w:numFmt w:val="bullet"/>
      <w:lvlText w:val="•"/>
      <w:lvlJc w:val="left"/>
      <w:pPr>
        <w:tabs>
          <w:tab w:val="num" w:pos="4320"/>
        </w:tabs>
        <w:ind w:left="4320" w:hanging="360"/>
      </w:pPr>
      <w:rPr>
        <w:rFonts w:ascii="Arial" w:hAnsi="Arial" w:hint="default"/>
      </w:rPr>
    </w:lvl>
    <w:lvl w:ilvl="6" w:tplc="9A1A58DC" w:tentative="1">
      <w:start w:val="1"/>
      <w:numFmt w:val="bullet"/>
      <w:lvlText w:val="•"/>
      <w:lvlJc w:val="left"/>
      <w:pPr>
        <w:tabs>
          <w:tab w:val="num" w:pos="5040"/>
        </w:tabs>
        <w:ind w:left="5040" w:hanging="360"/>
      </w:pPr>
      <w:rPr>
        <w:rFonts w:ascii="Arial" w:hAnsi="Arial" w:hint="default"/>
      </w:rPr>
    </w:lvl>
    <w:lvl w:ilvl="7" w:tplc="4AF863B6" w:tentative="1">
      <w:start w:val="1"/>
      <w:numFmt w:val="bullet"/>
      <w:lvlText w:val="•"/>
      <w:lvlJc w:val="left"/>
      <w:pPr>
        <w:tabs>
          <w:tab w:val="num" w:pos="5760"/>
        </w:tabs>
        <w:ind w:left="5760" w:hanging="360"/>
      </w:pPr>
      <w:rPr>
        <w:rFonts w:ascii="Arial" w:hAnsi="Arial" w:hint="default"/>
      </w:rPr>
    </w:lvl>
    <w:lvl w:ilvl="8" w:tplc="99BA08C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3AE1442"/>
    <w:multiLevelType w:val="hybridMultilevel"/>
    <w:tmpl w:val="B226EBC0"/>
    <w:styleLink w:val="ImportedStyle18"/>
    <w:lvl w:ilvl="0" w:tplc="DD326F26">
      <w:start w:val="1"/>
      <w:numFmt w:val="bullet"/>
      <w:lvlText w:val="·"/>
      <w:lvlJc w:val="left"/>
      <w:pPr>
        <w:ind w:left="756" w:hanging="396"/>
      </w:pPr>
      <w:rPr>
        <w:rFonts w:ascii="Symbol" w:eastAsia="Symbol" w:hAnsi="Symbol" w:cs="Symbol"/>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17E29EC">
      <w:start w:val="1"/>
      <w:numFmt w:val="bullet"/>
      <w:lvlText w:val="o"/>
      <w:lvlJc w:val="left"/>
      <w:pPr>
        <w:ind w:left="1476" w:hanging="39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98695F0">
      <w:start w:val="1"/>
      <w:numFmt w:val="bullet"/>
      <w:lvlText w:val="▪"/>
      <w:lvlJc w:val="left"/>
      <w:pPr>
        <w:ind w:left="2196" w:hanging="39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45EA688">
      <w:start w:val="1"/>
      <w:numFmt w:val="bullet"/>
      <w:lvlText w:val="·"/>
      <w:lvlJc w:val="left"/>
      <w:pPr>
        <w:ind w:left="2916" w:hanging="396"/>
      </w:pPr>
      <w:rPr>
        <w:rFonts w:ascii="Symbol" w:eastAsia="Symbol" w:hAnsi="Symbol" w:cs="Symbol"/>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67646BC">
      <w:start w:val="1"/>
      <w:numFmt w:val="bullet"/>
      <w:lvlText w:val="o"/>
      <w:lvlJc w:val="left"/>
      <w:pPr>
        <w:ind w:left="3636" w:hanging="39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FCCF670">
      <w:start w:val="1"/>
      <w:numFmt w:val="bullet"/>
      <w:lvlText w:val="▪"/>
      <w:lvlJc w:val="left"/>
      <w:pPr>
        <w:ind w:left="4356" w:hanging="39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C0875D4">
      <w:start w:val="1"/>
      <w:numFmt w:val="bullet"/>
      <w:lvlText w:val="·"/>
      <w:lvlJc w:val="left"/>
      <w:pPr>
        <w:ind w:left="5076" w:hanging="396"/>
      </w:pPr>
      <w:rPr>
        <w:rFonts w:ascii="Symbol" w:eastAsia="Symbol" w:hAnsi="Symbol" w:cs="Symbol"/>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5F0E81E">
      <w:start w:val="1"/>
      <w:numFmt w:val="bullet"/>
      <w:lvlText w:val="o"/>
      <w:lvlJc w:val="left"/>
      <w:pPr>
        <w:ind w:left="5796" w:hanging="39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290AE06">
      <w:start w:val="1"/>
      <w:numFmt w:val="bullet"/>
      <w:lvlText w:val="▪"/>
      <w:lvlJc w:val="left"/>
      <w:pPr>
        <w:ind w:left="6516" w:hanging="39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3174597C"/>
    <w:multiLevelType w:val="multilevel"/>
    <w:tmpl w:val="CC66E496"/>
    <w:lvl w:ilvl="0">
      <w:start w:val="1"/>
      <w:numFmt w:val="decimal"/>
      <w:pStyle w:val="ReportBody-MOH"/>
      <w:lvlText w:val="%1"/>
      <w:lvlJc w:val="left"/>
      <w:pPr>
        <w:tabs>
          <w:tab w:val="num" w:pos="493"/>
        </w:tabs>
        <w:ind w:left="493" w:hanging="493"/>
      </w:pPr>
      <w:rPr>
        <w:rFonts w:hint="default"/>
      </w:rPr>
    </w:lvl>
    <w:lvl w:ilvl="1">
      <w:start w:val="1"/>
      <w:numFmt w:val="decimal"/>
      <w:lvlText w:val="%1.%2"/>
      <w:lvlJc w:val="left"/>
      <w:pPr>
        <w:tabs>
          <w:tab w:val="num" w:pos="493"/>
        </w:tabs>
        <w:ind w:left="987" w:hanging="494"/>
      </w:pPr>
      <w:rPr>
        <w:rFonts w:hint="default"/>
      </w:rPr>
    </w:lvl>
    <w:lvl w:ilvl="2">
      <w:start w:val="1"/>
      <w:numFmt w:val="decimal"/>
      <w:lvlText w:val="%1.%2.%3"/>
      <w:lvlJc w:val="left"/>
      <w:pPr>
        <w:tabs>
          <w:tab w:val="num" w:pos="1554"/>
        </w:tabs>
        <w:ind w:left="1554" w:hanging="567"/>
      </w:pPr>
      <w:rPr>
        <w:rFonts w:hint="default"/>
      </w:rPr>
    </w:lvl>
    <w:lvl w:ilvl="3">
      <w:start w:val="1"/>
      <w:numFmt w:val="decimal"/>
      <w:lvlText w:val="%1.%2.%3.%4."/>
      <w:lvlJc w:val="left"/>
      <w:pPr>
        <w:tabs>
          <w:tab w:val="num" w:pos="2133"/>
        </w:tabs>
        <w:ind w:left="1701" w:hanging="648"/>
      </w:pPr>
      <w:rPr>
        <w:rFonts w:hint="default"/>
      </w:rPr>
    </w:lvl>
    <w:lvl w:ilvl="4">
      <w:start w:val="1"/>
      <w:numFmt w:val="decimal"/>
      <w:lvlText w:val="%1.%2.%3.%4.%5."/>
      <w:lvlJc w:val="left"/>
      <w:pPr>
        <w:tabs>
          <w:tab w:val="num" w:pos="2493"/>
        </w:tabs>
        <w:ind w:left="2205" w:hanging="792"/>
      </w:pPr>
      <w:rPr>
        <w:rFonts w:hint="default"/>
      </w:rPr>
    </w:lvl>
    <w:lvl w:ilvl="5">
      <w:start w:val="1"/>
      <w:numFmt w:val="decimal"/>
      <w:lvlText w:val="%1.%2.%3.%4.%5.%6."/>
      <w:lvlJc w:val="left"/>
      <w:pPr>
        <w:tabs>
          <w:tab w:val="num" w:pos="3213"/>
        </w:tabs>
        <w:ind w:left="2709" w:hanging="936"/>
      </w:pPr>
      <w:rPr>
        <w:rFonts w:hint="default"/>
      </w:rPr>
    </w:lvl>
    <w:lvl w:ilvl="6">
      <w:start w:val="1"/>
      <w:numFmt w:val="decimal"/>
      <w:lvlText w:val="%1.%2.%3.%4.%5.%6.%7."/>
      <w:lvlJc w:val="left"/>
      <w:pPr>
        <w:tabs>
          <w:tab w:val="num" w:pos="3573"/>
        </w:tabs>
        <w:ind w:left="3213" w:hanging="1080"/>
      </w:pPr>
      <w:rPr>
        <w:rFonts w:hint="default"/>
      </w:rPr>
    </w:lvl>
    <w:lvl w:ilvl="7">
      <w:start w:val="1"/>
      <w:numFmt w:val="decimal"/>
      <w:lvlText w:val="%1.%2.%3.%4.%5.%6.%7.%8."/>
      <w:lvlJc w:val="left"/>
      <w:pPr>
        <w:tabs>
          <w:tab w:val="num" w:pos="4293"/>
        </w:tabs>
        <w:ind w:left="3717" w:hanging="1224"/>
      </w:pPr>
      <w:rPr>
        <w:rFonts w:hint="default"/>
      </w:rPr>
    </w:lvl>
    <w:lvl w:ilvl="8">
      <w:start w:val="1"/>
      <w:numFmt w:val="decimal"/>
      <w:lvlText w:val="%1.%2.%3.%4.%5.%6.%7.%8.%9."/>
      <w:lvlJc w:val="left"/>
      <w:pPr>
        <w:tabs>
          <w:tab w:val="num" w:pos="4653"/>
        </w:tabs>
        <w:ind w:left="4293" w:hanging="1440"/>
      </w:pPr>
      <w:rPr>
        <w:rFonts w:hint="default"/>
      </w:rPr>
    </w:lvl>
  </w:abstractNum>
  <w:abstractNum w:abstractNumId="6" w15:restartNumberingAfterBreak="0">
    <w:nsid w:val="38E4449D"/>
    <w:multiLevelType w:val="hybridMultilevel"/>
    <w:tmpl w:val="0A9C86EE"/>
    <w:lvl w:ilvl="0" w:tplc="E6A6F2F8">
      <w:start w:val="1"/>
      <w:numFmt w:val="bullet"/>
      <w:lvlText w:val="•"/>
      <w:lvlJc w:val="left"/>
      <w:pPr>
        <w:tabs>
          <w:tab w:val="num" w:pos="720"/>
        </w:tabs>
        <w:ind w:left="720" w:hanging="360"/>
      </w:pPr>
      <w:rPr>
        <w:rFonts w:ascii="Arial" w:hAnsi="Arial" w:hint="default"/>
      </w:rPr>
    </w:lvl>
    <w:lvl w:ilvl="1" w:tplc="A05EBE00" w:tentative="1">
      <w:start w:val="1"/>
      <w:numFmt w:val="bullet"/>
      <w:lvlText w:val="•"/>
      <w:lvlJc w:val="left"/>
      <w:pPr>
        <w:tabs>
          <w:tab w:val="num" w:pos="1440"/>
        </w:tabs>
        <w:ind w:left="1440" w:hanging="360"/>
      </w:pPr>
      <w:rPr>
        <w:rFonts w:ascii="Arial" w:hAnsi="Arial" w:hint="default"/>
      </w:rPr>
    </w:lvl>
    <w:lvl w:ilvl="2" w:tplc="B2AE4A06" w:tentative="1">
      <w:start w:val="1"/>
      <w:numFmt w:val="bullet"/>
      <w:lvlText w:val="•"/>
      <w:lvlJc w:val="left"/>
      <w:pPr>
        <w:tabs>
          <w:tab w:val="num" w:pos="2160"/>
        </w:tabs>
        <w:ind w:left="2160" w:hanging="360"/>
      </w:pPr>
      <w:rPr>
        <w:rFonts w:ascii="Arial" w:hAnsi="Arial" w:hint="default"/>
      </w:rPr>
    </w:lvl>
    <w:lvl w:ilvl="3" w:tplc="54FEF7A6" w:tentative="1">
      <w:start w:val="1"/>
      <w:numFmt w:val="bullet"/>
      <w:lvlText w:val="•"/>
      <w:lvlJc w:val="left"/>
      <w:pPr>
        <w:tabs>
          <w:tab w:val="num" w:pos="2880"/>
        </w:tabs>
        <w:ind w:left="2880" w:hanging="360"/>
      </w:pPr>
      <w:rPr>
        <w:rFonts w:ascii="Arial" w:hAnsi="Arial" w:hint="default"/>
      </w:rPr>
    </w:lvl>
    <w:lvl w:ilvl="4" w:tplc="296C9648" w:tentative="1">
      <w:start w:val="1"/>
      <w:numFmt w:val="bullet"/>
      <w:lvlText w:val="•"/>
      <w:lvlJc w:val="left"/>
      <w:pPr>
        <w:tabs>
          <w:tab w:val="num" w:pos="3600"/>
        </w:tabs>
        <w:ind w:left="3600" w:hanging="360"/>
      </w:pPr>
      <w:rPr>
        <w:rFonts w:ascii="Arial" w:hAnsi="Arial" w:hint="default"/>
      </w:rPr>
    </w:lvl>
    <w:lvl w:ilvl="5" w:tplc="C86A3712" w:tentative="1">
      <w:start w:val="1"/>
      <w:numFmt w:val="bullet"/>
      <w:lvlText w:val="•"/>
      <w:lvlJc w:val="left"/>
      <w:pPr>
        <w:tabs>
          <w:tab w:val="num" w:pos="4320"/>
        </w:tabs>
        <w:ind w:left="4320" w:hanging="360"/>
      </w:pPr>
      <w:rPr>
        <w:rFonts w:ascii="Arial" w:hAnsi="Arial" w:hint="default"/>
      </w:rPr>
    </w:lvl>
    <w:lvl w:ilvl="6" w:tplc="04488FFE" w:tentative="1">
      <w:start w:val="1"/>
      <w:numFmt w:val="bullet"/>
      <w:lvlText w:val="•"/>
      <w:lvlJc w:val="left"/>
      <w:pPr>
        <w:tabs>
          <w:tab w:val="num" w:pos="5040"/>
        </w:tabs>
        <w:ind w:left="5040" w:hanging="360"/>
      </w:pPr>
      <w:rPr>
        <w:rFonts w:ascii="Arial" w:hAnsi="Arial" w:hint="default"/>
      </w:rPr>
    </w:lvl>
    <w:lvl w:ilvl="7" w:tplc="920419A6" w:tentative="1">
      <w:start w:val="1"/>
      <w:numFmt w:val="bullet"/>
      <w:lvlText w:val="•"/>
      <w:lvlJc w:val="left"/>
      <w:pPr>
        <w:tabs>
          <w:tab w:val="num" w:pos="5760"/>
        </w:tabs>
        <w:ind w:left="5760" w:hanging="360"/>
      </w:pPr>
      <w:rPr>
        <w:rFonts w:ascii="Arial" w:hAnsi="Arial" w:hint="default"/>
      </w:rPr>
    </w:lvl>
    <w:lvl w:ilvl="8" w:tplc="3E0CD56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C0F54A1"/>
    <w:multiLevelType w:val="hybridMultilevel"/>
    <w:tmpl w:val="EC80B04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3CA71F78"/>
    <w:multiLevelType w:val="hybridMultilevel"/>
    <w:tmpl w:val="0D76E58A"/>
    <w:lvl w:ilvl="0" w:tplc="33A80CE8">
      <w:start w:val="1"/>
      <w:numFmt w:val="bullet"/>
      <w:pStyle w:val="Dash"/>
      <w:lvlText w:val="–"/>
      <w:lvlJc w:val="left"/>
      <w:pPr>
        <w:tabs>
          <w:tab w:val="num" w:pos="567"/>
        </w:tabs>
        <w:ind w:left="567" w:hanging="283"/>
      </w:pPr>
      <w:rPr>
        <w:rFonts w:ascii="Arial" w:hAnsi="Arial" w:hint="default"/>
        <w:b w:val="0"/>
        <w:i w:val="0"/>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00E20E8"/>
    <w:multiLevelType w:val="hybridMultilevel"/>
    <w:tmpl w:val="FD9CE56E"/>
    <w:lvl w:ilvl="0" w:tplc="84F4142A">
      <w:start w:val="1"/>
      <w:numFmt w:val="bullet"/>
      <w:pStyle w:val="TableDash"/>
      <w:lvlText w:val="–"/>
      <w:lvlJc w:val="left"/>
      <w:pPr>
        <w:tabs>
          <w:tab w:val="num" w:pos="567"/>
        </w:tabs>
        <w:ind w:left="567" w:hanging="283"/>
      </w:pPr>
      <w:rPr>
        <w:rFonts w:ascii="Arial Mäori" w:hAnsi="Arial Mäori"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B7415D8"/>
    <w:multiLevelType w:val="hybridMultilevel"/>
    <w:tmpl w:val="5F861616"/>
    <w:lvl w:ilvl="0" w:tplc="14090003">
      <w:start w:val="1"/>
      <w:numFmt w:val="bullet"/>
      <w:lvlText w:val="o"/>
      <w:lvlJc w:val="left"/>
      <w:pPr>
        <w:ind w:left="360" w:hanging="360"/>
      </w:pPr>
      <w:rPr>
        <w:rFonts w:ascii="Courier New" w:hAnsi="Courier New" w:cs="Courier New"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1" w15:restartNumberingAfterBreak="0">
    <w:nsid w:val="73112E45"/>
    <w:multiLevelType w:val="hybridMultilevel"/>
    <w:tmpl w:val="A1CA4BB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7C1218D3"/>
    <w:multiLevelType w:val="singleLevel"/>
    <w:tmpl w:val="F3A24B48"/>
    <w:lvl w:ilvl="0">
      <w:start w:val="1"/>
      <w:numFmt w:val="bullet"/>
      <w:pStyle w:val="Bullet"/>
      <w:lvlText w:val=""/>
      <w:lvlJc w:val="left"/>
      <w:pPr>
        <w:tabs>
          <w:tab w:val="num" w:pos="284"/>
        </w:tabs>
        <w:ind w:left="284" w:hanging="284"/>
      </w:pPr>
      <w:rPr>
        <w:rFonts w:ascii="Symbol" w:hAnsi="Symbol" w:hint="default"/>
        <w:color w:val="auto"/>
        <w:sz w:val="18"/>
      </w:rPr>
    </w:lvl>
  </w:abstractNum>
  <w:num w:numId="1">
    <w:abstractNumId w:val="12"/>
  </w:num>
  <w:num w:numId="2">
    <w:abstractNumId w:val="8"/>
  </w:num>
  <w:num w:numId="3">
    <w:abstractNumId w:val="9"/>
  </w:num>
  <w:num w:numId="4">
    <w:abstractNumId w:val="1"/>
  </w:num>
  <w:num w:numId="5">
    <w:abstractNumId w:val="0"/>
  </w:num>
  <w:num w:numId="6">
    <w:abstractNumId w:val="4"/>
  </w:num>
  <w:num w:numId="7">
    <w:abstractNumId w:val="11"/>
  </w:num>
  <w:num w:numId="8">
    <w:abstractNumId w:val="2"/>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num>
  <w:num w:numId="11">
    <w:abstractNumId w:val="1"/>
  </w:num>
  <w:num w:numId="12">
    <w:abstractNumId w:val="1"/>
  </w:num>
  <w:num w:numId="13">
    <w:abstractNumId w:val="10"/>
  </w:num>
  <w:num w:numId="14">
    <w:abstractNumId w:val="7"/>
  </w:num>
  <w:num w:numId="15">
    <w:abstractNumId w:val="5"/>
    <w:lvlOverride w:ilvl="0">
      <w:lvl w:ilvl="0">
        <w:start w:val="1"/>
        <w:numFmt w:val="decimal"/>
        <w:pStyle w:val="ReportBody-MOH"/>
        <w:lvlText w:val="%1."/>
        <w:lvlJc w:val="left"/>
        <w:pPr>
          <w:ind w:left="851" w:hanging="851"/>
        </w:pPr>
        <w:rPr>
          <w:rFonts w:hint="default"/>
          <w:i w:val="0"/>
          <w:color w:val="auto"/>
        </w:rPr>
      </w:lvl>
    </w:lvlOverride>
    <w:lvlOverride w:ilvl="1">
      <w:lvl w:ilvl="1">
        <w:start w:val="1"/>
        <w:numFmt w:val="lowerLetter"/>
        <w:lvlText w:val="%2."/>
        <w:lvlJc w:val="left"/>
        <w:pPr>
          <w:ind w:left="1276" w:hanging="425"/>
        </w:pPr>
        <w:rPr>
          <w:rFonts w:hint="default"/>
        </w:rPr>
      </w:lvl>
    </w:lvlOverride>
    <w:lvlOverride w:ilvl="2">
      <w:lvl w:ilvl="2">
        <w:start w:val="1"/>
        <w:numFmt w:val="lowerRoman"/>
        <w:lvlText w:val="%3."/>
        <w:lvlJc w:val="right"/>
        <w:pPr>
          <w:ind w:left="1800" w:hanging="180"/>
        </w:pPr>
        <w:rPr>
          <w:rFonts w:hint="default"/>
        </w:rPr>
      </w:lvl>
    </w:lvlOverride>
    <w:lvlOverride w:ilvl="3">
      <w:lvl w:ilvl="3">
        <w:start w:val="1"/>
        <w:numFmt w:val="decimal"/>
        <w:lvlText w:val="%4."/>
        <w:lvlJc w:val="left"/>
        <w:pPr>
          <w:ind w:left="2520" w:hanging="360"/>
        </w:pPr>
        <w:rPr>
          <w:rFonts w:hint="default"/>
        </w:rPr>
      </w:lvl>
    </w:lvlOverride>
    <w:lvlOverride w:ilvl="4">
      <w:lvl w:ilvl="4">
        <w:start w:val="1"/>
        <w:numFmt w:val="lowerLetter"/>
        <w:lvlText w:val="%5."/>
        <w:lvlJc w:val="left"/>
        <w:pPr>
          <w:ind w:left="3240" w:hanging="360"/>
        </w:pPr>
        <w:rPr>
          <w:rFonts w:hint="default"/>
        </w:rPr>
      </w:lvl>
    </w:lvlOverride>
    <w:lvlOverride w:ilvl="5">
      <w:lvl w:ilvl="5">
        <w:start w:val="1"/>
        <w:numFmt w:val="lowerRoman"/>
        <w:lvlText w:val="%6."/>
        <w:lvlJc w:val="right"/>
        <w:pPr>
          <w:ind w:left="3960" w:hanging="180"/>
        </w:pPr>
        <w:rPr>
          <w:rFonts w:hint="default"/>
        </w:rPr>
      </w:lvl>
    </w:lvlOverride>
    <w:lvlOverride w:ilvl="6">
      <w:lvl w:ilvl="6">
        <w:start w:val="1"/>
        <w:numFmt w:val="decimal"/>
        <w:lvlText w:val="%7."/>
        <w:lvlJc w:val="left"/>
        <w:pPr>
          <w:ind w:left="4680" w:hanging="360"/>
        </w:pPr>
        <w:rPr>
          <w:rFonts w:hint="default"/>
        </w:rPr>
      </w:lvl>
    </w:lvlOverride>
    <w:lvlOverride w:ilvl="7">
      <w:lvl w:ilvl="7">
        <w:start w:val="1"/>
        <w:numFmt w:val="lowerLetter"/>
        <w:lvlText w:val="%8."/>
        <w:lvlJc w:val="left"/>
        <w:pPr>
          <w:ind w:left="5400" w:hanging="360"/>
        </w:pPr>
        <w:rPr>
          <w:rFonts w:hint="default"/>
        </w:rPr>
      </w:lvl>
    </w:lvlOverride>
    <w:lvlOverride w:ilvl="8">
      <w:lvl w:ilvl="8">
        <w:start w:val="1"/>
        <w:numFmt w:val="lowerRoman"/>
        <w:lvlText w:val="%9."/>
        <w:lvlJc w:val="right"/>
        <w:pPr>
          <w:ind w:left="6120" w:hanging="180"/>
        </w:pPr>
        <w:rPr>
          <w:rFonts w:hint="default"/>
        </w:rPr>
      </w:lvl>
    </w:lvlOverride>
  </w:num>
  <w:num w:numId="16">
    <w:abstractNumId w:val="3"/>
  </w:num>
  <w:num w:numId="17">
    <w:abstractNumId w:val="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567"/>
  <w:evenAndOddHeaders/>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8EB"/>
    <w:rsid w:val="000025B8"/>
    <w:rsid w:val="00003BE2"/>
    <w:rsid w:val="0000460D"/>
    <w:rsid w:val="000048E4"/>
    <w:rsid w:val="00004929"/>
    <w:rsid w:val="00004C7D"/>
    <w:rsid w:val="0000506A"/>
    <w:rsid w:val="00005B4D"/>
    <w:rsid w:val="00005BB5"/>
    <w:rsid w:val="00005D22"/>
    <w:rsid w:val="0000624D"/>
    <w:rsid w:val="00006E21"/>
    <w:rsid w:val="0000782D"/>
    <w:rsid w:val="00007A7F"/>
    <w:rsid w:val="000106DD"/>
    <w:rsid w:val="00011859"/>
    <w:rsid w:val="00011DDB"/>
    <w:rsid w:val="00013995"/>
    <w:rsid w:val="00013BB7"/>
    <w:rsid w:val="00014A9A"/>
    <w:rsid w:val="00014BA7"/>
    <w:rsid w:val="00014DE6"/>
    <w:rsid w:val="000150FB"/>
    <w:rsid w:val="00015C88"/>
    <w:rsid w:val="00016310"/>
    <w:rsid w:val="00016483"/>
    <w:rsid w:val="0001709A"/>
    <w:rsid w:val="00017B1D"/>
    <w:rsid w:val="00017CAE"/>
    <w:rsid w:val="0002036A"/>
    <w:rsid w:val="00020908"/>
    <w:rsid w:val="00020AEF"/>
    <w:rsid w:val="00022EA1"/>
    <w:rsid w:val="000233C7"/>
    <w:rsid w:val="000236F6"/>
    <w:rsid w:val="00023821"/>
    <w:rsid w:val="00023AC3"/>
    <w:rsid w:val="00024D12"/>
    <w:rsid w:val="00024E33"/>
    <w:rsid w:val="00025A6F"/>
    <w:rsid w:val="00025D1D"/>
    <w:rsid w:val="0002618D"/>
    <w:rsid w:val="000262C4"/>
    <w:rsid w:val="00026C4B"/>
    <w:rsid w:val="000271A3"/>
    <w:rsid w:val="00030B26"/>
    <w:rsid w:val="00030E84"/>
    <w:rsid w:val="0003130C"/>
    <w:rsid w:val="0003163E"/>
    <w:rsid w:val="00031F67"/>
    <w:rsid w:val="00032C0A"/>
    <w:rsid w:val="000330E0"/>
    <w:rsid w:val="0003399B"/>
    <w:rsid w:val="000341C3"/>
    <w:rsid w:val="00034BB6"/>
    <w:rsid w:val="000351B7"/>
    <w:rsid w:val="00035257"/>
    <w:rsid w:val="00035313"/>
    <w:rsid w:val="00035D68"/>
    <w:rsid w:val="00036027"/>
    <w:rsid w:val="00036484"/>
    <w:rsid w:val="00037328"/>
    <w:rsid w:val="0004024D"/>
    <w:rsid w:val="00041485"/>
    <w:rsid w:val="0004272D"/>
    <w:rsid w:val="00042CE7"/>
    <w:rsid w:val="00042D0B"/>
    <w:rsid w:val="0004336D"/>
    <w:rsid w:val="00043AF7"/>
    <w:rsid w:val="000443F6"/>
    <w:rsid w:val="00044740"/>
    <w:rsid w:val="00044848"/>
    <w:rsid w:val="00045152"/>
    <w:rsid w:val="00045613"/>
    <w:rsid w:val="00045991"/>
    <w:rsid w:val="00046E0F"/>
    <w:rsid w:val="000473F3"/>
    <w:rsid w:val="00047899"/>
    <w:rsid w:val="000502DA"/>
    <w:rsid w:val="00051754"/>
    <w:rsid w:val="00051AB0"/>
    <w:rsid w:val="00052530"/>
    <w:rsid w:val="00052E24"/>
    <w:rsid w:val="00053921"/>
    <w:rsid w:val="00053F2F"/>
    <w:rsid w:val="000545A1"/>
    <w:rsid w:val="00054B44"/>
    <w:rsid w:val="00054EC0"/>
    <w:rsid w:val="0005649C"/>
    <w:rsid w:val="00056883"/>
    <w:rsid w:val="0006006B"/>
    <w:rsid w:val="00061A1D"/>
    <w:rsid w:val="00061EA1"/>
    <w:rsid w:val="0006228D"/>
    <w:rsid w:val="0006387F"/>
    <w:rsid w:val="00064E03"/>
    <w:rsid w:val="00065FFE"/>
    <w:rsid w:val="00067EB0"/>
    <w:rsid w:val="000700FC"/>
    <w:rsid w:val="0007094C"/>
    <w:rsid w:val="00072370"/>
    <w:rsid w:val="000724AA"/>
    <w:rsid w:val="000728F4"/>
    <w:rsid w:val="00072BD6"/>
    <w:rsid w:val="00073D77"/>
    <w:rsid w:val="00074382"/>
    <w:rsid w:val="00074BC9"/>
    <w:rsid w:val="00075026"/>
    <w:rsid w:val="00075B78"/>
    <w:rsid w:val="000763E9"/>
    <w:rsid w:val="00076801"/>
    <w:rsid w:val="00077319"/>
    <w:rsid w:val="00077D6E"/>
    <w:rsid w:val="00080DCD"/>
    <w:rsid w:val="00082CD6"/>
    <w:rsid w:val="0008311F"/>
    <w:rsid w:val="00083139"/>
    <w:rsid w:val="00083A46"/>
    <w:rsid w:val="00084297"/>
    <w:rsid w:val="0008437D"/>
    <w:rsid w:val="0008442B"/>
    <w:rsid w:val="0008505A"/>
    <w:rsid w:val="000850BB"/>
    <w:rsid w:val="0008557D"/>
    <w:rsid w:val="00085AFE"/>
    <w:rsid w:val="0008625B"/>
    <w:rsid w:val="00086A22"/>
    <w:rsid w:val="0008717F"/>
    <w:rsid w:val="00087B14"/>
    <w:rsid w:val="000901FB"/>
    <w:rsid w:val="000907BC"/>
    <w:rsid w:val="00090BA1"/>
    <w:rsid w:val="00091422"/>
    <w:rsid w:val="000917FA"/>
    <w:rsid w:val="00091BD6"/>
    <w:rsid w:val="00091BE6"/>
    <w:rsid w:val="00091E3D"/>
    <w:rsid w:val="000922EA"/>
    <w:rsid w:val="00093CE8"/>
    <w:rsid w:val="000943ED"/>
    <w:rsid w:val="00094800"/>
    <w:rsid w:val="0009580D"/>
    <w:rsid w:val="00095A11"/>
    <w:rsid w:val="0009641D"/>
    <w:rsid w:val="000968B0"/>
    <w:rsid w:val="00096DD9"/>
    <w:rsid w:val="00097746"/>
    <w:rsid w:val="00097AFD"/>
    <w:rsid w:val="000A0158"/>
    <w:rsid w:val="000A025A"/>
    <w:rsid w:val="000A15BD"/>
    <w:rsid w:val="000A1986"/>
    <w:rsid w:val="000A2819"/>
    <w:rsid w:val="000A2EF8"/>
    <w:rsid w:val="000A32E5"/>
    <w:rsid w:val="000A33B3"/>
    <w:rsid w:val="000A373D"/>
    <w:rsid w:val="000A3F07"/>
    <w:rsid w:val="000A41ED"/>
    <w:rsid w:val="000A614D"/>
    <w:rsid w:val="000A7434"/>
    <w:rsid w:val="000A7D2D"/>
    <w:rsid w:val="000A7EA5"/>
    <w:rsid w:val="000A7F4B"/>
    <w:rsid w:val="000A7F69"/>
    <w:rsid w:val="000B0730"/>
    <w:rsid w:val="000B0B86"/>
    <w:rsid w:val="000B17FC"/>
    <w:rsid w:val="000B1DAC"/>
    <w:rsid w:val="000B308A"/>
    <w:rsid w:val="000B382E"/>
    <w:rsid w:val="000B4416"/>
    <w:rsid w:val="000B47D4"/>
    <w:rsid w:val="000B6A03"/>
    <w:rsid w:val="000B75FA"/>
    <w:rsid w:val="000B79A4"/>
    <w:rsid w:val="000C04EC"/>
    <w:rsid w:val="000C0789"/>
    <w:rsid w:val="000C0E3B"/>
    <w:rsid w:val="000C0E92"/>
    <w:rsid w:val="000C1A1E"/>
    <w:rsid w:val="000C1D1B"/>
    <w:rsid w:val="000C1E08"/>
    <w:rsid w:val="000C2EC7"/>
    <w:rsid w:val="000C4778"/>
    <w:rsid w:val="000C638D"/>
    <w:rsid w:val="000C7CBA"/>
    <w:rsid w:val="000D039A"/>
    <w:rsid w:val="000D03E6"/>
    <w:rsid w:val="000D0493"/>
    <w:rsid w:val="000D04A3"/>
    <w:rsid w:val="000D154A"/>
    <w:rsid w:val="000D178A"/>
    <w:rsid w:val="000D19F4"/>
    <w:rsid w:val="000D1FD5"/>
    <w:rsid w:val="000D2228"/>
    <w:rsid w:val="000D4362"/>
    <w:rsid w:val="000D5402"/>
    <w:rsid w:val="000D58DD"/>
    <w:rsid w:val="000D5CEA"/>
    <w:rsid w:val="000D5EBF"/>
    <w:rsid w:val="000E0614"/>
    <w:rsid w:val="000E36AF"/>
    <w:rsid w:val="000E4627"/>
    <w:rsid w:val="000E4BFD"/>
    <w:rsid w:val="000E531F"/>
    <w:rsid w:val="000E58E8"/>
    <w:rsid w:val="000E602A"/>
    <w:rsid w:val="000E64DE"/>
    <w:rsid w:val="000E66BF"/>
    <w:rsid w:val="000E6FCB"/>
    <w:rsid w:val="000E7E5E"/>
    <w:rsid w:val="000E7EAF"/>
    <w:rsid w:val="000F0E3C"/>
    <w:rsid w:val="000F0E56"/>
    <w:rsid w:val="000F1F42"/>
    <w:rsid w:val="000F2AE2"/>
    <w:rsid w:val="000F2BFF"/>
    <w:rsid w:val="000F2EDA"/>
    <w:rsid w:val="000F3DB5"/>
    <w:rsid w:val="000F4C74"/>
    <w:rsid w:val="000F550E"/>
    <w:rsid w:val="000F5EC8"/>
    <w:rsid w:val="000F6A59"/>
    <w:rsid w:val="000F751F"/>
    <w:rsid w:val="000F7814"/>
    <w:rsid w:val="000F789A"/>
    <w:rsid w:val="000F7B21"/>
    <w:rsid w:val="00101AA6"/>
    <w:rsid w:val="00101AE3"/>
    <w:rsid w:val="00102063"/>
    <w:rsid w:val="0010238C"/>
    <w:rsid w:val="001032E4"/>
    <w:rsid w:val="00103B65"/>
    <w:rsid w:val="00104825"/>
    <w:rsid w:val="00104FAC"/>
    <w:rsid w:val="0010541C"/>
    <w:rsid w:val="00105667"/>
    <w:rsid w:val="00105770"/>
    <w:rsid w:val="00106F93"/>
    <w:rsid w:val="00107165"/>
    <w:rsid w:val="00107327"/>
    <w:rsid w:val="00107333"/>
    <w:rsid w:val="00107A79"/>
    <w:rsid w:val="0011020B"/>
    <w:rsid w:val="0011048A"/>
    <w:rsid w:val="001115CA"/>
    <w:rsid w:val="00111991"/>
    <w:rsid w:val="00111D50"/>
    <w:rsid w:val="0011203F"/>
    <w:rsid w:val="001123FF"/>
    <w:rsid w:val="0011337F"/>
    <w:rsid w:val="00113862"/>
    <w:rsid w:val="001139E2"/>
    <w:rsid w:val="00113B8E"/>
    <w:rsid w:val="0011449E"/>
    <w:rsid w:val="001150CD"/>
    <w:rsid w:val="00117F59"/>
    <w:rsid w:val="0012053C"/>
    <w:rsid w:val="0012084B"/>
    <w:rsid w:val="00122363"/>
    <w:rsid w:val="0012330A"/>
    <w:rsid w:val="00123F07"/>
    <w:rsid w:val="00124E38"/>
    <w:rsid w:val="001250EC"/>
    <w:rsid w:val="0012576A"/>
    <w:rsid w:val="00125D45"/>
    <w:rsid w:val="0012695B"/>
    <w:rsid w:val="00126E22"/>
    <w:rsid w:val="001279FA"/>
    <w:rsid w:val="0013073F"/>
    <w:rsid w:val="001308B2"/>
    <w:rsid w:val="00130AF2"/>
    <w:rsid w:val="00131343"/>
    <w:rsid w:val="00132962"/>
    <w:rsid w:val="001342C7"/>
    <w:rsid w:val="001343EA"/>
    <w:rsid w:val="00135250"/>
    <w:rsid w:val="0013585C"/>
    <w:rsid w:val="001363FC"/>
    <w:rsid w:val="00137FDA"/>
    <w:rsid w:val="00140581"/>
    <w:rsid w:val="00141B9D"/>
    <w:rsid w:val="00142261"/>
    <w:rsid w:val="001424EC"/>
    <w:rsid w:val="00142954"/>
    <w:rsid w:val="0014330B"/>
    <w:rsid w:val="0014360A"/>
    <w:rsid w:val="00143C68"/>
    <w:rsid w:val="00143E75"/>
    <w:rsid w:val="00144960"/>
    <w:rsid w:val="001455E0"/>
    <w:rsid w:val="001460E0"/>
    <w:rsid w:val="0014642E"/>
    <w:rsid w:val="00146EF5"/>
    <w:rsid w:val="001472F0"/>
    <w:rsid w:val="001474A4"/>
    <w:rsid w:val="00147735"/>
    <w:rsid w:val="00147783"/>
    <w:rsid w:val="00147F71"/>
    <w:rsid w:val="0015046A"/>
    <w:rsid w:val="00150A6E"/>
    <w:rsid w:val="00151B25"/>
    <w:rsid w:val="00151BE2"/>
    <w:rsid w:val="00151D83"/>
    <w:rsid w:val="00151D95"/>
    <w:rsid w:val="00152C33"/>
    <w:rsid w:val="0015387E"/>
    <w:rsid w:val="001551B1"/>
    <w:rsid w:val="00155619"/>
    <w:rsid w:val="00155C3C"/>
    <w:rsid w:val="00156113"/>
    <w:rsid w:val="0015628E"/>
    <w:rsid w:val="00156E0D"/>
    <w:rsid w:val="001570E8"/>
    <w:rsid w:val="00160D29"/>
    <w:rsid w:val="00161AFC"/>
    <w:rsid w:val="00162238"/>
    <w:rsid w:val="00162BC3"/>
    <w:rsid w:val="0016304B"/>
    <w:rsid w:val="0016318F"/>
    <w:rsid w:val="00163B21"/>
    <w:rsid w:val="001640E2"/>
    <w:rsid w:val="0016468A"/>
    <w:rsid w:val="00164918"/>
    <w:rsid w:val="00164BE3"/>
    <w:rsid w:val="001650F0"/>
    <w:rsid w:val="001656D9"/>
    <w:rsid w:val="0016598C"/>
    <w:rsid w:val="001660DA"/>
    <w:rsid w:val="00166AB6"/>
    <w:rsid w:val="001673CD"/>
    <w:rsid w:val="00167986"/>
    <w:rsid w:val="0017070E"/>
    <w:rsid w:val="00170FE3"/>
    <w:rsid w:val="001711B6"/>
    <w:rsid w:val="00171DB3"/>
    <w:rsid w:val="0017240E"/>
    <w:rsid w:val="00172819"/>
    <w:rsid w:val="00172A47"/>
    <w:rsid w:val="00172AF4"/>
    <w:rsid w:val="0017316A"/>
    <w:rsid w:val="00174F02"/>
    <w:rsid w:val="00174F0C"/>
    <w:rsid w:val="0017642D"/>
    <w:rsid w:val="00177485"/>
    <w:rsid w:val="001803C4"/>
    <w:rsid w:val="001803D6"/>
    <w:rsid w:val="00180C43"/>
    <w:rsid w:val="00180D76"/>
    <w:rsid w:val="0018112F"/>
    <w:rsid w:val="0018118A"/>
    <w:rsid w:val="00181C1D"/>
    <w:rsid w:val="001825B6"/>
    <w:rsid w:val="0018376C"/>
    <w:rsid w:val="00183B27"/>
    <w:rsid w:val="00183DF0"/>
    <w:rsid w:val="00183E20"/>
    <w:rsid w:val="0018468D"/>
    <w:rsid w:val="001865AC"/>
    <w:rsid w:val="0018662D"/>
    <w:rsid w:val="00187A4C"/>
    <w:rsid w:val="00190017"/>
    <w:rsid w:val="00190C91"/>
    <w:rsid w:val="00192620"/>
    <w:rsid w:val="00193A98"/>
    <w:rsid w:val="00193F0F"/>
    <w:rsid w:val="00195754"/>
    <w:rsid w:val="00196F4C"/>
    <w:rsid w:val="00197240"/>
    <w:rsid w:val="00197427"/>
    <w:rsid w:val="001A15B8"/>
    <w:rsid w:val="001A199F"/>
    <w:rsid w:val="001A1AD7"/>
    <w:rsid w:val="001A21B4"/>
    <w:rsid w:val="001A3E7A"/>
    <w:rsid w:val="001A4021"/>
    <w:rsid w:val="001A4222"/>
    <w:rsid w:val="001A4AC3"/>
    <w:rsid w:val="001A4D05"/>
    <w:rsid w:val="001A5394"/>
    <w:rsid w:val="001A550F"/>
    <w:rsid w:val="001A5B76"/>
    <w:rsid w:val="001A5CF5"/>
    <w:rsid w:val="001A6179"/>
    <w:rsid w:val="001A6BB5"/>
    <w:rsid w:val="001A7D13"/>
    <w:rsid w:val="001B0F6A"/>
    <w:rsid w:val="001B13B1"/>
    <w:rsid w:val="001B1EE8"/>
    <w:rsid w:val="001B383B"/>
    <w:rsid w:val="001B39D2"/>
    <w:rsid w:val="001B3F9B"/>
    <w:rsid w:val="001B4B47"/>
    <w:rsid w:val="001B4BF8"/>
    <w:rsid w:val="001B4C55"/>
    <w:rsid w:val="001B58E4"/>
    <w:rsid w:val="001B6F88"/>
    <w:rsid w:val="001B7494"/>
    <w:rsid w:val="001B7B14"/>
    <w:rsid w:val="001C09BE"/>
    <w:rsid w:val="001C14D0"/>
    <w:rsid w:val="001C172E"/>
    <w:rsid w:val="001C2D82"/>
    <w:rsid w:val="001C35A4"/>
    <w:rsid w:val="001C4326"/>
    <w:rsid w:val="001C4E3B"/>
    <w:rsid w:val="001C50B8"/>
    <w:rsid w:val="001C515D"/>
    <w:rsid w:val="001C58C3"/>
    <w:rsid w:val="001C5FB1"/>
    <w:rsid w:val="001C602D"/>
    <w:rsid w:val="001C665E"/>
    <w:rsid w:val="001C6761"/>
    <w:rsid w:val="001C6AE0"/>
    <w:rsid w:val="001C6D8D"/>
    <w:rsid w:val="001C795D"/>
    <w:rsid w:val="001C7C69"/>
    <w:rsid w:val="001D02C8"/>
    <w:rsid w:val="001D1006"/>
    <w:rsid w:val="001D1257"/>
    <w:rsid w:val="001D128B"/>
    <w:rsid w:val="001D1546"/>
    <w:rsid w:val="001D1859"/>
    <w:rsid w:val="001D308B"/>
    <w:rsid w:val="001D3401"/>
    <w:rsid w:val="001D3541"/>
    <w:rsid w:val="001D36F1"/>
    <w:rsid w:val="001D3E4E"/>
    <w:rsid w:val="001D4601"/>
    <w:rsid w:val="001D4D3E"/>
    <w:rsid w:val="001D519E"/>
    <w:rsid w:val="001D5A3D"/>
    <w:rsid w:val="001D5C2D"/>
    <w:rsid w:val="001D7F7C"/>
    <w:rsid w:val="001E0C5C"/>
    <w:rsid w:val="001E0CC4"/>
    <w:rsid w:val="001E122F"/>
    <w:rsid w:val="001E136C"/>
    <w:rsid w:val="001E254A"/>
    <w:rsid w:val="001E2708"/>
    <w:rsid w:val="001E2E36"/>
    <w:rsid w:val="001E36A9"/>
    <w:rsid w:val="001E3C01"/>
    <w:rsid w:val="001E455F"/>
    <w:rsid w:val="001E5B2D"/>
    <w:rsid w:val="001E6119"/>
    <w:rsid w:val="001E65A7"/>
    <w:rsid w:val="001E6684"/>
    <w:rsid w:val="001E6B18"/>
    <w:rsid w:val="001E7259"/>
    <w:rsid w:val="001E7386"/>
    <w:rsid w:val="001F0469"/>
    <w:rsid w:val="001F158B"/>
    <w:rsid w:val="001F1A28"/>
    <w:rsid w:val="001F2C84"/>
    <w:rsid w:val="001F3473"/>
    <w:rsid w:val="001F3748"/>
    <w:rsid w:val="001F3B9C"/>
    <w:rsid w:val="001F4202"/>
    <w:rsid w:val="001F45A7"/>
    <w:rsid w:val="001F5098"/>
    <w:rsid w:val="001F5E27"/>
    <w:rsid w:val="001F62D1"/>
    <w:rsid w:val="001F6303"/>
    <w:rsid w:val="001F6304"/>
    <w:rsid w:val="001F6790"/>
    <w:rsid w:val="001F68E6"/>
    <w:rsid w:val="001F6D1A"/>
    <w:rsid w:val="001F7530"/>
    <w:rsid w:val="001F75C6"/>
    <w:rsid w:val="00200105"/>
    <w:rsid w:val="0020027C"/>
    <w:rsid w:val="00200E46"/>
    <w:rsid w:val="00201227"/>
    <w:rsid w:val="00201A01"/>
    <w:rsid w:val="00201B52"/>
    <w:rsid w:val="00201DDE"/>
    <w:rsid w:val="00202215"/>
    <w:rsid w:val="00202365"/>
    <w:rsid w:val="002027E3"/>
    <w:rsid w:val="002050B1"/>
    <w:rsid w:val="0020532D"/>
    <w:rsid w:val="0020569B"/>
    <w:rsid w:val="00205D22"/>
    <w:rsid w:val="00206C00"/>
    <w:rsid w:val="00206D29"/>
    <w:rsid w:val="00206EA5"/>
    <w:rsid w:val="002070B0"/>
    <w:rsid w:val="0020754B"/>
    <w:rsid w:val="002104D3"/>
    <w:rsid w:val="00211149"/>
    <w:rsid w:val="002119F6"/>
    <w:rsid w:val="00211CF8"/>
    <w:rsid w:val="00213880"/>
    <w:rsid w:val="00213A33"/>
    <w:rsid w:val="00213A45"/>
    <w:rsid w:val="00213BF0"/>
    <w:rsid w:val="00213F64"/>
    <w:rsid w:val="002156DF"/>
    <w:rsid w:val="002165B1"/>
    <w:rsid w:val="002166CD"/>
    <w:rsid w:val="0021721E"/>
    <w:rsid w:val="00217303"/>
    <w:rsid w:val="0021763B"/>
    <w:rsid w:val="00217676"/>
    <w:rsid w:val="00217A7C"/>
    <w:rsid w:val="00217D17"/>
    <w:rsid w:val="002219C2"/>
    <w:rsid w:val="00222515"/>
    <w:rsid w:val="00223955"/>
    <w:rsid w:val="00223F83"/>
    <w:rsid w:val="00225E6A"/>
    <w:rsid w:val="002263DC"/>
    <w:rsid w:val="00227227"/>
    <w:rsid w:val="002274E3"/>
    <w:rsid w:val="0022758C"/>
    <w:rsid w:val="00227860"/>
    <w:rsid w:val="00230126"/>
    <w:rsid w:val="002304CA"/>
    <w:rsid w:val="002305BA"/>
    <w:rsid w:val="00230DDC"/>
    <w:rsid w:val="00230DF9"/>
    <w:rsid w:val="00231527"/>
    <w:rsid w:val="00231537"/>
    <w:rsid w:val="00231B45"/>
    <w:rsid w:val="00231F1C"/>
    <w:rsid w:val="00232400"/>
    <w:rsid w:val="00232430"/>
    <w:rsid w:val="00232C3E"/>
    <w:rsid w:val="00232C9C"/>
    <w:rsid w:val="00232E9F"/>
    <w:rsid w:val="00232ECC"/>
    <w:rsid w:val="00233633"/>
    <w:rsid w:val="00234176"/>
    <w:rsid w:val="002346DE"/>
    <w:rsid w:val="00234A5F"/>
    <w:rsid w:val="002352A6"/>
    <w:rsid w:val="0023537D"/>
    <w:rsid w:val="002356B8"/>
    <w:rsid w:val="00236558"/>
    <w:rsid w:val="002367C0"/>
    <w:rsid w:val="00236C54"/>
    <w:rsid w:val="00236D05"/>
    <w:rsid w:val="00236F3E"/>
    <w:rsid w:val="00237BDD"/>
    <w:rsid w:val="0024087A"/>
    <w:rsid w:val="00241463"/>
    <w:rsid w:val="002423F7"/>
    <w:rsid w:val="00242B4F"/>
    <w:rsid w:val="00243FDC"/>
    <w:rsid w:val="002441C2"/>
    <w:rsid w:val="002441D3"/>
    <w:rsid w:val="002445ED"/>
    <w:rsid w:val="00244CE0"/>
    <w:rsid w:val="00245748"/>
    <w:rsid w:val="00246952"/>
    <w:rsid w:val="00246DB1"/>
    <w:rsid w:val="00246E75"/>
    <w:rsid w:val="002476B5"/>
    <w:rsid w:val="00247799"/>
    <w:rsid w:val="00250CC3"/>
    <w:rsid w:val="002513DC"/>
    <w:rsid w:val="002516C5"/>
    <w:rsid w:val="00251FEB"/>
    <w:rsid w:val="002520CC"/>
    <w:rsid w:val="0025234A"/>
    <w:rsid w:val="00252FA1"/>
    <w:rsid w:val="00253ADD"/>
    <w:rsid w:val="00253ECF"/>
    <w:rsid w:val="00254044"/>
    <w:rsid w:val="002546A1"/>
    <w:rsid w:val="002548EC"/>
    <w:rsid w:val="0025493D"/>
    <w:rsid w:val="00255691"/>
    <w:rsid w:val="00255C48"/>
    <w:rsid w:val="00255EC8"/>
    <w:rsid w:val="00255F43"/>
    <w:rsid w:val="00256056"/>
    <w:rsid w:val="002560FC"/>
    <w:rsid w:val="00256134"/>
    <w:rsid w:val="002575E8"/>
    <w:rsid w:val="0025797D"/>
    <w:rsid w:val="00257EF1"/>
    <w:rsid w:val="0026001E"/>
    <w:rsid w:val="00260D91"/>
    <w:rsid w:val="0026127D"/>
    <w:rsid w:val="002615E4"/>
    <w:rsid w:val="00261E4B"/>
    <w:rsid w:val="002628F4"/>
    <w:rsid w:val="00262C4F"/>
    <w:rsid w:val="002632CD"/>
    <w:rsid w:val="002646D7"/>
    <w:rsid w:val="00264D72"/>
    <w:rsid w:val="00265CC4"/>
    <w:rsid w:val="00265D49"/>
    <w:rsid w:val="0026663F"/>
    <w:rsid w:val="00266A99"/>
    <w:rsid w:val="00267348"/>
    <w:rsid w:val="00267708"/>
    <w:rsid w:val="002677B3"/>
    <w:rsid w:val="00271298"/>
    <w:rsid w:val="002713D7"/>
    <w:rsid w:val="0027228C"/>
    <w:rsid w:val="0027292B"/>
    <w:rsid w:val="002736E8"/>
    <w:rsid w:val="002736FA"/>
    <w:rsid w:val="002742E1"/>
    <w:rsid w:val="00274468"/>
    <w:rsid w:val="00275D01"/>
    <w:rsid w:val="00275D08"/>
    <w:rsid w:val="002761FD"/>
    <w:rsid w:val="002767FD"/>
    <w:rsid w:val="00277538"/>
    <w:rsid w:val="00280423"/>
    <w:rsid w:val="002811B0"/>
    <w:rsid w:val="002816BB"/>
    <w:rsid w:val="00281DB6"/>
    <w:rsid w:val="00281F8A"/>
    <w:rsid w:val="002836B0"/>
    <w:rsid w:val="002839AF"/>
    <w:rsid w:val="00283B78"/>
    <w:rsid w:val="00284B1E"/>
    <w:rsid w:val="00284C3A"/>
    <w:rsid w:val="00284E15"/>
    <w:rsid w:val="002858E3"/>
    <w:rsid w:val="002860E9"/>
    <w:rsid w:val="00286965"/>
    <w:rsid w:val="00286BF9"/>
    <w:rsid w:val="00286D11"/>
    <w:rsid w:val="002870C9"/>
    <w:rsid w:val="00287586"/>
    <w:rsid w:val="0028765B"/>
    <w:rsid w:val="00287A0D"/>
    <w:rsid w:val="00290232"/>
    <w:rsid w:val="00290AAF"/>
    <w:rsid w:val="00290E5B"/>
    <w:rsid w:val="00291536"/>
    <w:rsid w:val="0029190A"/>
    <w:rsid w:val="00291CC5"/>
    <w:rsid w:val="00291EB8"/>
    <w:rsid w:val="00292C5A"/>
    <w:rsid w:val="002936EB"/>
    <w:rsid w:val="002945D5"/>
    <w:rsid w:val="0029512D"/>
    <w:rsid w:val="00295241"/>
    <w:rsid w:val="00296C62"/>
    <w:rsid w:val="002971DD"/>
    <w:rsid w:val="002A0209"/>
    <w:rsid w:val="002A03FA"/>
    <w:rsid w:val="002A13A1"/>
    <w:rsid w:val="002A1728"/>
    <w:rsid w:val="002A1FC6"/>
    <w:rsid w:val="002A2066"/>
    <w:rsid w:val="002A38C7"/>
    <w:rsid w:val="002A4DFC"/>
    <w:rsid w:val="002A5ADD"/>
    <w:rsid w:val="002A7578"/>
    <w:rsid w:val="002B047D"/>
    <w:rsid w:val="002B06B5"/>
    <w:rsid w:val="002B1367"/>
    <w:rsid w:val="002B2FDF"/>
    <w:rsid w:val="002B304C"/>
    <w:rsid w:val="002B373E"/>
    <w:rsid w:val="002B3BDD"/>
    <w:rsid w:val="002B3DF9"/>
    <w:rsid w:val="002B3E2B"/>
    <w:rsid w:val="002B41CD"/>
    <w:rsid w:val="002B48C6"/>
    <w:rsid w:val="002B4BA1"/>
    <w:rsid w:val="002B4C02"/>
    <w:rsid w:val="002B52B3"/>
    <w:rsid w:val="002B53A1"/>
    <w:rsid w:val="002B5EAE"/>
    <w:rsid w:val="002B68CE"/>
    <w:rsid w:val="002B6947"/>
    <w:rsid w:val="002B6E1E"/>
    <w:rsid w:val="002B70C6"/>
    <w:rsid w:val="002B723D"/>
    <w:rsid w:val="002B732B"/>
    <w:rsid w:val="002B76A7"/>
    <w:rsid w:val="002B7A2F"/>
    <w:rsid w:val="002B7A48"/>
    <w:rsid w:val="002B7BEC"/>
    <w:rsid w:val="002C0008"/>
    <w:rsid w:val="002C0650"/>
    <w:rsid w:val="002C2219"/>
    <w:rsid w:val="002C2552"/>
    <w:rsid w:val="002C2ADB"/>
    <w:rsid w:val="002C33AF"/>
    <w:rsid w:val="002C380A"/>
    <w:rsid w:val="002C4B71"/>
    <w:rsid w:val="002C5055"/>
    <w:rsid w:val="002C562D"/>
    <w:rsid w:val="002C5E36"/>
    <w:rsid w:val="002C60E8"/>
    <w:rsid w:val="002C6688"/>
    <w:rsid w:val="002C7373"/>
    <w:rsid w:val="002C7F7F"/>
    <w:rsid w:val="002D05E5"/>
    <w:rsid w:val="002D08C6"/>
    <w:rsid w:val="002D0DF2"/>
    <w:rsid w:val="002D23BD"/>
    <w:rsid w:val="002D2AAA"/>
    <w:rsid w:val="002D4169"/>
    <w:rsid w:val="002D4426"/>
    <w:rsid w:val="002D55CA"/>
    <w:rsid w:val="002D57E4"/>
    <w:rsid w:val="002D5A3C"/>
    <w:rsid w:val="002D5D76"/>
    <w:rsid w:val="002D7071"/>
    <w:rsid w:val="002D758E"/>
    <w:rsid w:val="002E0451"/>
    <w:rsid w:val="002E0525"/>
    <w:rsid w:val="002E07BF"/>
    <w:rsid w:val="002E0B47"/>
    <w:rsid w:val="002E0E70"/>
    <w:rsid w:val="002E2E5A"/>
    <w:rsid w:val="002E30BE"/>
    <w:rsid w:val="002E328D"/>
    <w:rsid w:val="002E32DC"/>
    <w:rsid w:val="002E36BE"/>
    <w:rsid w:val="002E39D0"/>
    <w:rsid w:val="002E4678"/>
    <w:rsid w:val="002E65A3"/>
    <w:rsid w:val="002E65B5"/>
    <w:rsid w:val="002E7517"/>
    <w:rsid w:val="002F0C9B"/>
    <w:rsid w:val="002F1792"/>
    <w:rsid w:val="002F17CF"/>
    <w:rsid w:val="002F1D82"/>
    <w:rsid w:val="002F2B80"/>
    <w:rsid w:val="002F3A0D"/>
    <w:rsid w:val="002F3F9C"/>
    <w:rsid w:val="002F4685"/>
    <w:rsid w:val="002F4775"/>
    <w:rsid w:val="002F584E"/>
    <w:rsid w:val="002F5A95"/>
    <w:rsid w:val="002F6735"/>
    <w:rsid w:val="002F69D1"/>
    <w:rsid w:val="002F6E53"/>
    <w:rsid w:val="002F7213"/>
    <w:rsid w:val="002F78BB"/>
    <w:rsid w:val="002F7C73"/>
    <w:rsid w:val="002F7CEA"/>
    <w:rsid w:val="00300374"/>
    <w:rsid w:val="003006D6"/>
    <w:rsid w:val="00300C5F"/>
    <w:rsid w:val="003014BC"/>
    <w:rsid w:val="00301961"/>
    <w:rsid w:val="003019AF"/>
    <w:rsid w:val="00302038"/>
    <w:rsid w:val="00303517"/>
    <w:rsid w:val="0030382F"/>
    <w:rsid w:val="00303914"/>
    <w:rsid w:val="0030408D"/>
    <w:rsid w:val="00304A8D"/>
    <w:rsid w:val="00304BCB"/>
    <w:rsid w:val="00304ECE"/>
    <w:rsid w:val="00305140"/>
    <w:rsid w:val="00305552"/>
    <w:rsid w:val="00305770"/>
    <w:rsid w:val="003060C0"/>
    <w:rsid w:val="003060E4"/>
    <w:rsid w:val="0030690B"/>
    <w:rsid w:val="00306917"/>
    <w:rsid w:val="00307F1E"/>
    <w:rsid w:val="00310F03"/>
    <w:rsid w:val="0031129B"/>
    <w:rsid w:val="003113F8"/>
    <w:rsid w:val="00311FFD"/>
    <w:rsid w:val="0031205A"/>
    <w:rsid w:val="00312218"/>
    <w:rsid w:val="003132B9"/>
    <w:rsid w:val="003133C5"/>
    <w:rsid w:val="0031370F"/>
    <w:rsid w:val="00313E3B"/>
    <w:rsid w:val="003160E7"/>
    <w:rsid w:val="0031739E"/>
    <w:rsid w:val="00317CFE"/>
    <w:rsid w:val="00317D02"/>
    <w:rsid w:val="00317DA3"/>
    <w:rsid w:val="00320679"/>
    <w:rsid w:val="00321381"/>
    <w:rsid w:val="0032289C"/>
    <w:rsid w:val="00322E23"/>
    <w:rsid w:val="00323115"/>
    <w:rsid w:val="003235B9"/>
    <w:rsid w:val="003235C6"/>
    <w:rsid w:val="003239A1"/>
    <w:rsid w:val="00323AAC"/>
    <w:rsid w:val="00323FCB"/>
    <w:rsid w:val="003259BD"/>
    <w:rsid w:val="00325E34"/>
    <w:rsid w:val="00326219"/>
    <w:rsid w:val="00327C1A"/>
    <w:rsid w:val="00327C1E"/>
    <w:rsid w:val="003309CA"/>
    <w:rsid w:val="00330FE5"/>
    <w:rsid w:val="00331B6F"/>
    <w:rsid w:val="003320D1"/>
    <w:rsid w:val="00332363"/>
    <w:rsid w:val="003325AB"/>
    <w:rsid w:val="00332855"/>
    <w:rsid w:val="003332D1"/>
    <w:rsid w:val="003335F0"/>
    <w:rsid w:val="003339A2"/>
    <w:rsid w:val="0033412B"/>
    <w:rsid w:val="00334191"/>
    <w:rsid w:val="0033448B"/>
    <w:rsid w:val="003362A6"/>
    <w:rsid w:val="003363E7"/>
    <w:rsid w:val="00336528"/>
    <w:rsid w:val="00336813"/>
    <w:rsid w:val="00336846"/>
    <w:rsid w:val="003374FC"/>
    <w:rsid w:val="00340214"/>
    <w:rsid w:val="003409B3"/>
    <w:rsid w:val="00341161"/>
    <w:rsid w:val="00342353"/>
    <w:rsid w:val="00343365"/>
    <w:rsid w:val="003435A2"/>
    <w:rsid w:val="003445F4"/>
    <w:rsid w:val="00344784"/>
    <w:rsid w:val="00344D67"/>
    <w:rsid w:val="00345368"/>
    <w:rsid w:val="00345BD1"/>
    <w:rsid w:val="0034663F"/>
    <w:rsid w:val="0034681C"/>
    <w:rsid w:val="00346940"/>
    <w:rsid w:val="00347453"/>
    <w:rsid w:val="003503F7"/>
    <w:rsid w:val="0035138D"/>
    <w:rsid w:val="00351801"/>
    <w:rsid w:val="00352EB3"/>
    <w:rsid w:val="00353501"/>
    <w:rsid w:val="00353734"/>
    <w:rsid w:val="003538D4"/>
    <w:rsid w:val="0035401C"/>
    <w:rsid w:val="00354F52"/>
    <w:rsid w:val="00355CE6"/>
    <w:rsid w:val="0035646F"/>
    <w:rsid w:val="0035662B"/>
    <w:rsid w:val="00356BA1"/>
    <w:rsid w:val="00356E09"/>
    <w:rsid w:val="003570AF"/>
    <w:rsid w:val="00357807"/>
    <w:rsid w:val="003600E3"/>
    <w:rsid w:val="003606F8"/>
    <w:rsid w:val="00362429"/>
    <w:rsid w:val="00362694"/>
    <w:rsid w:val="00362FA5"/>
    <w:rsid w:val="003632BD"/>
    <w:rsid w:val="0036338A"/>
    <w:rsid w:val="0036360F"/>
    <w:rsid w:val="00364483"/>
    <w:rsid w:val="003648EF"/>
    <w:rsid w:val="00365972"/>
    <w:rsid w:val="00365FC1"/>
    <w:rsid w:val="00366827"/>
    <w:rsid w:val="00366979"/>
    <w:rsid w:val="00366C45"/>
    <w:rsid w:val="003673E6"/>
    <w:rsid w:val="0036772C"/>
    <w:rsid w:val="00367C09"/>
    <w:rsid w:val="00370C43"/>
    <w:rsid w:val="00370CEF"/>
    <w:rsid w:val="00370D7C"/>
    <w:rsid w:val="00370EA5"/>
    <w:rsid w:val="00371879"/>
    <w:rsid w:val="00371C6A"/>
    <w:rsid w:val="00372A6C"/>
    <w:rsid w:val="00372AA7"/>
    <w:rsid w:val="00372B63"/>
    <w:rsid w:val="00373CEB"/>
    <w:rsid w:val="00373DF5"/>
    <w:rsid w:val="00375439"/>
    <w:rsid w:val="003755C7"/>
    <w:rsid w:val="003762E7"/>
    <w:rsid w:val="003768C9"/>
    <w:rsid w:val="00376F70"/>
    <w:rsid w:val="00377099"/>
    <w:rsid w:val="00377264"/>
    <w:rsid w:val="00377840"/>
    <w:rsid w:val="003779D2"/>
    <w:rsid w:val="00377C2C"/>
    <w:rsid w:val="00380647"/>
    <w:rsid w:val="00380D58"/>
    <w:rsid w:val="0038204C"/>
    <w:rsid w:val="0038208A"/>
    <w:rsid w:val="00382647"/>
    <w:rsid w:val="00383237"/>
    <w:rsid w:val="00385E38"/>
    <w:rsid w:val="00386B4D"/>
    <w:rsid w:val="00387A2A"/>
    <w:rsid w:val="003902C3"/>
    <w:rsid w:val="0039068B"/>
    <w:rsid w:val="00391E5F"/>
    <w:rsid w:val="00392022"/>
    <w:rsid w:val="00392897"/>
    <w:rsid w:val="00392AF8"/>
    <w:rsid w:val="00393C82"/>
    <w:rsid w:val="003947EF"/>
    <w:rsid w:val="00394C86"/>
    <w:rsid w:val="00395346"/>
    <w:rsid w:val="00395A2E"/>
    <w:rsid w:val="00396FE6"/>
    <w:rsid w:val="00397615"/>
    <w:rsid w:val="003A014C"/>
    <w:rsid w:val="003A0222"/>
    <w:rsid w:val="003A0585"/>
    <w:rsid w:val="003A0B04"/>
    <w:rsid w:val="003A1924"/>
    <w:rsid w:val="003A1A70"/>
    <w:rsid w:val="003A1DC5"/>
    <w:rsid w:val="003A211C"/>
    <w:rsid w:val="003A26A5"/>
    <w:rsid w:val="003A3761"/>
    <w:rsid w:val="003A3DE9"/>
    <w:rsid w:val="003A4923"/>
    <w:rsid w:val="003A512D"/>
    <w:rsid w:val="003A5FEA"/>
    <w:rsid w:val="003A67B7"/>
    <w:rsid w:val="003A710B"/>
    <w:rsid w:val="003B0053"/>
    <w:rsid w:val="003B0467"/>
    <w:rsid w:val="003B087D"/>
    <w:rsid w:val="003B0ACD"/>
    <w:rsid w:val="003B1280"/>
    <w:rsid w:val="003B1D10"/>
    <w:rsid w:val="003B1DC5"/>
    <w:rsid w:val="003B3056"/>
    <w:rsid w:val="003B337C"/>
    <w:rsid w:val="003B3384"/>
    <w:rsid w:val="003B3D9A"/>
    <w:rsid w:val="003B4588"/>
    <w:rsid w:val="003B54F4"/>
    <w:rsid w:val="003B5DB8"/>
    <w:rsid w:val="003B5FCB"/>
    <w:rsid w:val="003B5FF3"/>
    <w:rsid w:val="003B6549"/>
    <w:rsid w:val="003B707A"/>
    <w:rsid w:val="003B7106"/>
    <w:rsid w:val="003B7CAE"/>
    <w:rsid w:val="003C01BC"/>
    <w:rsid w:val="003C075A"/>
    <w:rsid w:val="003C0868"/>
    <w:rsid w:val="003C22B8"/>
    <w:rsid w:val="003C310C"/>
    <w:rsid w:val="003C384B"/>
    <w:rsid w:val="003C4555"/>
    <w:rsid w:val="003C4BF3"/>
    <w:rsid w:val="003C52CE"/>
    <w:rsid w:val="003C5308"/>
    <w:rsid w:val="003C5EAA"/>
    <w:rsid w:val="003C66F6"/>
    <w:rsid w:val="003C7341"/>
    <w:rsid w:val="003C76D4"/>
    <w:rsid w:val="003D0F77"/>
    <w:rsid w:val="003D137D"/>
    <w:rsid w:val="003D27BE"/>
    <w:rsid w:val="003D2CC5"/>
    <w:rsid w:val="003D3811"/>
    <w:rsid w:val="003D3E1B"/>
    <w:rsid w:val="003D3E5C"/>
    <w:rsid w:val="003D449B"/>
    <w:rsid w:val="003D518A"/>
    <w:rsid w:val="003D5455"/>
    <w:rsid w:val="003D59FC"/>
    <w:rsid w:val="003D5D79"/>
    <w:rsid w:val="003D7251"/>
    <w:rsid w:val="003D78A5"/>
    <w:rsid w:val="003E04BE"/>
    <w:rsid w:val="003E04C1"/>
    <w:rsid w:val="003E0887"/>
    <w:rsid w:val="003E0DF3"/>
    <w:rsid w:val="003E1D46"/>
    <w:rsid w:val="003E22EC"/>
    <w:rsid w:val="003E31D3"/>
    <w:rsid w:val="003E37A1"/>
    <w:rsid w:val="003E37C8"/>
    <w:rsid w:val="003E5387"/>
    <w:rsid w:val="003E5CEA"/>
    <w:rsid w:val="003E6521"/>
    <w:rsid w:val="003E68B7"/>
    <w:rsid w:val="003E6C70"/>
    <w:rsid w:val="003E74C8"/>
    <w:rsid w:val="003E74E2"/>
    <w:rsid w:val="003E7C46"/>
    <w:rsid w:val="003F1BC8"/>
    <w:rsid w:val="003F2106"/>
    <w:rsid w:val="003F257C"/>
    <w:rsid w:val="003F3CA4"/>
    <w:rsid w:val="003F42D5"/>
    <w:rsid w:val="003F52A7"/>
    <w:rsid w:val="003F5766"/>
    <w:rsid w:val="003F5B46"/>
    <w:rsid w:val="003F5D83"/>
    <w:rsid w:val="003F6208"/>
    <w:rsid w:val="003F6371"/>
    <w:rsid w:val="003F66D4"/>
    <w:rsid w:val="003F6F90"/>
    <w:rsid w:val="003F7013"/>
    <w:rsid w:val="003F7F6A"/>
    <w:rsid w:val="004004C7"/>
    <w:rsid w:val="00400647"/>
    <w:rsid w:val="004007F4"/>
    <w:rsid w:val="00400F49"/>
    <w:rsid w:val="0040240C"/>
    <w:rsid w:val="0040320C"/>
    <w:rsid w:val="00404B40"/>
    <w:rsid w:val="0040664D"/>
    <w:rsid w:val="00406E64"/>
    <w:rsid w:val="00410088"/>
    <w:rsid w:val="004100A7"/>
    <w:rsid w:val="004109C0"/>
    <w:rsid w:val="00410C74"/>
    <w:rsid w:val="00411375"/>
    <w:rsid w:val="00411588"/>
    <w:rsid w:val="00412036"/>
    <w:rsid w:val="00412C1B"/>
    <w:rsid w:val="00412C6B"/>
    <w:rsid w:val="00413021"/>
    <w:rsid w:val="00413191"/>
    <w:rsid w:val="004148C1"/>
    <w:rsid w:val="00414AB7"/>
    <w:rsid w:val="00414C35"/>
    <w:rsid w:val="004154D0"/>
    <w:rsid w:val="004159A3"/>
    <w:rsid w:val="004171B7"/>
    <w:rsid w:val="00417E3E"/>
    <w:rsid w:val="00420890"/>
    <w:rsid w:val="00420CC9"/>
    <w:rsid w:val="004218B8"/>
    <w:rsid w:val="00421C59"/>
    <w:rsid w:val="004225EB"/>
    <w:rsid w:val="004230AF"/>
    <w:rsid w:val="004232B0"/>
    <w:rsid w:val="004242A5"/>
    <w:rsid w:val="0042451C"/>
    <w:rsid w:val="0042489B"/>
    <w:rsid w:val="00424D97"/>
    <w:rsid w:val="004252E4"/>
    <w:rsid w:val="004252FB"/>
    <w:rsid w:val="00425911"/>
    <w:rsid w:val="00425B39"/>
    <w:rsid w:val="00425E00"/>
    <w:rsid w:val="004267F3"/>
    <w:rsid w:val="00426EEA"/>
    <w:rsid w:val="00427131"/>
    <w:rsid w:val="00427443"/>
    <w:rsid w:val="004301C6"/>
    <w:rsid w:val="0043246D"/>
    <w:rsid w:val="004331C9"/>
    <w:rsid w:val="004341DC"/>
    <w:rsid w:val="0043478F"/>
    <w:rsid w:val="00434CB6"/>
    <w:rsid w:val="00434F9C"/>
    <w:rsid w:val="0043500B"/>
    <w:rsid w:val="004355A2"/>
    <w:rsid w:val="004357E3"/>
    <w:rsid w:val="00435968"/>
    <w:rsid w:val="00435FD1"/>
    <w:rsid w:val="0043602B"/>
    <w:rsid w:val="004367D2"/>
    <w:rsid w:val="0043681E"/>
    <w:rsid w:val="00437EE4"/>
    <w:rsid w:val="004406A3"/>
    <w:rsid w:val="0044070B"/>
    <w:rsid w:val="00440BE0"/>
    <w:rsid w:val="00440FF8"/>
    <w:rsid w:val="00442A06"/>
    <w:rsid w:val="00442B1F"/>
    <w:rsid w:val="00442C1C"/>
    <w:rsid w:val="00443371"/>
    <w:rsid w:val="0044355E"/>
    <w:rsid w:val="004441EB"/>
    <w:rsid w:val="0044569B"/>
    <w:rsid w:val="0044584B"/>
    <w:rsid w:val="004471C0"/>
    <w:rsid w:val="00447445"/>
    <w:rsid w:val="00447CB7"/>
    <w:rsid w:val="00451DA3"/>
    <w:rsid w:val="00453344"/>
    <w:rsid w:val="004539F1"/>
    <w:rsid w:val="004541BC"/>
    <w:rsid w:val="00454264"/>
    <w:rsid w:val="004553EF"/>
    <w:rsid w:val="00455CC9"/>
    <w:rsid w:val="00456451"/>
    <w:rsid w:val="00460826"/>
    <w:rsid w:val="004609D3"/>
    <w:rsid w:val="00460B1E"/>
    <w:rsid w:val="00460EA7"/>
    <w:rsid w:val="0046195B"/>
    <w:rsid w:val="0046362D"/>
    <w:rsid w:val="00463FCE"/>
    <w:rsid w:val="00464001"/>
    <w:rsid w:val="00464D8A"/>
    <w:rsid w:val="00465625"/>
    <w:rsid w:val="00465665"/>
    <w:rsid w:val="00465724"/>
    <w:rsid w:val="0046596D"/>
    <w:rsid w:val="00465AA9"/>
    <w:rsid w:val="00465D8C"/>
    <w:rsid w:val="0046790F"/>
    <w:rsid w:val="00470A87"/>
    <w:rsid w:val="00471CC3"/>
    <w:rsid w:val="00472F6A"/>
    <w:rsid w:val="00473EC7"/>
    <w:rsid w:val="00474604"/>
    <w:rsid w:val="00474902"/>
    <w:rsid w:val="004749DA"/>
    <w:rsid w:val="00474BCA"/>
    <w:rsid w:val="00474D25"/>
    <w:rsid w:val="00474DFB"/>
    <w:rsid w:val="0047501F"/>
    <w:rsid w:val="00475834"/>
    <w:rsid w:val="0047594F"/>
    <w:rsid w:val="00475FBF"/>
    <w:rsid w:val="0047621C"/>
    <w:rsid w:val="0047664F"/>
    <w:rsid w:val="00476DBC"/>
    <w:rsid w:val="00476ECC"/>
    <w:rsid w:val="0047752A"/>
    <w:rsid w:val="0047773F"/>
    <w:rsid w:val="00480195"/>
    <w:rsid w:val="004808C0"/>
    <w:rsid w:val="0048119F"/>
    <w:rsid w:val="0048280D"/>
    <w:rsid w:val="00482A25"/>
    <w:rsid w:val="00482D36"/>
    <w:rsid w:val="00483229"/>
    <w:rsid w:val="004852AB"/>
    <w:rsid w:val="00485432"/>
    <w:rsid w:val="00485CAA"/>
    <w:rsid w:val="00487061"/>
    <w:rsid w:val="00487240"/>
    <w:rsid w:val="004873AC"/>
    <w:rsid w:val="004874FF"/>
    <w:rsid w:val="00487C04"/>
    <w:rsid w:val="0049030E"/>
    <w:rsid w:val="004907E1"/>
    <w:rsid w:val="00491C31"/>
    <w:rsid w:val="004920FA"/>
    <w:rsid w:val="00494749"/>
    <w:rsid w:val="00494C8E"/>
    <w:rsid w:val="00494FE8"/>
    <w:rsid w:val="004962AF"/>
    <w:rsid w:val="00496501"/>
    <w:rsid w:val="004968E3"/>
    <w:rsid w:val="00497A02"/>
    <w:rsid w:val="00497CE8"/>
    <w:rsid w:val="004A00F9"/>
    <w:rsid w:val="004A035B"/>
    <w:rsid w:val="004A1887"/>
    <w:rsid w:val="004A1A1E"/>
    <w:rsid w:val="004A2108"/>
    <w:rsid w:val="004A3747"/>
    <w:rsid w:val="004A38D7"/>
    <w:rsid w:val="004A5034"/>
    <w:rsid w:val="004A560B"/>
    <w:rsid w:val="004A6337"/>
    <w:rsid w:val="004A6C24"/>
    <w:rsid w:val="004A7380"/>
    <w:rsid w:val="004A778C"/>
    <w:rsid w:val="004B0831"/>
    <w:rsid w:val="004B0B83"/>
    <w:rsid w:val="004B0E2A"/>
    <w:rsid w:val="004B14DD"/>
    <w:rsid w:val="004B20A4"/>
    <w:rsid w:val="004B25FB"/>
    <w:rsid w:val="004B48C7"/>
    <w:rsid w:val="004B4BEB"/>
    <w:rsid w:val="004B5649"/>
    <w:rsid w:val="004B59B4"/>
    <w:rsid w:val="004C00D6"/>
    <w:rsid w:val="004C0445"/>
    <w:rsid w:val="004C0EB3"/>
    <w:rsid w:val="004C0EDB"/>
    <w:rsid w:val="004C1C41"/>
    <w:rsid w:val="004C1C51"/>
    <w:rsid w:val="004C2367"/>
    <w:rsid w:val="004C2A15"/>
    <w:rsid w:val="004C2E6A"/>
    <w:rsid w:val="004C2FA4"/>
    <w:rsid w:val="004C3110"/>
    <w:rsid w:val="004C4803"/>
    <w:rsid w:val="004C4899"/>
    <w:rsid w:val="004C4AB5"/>
    <w:rsid w:val="004C53CC"/>
    <w:rsid w:val="004C552B"/>
    <w:rsid w:val="004C5790"/>
    <w:rsid w:val="004C5C66"/>
    <w:rsid w:val="004C64B8"/>
    <w:rsid w:val="004C71B2"/>
    <w:rsid w:val="004D028A"/>
    <w:rsid w:val="004D1559"/>
    <w:rsid w:val="004D186F"/>
    <w:rsid w:val="004D20E9"/>
    <w:rsid w:val="004D299E"/>
    <w:rsid w:val="004D2A2D"/>
    <w:rsid w:val="004D2CB0"/>
    <w:rsid w:val="004D359C"/>
    <w:rsid w:val="004D479F"/>
    <w:rsid w:val="004D48E8"/>
    <w:rsid w:val="004D526D"/>
    <w:rsid w:val="004D58DD"/>
    <w:rsid w:val="004D5AC7"/>
    <w:rsid w:val="004D663A"/>
    <w:rsid w:val="004D6689"/>
    <w:rsid w:val="004D6908"/>
    <w:rsid w:val="004D6E13"/>
    <w:rsid w:val="004D6E5F"/>
    <w:rsid w:val="004D784F"/>
    <w:rsid w:val="004E1767"/>
    <w:rsid w:val="004E1CC8"/>
    <w:rsid w:val="004E1D1D"/>
    <w:rsid w:val="004E265D"/>
    <w:rsid w:val="004E2873"/>
    <w:rsid w:val="004E31DF"/>
    <w:rsid w:val="004E3351"/>
    <w:rsid w:val="004E4DD0"/>
    <w:rsid w:val="004E5B84"/>
    <w:rsid w:val="004E5BAD"/>
    <w:rsid w:val="004E5E29"/>
    <w:rsid w:val="004E66C0"/>
    <w:rsid w:val="004E6F7F"/>
    <w:rsid w:val="004E7AC8"/>
    <w:rsid w:val="004E7DEB"/>
    <w:rsid w:val="004F05F4"/>
    <w:rsid w:val="004F096E"/>
    <w:rsid w:val="004F0C94"/>
    <w:rsid w:val="004F0E72"/>
    <w:rsid w:val="004F0F60"/>
    <w:rsid w:val="004F0F8C"/>
    <w:rsid w:val="004F11E9"/>
    <w:rsid w:val="004F2000"/>
    <w:rsid w:val="004F29F7"/>
    <w:rsid w:val="004F2EB1"/>
    <w:rsid w:val="004F2EDE"/>
    <w:rsid w:val="004F33E3"/>
    <w:rsid w:val="004F563B"/>
    <w:rsid w:val="004F6905"/>
    <w:rsid w:val="004F6D0C"/>
    <w:rsid w:val="004F6FE5"/>
    <w:rsid w:val="004F70FE"/>
    <w:rsid w:val="004F75D6"/>
    <w:rsid w:val="0050052E"/>
    <w:rsid w:val="0050070E"/>
    <w:rsid w:val="005007A0"/>
    <w:rsid w:val="00500BD2"/>
    <w:rsid w:val="005010CA"/>
    <w:rsid w:val="005015B4"/>
    <w:rsid w:val="005019AE"/>
    <w:rsid w:val="00502787"/>
    <w:rsid w:val="00502FFD"/>
    <w:rsid w:val="00503173"/>
    <w:rsid w:val="00503749"/>
    <w:rsid w:val="00503D59"/>
    <w:rsid w:val="005041D2"/>
    <w:rsid w:val="0050440D"/>
    <w:rsid w:val="00504CF4"/>
    <w:rsid w:val="0050635B"/>
    <w:rsid w:val="005075B3"/>
    <w:rsid w:val="00507D70"/>
    <w:rsid w:val="00510055"/>
    <w:rsid w:val="00511BD8"/>
    <w:rsid w:val="00512503"/>
    <w:rsid w:val="00513DFB"/>
    <w:rsid w:val="005151C2"/>
    <w:rsid w:val="00517A76"/>
    <w:rsid w:val="005207B8"/>
    <w:rsid w:val="005210E4"/>
    <w:rsid w:val="005220A9"/>
    <w:rsid w:val="00522C46"/>
    <w:rsid w:val="00522CD8"/>
    <w:rsid w:val="005235F9"/>
    <w:rsid w:val="00524014"/>
    <w:rsid w:val="00524092"/>
    <w:rsid w:val="005249E2"/>
    <w:rsid w:val="005255BB"/>
    <w:rsid w:val="00526589"/>
    <w:rsid w:val="005275E8"/>
    <w:rsid w:val="005309FE"/>
    <w:rsid w:val="00530D43"/>
    <w:rsid w:val="00531231"/>
    <w:rsid w:val="0053199F"/>
    <w:rsid w:val="00531C1C"/>
    <w:rsid w:val="00531E12"/>
    <w:rsid w:val="0053225E"/>
    <w:rsid w:val="0053248A"/>
    <w:rsid w:val="00532679"/>
    <w:rsid w:val="00533A2F"/>
    <w:rsid w:val="00533B90"/>
    <w:rsid w:val="00533EBE"/>
    <w:rsid w:val="00533F96"/>
    <w:rsid w:val="00535736"/>
    <w:rsid w:val="00535D26"/>
    <w:rsid w:val="00535D76"/>
    <w:rsid w:val="00535FD8"/>
    <w:rsid w:val="005363DC"/>
    <w:rsid w:val="00536A25"/>
    <w:rsid w:val="0053763B"/>
    <w:rsid w:val="00540948"/>
    <w:rsid w:val="00541086"/>
    <w:rsid w:val="005410F8"/>
    <w:rsid w:val="00541EA5"/>
    <w:rsid w:val="00541F7B"/>
    <w:rsid w:val="00543043"/>
    <w:rsid w:val="0054312D"/>
    <w:rsid w:val="005448EC"/>
    <w:rsid w:val="00544CAE"/>
    <w:rsid w:val="00545963"/>
    <w:rsid w:val="00547F7F"/>
    <w:rsid w:val="0055003A"/>
    <w:rsid w:val="00550256"/>
    <w:rsid w:val="00550BF9"/>
    <w:rsid w:val="00551E63"/>
    <w:rsid w:val="00552585"/>
    <w:rsid w:val="0055305A"/>
    <w:rsid w:val="00553165"/>
    <w:rsid w:val="005535E9"/>
    <w:rsid w:val="0055374A"/>
    <w:rsid w:val="00553795"/>
    <w:rsid w:val="00553958"/>
    <w:rsid w:val="005563F2"/>
    <w:rsid w:val="005565F2"/>
    <w:rsid w:val="00556BB7"/>
    <w:rsid w:val="00557328"/>
    <w:rsid w:val="0055763D"/>
    <w:rsid w:val="00560688"/>
    <w:rsid w:val="005607C7"/>
    <w:rsid w:val="00561237"/>
    <w:rsid w:val="00561516"/>
    <w:rsid w:val="00561E36"/>
    <w:rsid w:val="005621F2"/>
    <w:rsid w:val="00562726"/>
    <w:rsid w:val="00563433"/>
    <w:rsid w:val="0056590C"/>
    <w:rsid w:val="00565925"/>
    <w:rsid w:val="00565BB2"/>
    <w:rsid w:val="005666F9"/>
    <w:rsid w:val="00566BFD"/>
    <w:rsid w:val="00566EC1"/>
    <w:rsid w:val="005678F6"/>
    <w:rsid w:val="00567B58"/>
    <w:rsid w:val="00571223"/>
    <w:rsid w:val="00573025"/>
    <w:rsid w:val="00573EDD"/>
    <w:rsid w:val="00574588"/>
    <w:rsid w:val="00574AE8"/>
    <w:rsid w:val="005761AC"/>
    <w:rsid w:val="005763E0"/>
    <w:rsid w:val="0057653D"/>
    <w:rsid w:val="005769D2"/>
    <w:rsid w:val="00576BCD"/>
    <w:rsid w:val="005777F1"/>
    <w:rsid w:val="0058042C"/>
    <w:rsid w:val="00581136"/>
    <w:rsid w:val="00581B19"/>
    <w:rsid w:val="00581E71"/>
    <w:rsid w:val="00581EB8"/>
    <w:rsid w:val="005821C2"/>
    <w:rsid w:val="00582CFA"/>
    <w:rsid w:val="00583537"/>
    <w:rsid w:val="005839E7"/>
    <w:rsid w:val="00583ABA"/>
    <w:rsid w:val="0058437F"/>
    <w:rsid w:val="00584C6E"/>
    <w:rsid w:val="00585AA6"/>
    <w:rsid w:val="00585E96"/>
    <w:rsid w:val="00586574"/>
    <w:rsid w:val="0058675A"/>
    <w:rsid w:val="005916F0"/>
    <w:rsid w:val="005926EF"/>
    <w:rsid w:val="00593A08"/>
    <w:rsid w:val="00594443"/>
    <w:rsid w:val="0059464F"/>
    <w:rsid w:val="0059490B"/>
    <w:rsid w:val="00595F82"/>
    <w:rsid w:val="0059635F"/>
    <w:rsid w:val="0059697B"/>
    <w:rsid w:val="00596D23"/>
    <w:rsid w:val="005979F5"/>
    <w:rsid w:val="00597EBC"/>
    <w:rsid w:val="005A0937"/>
    <w:rsid w:val="005A11FE"/>
    <w:rsid w:val="005A20D6"/>
    <w:rsid w:val="005A23C2"/>
    <w:rsid w:val="005A27CA"/>
    <w:rsid w:val="005A31A3"/>
    <w:rsid w:val="005A322D"/>
    <w:rsid w:val="005A3476"/>
    <w:rsid w:val="005A34A9"/>
    <w:rsid w:val="005A397A"/>
    <w:rsid w:val="005A3D41"/>
    <w:rsid w:val="005A43BD"/>
    <w:rsid w:val="005A52CD"/>
    <w:rsid w:val="005A546D"/>
    <w:rsid w:val="005A61A2"/>
    <w:rsid w:val="005A65EB"/>
    <w:rsid w:val="005A6962"/>
    <w:rsid w:val="005A79E5"/>
    <w:rsid w:val="005A7A93"/>
    <w:rsid w:val="005B0BAC"/>
    <w:rsid w:val="005B0FAB"/>
    <w:rsid w:val="005B1201"/>
    <w:rsid w:val="005B2BD2"/>
    <w:rsid w:val="005B3A92"/>
    <w:rsid w:val="005B42FD"/>
    <w:rsid w:val="005B441E"/>
    <w:rsid w:val="005B5035"/>
    <w:rsid w:val="005B5C0B"/>
    <w:rsid w:val="005B63D9"/>
    <w:rsid w:val="005B7922"/>
    <w:rsid w:val="005B795C"/>
    <w:rsid w:val="005B7A42"/>
    <w:rsid w:val="005C0DDA"/>
    <w:rsid w:val="005C3033"/>
    <w:rsid w:val="005C361F"/>
    <w:rsid w:val="005C4F6F"/>
    <w:rsid w:val="005C5753"/>
    <w:rsid w:val="005C7170"/>
    <w:rsid w:val="005C71F7"/>
    <w:rsid w:val="005C7C59"/>
    <w:rsid w:val="005D034C"/>
    <w:rsid w:val="005D2075"/>
    <w:rsid w:val="005D2D16"/>
    <w:rsid w:val="005D4249"/>
    <w:rsid w:val="005D5051"/>
    <w:rsid w:val="005D531E"/>
    <w:rsid w:val="005D594D"/>
    <w:rsid w:val="005D5987"/>
    <w:rsid w:val="005D5FC0"/>
    <w:rsid w:val="005D75F2"/>
    <w:rsid w:val="005E02AE"/>
    <w:rsid w:val="005E1697"/>
    <w:rsid w:val="005E193A"/>
    <w:rsid w:val="005E1B3F"/>
    <w:rsid w:val="005E1E7B"/>
    <w:rsid w:val="005E226E"/>
    <w:rsid w:val="005E2636"/>
    <w:rsid w:val="005E33B6"/>
    <w:rsid w:val="005E3D94"/>
    <w:rsid w:val="005E4080"/>
    <w:rsid w:val="005E4160"/>
    <w:rsid w:val="005E4DC8"/>
    <w:rsid w:val="005E4F7A"/>
    <w:rsid w:val="005E5111"/>
    <w:rsid w:val="005E574C"/>
    <w:rsid w:val="005E5EE5"/>
    <w:rsid w:val="005E60A3"/>
    <w:rsid w:val="005E6640"/>
    <w:rsid w:val="005E68D2"/>
    <w:rsid w:val="005F05AC"/>
    <w:rsid w:val="005F1D1C"/>
    <w:rsid w:val="005F2BA5"/>
    <w:rsid w:val="005F355D"/>
    <w:rsid w:val="005F3A2E"/>
    <w:rsid w:val="005F4C5F"/>
    <w:rsid w:val="005F59AF"/>
    <w:rsid w:val="005F63E2"/>
    <w:rsid w:val="005F6CAE"/>
    <w:rsid w:val="005F755C"/>
    <w:rsid w:val="005F77AC"/>
    <w:rsid w:val="00600D0E"/>
    <w:rsid w:val="006011F4"/>
    <w:rsid w:val="006015D7"/>
    <w:rsid w:val="00601B21"/>
    <w:rsid w:val="00601DAC"/>
    <w:rsid w:val="00601F6E"/>
    <w:rsid w:val="0060236A"/>
    <w:rsid w:val="006037C9"/>
    <w:rsid w:val="006041F0"/>
    <w:rsid w:val="006044BA"/>
    <w:rsid w:val="00605C6D"/>
    <w:rsid w:val="00606525"/>
    <w:rsid w:val="006068E7"/>
    <w:rsid w:val="00606B5E"/>
    <w:rsid w:val="00607318"/>
    <w:rsid w:val="00607B7E"/>
    <w:rsid w:val="00607F47"/>
    <w:rsid w:val="00610426"/>
    <w:rsid w:val="006105D1"/>
    <w:rsid w:val="00611953"/>
    <w:rsid w:val="006120CA"/>
    <w:rsid w:val="00612EB2"/>
    <w:rsid w:val="00613443"/>
    <w:rsid w:val="00613D54"/>
    <w:rsid w:val="0061443A"/>
    <w:rsid w:val="00614A88"/>
    <w:rsid w:val="0061505B"/>
    <w:rsid w:val="0061518E"/>
    <w:rsid w:val="00615E75"/>
    <w:rsid w:val="0061615A"/>
    <w:rsid w:val="006166C3"/>
    <w:rsid w:val="00616BDF"/>
    <w:rsid w:val="0061742F"/>
    <w:rsid w:val="00617AB7"/>
    <w:rsid w:val="00617BD6"/>
    <w:rsid w:val="00617C23"/>
    <w:rsid w:val="0062031C"/>
    <w:rsid w:val="0062093B"/>
    <w:rsid w:val="00620C78"/>
    <w:rsid w:val="00620F2F"/>
    <w:rsid w:val="00621007"/>
    <w:rsid w:val="00621B90"/>
    <w:rsid w:val="00621E55"/>
    <w:rsid w:val="00624174"/>
    <w:rsid w:val="006260D0"/>
    <w:rsid w:val="006266EC"/>
    <w:rsid w:val="00626BE5"/>
    <w:rsid w:val="00626CF8"/>
    <w:rsid w:val="00626F9D"/>
    <w:rsid w:val="0062733C"/>
    <w:rsid w:val="006276E1"/>
    <w:rsid w:val="00627C8D"/>
    <w:rsid w:val="006305DD"/>
    <w:rsid w:val="00630E46"/>
    <w:rsid w:val="00631075"/>
    <w:rsid w:val="006314AF"/>
    <w:rsid w:val="00631AE2"/>
    <w:rsid w:val="00631C2C"/>
    <w:rsid w:val="00631EDD"/>
    <w:rsid w:val="006320AE"/>
    <w:rsid w:val="006323C3"/>
    <w:rsid w:val="00633B55"/>
    <w:rsid w:val="00634003"/>
    <w:rsid w:val="00634029"/>
    <w:rsid w:val="0063410B"/>
    <w:rsid w:val="00634CB3"/>
    <w:rsid w:val="00634ED8"/>
    <w:rsid w:val="0063515E"/>
    <w:rsid w:val="00635CF9"/>
    <w:rsid w:val="00635ECD"/>
    <w:rsid w:val="00636260"/>
    <w:rsid w:val="00636501"/>
    <w:rsid w:val="006367DC"/>
    <w:rsid w:val="00636D7D"/>
    <w:rsid w:val="00637408"/>
    <w:rsid w:val="00637A07"/>
    <w:rsid w:val="00637CA7"/>
    <w:rsid w:val="0064006A"/>
    <w:rsid w:val="0064023D"/>
    <w:rsid w:val="00640535"/>
    <w:rsid w:val="00640D52"/>
    <w:rsid w:val="00640DE1"/>
    <w:rsid w:val="00641372"/>
    <w:rsid w:val="006422B9"/>
    <w:rsid w:val="006424E1"/>
    <w:rsid w:val="00642868"/>
    <w:rsid w:val="0064317F"/>
    <w:rsid w:val="006431F8"/>
    <w:rsid w:val="0064409D"/>
    <w:rsid w:val="006444A8"/>
    <w:rsid w:val="00645266"/>
    <w:rsid w:val="00645413"/>
    <w:rsid w:val="00647AFE"/>
    <w:rsid w:val="00650417"/>
    <w:rsid w:val="00650760"/>
    <w:rsid w:val="00650F90"/>
    <w:rsid w:val="006512BC"/>
    <w:rsid w:val="006512CD"/>
    <w:rsid w:val="00651A12"/>
    <w:rsid w:val="00653A5A"/>
    <w:rsid w:val="006543F2"/>
    <w:rsid w:val="006549D9"/>
    <w:rsid w:val="00654F53"/>
    <w:rsid w:val="006550AF"/>
    <w:rsid w:val="006554AC"/>
    <w:rsid w:val="00656544"/>
    <w:rsid w:val="0065661C"/>
    <w:rsid w:val="00656A03"/>
    <w:rsid w:val="00656F28"/>
    <w:rsid w:val="00657289"/>
    <w:rsid w:val="006575F4"/>
    <w:rsid w:val="0065794D"/>
    <w:rsid w:val="006579D3"/>
    <w:rsid w:val="006579E6"/>
    <w:rsid w:val="00660682"/>
    <w:rsid w:val="00660727"/>
    <w:rsid w:val="00660F74"/>
    <w:rsid w:val="00661BE4"/>
    <w:rsid w:val="00661E42"/>
    <w:rsid w:val="006628B9"/>
    <w:rsid w:val="00662F67"/>
    <w:rsid w:val="00663372"/>
    <w:rsid w:val="0066341A"/>
    <w:rsid w:val="00663EDC"/>
    <w:rsid w:val="00664193"/>
    <w:rsid w:val="00664B84"/>
    <w:rsid w:val="0066596D"/>
    <w:rsid w:val="0066658C"/>
    <w:rsid w:val="00666656"/>
    <w:rsid w:val="00667A01"/>
    <w:rsid w:val="00667B2C"/>
    <w:rsid w:val="00670FB5"/>
    <w:rsid w:val="00671078"/>
    <w:rsid w:val="006717F2"/>
    <w:rsid w:val="006727CD"/>
    <w:rsid w:val="00673637"/>
    <w:rsid w:val="00674584"/>
    <w:rsid w:val="00674829"/>
    <w:rsid w:val="0067514D"/>
    <w:rsid w:val="006758CA"/>
    <w:rsid w:val="00675D25"/>
    <w:rsid w:val="0067664A"/>
    <w:rsid w:val="00677C5D"/>
    <w:rsid w:val="006803CA"/>
    <w:rsid w:val="00680634"/>
    <w:rsid w:val="00680A04"/>
    <w:rsid w:val="00680C99"/>
    <w:rsid w:val="0068154D"/>
    <w:rsid w:val="00681CE9"/>
    <w:rsid w:val="00682369"/>
    <w:rsid w:val="00683FF4"/>
    <w:rsid w:val="00684197"/>
    <w:rsid w:val="006843CC"/>
    <w:rsid w:val="00684736"/>
    <w:rsid w:val="00684CF4"/>
    <w:rsid w:val="006864E3"/>
    <w:rsid w:val="00686D80"/>
    <w:rsid w:val="00687288"/>
    <w:rsid w:val="006908C4"/>
    <w:rsid w:val="006909E0"/>
    <w:rsid w:val="00691387"/>
    <w:rsid w:val="00691801"/>
    <w:rsid w:val="00692428"/>
    <w:rsid w:val="00692CAB"/>
    <w:rsid w:val="00692DE0"/>
    <w:rsid w:val="006932FB"/>
    <w:rsid w:val="00693592"/>
    <w:rsid w:val="006938C1"/>
    <w:rsid w:val="006941DF"/>
    <w:rsid w:val="00694895"/>
    <w:rsid w:val="00694E53"/>
    <w:rsid w:val="006951E3"/>
    <w:rsid w:val="00695AB8"/>
    <w:rsid w:val="00696473"/>
    <w:rsid w:val="00696F38"/>
    <w:rsid w:val="00696F83"/>
    <w:rsid w:val="006972D8"/>
    <w:rsid w:val="006972E3"/>
    <w:rsid w:val="006976EB"/>
    <w:rsid w:val="00697CF3"/>
    <w:rsid w:val="00697E2E"/>
    <w:rsid w:val="006A037B"/>
    <w:rsid w:val="006A1B08"/>
    <w:rsid w:val="006A1D94"/>
    <w:rsid w:val="006A1EFB"/>
    <w:rsid w:val="006A25A2"/>
    <w:rsid w:val="006A38D4"/>
    <w:rsid w:val="006A3B87"/>
    <w:rsid w:val="006A43C4"/>
    <w:rsid w:val="006A45AE"/>
    <w:rsid w:val="006A49FA"/>
    <w:rsid w:val="006A55A3"/>
    <w:rsid w:val="006A57AA"/>
    <w:rsid w:val="006A5945"/>
    <w:rsid w:val="006A6214"/>
    <w:rsid w:val="006A6F2E"/>
    <w:rsid w:val="006A7618"/>
    <w:rsid w:val="006B0A88"/>
    <w:rsid w:val="006B0C13"/>
    <w:rsid w:val="006B0E73"/>
    <w:rsid w:val="006B1369"/>
    <w:rsid w:val="006B1E3D"/>
    <w:rsid w:val="006B22F4"/>
    <w:rsid w:val="006B2474"/>
    <w:rsid w:val="006B35CF"/>
    <w:rsid w:val="006B43BD"/>
    <w:rsid w:val="006B4A4D"/>
    <w:rsid w:val="006B4D4F"/>
    <w:rsid w:val="006B5569"/>
    <w:rsid w:val="006B5695"/>
    <w:rsid w:val="006B59EE"/>
    <w:rsid w:val="006B6056"/>
    <w:rsid w:val="006B62E6"/>
    <w:rsid w:val="006B710A"/>
    <w:rsid w:val="006B71BB"/>
    <w:rsid w:val="006B7B2E"/>
    <w:rsid w:val="006C0834"/>
    <w:rsid w:val="006C0E5B"/>
    <w:rsid w:val="006C162C"/>
    <w:rsid w:val="006C21DC"/>
    <w:rsid w:val="006C26E7"/>
    <w:rsid w:val="006C2AAA"/>
    <w:rsid w:val="006C305C"/>
    <w:rsid w:val="006C309A"/>
    <w:rsid w:val="006C35EC"/>
    <w:rsid w:val="006C3C92"/>
    <w:rsid w:val="006C41ED"/>
    <w:rsid w:val="006C4BE0"/>
    <w:rsid w:val="006C511D"/>
    <w:rsid w:val="006C535B"/>
    <w:rsid w:val="006C6A12"/>
    <w:rsid w:val="006C6B15"/>
    <w:rsid w:val="006C76F2"/>
    <w:rsid w:val="006C78EB"/>
    <w:rsid w:val="006D0176"/>
    <w:rsid w:val="006D05F7"/>
    <w:rsid w:val="006D06DF"/>
    <w:rsid w:val="006D0D8C"/>
    <w:rsid w:val="006D1660"/>
    <w:rsid w:val="006D27CF"/>
    <w:rsid w:val="006D2AA9"/>
    <w:rsid w:val="006D4C5A"/>
    <w:rsid w:val="006D50D6"/>
    <w:rsid w:val="006D53E7"/>
    <w:rsid w:val="006D577B"/>
    <w:rsid w:val="006D5C52"/>
    <w:rsid w:val="006D62A7"/>
    <w:rsid w:val="006D63E5"/>
    <w:rsid w:val="006D742E"/>
    <w:rsid w:val="006E0447"/>
    <w:rsid w:val="006E0DCB"/>
    <w:rsid w:val="006E1753"/>
    <w:rsid w:val="006E22D4"/>
    <w:rsid w:val="006E2886"/>
    <w:rsid w:val="006E3911"/>
    <w:rsid w:val="006E3ED3"/>
    <w:rsid w:val="006E48EA"/>
    <w:rsid w:val="006E4EC1"/>
    <w:rsid w:val="006E64F3"/>
    <w:rsid w:val="006E69F4"/>
    <w:rsid w:val="006F00CE"/>
    <w:rsid w:val="006F1046"/>
    <w:rsid w:val="006F179A"/>
    <w:rsid w:val="006F17C0"/>
    <w:rsid w:val="006F1B67"/>
    <w:rsid w:val="006F22A7"/>
    <w:rsid w:val="006F32FC"/>
    <w:rsid w:val="006F394F"/>
    <w:rsid w:val="006F45A1"/>
    <w:rsid w:val="006F4D9C"/>
    <w:rsid w:val="006F57DF"/>
    <w:rsid w:val="006F5893"/>
    <w:rsid w:val="006F7305"/>
    <w:rsid w:val="007008E9"/>
    <w:rsid w:val="0070091D"/>
    <w:rsid w:val="00701CB1"/>
    <w:rsid w:val="007023CE"/>
    <w:rsid w:val="00702854"/>
    <w:rsid w:val="00702945"/>
    <w:rsid w:val="00702A86"/>
    <w:rsid w:val="00703D17"/>
    <w:rsid w:val="00704D1F"/>
    <w:rsid w:val="0070588D"/>
    <w:rsid w:val="007062D7"/>
    <w:rsid w:val="007077DA"/>
    <w:rsid w:val="00707A02"/>
    <w:rsid w:val="00707A72"/>
    <w:rsid w:val="00707DD0"/>
    <w:rsid w:val="00710A67"/>
    <w:rsid w:val="00710B35"/>
    <w:rsid w:val="00710E24"/>
    <w:rsid w:val="00710EC4"/>
    <w:rsid w:val="007119A8"/>
    <w:rsid w:val="00711C93"/>
    <w:rsid w:val="0071277E"/>
    <w:rsid w:val="00712EFE"/>
    <w:rsid w:val="00713C67"/>
    <w:rsid w:val="00713CB5"/>
    <w:rsid w:val="00714E3D"/>
    <w:rsid w:val="00715CF7"/>
    <w:rsid w:val="0071630A"/>
    <w:rsid w:val="0071686D"/>
    <w:rsid w:val="00716878"/>
    <w:rsid w:val="00716CC9"/>
    <w:rsid w:val="007172E7"/>
    <w:rsid w:val="0071741C"/>
    <w:rsid w:val="00720134"/>
    <w:rsid w:val="007203F1"/>
    <w:rsid w:val="00720476"/>
    <w:rsid w:val="00720623"/>
    <w:rsid w:val="00721C2F"/>
    <w:rsid w:val="00722B0C"/>
    <w:rsid w:val="00724F47"/>
    <w:rsid w:val="00725154"/>
    <w:rsid w:val="0072530E"/>
    <w:rsid w:val="007270F9"/>
    <w:rsid w:val="00727E0A"/>
    <w:rsid w:val="007310F6"/>
    <w:rsid w:val="0073120A"/>
    <w:rsid w:val="00731C58"/>
    <w:rsid w:val="00731D6C"/>
    <w:rsid w:val="0073228F"/>
    <w:rsid w:val="007332BB"/>
    <w:rsid w:val="0073472B"/>
    <w:rsid w:val="0073503B"/>
    <w:rsid w:val="00735DD6"/>
    <w:rsid w:val="00736E39"/>
    <w:rsid w:val="00736F51"/>
    <w:rsid w:val="007378DF"/>
    <w:rsid w:val="0074200C"/>
    <w:rsid w:val="00742A3A"/>
    <w:rsid w:val="00742B90"/>
    <w:rsid w:val="0074434D"/>
    <w:rsid w:val="007444D1"/>
    <w:rsid w:val="007447F5"/>
    <w:rsid w:val="00744848"/>
    <w:rsid w:val="00744C4E"/>
    <w:rsid w:val="00744DC3"/>
    <w:rsid w:val="00744E6D"/>
    <w:rsid w:val="00744F87"/>
    <w:rsid w:val="007450B0"/>
    <w:rsid w:val="00745179"/>
    <w:rsid w:val="007451E0"/>
    <w:rsid w:val="0074563E"/>
    <w:rsid w:val="00745AAF"/>
    <w:rsid w:val="00746517"/>
    <w:rsid w:val="0074663F"/>
    <w:rsid w:val="00746758"/>
    <w:rsid w:val="0074704F"/>
    <w:rsid w:val="00747B15"/>
    <w:rsid w:val="007506C9"/>
    <w:rsid w:val="00750A5F"/>
    <w:rsid w:val="00750B4D"/>
    <w:rsid w:val="00750BE1"/>
    <w:rsid w:val="00751152"/>
    <w:rsid w:val="0075184D"/>
    <w:rsid w:val="00751A68"/>
    <w:rsid w:val="00751C45"/>
    <w:rsid w:val="00751D35"/>
    <w:rsid w:val="00752027"/>
    <w:rsid w:val="0075261B"/>
    <w:rsid w:val="007526B7"/>
    <w:rsid w:val="00752827"/>
    <w:rsid w:val="00752E53"/>
    <w:rsid w:val="00753C53"/>
    <w:rsid w:val="00753E09"/>
    <w:rsid w:val="00755405"/>
    <w:rsid w:val="00755B9D"/>
    <w:rsid w:val="00755D85"/>
    <w:rsid w:val="007570C4"/>
    <w:rsid w:val="007577A7"/>
    <w:rsid w:val="00757A12"/>
    <w:rsid w:val="007605B8"/>
    <w:rsid w:val="007605E5"/>
    <w:rsid w:val="0076187E"/>
    <w:rsid w:val="0076209F"/>
    <w:rsid w:val="00763149"/>
    <w:rsid w:val="00763230"/>
    <w:rsid w:val="00763978"/>
    <w:rsid w:val="00763B2E"/>
    <w:rsid w:val="00764249"/>
    <w:rsid w:val="007643D8"/>
    <w:rsid w:val="00764E9D"/>
    <w:rsid w:val="007657E8"/>
    <w:rsid w:val="00770D75"/>
    <w:rsid w:val="00771339"/>
    <w:rsid w:val="00771B1E"/>
    <w:rsid w:val="00772363"/>
    <w:rsid w:val="00773232"/>
    <w:rsid w:val="00773631"/>
    <w:rsid w:val="00773C95"/>
    <w:rsid w:val="00774496"/>
    <w:rsid w:val="00774FE8"/>
    <w:rsid w:val="00775295"/>
    <w:rsid w:val="00776CC6"/>
    <w:rsid w:val="0077737E"/>
    <w:rsid w:val="00777A23"/>
    <w:rsid w:val="0078019E"/>
    <w:rsid w:val="00780697"/>
    <w:rsid w:val="00780931"/>
    <w:rsid w:val="0078171E"/>
    <w:rsid w:val="007819B9"/>
    <w:rsid w:val="00781B8C"/>
    <w:rsid w:val="007825A4"/>
    <w:rsid w:val="0078407E"/>
    <w:rsid w:val="0078420D"/>
    <w:rsid w:val="007848A8"/>
    <w:rsid w:val="007850EF"/>
    <w:rsid w:val="00785978"/>
    <w:rsid w:val="00785B11"/>
    <w:rsid w:val="007864E4"/>
    <w:rsid w:val="0078658E"/>
    <w:rsid w:val="00786D69"/>
    <w:rsid w:val="00787D58"/>
    <w:rsid w:val="00787E73"/>
    <w:rsid w:val="00790511"/>
    <w:rsid w:val="007912FA"/>
    <w:rsid w:val="007920B3"/>
    <w:rsid w:val="007920E2"/>
    <w:rsid w:val="00792F83"/>
    <w:rsid w:val="00792F95"/>
    <w:rsid w:val="00793F91"/>
    <w:rsid w:val="0079465B"/>
    <w:rsid w:val="00794DDD"/>
    <w:rsid w:val="0079566E"/>
    <w:rsid w:val="00795B28"/>
    <w:rsid w:val="00795B34"/>
    <w:rsid w:val="00795E9C"/>
    <w:rsid w:val="007971ED"/>
    <w:rsid w:val="00797764"/>
    <w:rsid w:val="00797BF4"/>
    <w:rsid w:val="007A04F9"/>
    <w:rsid w:val="007A067F"/>
    <w:rsid w:val="007A0789"/>
    <w:rsid w:val="007A15BB"/>
    <w:rsid w:val="007A2FEC"/>
    <w:rsid w:val="007A375E"/>
    <w:rsid w:val="007A3942"/>
    <w:rsid w:val="007A4BE9"/>
    <w:rsid w:val="007A577A"/>
    <w:rsid w:val="007A5ECA"/>
    <w:rsid w:val="007A79E5"/>
    <w:rsid w:val="007B085C"/>
    <w:rsid w:val="007B1770"/>
    <w:rsid w:val="007B1AE2"/>
    <w:rsid w:val="007B31CB"/>
    <w:rsid w:val="007B390E"/>
    <w:rsid w:val="007B3AD7"/>
    <w:rsid w:val="007B47A5"/>
    <w:rsid w:val="007B4D0E"/>
    <w:rsid w:val="007B4D3E"/>
    <w:rsid w:val="007B5114"/>
    <w:rsid w:val="007B58A5"/>
    <w:rsid w:val="007B6A44"/>
    <w:rsid w:val="007B6F71"/>
    <w:rsid w:val="007B795E"/>
    <w:rsid w:val="007B7C70"/>
    <w:rsid w:val="007B7DEB"/>
    <w:rsid w:val="007C0449"/>
    <w:rsid w:val="007C0815"/>
    <w:rsid w:val="007C43B6"/>
    <w:rsid w:val="007C57AD"/>
    <w:rsid w:val="007C5DEF"/>
    <w:rsid w:val="007C5E39"/>
    <w:rsid w:val="007C6359"/>
    <w:rsid w:val="007C672A"/>
    <w:rsid w:val="007D06C8"/>
    <w:rsid w:val="007D0906"/>
    <w:rsid w:val="007D2151"/>
    <w:rsid w:val="007D22ED"/>
    <w:rsid w:val="007D34EC"/>
    <w:rsid w:val="007D375D"/>
    <w:rsid w:val="007D3B90"/>
    <w:rsid w:val="007D3C68"/>
    <w:rsid w:val="007D42CC"/>
    <w:rsid w:val="007D42F7"/>
    <w:rsid w:val="007D43B8"/>
    <w:rsid w:val="007D5562"/>
    <w:rsid w:val="007D5DE4"/>
    <w:rsid w:val="007D6767"/>
    <w:rsid w:val="007D6B89"/>
    <w:rsid w:val="007D6CE4"/>
    <w:rsid w:val="007D7383"/>
    <w:rsid w:val="007D76F0"/>
    <w:rsid w:val="007D7871"/>
    <w:rsid w:val="007D7C3A"/>
    <w:rsid w:val="007E0226"/>
    <w:rsid w:val="007E045C"/>
    <w:rsid w:val="007E0777"/>
    <w:rsid w:val="007E0B37"/>
    <w:rsid w:val="007E0EE7"/>
    <w:rsid w:val="007E1341"/>
    <w:rsid w:val="007E19DD"/>
    <w:rsid w:val="007E1B41"/>
    <w:rsid w:val="007E1E72"/>
    <w:rsid w:val="007E1EC4"/>
    <w:rsid w:val="007E1FF0"/>
    <w:rsid w:val="007E22D7"/>
    <w:rsid w:val="007E2724"/>
    <w:rsid w:val="007E30B9"/>
    <w:rsid w:val="007E315F"/>
    <w:rsid w:val="007E35B7"/>
    <w:rsid w:val="007E3BAB"/>
    <w:rsid w:val="007E3C0D"/>
    <w:rsid w:val="007E49E7"/>
    <w:rsid w:val="007E4ADC"/>
    <w:rsid w:val="007E52CA"/>
    <w:rsid w:val="007E54A8"/>
    <w:rsid w:val="007E6037"/>
    <w:rsid w:val="007E6622"/>
    <w:rsid w:val="007E6DB3"/>
    <w:rsid w:val="007E74F1"/>
    <w:rsid w:val="007E7C6B"/>
    <w:rsid w:val="007F072D"/>
    <w:rsid w:val="007F0F0C"/>
    <w:rsid w:val="007F0F3C"/>
    <w:rsid w:val="007F11AD"/>
    <w:rsid w:val="007F1288"/>
    <w:rsid w:val="007F14A3"/>
    <w:rsid w:val="007F1840"/>
    <w:rsid w:val="007F1A67"/>
    <w:rsid w:val="007F1BB1"/>
    <w:rsid w:val="007F1E3C"/>
    <w:rsid w:val="007F2FA5"/>
    <w:rsid w:val="007F3BD2"/>
    <w:rsid w:val="007F3E11"/>
    <w:rsid w:val="007F4ADE"/>
    <w:rsid w:val="007F569C"/>
    <w:rsid w:val="007F5A5B"/>
    <w:rsid w:val="007F5AF0"/>
    <w:rsid w:val="007F63DE"/>
    <w:rsid w:val="007F6D0C"/>
    <w:rsid w:val="0080007B"/>
    <w:rsid w:val="00800A8A"/>
    <w:rsid w:val="0080112E"/>
    <w:rsid w:val="0080155C"/>
    <w:rsid w:val="008018D5"/>
    <w:rsid w:val="00801EFF"/>
    <w:rsid w:val="00802ADF"/>
    <w:rsid w:val="00802BBD"/>
    <w:rsid w:val="0080312D"/>
    <w:rsid w:val="008036BA"/>
    <w:rsid w:val="008052E1"/>
    <w:rsid w:val="00805339"/>
    <w:rsid w:val="00806420"/>
    <w:rsid w:val="00806D92"/>
    <w:rsid w:val="008078C1"/>
    <w:rsid w:val="00807B9E"/>
    <w:rsid w:val="00807EDC"/>
    <w:rsid w:val="0081028C"/>
    <w:rsid w:val="00810A97"/>
    <w:rsid w:val="00810FDA"/>
    <w:rsid w:val="0081188A"/>
    <w:rsid w:val="00811D0F"/>
    <w:rsid w:val="00811EEB"/>
    <w:rsid w:val="0081227F"/>
    <w:rsid w:val="0081284D"/>
    <w:rsid w:val="00812FDF"/>
    <w:rsid w:val="00813AB5"/>
    <w:rsid w:val="00813D15"/>
    <w:rsid w:val="00813EB6"/>
    <w:rsid w:val="008142D1"/>
    <w:rsid w:val="008148E6"/>
    <w:rsid w:val="00815196"/>
    <w:rsid w:val="00815746"/>
    <w:rsid w:val="008160C2"/>
    <w:rsid w:val="008179B0"/>
    <w:rsid w:val="00820711"/>
    <w:rsid w:val="0082081A"/>
    <w:rsid w:val="00820ABF"/>
    <w:rsid w:val="00821A98"/>
    <w:rsid w:val="00822670"/>
    <w:rsid w:val="00822F2C"/>
    <w:rsid w:val="00823877"/>
    <w:rsid w:val="008238FD"/>
    <w:rsid w:val="00823DEE"/>
    <w:rsid w:val="00823F5D"/>
    <w:rsid w:val="008249E6"/>
    <w:rsid w:val="00824C57"/>
    <w:rsid w:val="00824E61"/>
    <w:rsid w:val="00824FBE"/>
    <w:rsid w:val="0082554B"/>
    <w:rsid w:val="008258B9"/>
    <w:rsid w:val="008261E5"/>
    <w:rsid w:val="00827B24"/>
    <w:rsid w:val="008305E8"/>
    <w:rsid w:val="008305EC"/>
    <w:rsid w:val="00831657"/>
    <w:rsid w:val="00831C16"/>
    <w:rsid w:val="00831EF7"/>
    <w:rsid w:val="00832567"/>
    <w:rsid w:val="008339C1"/>
    <w:rsid w:val="00833EA3"/>
    <w:rsid w:val="00835416"/>
    <w:rsid w:val="00836165"/>
    <w:rsid w:val="008365B2"/>
    <w:rsid w:val="0083675F"/>
    <w:rsid w:val="00836AAE"/>
    <w:rsid w:val="00837F7E"/>
    <w:rsid w:val="00840075"/>
    <w:rsid w:val="008420D7"/>
    <w:rsid w:val="00842233"/>
    <w:rsid w:val="00842AD1"/>
    <w:rsid w:val="008430A1"/>
    <w:rsid w:val="00844B5E"/>
    <w:rsid w:val="008460B2"/>
    <w:rsid w:val="008462AC"/>
    <w:rsid w:val="0084640C"/>
    <w:rsid w:val="0084641E"/>
    <w:rsid w:val="008468BF"/>
    <w:rsid w:val="00847719"/>
    <w:rsid w:val="00850081"/>
    <w:rsid w:val="008500C9"/>
    <w:rsid w:val="00850E06"/>
    <w:rsid w:val="00851270"/>
    <w:rsid w:val="00851342"/>
    <w:rsid w:val="008521E8"/>
    <w:rsid w:val="008532C1"/>
    <w:rsid w:val="00853416"/>
    <w:rsid w:val="0085418E"/>
    <w:rsid w:val="008545E8"/>
    <w:rsid w:val="008554BB"/>
    <w:rsid w:val="00855878"/>
    <w:rsid w:val="00855F4E"/>
    <w:rsid w:val="00856088"/>
    <w:rsid w:val="00856DE3"/>
    <w:rsid w:val="00857515"/>
    <w:rsid w:val="0085751C"/>
    <w:rsid w:val="00857738"/>
    <w:rsid w:val="00857C15"/>
    <w:rsid w:val="0086017B"/>
    <w:rsid w:val="00860826"/>
    <w:rsid w:val="00860E21"/>
    <w:rsid w:val="00861DA8"/>
    <w:rsid w:val="0086259A"/>
    <w:rsid w:val="00862BDF"/>
    <w:rsid w:val="00863117"/>
    <w:rsid w:val="0086388B"/>
    <w:rsid w:val="008642E5"/>
    <w:rsid w:val="00864488"/>
    <w:rsid w:val="00864847"/>
    <w:rsid w:val="00865706"/>
    <w:rsid w:val="00865D38"/>
    <w:rsid w:val="00866171"/>
    <w:rsid w:val="0086631F"/>
    <w:rsid w:val="008665EC"/>
    <w:rsid w:val="00866871"/>
    <w:rsid w:val="00866AC6"/>
    <w:rsid w:val="00866C52"/>
    <w:rsid w:val="00867196"/>
    <w:rsid w:val="00867E2D"/>
    <w:rsid w:val="00870219"/>
    <w:rsid w:val="00870A36"/>
    <w:rsid w:val="00870C46"/>
    <w:rsid w:val="00870D96"/>
    <w:rsid w:val="008717BB"/>
    <w:rsid w:val="00872D93"/>
    <w:rsid w:val="00873D88"/>
    <w:rsid w:val="00874E3F"/>
    <w:rsid w:val="00875582"/>
    <w:rsid w:val="008759A6"/>
    <w:rsid w:val="00875B8C"/>
    <w:rsid w:val="00876B7A"/>
    <w:rsid w:val="00877416"/>
    <w:rsid w:val="00880470"/>
    <w:rsid w:val="00880CFB"/>
    <w:rsid w:val="00880D94"/>
    <w:rsid w:val="00880EB9"/>
    <w:rsid w:val="008813D7"/>
    <w:rsid w:val="008814E8"/>
    <w:rsid w:val="00883770"/>
    <w:rsid w:val="00883A5F"/>
    <w:rsid w:val="008844C7"/>
    <w:rsid w:val="008846D9"/>
    <w:rsid w:val="00884C80"/>
    <w:rsid w:val="00885F21"/>
    <w:rsid w:val="00886166"/>
    <w:rsid w:val="00886559"/>
    <w:rsid w:val="00886F64"/>
    <w:rsid w:val="008875BA"/>
    <w:rsid w:val="0089022A"/>
    <w:rsid w:val="00892370"/>
    <w:rsid w:val="008924DE"/>
    <w:rsid w:val="00892BF8"/>
    <w:rsid w:val="00893154"/>
    <w:rsid w:val="0089536A"/>
    <w:rsid w:val="00895EBF"/>
    <w:rsid w:val="00896614"/>
    <w:rsid w:val="00896B98"/>
    <w:rsid w:val="00897490"/>
    <w:rsid w:val="00897E56"/>
    <w:rsid w:val="008A12C2"/>
    <w:rsid w:val="008A23CE"/>
    <w:rsid w:val="008A2A13"/>
    <w:rsid w:val="008A3113"/>
    <w:rsid w:val="008A329B"/>
    <w:rsid w:val="008A3755"/>
    <w:rsid w:val="008A39FB"/>
    <w:rsid w:val="008A56DA"/>
    <w:rsid w:val="008A573F"/>
    <w:rsid w:val="008A5CB4"/>
    <w:rsid w:val="008A661D"/>
    <w:rsid w:val="008A6891"/>
    <w:rsid w:val="008A7A6F"/>
    <w:rsid w:val="008A7EEC"/>
    <w:rsid w:val="008B07B6"/>
    <w:rsid w:val="008B0CA2"/>
    <w:rsid w:val="008B1563"/>
    <w:rsid w:val="008B1897"/>
    <w:rsid w:val="008B19DC"/>
    <w:rsid w:val="008B1A9A"/>
    <w:rsid w:val="008B217A"/>
    <w:rsid w:val="008B21C6"/>
    <w:rsid w:val="008B221E"/>
    <w:rsid w:val="008B264F"/>
    <w:rsid w:val="008B32B0"/>
    <w:rsid w:val="008B3373"/>
    <w:rsid w:val="008B49C3"/>
    <w:rsid w:val="008B63CA"/>
    <w:rsid w:val="008B666A"/>
    <w:rsid w:val="008B69BE"/>
    <w:rsid w:val="008B6CB8"/>
    <w:rsid w:val="008B6F83"/>
    <w:rsid w:val="008B78E9"/>
    <w:rsid w:val="008B7FD8"/>
    <w:rsid w:val="008C09B2"/>
    <w:rsid w:val="008C124A"/>
    <w:rsid w:val="008C1596"/>
    <w:rsid w:val="008C1836"/>
    <w:rsid w:val="008C205B"/>
    <w:rsid w:val="008C271D"/>
    <w:rsid w:val="008C2973"/>
    <w:rsid w:val="008C301D"/>
    <w:rsid w:val="008C3AA2"/>
    <w:rsid w:val="008C3F2F"/>
    <w:rsid w:val="008C4A16"/>
    <w:rsid w:val="008C5027"/>
    <w:rsid w:val="008C547A"/>
    <w:rsid w:val="008C5F4B"/>
    <w:rsid w:val="008C6324"/>
    <w:rsid w:val="008C64C4"/>
    <w:rsid w:val="008C662D"/>
    <w:rsid w:val="008C721B"/>
    <w:rsid w:val="008C779F"/>
    <w:rsid w:val="008C7EF4"/>
    <w:rsid w:val="008D08BB"/>
    <w:rsid w:val="008D10A9"/>
    <w:rsid w:val="008D1507"/>
    <w:rsid w:val="008D19EF"/>
    <w:rsid w:val="008D221B"/>
    <w:rsid w:val="008D2B9C"/>
    <w:rsid w:val="008D2C24"/>
    <w:rsid w:val="008D2CDD"/>
    <w:rsid w:val="008D3339"/>
    <w:rsid w:val="008D4173"/>
    <w:rsid w:val="008D42E3"/>
    <w:rsid w:val="008D49FA"/>
    <w:rsid w:val="008D5175"/>
    <w:rsid w:val="008D53AD"/>
    <w:rsid w:val="008D61BD"/>
    <w:rsid w:val="008D62C5"/>
    <w:rsid w:val="008D67C3"/>
    <w:rsid w:val="008D6C24"/>
    <w:rsid w:val="008D711F"/>
    <w:rsid w:val="008D74D5"/>
    <w:rsid w:val="008D7849"/>
    <w:rsid w:val="008D7C9F"/>
    <w:rsid w:val="008E02FE"/>
    <w:rsid w:val="008E04BA"/>
    <w:rsid w:val="008E0ED1"/>
    <w:rsid w:val="008E1416"/>
    <w:rsid w:val="008E1AAD"/>
    <w:rsid w:val="008E2083"/>
    <w:rsid w:val="008E2619"/>
    <w:rsid w:val="008E2BC2"/>
    <w:rsid w:val="008E3105"/>
    <w:rsid w:val="008E3332"/>
    <w:rsid w:val="008E3A07"/>
    <w:rsid w:val="008E3A35"/>
    <w:rsid w:val="008E4051"/>
    <w:rsid w:val="008E4090"/>
    <w:rsid w:val="008E40BC"/>
    <w:rsid w:val="008E507E"/>
    <w:rsid w:val="008E537B"/>
    <w:rsid w:val="008E5842"/>
    <w:rsid w:val="008E5917"/>
    <w:rsid w:val="008E74FC"/>
    <w:rsid w:val="008E7818"/>
    <w:rsid w:val="008E7CF0"/>
    <w:rsid w:val="008F29BE"/>
    <w:rsid w:val="008F32CA"/>
    <w:rsid w:val="008F3C41"/>
    <w:rsid w:val="008F4AE5"/>
    <w:rsid w:val="008F4E45"/>
    <w:rsid w:val="008F515A"/>
    <w:rsid w:val="008F51EB"/>
    <w:rsid w:val="008F524D"/>
    <w:rsid w:val="008F59C3"/>
    <w:rsid w:val="008F7456"/>
    <w:rsid w:val="00900197"/>
    <w:rsid w:val="0090025C"/>
    <w:rsid w:val="009007A5"/>
    <w:rsid w:val="00900966"/>
    <w:rsid w:val="00900E31"/>
    <w:rsid w:val="00900EE1"/>
    <w:rsid w:val="00902718"/>
    <w:rsid w:val="00902F55"/>
    <w:rsid w:val="00904689"/>
    <w:rsid w:val="00904CF3"/>
    <w:rsid w:val="009052D5"/>
    <w:rsid w:val="0090582B"/>
    <w:rsid w:val="009060C0"/>
    <w:rsid w:val="0090643F"/>
    <w:rsid w:val="00910A57"/>
    <w:rsid w:val="00910D25"/>
    <w:rsid w:val="00910EA6"/>
    <w:rsid w:val="00911645"/>
    <w:rsid w:val="009116A0"/>
    <w:rsid w:val="00912325"/>
    <w:rsid w:val="00912503"/>
    <w:rsid w:val="00913086"/>
    <w:rsid w:val="0091327B"/>
    <w:rsid w:val="009132B6"/>
    <w:rsid w:val="009133F5"/>
    <w:rsid w:val="00913DBB"/>
    <w:rsid w:val="00915330"/>
    <w:rsid w:val="009153A6"/>
    <w:rsid w:val="00915576"/>
    <w:rsid w:val="00915837"/>
    <w:rsid w:val="00915923"/>
    <w:rsid w:val="00916A1D"/>
    <w:rsid w:val="0091756F"/>
    <w:rsid w:val="00917671"/>
    <w:rsid w:val="009203ED"/>
    <w:rsid w:val="00920A27"/>
    <w:rsid w:val="00920CB8"/>
    <w:rsid w:val="00920ED9"/>
    <w:rsid w:val="00921216"/>
    <w:rsid w:val="009216CC"/>
    <w:rsid w:val="00922707"/>
    <w:rsid w:val="00922D67"/>
    <w:rsid w:val="00922E41"/>
    <w:rsid w:val="00923CE4"/>
    <w:rsid w:val="0092477E"/>
    <w:rsid w:val="0092587F"/>
    <w:rsid w:val="00925892"/>
    <w:rsid w:val="00926083"/>
    <w:rsid w:val="00926C18"/>
    <w:rsid w:val="00926D08"/>
    <w:rsid w:val="009271EE"/>
    <w:rsid w:val="009271F9"/>
    <w:rsid w:val="00927CFB"/>
    <w:rsid w:val="00930D08"/>
    <w:rsid w:val="00931466"/>
    <w:rsid w:val="009326C2"/>
    <w:rsid w:val="00932965"/>
    <w:rsid w:val="00932D69"/>
    <w:rsid w:val="00932EA8"/>
    <w:rsid w:val="009330E0"/>
    <w:rsid w:val="00933648"/>
    <w:rsid w:val="0093395B"/>
    <w:rsid w:val="0093479B"/>
    <w:rsid w:val="00934D7C"/>
    <w:rsid w:val="00934FAD"/>
    <w:rsid w:val="009354FD"/>
    <w:rsid w:val="00935589"/>
    <w:rsid w:val="00935A42"/>
    <w:rsid w:val="00935A65"/>
    <w:rsid w:val="00936793"/>
    <w:rsid w:val="00937408"/>
    <w:rsid w:val="00937CBD"/>
    <w:rsid w:val="009400D0"/>
    <w:rsid w:val="00940CCA"/>
    <w:rsid w:val="00941702"/>
    <w:rsid w:val="009427FA"/>
    <w:rsid w:val="00942ADF"/>
    <w:rsid w:val="00942CB6"/>
    <w:rsid w:val="009437F2"/>
    <w:rsid w:val="00943FBC"/>
    <w:rsid w:val="00944647"/>
    <w:rsid w:val="00944E10"/>
    <w:rsid w:val="009450C1"/>
    <w:rsid w:val="009457B1"/>
    <w:rsid w:val="009469E2"/>
    <w:rsid w:val="00946BCF"/>
    <w:rsid w:val="00950237"/>
    <w:rsid w:val="009503CE"/>
    <w:rsid w:val="00950661"/>
    <w:rsid w:val="00950D00"/>
    <w:rsid w:val="00950F0F"/>
    <w:rsid w:val="0095180D"/>
    <w:rsid w:val="00951BFF"/>
    <w:rsid w:val="00951C5E"/>
    <w:rsid w:val="00951EDF"/>
    <w:rsid w:val="00952D51"/>
    <w:rsid w:val="00952E79"/>
    <w:rsid w:val="00953335"/>
    <w:rsid w:val="00954E1D"/>
    <w:rsid w:val="009554C1"/>
    <w:rsid w:val="0095565C"/>
    <w:rsid w:val="0095721D"/>
    <w:rsid w:val="00957221"/>
    <w:rsid w:val="00957834"/>
    <w:rsid w:val="00960190"/>
    <w:rsid w:val="009607D2"/>
    <w:rsid w:val="00960942"/>
    <w:rsid w:val="009611E0"/>
    <w:rsid w:val="00961A32"/>
    <w:rsid w:val="00961BA4"/>
    <w:rsid w:val="00961EE3"/>
    <w:rsid w:val="00962204"/>
    <w:rsid w:val="00963157"/>
    <w:rsid w:val="00963A2B"/>
    <w:rsid w:val="00963FF3"/>
    <w:rsid w:val="00964AB6"/>
    <w:rsid w:val="00965E24"/>
    <w:rsid w:val="0096664A"/>
    <w:rsid w:val="00966944"/>
    <w:rsid w:val="00966A1F"/>
    <w:rsid w:val="00966F9A"/>
    <w:rsid w:val="00967617"/>
    <w:rsid w:val="00967B29"/>
    <w:rsid w:val="00971D08"/>
    <w:rsid w:val="009730EA"/>
    <w:rsid w:val="009738CC"/>
    <w:rsid w:val="009739EE"/>
    <w:rsid w:val="009745B6"/>
    <w:rsid w:val="009745FD"/>
    <w:rsid w:val="0097534E"/>
    <w:rsid w:val="00975358"/>
    <w:rsid w:val="00977232"/>
    <w:rsid w:val="00977B8A"/>
    <w:rsid w:val="0098283F"/>
    <w:rsid w:val="00982870"/>
    <w:rsid w:val="00982971"/>
    <w:rsid w:val="00983584"/>
    <w:rsid w:val="00983C0E"/>
    <w:rsid w:val="00984278"/>
    <w:rsid w:val="0098455C"/>
    <w:rsid w:val="009845AD"/>
    <w:rsid w:val="00984835"/>
    <w:rsid w:val="00984EC1"/>
    <w:rsid w:val="0098524F"/>
    <w:rsid w:val="00985CAB"/>
    <w:rsid w:val="00985D9F"/>
    <w:rsid w:val="009864D2"/>
    <w:rsid w:val="00986646"/>
    <w:rsid w:val="0098666E"/>
    <w:rsid w:val="00987F54"/>
    <w:rsid w:val="00990DF6"/>
    <w:rsid w:val="00991A77"/>
    <w:rsid w:val="00991ABA"/>
    <w:rsid w:val="00991C6D"/>
    <w:rsid w:val="00992BA1"/>
    <w:rsid w:val="00992CF1"/>
    <w:rsid w:val="009933EF"/>
    <w:rsid w:val="00993CE0"/>
    <w:rsid w:val="00993F59"/>
    <w:rsid w:val="00994641"/>
    <w:rsid w:val="0099485E"/>
    <w:rsid w:val="00995B5A"/>
    <w:rsid w:val="00995BA0"/>
    <w:rsid w:val="00997801"/>
    <w:rsid w:val="00997865"/>
    <w:rsid w:val="00997874"/>
    <w:rsid w:val="00997F25"/>
    <w:rsid w:val="009A0E89"/>
    <w:rsid w:val="009A1A18"/>
    <w:rsid w:val="009A22EE"/>
    <w:rsid w:val="009A27FE"/>
    <w:rsid w:val="009A3933"/>
    <w:rsid w:val="009A3DF9"/>
    <w:rsid w:val="009A418B"/>
    <w:rsid w:val="009A426F"/>
    <w:rsid w:val="009A42D5"/>
    <w:rsid w:val="009A4473"/>
    <w:rsid w:val="009A471D"/>
    <w:rsid w:val="009A484F"/>
    <w:rsid w:val="009A798E"/>
    <w:rsid w:val="009A7A84"/>
    <w:rsid w:val="009A7EEF"/>
    <w:rsid w:val="009B0028"/>
    <w:rsid w:val="009B05C9"/>
    <w:rsid w:val="009B0FC0"/>
    <w:rsid w:val="009B139C"/>
    <w:rsid w:val="009B14DD"/>
    <w:rsid w:val="009B175A"/>
    <w:rsid w:val="009B286C"/>
    <w:rsid w:val="009B2C24"/>
    <w:rsid w:val="009B30C5"/>
    <w:rsid w:val="009B5734"/>
    <w:rsid w:val="009B63B1"/>
    <w:rsid w:val="009B6AD7"/>
    <w:rsid w:val="009B6DF6"/>
    <w:rsid w:val="009B7794"/>
    <w:rsid w:val="009C0412"/>
    <w:rsid w:val="009C0464"/>
    <w:rsid w:val="009C071C"/>
    <w:rsid w:val="009C151C"/>
    <w:rsid w:val="009C2BDE"/>
    <w:rsid w:val="009C2C7C"/>
    <w:rsid w:val="009C2FD1"/>
    <w:rsid w:val="009C349F"/>
    <w:rsid w:val="009C36BC"/>
    <w:rsid w:val="009C4326"/>
    <w:rsid w:val="009C440A"/>
    <w:rsid w:val="009C4E60"/>
    <w:rsid w:val="009C54BF"/>
    <w:rsid w:val="009C5B9B"/>
    <w:rsid w:val="009C6FDB"/>
    <w:rsid w:val="009C7870"/>
    <w:rsid w:val="009C7E95"/>
    <w:rsid w:val="009D01B7"/>
    <w:rsid w:val="009D0390"/>
    <w:rsid w:val="009D04C8"/>
    <w:rsid w:val="009D086D"/>
    <w:rsid w:val="009D12A7"/>
    <w:rsid w:val="009D1D2A"/>
    <w:rsid w:val="009D32CD"/>
    <w:rsid w:val="009D34E9"/>
    <w:rsid w:val="009D36BA"/>
    <w:rsid w:val="009D3F95"/>
    <w:rsid w:val="009D48CA"/>
    <w:rsid w:val="009D4E28"/>
    <w:rsid w:val="009D5125"/>
    <w:rsid w:val="009D5228"/>
    <w:rsid w:val="009D5B9D"/>
    <w:rsid w:val="009D60B8"/>
    <w:rsid w:val="009D7D4B"/>
    <w:rsid w:val="009E0A7F"/>
    <w:rsid w:val="009E0AE2"/>
    <w:rsid w:val="009E0F7C"/>
    <w:rsid w:val="009E2553"/>
    <w:rsid w:val="009E2AB9"/>
    <w:rsid w:val="009E36ED"/>
    <w:rsid w:val="009E3B47"/>
    <w:rsid w:val="009E3C8C"/>
    <w:rsid w:val="009E438A"/>
    <w:rsid w:val="009E4CB2"/>
    <w:rsid w:val="009E5691"/>
    <w:rsid w:val="009E5980"/>
    <w:rsid w:val="009E6265"/>
    <w:rsid w:val="009E6712"/>
    <w:rsid w:val="009E6B77"/>
    <w:rsid w:val="009E75A9"/>
    <w:rsid w:val="009E79B7"/>
    <w:rsid w:val="009F0806"/>
    <w:rsid w:val="009F0B7F"/>
    <w:rsid w:val="009F0BC2"/>
    <w:rsid w:val="009F138C"/>
    <w:rsid w:val="009F1996"/>
    <w:rsid w:val="009F24B2"/>
    <w:rsid w:val="009F2611"/>
    <w:rsid w:val="009F29AF"/>
    <w:rsid w:val="009F3C86"/>
    <w:rsid w:val="009F3ED6"/>
    <w:rsid w:val="009F4372"/>
    <w:rsid w:val="009F460A"/>
    <w:rsid w:val="009F4D4B"/>
    <w:rsid w:val="009F4DB8"/>
    <w:rsid w:val="009F5D55"/>
    <w:rsid w:val="009F6F35"/>
    <w:rsid w:val="009F71ED"/>
    <w:rsid w:val="009F7213"/>
    <w:rsid w:val="009F74C7"/>
    <w:rsid w:val="009F767A"/>
    <w:rsid w:val="00A00192"/>
    <w:rsid w:val="00A006FF"/>
    <w:rsid w:val="00A00CA2"/>
    <w:rsid w:val="00A00F67"/>
    <w:rsid w:val="00A010C3"/>
    <w:rsid w:val="00A012BC"/>
    <w:rsid w:val="00A020B4"/>
    <w:rsid w:val="00A03BF9"/>
    <w:rsid w:val="00A03C2A"/>
    <w:rsid w:val="00A043FB"/>
    <w:rsid w:val="00A04422"/>
    <w:rsid w:val="00A0446E"/>
    <w:rsid w:val="00A04D27"/>
    <w:rsid w:val="00A061D8"/>
    <w:rsid w:val="00A06BE4"/>
    <w:rsid w:val="00A0729C"/>
    <w:rsid w:val="00A07348"/>
    <w:rsid w:val="00A073CF"/>
    <w:rsid w:val="00A07779"/>
    <w:rsid w:val="00A07806"/>
    <w:rsid w:val="00A11349"/>
    <w:rsid w:val="00A1165B"/>
    <w:rsid w:val="00A1166A"/>
    <w:rsid w:val="00A1213C"/>
    <w:rsid w:val="00A129F1"/>
    <w:rsid w:val="00A12B78"/>
    <w:rsid w:val="00A12E32"/>
    <w:rsid w:val="00A12F9A"/>
    <w:rsid w:val="00A1540B"/>
    <w:rsid w:val="00A1550B"/>
    <w:rsid w:val="00A162C6"/>
    <w:rsid w:val="00A16A69"/>
    <w:rsid w:val="00A16C69"/>
    <w:rsid w:val="00A200DA"/>
    <w:rsid w:val="00A209E1"/>
    <w:rsid w:val="00A20B2E"/>
    <w:rsid w:val="00A20BE6"/>
    <w:rsid w:val="00A21428"/>
    <w:rsid w:val="00A21A33"/>
    <w:rsid w:val="00A221A8"/>
    <w:rsid w:val="00A229E1"/>
    <w:rsid w:val="00A24032"/>
    <w:rsid w:val="00A24550"/>
    <w:rsid w:val="00A24B78"/>
    <w:rsid w:val="00A24F33"/>
    <w:rsid w:val="00A25069"/>
    <w:rsid w:val="00A25856"/>
    <w:rsid w:val="00A26A77"/>
    <w:rsid w:val="00A26E6B"/>
    <w:rsid w:val="00A27307"/>
    <w:rsid w:val="00A2731B"/>
    <w:rsid w:val="00A3020C"/>
    <w:rsid w:val="00A3068F"/>
    <w:rsid w:val="00A31204"/>
    <w:rsid w:val="00A3145B"/>
    <w:rsid w:val="00A319E5"/>
    <w:rsid w:val="00A31D44"/>
    <w:rsid w:val="00A32560"/>
    <w:rsid w:val="00A3258E"/>
    <w:rsid w:val="00A32BD4"/>
    <w:rsid w:val="00A339D0"/>
    <w:rsid w:val="00A33CDA"/>
    <w:rsid w:val="00A3415C"/>
    <w:rsid w:val="00A35844"/>
    <w:rsid w:val="00A35D9E"/>
    <w:rsid w:val="00A361FC"/>
    <w:rsid w:val="00A366D5"/>
    <w:rsid w:val="00A36A4E"/>
    <w:rsid w:val="00A36EF9"/>
    <w:rsid w:val="00A37CF2"/>
    <w:rsid w:val="00A41002"/>
    <w:rsid w:val="00A41503"/>
    <w:rsid w:val="00A4201A"/>
    <w:rsid w:val="00A44095"/>
    <w:rsid w:val="00A45BC5"/>
    <w:rsid w:val="00A46ACB"/>
    <w:rsid w:val="00A46AF5"/>
    <w:rsid w:val="00A47015"/>
    <w:rsid w:val="00A50289"/>
    <w:rsid w:val="00A50822"/>
    <w:rsid w:val="00A50AAF"/>
    <w:rsid w:val="00A513E8"/>
    <w:rsid w:val="00A525AA"/>
    <w:rsid w:val="00A527F4"/>
    <w:rsid w:val="00A52872"/>
    <w:rsid w:val="00A52A7A"/>
    <w:rsid w:val="00A52EEE"/>
    <w:rsid w:val="00A53D8E"/>
    <w:rsid w:val="00A5465D"/>
    <w:rsid w:val="00A553CE"/>
    <w:rsid w:val="00A5599B"/>
    <w:rsid w:val="00A5654F"/>
    <w:rsid w:val="00A5677A"/>
    <w:rsid w:val="00A56912"/>
    <w:rsid w:val="00A56DCC"/>
    <w:rsid w:val="00A56F76"/>
    <w:rsid w:val="00A5719A"/>
    <w:rsid w:val="00A57A15"/>
    <w:rsid w:val="00A57C88"/>
    <w:rsid w:val="00A57EEB"/>
    <w:rsid w:val="00A60C06"/>
    <w:rsid w:val="00A625E8"/>
    <w:rsid w:val="00A62A1F"/>
    <w:rsid w:val="00A62D5B"/>
    <w:rsid w:val="00A62F79"/>
    <w:rsid w:val="00A62FEB"/>
    <w:rsid w:val="00A63322"/>
    <w:rsid w:val="00A63712"/>
    <w:rsid w:val="00A63CA5"/>
    <w:rsid w:val="00A63D97"/>
    <w:rsid w:val="00A63DFF"/>
    <w:rsid w:val="00A643E3"/>
    <w:rsid w:val="00A64496"/>
    <w:rsid w:val="00A644E6"/>
    <w:rsid w:val="00A648CE"/>
    <w:rsid w:val="00A6490D"/>
    <w:rsid w:val="00A655C2"/>
    <w:rsid w:val="00A656EA"/>
    <w:rsid w:val="00A65D11"/>
    <w:rsid w:val="00A65FE3"/>
    <w:rsid w:val="00A67033"/>
    <w:rsid w:val="00A676A7"/>
    <w:rsid w:val="00A6783C"/>
    <w:rsid w:val="00A6793E"/>
    <w:rsid w:val="00A67AA5"/>
    <w:rsid w:val="00A67DFF"/>
    <w:rsid w:val="00A7167F"/>
    <w:rsid w:val="00A71971"/>
    <w:rsid w:val="00A734AE"/>
    <w:rsid w:val="00A7415D"/>
    <w:rsid w:val="00A742D4"/>
    <w:rsid w:val="00A74320"/>
    <w:rsid w:val="00A74AAD"/>
    <w:rsid w:val="00A75AC5"/>
    <w:rsid w:val="00A75E8B"/>
    <w:rsid w:val="00A771B6"/>
    <w:rsid w:val="00A775E2"/>
    <w:rsid w:val="00A80363"/>
    <w:rsid w:val="00A80939"/>
    <w:rsid w:val="00A80B4C"/>
    <w:rsid w:val="00A81D2D"/>
    <w:rsid w:val="00A81F5A"/>
    <w:rsid w:val="00A81FB9"/>
    <w:rsid w:val="00A821FA"/>
    <w:rsid w:val="00A8258C"/>
    <w:rsid w:val="00A829A0"/>
    <w:rsid w:val="00A829DC"/>
    <w:rsid w:val="00A83E9D"/>
    <w:rsid w:val="00A8445D"/>
    <w:rsid w:val="00A84CA4"/>
    <w:rsid w:val="00A8573B"/>
    <w:rsid w:val="00A87ABA"/>
    <w:rsid w:val="00A87C05"/>
    <w:rsid w:val="00A87EE1"/>
    <w:rsid w:val="00A9042E"/>
    <w:rsid w:val="00A91331"/>
    <w:rsid w:val="00A9169D"/>
    <w:rsid w:val="00A91723"/>
    <w:rsid w:val="00A919FB"/>
    <w:rsid w:val="00A92156"/>
    <w:rsid w:val="00A93598"/>
    <w:rsid w:val="00A93EEA"/>
    <w:rsid w:val="00A94A3A"/>
    <w:rsid w:val="00A950A1"/>
    <w:rsid w:val="00A954BA"/>
    <w:rsid w:val="00A968FB"/>
    <w:rsid w:val="00A97A3A"/>
    <w:rsid w:val="00AA09F4"/>
    <w:rsid w:val="00AA1159"/>
    <w:rsid w:val="00AA1A0E"/>
    <w:rsid w:val="00AA1D50"/>
    <w:rsid w:val="00AA1E74"/>
    <w:rsid w:val="00AA20C6"/>
    <w:rsid w:val="00AA240C"/>
    <w:rsid w:val="00AA316B"/>
    <w:rsid w:val="00AA32AA"/>
    <w:rsid w:val="00AA336E"/>
    <w:rsid w:val="00AA3D6F"/>
    <w:rsid w:val="00AA4BE1"/>
    <w:rsid w:val="00AA5415"/>
    <w:rsid w:val="00AA5B78"/>
    <w:rsid w:val="00AA6752"/>
    <w:rsid w:val="00AA6B48"/>
    <w:rsid w:val="00AA6B62"/>
    <w:rsid w:val="00AB0332"/>
    <w:rsid w:val="00AB03FE"/>
    <w:rsid w:val="00AB194E"/>
    <w:rsid w:val="00AB26A1"/>
    <w:rsid w:val="00AB2C1C"/>
    <w:rsid w:val="00AB5233"/>
    <w:rsid w:val="00AB597B"/>
    <w:rsid w:val="00AB59AF"/>
    <w:rsid w:val="00AB5BC8"/>
    <w:rsid w:val="00AB7150"/>
    <w:rsid w:val="00AB7DC9"/>
    <w:rsid w:val="00AC0BE8"/>
    <w:rsid w:val="00AC101C"/>
    <w:rsid w:val="00AC207F"/>
    <w:rsid w:val="00AC38D7"/>
    <w:rsid w:val="00AC39F4"/>
    <w:rsid w:val="00AC4B03"/>
    <w:rsid w:val="00AC652C"/>
    <w:rsid w:val="00AC6C37"/>
    <w:rsid w:val="00AC6E15"/>
    <w:rsid w:val="00AC79BA"/>
    <w:rsid w:val="00AC7C11"/>
    <w:rsid w:val="00AC7CC9"/>
    <w:rsid w:val="00AD1BB9"/>
    <w:rsid w:val="00AD2661"/>
    <w:rsid w:val="00AD49E5"/>
    <w:rsid w:val="00AD4CF1"/>
    <w:rsid w:val="00AD5597"/>
    <w:rsid w:val="00AD5943"/>
    <w:rsid w:val="00AD5988"/>
    <w:rsid w:val="00AD5DD9"/>
    <w:rsid w:val="00AD610B"/>
    <w:rsid w:val="00AD6293"/>
    <w:rsid w:val="00AD62C1"/>
    <w:rsid w:val="00AD656A"/>
    <w:rsid w:val="00AD7311"/>
    <w:rsid w:val="00AD7516"/>
    <w:rsid w:val="00AD7698"/>
    <w:rsid w:val="00AE0BAA"/>
    <w:rsid w:val="00AE1643"/>
    <w:rsid w:val="00AE16AF"/>
    <w:rsid w:val="00AE1C1E"/>
    <w:rsid w:val="00AE3704"/>
    <w:rsid w:val="00AE372D"/>
    <w:rsid w:val="00AE3859"/>
    <w:rsid w:val="00AE3A87"/>
    <w:rsid w:val="00AE5282"/>
    <w:rsid w:val="00AE52EA"/>
    <w:rsid w:val="00AE5AAA"/>
    <w:rsid w:val="00AE6BCF"/>
    <w:rsid w:val="00AE6DFF"/>
    <w:rsid w:val="00AE7787"/>
    <w:rsid w:val="00AE77B7"/>
    <w:rsid w:val="00AF08E8"/>
    <w:rsid w:val="00AF0D0D"/>
    <w:rsid w:val="00AF2A47"/>
    <w:rsid w:val="00AF2CA2"/>
    <w:rsid w:val="00AF372E"/>
    <w:rsid w:val="00AF430C"/>
    <w:rsid w:val="00AF5314"/>
    <w:rsid w:val="00AF57D0"/>
    <w:rsid w:val="00AF57D5"/>
    <w:rsid w:val="00AF5D85"/>
    <w:rsid w:val="00AF5E80"/>
    <w:rsid w:val="00AF652C"/>
    <w:rsid w:val="00AF655C"/>
    <w:rsid w:val="00AF72C4"/>
    <w:rsid w:val="00AF7525"/>
    <w:rsid w:val="00AF7649"/>
    <w:rsid w:val="00AF7800"/>
    <w:rsid w:val="00B00CF5"/>
    <w:rsid w:val="00B01E90"/>
    <w:rsid w:val="00B02427"/>
    <w:rsid w:val="00B03B22"/>
    <w:rsid w:val="00B03EEE"/>
    <w:rsid w:val="00B04174"/>
    <w:rsid w:val="00B04AC7"/>
    <w:rsid w:val="00B054BB"/>
    <w:rsid w:val="00B060F6"/>
    <w:rsid w:val="00B072E0"/>
    <w:rsid w:val="00B07F9F"/>
    <w:rsid w:val="00B1007E"/>
    <w:rsid w:val="00B10330"/>
    <w:rsid w:val="00B122FF"/>
    <w:rsid w:val="00B1279B"/>
    <w:rsid w:val="00B12DE4"/>
    <w:rsid w:val="00B1304C"/>
    <w:rsid w:val="00B13D41"/>
    <w:rsid w:val="00B154AF"/>
    <w:rsid w:val="00B15FE4"/>
    <w:rsid w:val="00B16079"/>
    <w:rsid w:val="00B160D4"/>
    <w:rsid w:val="00B179B3"/>
    <w:rsid w:val="00B20164"/>
    <w:rsid w:val="00B202E7"/>
    <w:rsid w:val="00B21174"/>
    <w:rsid w:val="00B22604"/>
    <w:rsid w:val="00B236FA"/>
    <w:rsid w:val="00B247F6"/>
    <w:rsid w:val="00B24947"/>
    <w:rsid w:val="00B252EA"/>
    <w:rsid w:val="00B253F6"/>
    <w:rsid w:val="00B255A7"/>
    <w:rsid w:val="00B25842"/>
    <w:rsid w:val="00B26675"/>
    <w:rsid w:val="00B26981"/>
    <w:rsid w:val="00B276A7"/>
    <w:rsid w:val="00B27DAF"/>
    <w:rsid w:val="00B305DB"/>
    <w:rsid w:val="00B3214A"/>
    <w:rsid w:val="00B327C6"/>
    <w:rsid w:val="00B32F6C"/>
    <w:rsid w:val="00B332F8"/>
    <w:rsid w:val="00B33DF4"/>
    <w:rsid w:val="00B3492B"/>
    <w:rsid w:val="00B36166"/>
    <w:rsid w:val="00B36F1B"/>
    <w:rsid w:val="00B37E5D"/>
    <w:rsid w:val="00B40144"/>
    <w:rsid w:val="00B403AD"/>
    <w:rsid w:val="00B40685"/>
    <w:rsid w:val="00B412C8"/>
    <w:rsid w:val="00B41606"/>
    <w:rsid w:val="00B417ED"/>
    <w:rsid w:val="00B420F8"/>
    <w:rsid w:val="00B42558"/>
    <w:rsid w:val="00B4302D"/>
    <w:rsid w:val="00B43358"/>
    <w:rsid w:val="00B447EA"/>
    <w:rsid w:val="00B44913"/>
    <w:rsid w:val="00B455AB"/>
    <w:rsid w:val="00B45900"/>
    <w:rsid w:val="00B460A7"/>
    <w:rsid w:val="00B46155"/>
    <w:rsid w:val="00B4646F"/>
    <w:rsid w:val="00B47AED"/>
    <w:rsid w:val="00B47CB2"/>
    <w:rsid w:val="00B50FB3"/>
    <w:rsid w:val="00B52531"/>
    <w:rsid w:val="00B53475"/>
    <w:rsid w:val="00B54104"/>
    <w:rsid w:val="00B54147"/>
    <w:rsid w:val="00B54984"/>
    <w:rsid w:val="00B55C7D"/>
    <w:rsid w:val="00B55ED4"/>
    <w:rsid w:val="00B5617D"/>
    <w:rsid w:val="00B56431"/>
    <w:rsid w:val="00B5700E"/>
    <w:rsid w:val="00B579AF"/>
    <w:rsid w:val="00B57D1F"/>
    <w:rsid w:val="00B57D41"/>
    <w:rsid w:val="00B6055D"/>
    <w:rsid w:val="00B605DB"/>
    <w:rsid w:val="00B61D7F"/>
    <w:rsid w:val="00B62209"/>
    <w:rsid w:val="00B6259D"/>
    <w:rsid w:val="00B62802"/>
    <w:rsid w:val="00B62C41"/>
    <w:rsid w:val="00B63038"/>
    <w:rsid w:val="00B635AF"/>
    <w:rsid w:val="00B64BD8"/>
    <w:rsid w:val="00B65164"/>
    <w:rsid w:val="00B656B7"/>
    <w:rsid w:val="00B659D1"/>
    <w:rsid w:val="00B65D61"/>
    <w:rsid w:val="00B6624D"/>
    <w:rsid w:val="00B6633D"/>
    <w:rsid w:val="00B6647A"/>
    <w:rsid w:val="00B701D1"/>
    <w:rsid w:val="00B703C0"/>
    <w:rsid w:val="00B70CDA"/>
    <w:rsid w:val="00B723C1"/>
    <w:rsid w:val="00B72C59"/>
    <w:rsid w:val="00B7342A"/>
    <w:rsid w:val="00B738B9"/>
    <w:rsid w:val="00B73AF2"/>
    <w:rsid w:val="00B73D79"/>
    <w:rsid w:val="00B7551A"/>
    <w:rsid w:val="00B755D7"/>
    <w:rsid w:val="00B75928"/>
    <w:rsid w:val="00B75C16"/>
    <w:rsid w:val="00B75DD2"/>
    <w:rsid w:val="00B76264"/>
    <w:rsid w:val="00B76D53"/>
    <w:rsid w:val="00B76DE0"/>
    <w:rsid w:val="00B773F1"/>
    <w:rsid w:val="00B80055"/>
    <w:rsid w:val="00B802E3"/>
    <w:rsid w:val="00B8076E"/>
    <w:rsid w:val="00B80EF7"/>
    <w:rsid w:val="00B81024"/>
    <w:rsid w:val="00B817EE"/>
    <w:rsid w:val="00B81D03"/>
    <w:rsid w:val="00B81F8D"/>
    <w:rsid w:val="00B8241C"/>
    <w:rsid w:val="00B827B2"/>
    <w:rsid w:val="00B8297D"/>
    <w:rsid w:val="00B84351"/>
    <w:rsid w:val="00B84F43"/>
    <w:rsid w:val="00B854C5"/>
    <w:rsid w:val="00B867A8"/>
    <w:rsid w:val="00B8691D"/>
    <w:rsid w:val="00B86AB1"/>
    <w:rsid w:val="00B86C92"/>
    <w:rsid w:val="00B86EBE"/>
    <w:rsid w:val="00B8729B"/>
    <w:rsid w:val="00B87456"/>
    <w:rsid w:val="00B87651"/>
    <w:rsid w:val="00B87726"/>
    <w:rsid w:val="00B9085A"/>
    <w:rsid w:val="00B90A21"/>
    <w:rsid w:val="00B911B5"/>
    <w:rsid w:val="00B91B22"/>
    <w:rsid w:val="00B91D7D"/>
    <w:rsid w:val="00B92AB4"/>
    <w:rsid w:val="00B92B08"/>
    <w:rsid w:val="00B93191"/>
    <w:rsid w:val="00B9395B"/>
    <w:rsid w:val="00B93D10"/>
    <w:rsid w:val="00B947C1"/>
    <w:rsid w:val="00B94CC0"/>
    <w:rsid w:val="00B9627C"/>
    <w:rsid w:val="00B965FC"/>
    <w:rsid w:val="00B977B7"/>
    <w:rsid w:val="00BA01AD"/>
    <w:rsid w:val="00BA037D"/>
    <w:rsid w:val="00BA0B27"/>
    <w:rsid w:val="00BA0D5F"/>
    <w:rsid w:val="00BA11F7"/>
    <w:rsid w:val="00BA186F"/>
    <w:rsid w:val="00BA1D4B"/>
    <w:rsid w:val="00BA2211"/>
    <w:rsid w:val="00BA46AA"/>
    <w:rsid w:val="00BA500E"/>
    <w:rsid w:val="00BA5C03"/>
    <w:rsid w:val="00BA6EB2"/>
    <w:rsid w:val="00BA7B89"/>
    <w:rsid w:val="00BA7C06"/>
    <w:rsid w:val="00BA7EBA"/>
    <w:rsid w:val="00BB044B"/>
    <w:rsid w:val="00BB0902"/>
    <w:rsid w:val="00BB0B2F"/>
    <w:rsid w:val="00BB1D39"/>
    <w:rsid w:val="00BB1F38"/>
    <w:rsid w:val="00BB202C"/>
    <w:rsid w:val="00BB2A06"/>
    <w:rsid w:val="00BB2CBB"/>
    <w:rsid w:val="00BB2E78"/>
    <w:rsid w:val="00BB3559"/>
    <w:rsid w:val="00BB4198"/>
    <w:rsid w:val="00BB577A"/>
    <w:rsid w:val="00BB5DF9"/>
    <w:rsid w:val="00BB5FA4"/>
    <w:rsid w:val="00BB63DC"/>
    <w:rsid w:val="00BB7404"/>
    <w:rsid w:val="00BB78CD"/>
    <w:rsid w:val="00BC01CC"/>
    <w:rsid w:val="00BC03EE"/>
    <w:rsid w:val="00BC04D1"/>
    <w:rsid w:val="00BC0EBB"/>
    <w:rsid w:val="00BC1475"/>
    <w:rsid w:val="00BC2F8F"/>
    <w:rsid w:val="00BC4AE8"/>
    <w:rsid w:val="00BC50DA"/>
    <w:rsid w:val="00BC5256"/>
    <w:rsid w:val="00BC58D8"/>
    <w:rsid w:val="00BC59F1"/>
    <w:rsid w:val="00BC5BD0"/>
    <w:rsid w:val="00BC6566"/>
    <w:rsid w:val="00BC66C6"/>
    <w:rsid w:val="00BC695D"/>
    <w:rsid w:val="00BC6AF9"/>
    <w:rsid w:val="00BD0388"/>
    <w:rsid w:val="00BD0556"/>
    <w:rsid w:val="00BD07FC"/>
    <w:rsid w:val="00BD0C9C"/>
    <w:rsid w:val="00BD1933"/>
    <w:rsid w:val="00BD27C0"/>
    <w:rsid w:val="00BD2CBB"/>
    <w:rsid w:val="00BD2DE5"/>
    <w:rsid w:val="00BD32D3"/>
    <w:rsid w:val="00BD3BB4"/>
    <w:rsid w:val="00BD488E"/>
    <w:rsid w:val="00BD4D1A"/>
    <w:rsid w:val="00BD6053"/>
    <w:rsid w:val="00BD71CC"/>
    <w:rsid w:val="00BD7B18"/>
    <w:rsid w:val="00BE002B"/>
    <w:rsid w:val="00BE0E4D"/>
    <w:rsid w:val="00BE133F"/>
    <w:rsid w:val="00BE1AA9"/>
    <w:rsid w:val="00BE1C23"/>
    <w:rsid w:val="00BE21B6"/>
    <w:rsid w:val="00BE2796"/>
    <w:rsid w:val="00BE29EE"/>
    <w:rsid w:val="00BE3B7D"/>
    <w:rsid w:val="00BE3F68"/>
    <w:rsid w:val="00BE3F93"/>
    <w:rsid w:val="00BE41AD"/>
    <w:rsid w:val="00BE5B72"/>
    <w:rsid w:val="00BE5BFB"/>
    <w:rsid w:val="00BE5CCD"/>
    <w:rsid w:val="00BE6A8B"/>
    <w:rsid w:val="00BE6BA8"/>
    <w:rsid w:val="00BF2D29"/>
    <w:rsid w:val="00BF2DC9"/>
    <w:rsid w:val="00BF32AA"/>
    <w:rsid w:val="00BF3DE1"/>
    <w:rsid w:val="00BF3DEC"/>
    <w:rsid w:val="00BF42CB"/>
    <w:rsid w:val="00BF4843"/>
    <w:rsid w:val="00BF5205"/>
    <w:rsid w:val="00BF78D0"/>
    <w:rsid w:val="00C00344"/>
    <w:rsid w:val="00C0077D"/>
    <w:rsid w:val="00C017D9"/>
    <w:rsid w:val="00C01C35"/>
    <w:rsid w:val="00C021F5"/>
    <w:rsid w:val="00C05132"/>
    <w:rsid w:val="00C06887"/>
    <w:rsid w:val="00C0693C"/>
    <w:rsid w:val="00C06A56"/>
    <w:rsid w:val="00C07B81"/>
    <w:rsid w:val="00C1099E"/>
    <w:rsid w:val="00C11354"/>
    <w:rsid w:val="00C1152F"/>
    <w:rsid w:val="00C12508"/>
    <w:rsid w:val="00C12ACA"/>
    <w:rsid w:val="00C131E6"/>
    <w:rsid w:val="00C131F4"/>
    <w:rsid w:val="00C13EFF"/>
    <w:rsid w:val="00C14CFF"/>
    <w:rsid w:val="00C152F4"/>
    <w:rsid w:val="00C15B1F"/>
    <w:rsid w:val="00C16CA0"/>
    <w:rsid w:val="00C174BB"/>
    <w:rsid w:val="00C17864"/>
    <w:rsid w:val="00C178B5"/>
    <w:rsid w:val="00C208B9"/>
    <w:rsid w:val="00C21159"/>
    <w:rsid w:val="00C22112"/>
    <w:rsid w:val="00C221C6"/>
    <w:rsid w:val="00C22596"/>
    <w:rsid w:val="00C233A7"/>
    <w:rsid w:val="00C2360C"/>
    <w:rsid w:val="00C2364D"/>
    <w:rsid w:val="00C23728"/>
    <w:rsid w:val="00C24881"/>
    <w:rsid w:val="00C24EE0"/>
    <w:rsid w:val="00C25339"/>
    <w:rsid w:val="00C26248"/>
    <w:rsid w:val="00C26548"/>
    <w:rsid w:val="00C26895"/>
    <w:rsid w:val="00C269E9"/>
    <w:rsid w:val="00C2727F"/>
    <w:rsid w:val="00C275C5"/>
    <w:rsid w:val="00C27A72"/>
    <w:rsid w:val="00C27D1C"/>
    <w:rsid w:val="00C3026C"/>
    <w:rsid w:val="00C30C5B"/>
    <w:rsid w:val="00C313A9"/>
    <w:rsid w:val="00C317C9"/>
    <w:rsid w:val="00C32256"/>
    <w:rsid w:val="00C324AF"/>
    <w:rsid w:val="00C3272F"/>
    <w:rsid w:val="00C3326B"/>
    <w:rsid w:val="00C3342C"/>
    <w:rsid w:val="00C3370B"/>
    <w:rsid w:val="00C33CA1"/>
    <w:rsid w:val="00C347C8"/>
    <w:rsid w:val="00C356C5"/>
    <w:rsid w:val="00C358E4"/>
    <w:rsid w:val="00C35E9D"/>
    <w:rsid w:val="00C36086"/>
    <w:rsid w:val="00C3624A"/>
    <w:rsid w:val="00C362B5"/>
    <w:rsid w:val="00C36B5A"/>
    <w:rsid w:val="00C400C9"/>
    <w:rsid w:val="00C401C5"/>
    <w:rsid w:val="00C4021B"/>
    <w:rsid w:val="00C4139D"/>
    <w:rsid w:val="00C41698"/>
    <w:rsid w:val="00C418EE"/>
    <w:rsid w:val="00C43DF8"/>
    <w:rsid w:val="00C441CF"/>
    <w:rsid w:val="00C445F3"/>
    <w:rsid w:val="00C44703"/>
    <w:rsid w:val="00C44D47"/>
    <w:rsid w:val="00C45289"/>
    <w:rsid w:val="00C45A9C"/>
    <w:rsid w:val="00C45AA2"/>
    <w:rsid w:val="00C463EA"/>
    <w:rsid w:val="00C4649B"/>
    <w:rsid w:val="00C475C6"/>
    <w:rsid w:val="00C478AA"/>
    <w:rsid w:val="00C4792C"/>
    <w:rsid w:val="00C5300B"/>
    <w:rsid w:val="00C53A1B"/>
    <w:rsid w:val="00C53FBE"/>
    <w:rsid w:val="00C54106"/>
    <w:rsid w:val="00C5433F"/>
    <w:rsid w:val="00C54892"/>
    <w:rsid w:val="00C548ED"/>
    <w:rsid w:val="00C55BEF"/>
    <w:rsid w:val="00C55DD0"/>
    <w:rsid w:val="00C56995"/>
    <w:rsid w:val="00C57519"/>
    <w:rsid w:val="00C57BD3"/>
    <w:rsid w:val="00C57C00"/>
    <w:rsid w:val="00C601AF"/>
    <w:rsid w:val="00C61A63"/>
    <w:rsid w:val="00C63F6D"/>
    <w:rsid w:val="00C6427D"/>
    <w:rsid w:val="00C6469F"/>
    <w:rsid w:val="00C650D1"/>
    <w:rsid w:val="00C65E70"/>
    <w:rsid w:val="00C661D3"/>
    <w:rsid w:val="00C66296"/>
    <w:rsid w:val="00C662AB"/>
    <w:rsid w:val="00C6688C"/>
    <w:rsid w:val="00C6798A"/>
    <w:rsid w:val="00C67DB5"/>
    <w:rsid w:val="00C70050"/>
    <w:rsid w:val="00C7006E"/>
    <w:rsid w:val="00C70093"/>
    <w:rsid w:val="00C706F5"/>
    <w:rsid w:val="00C70A9F"/>
    <w:rsid w:val="00C714CE"/>
    <w:rsid w:val="00C726A4"/>
    <w:rsid w:val="00C7394D"/>
    <w:rsid w:val="00C73963"/>
    <w:rsid w:val="00C73CC2"/>
    <w:rsid w:val="00C73E16"/>
    <w:rsid w:val="00C74315"/>
    <w:rsid w:val="00C7442F"/>
    <w:rsid w:val="00C74E0E"/>
    <w:rsid w:val="00C74FD9"/>
    <w:rsid w:val="00C756B7"/>
    <w:rsid w:val="00C7726A"/>
    <w:rsid w:val="00C77282"/>
    <w:rsid w:val="00C774D2"/>
    <w:rsid w:val="00C809A4"/>
    <w:rsid w:val="00C81953"/>
    <w:rsid w:val="00C8236E"/>
    <w:rsid w:val="00C82732"/>
    <w:rsid w:val="00C83592"/>
    <w:rsid w:val="00C83BE3"/>
    <w:rsid w:val="00C84CA6"/>
    <w:rsid w:val="00C84DE5"/>
    <w:rsid w:val="00C8550D"/>
    <w:rsid w:val="00C85711"/>
    <w:rsid w:val="00C86248"/>
    <w:rsid w:val="00C876E3"/>
    <w:rsid w:val="00C90B31"/>
    <w:rsid w:val="00C9173A"/>
    <w:rsid w:val="00C91C73"/>
    <w:rsid w:val="00C9210C"/>
    <w:rsid w:val="00C926A0"/>
    <w:rsid w:val="00C92810"/>
    <w:rsid w:val="00C939D6"/>
    <w:rsid w:val="00C93CC5"/>
    <w:rsid w:val="00C93E20"/>
    <w:rsid w:val="00C941F7"/>
    <w:rsid w:val="00C94425"/>
    <w:rsid w:val="00C947A8"/>
    <w:rsid w:val="00C9628A"/>
    <w:rsid w:val="00CA03EB"/>
    <w:rsid w:val="00CA0D6F"/>
    <w:rsid w:val="00CA1B0D"/>
    <w:rsid w:val="00CA1F73"/>
    <w:rsid w:val="00CA4C33"/>
    <w:rsid w:val="00CA551E"/>
    <w:rsid w:val="00CA6952"/>
    <w:rsid w:val="00CA6B39"/>
    <w:rsid w:val="00CA6E49"/>
    <w:rsid w:val="00CA6F4A"/>
    <w:rsid w:val="00CA6F9D"/>
    <w:rsid w:val="00CA78A1"/>
    <w:rsid w:val="00CB0D3A"/>
    <w:rsid w:val="00CB190D"/>
    <w:rsid w:val="00CB1A32"/>
    <w:rsid w:val="00CB1E87"/>
    <w:rsid w:val="00CB1FD9"/>
    <w:rsid w:val="00CB211A"/>
    <w:rsid w:val="00CB26E4"/>
    <w:rsid w:val="00CB2D5D"/>
    <w:rsid w:val="00CB2E2A"/>
    <w:rsid w:val="00CB3483"/>
    <w:rsid w:val="00CB353D"/>
    <w:rsid w:val="00CB3821"/>
    <w:rsid w:val="00CB3A78"/>
    <w:rsid w:val="00CB4288"/>
    <w:rsid w:val="00CB43D9"/>
    <w:rsid w:val="00CB45DB"/>
    <w:rsid w:val="00CB482C"/>
    <w:rsid w:val="00CB5DAB"/>
    <w:rsid w:val="00CB6427"/>
    <w:rsid w:val="00CB6944"/>
    <w:rsid w:val="00CB6996"/>
    <w:rsid w:val="00CB74EE"/>
    <w:rsid w:val="00CB7FE4"/>
    <w:rsid w:val="00CC0F09"/>
    <w:rsid w:val="00CC0FBE"/>
    <w:rsid w:val="00CC1AB3"/>
    <w:rsid w:val="00CC1CA1"/>
    <w:rsid w:val="00CC22C9"/>
    <w:rsid w:val="00CC2ADD"/>
    <w:rsid w:val="00CC33A0"/>
    <w:rsid w:val="00CC384A"/>
    <w:rsid w:val="00CC5146"/>
    <w:rsid w:val="00CC516C"/>
    <w:rsid w:val="00CC52E5"/>
    <w:rsid w:val="00CC5FC8"/>
    <w:rsid w:val="00CC608E"/>
    <w:rsid w:val="00CC7320"/>
    <w:rsid w:val="00CD03DB"/>
    <w:rsid w:val="00CD077C"/>
    <w:rsid w:val="00CD0CF6"/>
    <w:rsid w:val="00CD12D1"/>
    <w:rsid w:val="00CD2119"/>
    <w:rsid w:val="00CD237A"/>
    <w:rsid w:val="00CD29C3"/>
    <w:rsid w:val="00CD2D05"/>
    <w:rsid w:val="00CD36AC"/>
    <w:rsid w:val="00CD3AE2"/>
    <w:rsid w:val="00CD45FC"/>
    <w:rsid w:val="00CD4AF4"/>
    <w:rsid w:val="00CD5BA0"/>
    <w:rsid w:val="00CD6B63"/>
    <w:rsid w:val="00CD6D71"/>
    <w:rsid w:val="00CE0311"/>
    <w:rsid w:val="00CE0425"/>
    <w:rsid w:val="00CE13A3"/>
    <w:rsid w:val="00CE1C1E"/>
    <w:rsid w:val="00CE2559"/>
    <w:rsid w:val="00CE2C79"/>
    <w:rsid w:val="00CE36BC"/>
    <w:rsid w:val="00CE4211"/>
    <w:rsid w:val="00CE48A9"/>
    <w:rsid w:val="00CE5A02"/>
    <w:rsid w:val="00CE651B"/>
    <w:rsid w:val="00CE6CEE"/>
    <w:rsid w:val="00CE71C6"/>
    <w:rsid w:val="00CE7929"/>
    <w:rsid w:val="00CE7972"/>
    <w:rsid w:val="00CF0490"/>
    <w:rsid w:val="00CF0695"/>
    <w:rsid w:val="00CF12F5"/>
    <w:rsid w:val="00CF1747"/>
    <w:rsid w:val="00CF1CD9"/>
    <w:rsid w:val="00CF1E6C"/>
    <w:rsid w:val="00CF22D5"/>
    <w:rsid w:val="00CF2A73"/>
    <w:rsid w:val="00CF2B99"/>
    <w:rsid w:val="00CF3326"/>
    <w:rsid w:val="00CF36BF"/>
    <w:rsid w:val="00CF3D71"/>
    <w:rsid w:val="00CF3E4D"/>
    <w:rsid w:val="00CF4E58"/>
    <w:rsid w:val="00CF537D"/>
    <w:rsid w:val="00CF54BB"/>
    <w:rsid w:val="00CF55E2"/>
    <w:rsid w:val="00CF5AA6"/>
    <w:rsid w:val="00CF5B6F"/>
    <w:rsid w:val="00CF5CFC"/>
    <w:rsid w:val="00CF60ED"/>
    <w:rsid w:val="00CF667B"/>
    <w:rsid w:val="00CF6A87"/>
    <w:rsid w:val="00CF7411"/>
    <w:rsid w:val="00CF7F82"/>
    <w:rsid w:val="00D00803"/>
    <w:rsid w:val="00D009D8"/>
    <w:rsid w:val="00D02E83"/>
    <w:rsid w:val="00D040B7"/>
    <w:rsid w:val="00D0446E"/>
    <w:rsid w:val="00D04F8A"/>
    <w:rsid w:val="00D052E8"/>
    <w:rsid w:val="00D055A1"/>
    <w:rsid w:val="00D05D74"/>
    <w:rsid w:val="00D06180"/>
    <w:rsid w:val="00D064E4"/>
    <w:rsid w:val="00D0672D"/>
    <w:rsid w:val="00D070DC"/>
    <w:rsid w:val="00D07148"/>
    <w:rsid w:val="00D07A51"/>
    <w:rsid w:val="00D10FFA"/>
    <w:rsid w:val="00D1174D"/>
    <w:rsid w:val="00D12077"/>
    <w:rsid w:val="00D1231D"/>
    <w:rsid w:val="00D13223"/>
    <w:rsid w:val="00D14312"/>
    <w:rsid w:val="00D14731"/>
    <w:rsid w:val="00D153E9"/>
    <w:rsid w:val="00D15631"/>
    <w:rsid w:val="00D15C7D"/>
    <w:rsid w:val="00D1657B"/>
    <w:rsid w:val="00D16631"/>
    <w:rsid w:val="00D167B2"/>
    <w:rsid w:val="00D174FB"/>
    <w:rsid w:val="00D1790D"/>
    <w:rsid w:val="00D179C2"/>
    <w:rsid w:val="00D17AB5"/>
    <w:rsid w:val="00D17EE8"/>
    <w:rsid w:val="00D20917"/>
    <w:rsid w:val="00D20C59"/>
    <w:rsid w:val="00D20EF5"/>
    <w:rsid w:val="00D21350"/>
    <w:rsid w:val="00D21C1C"/>
    <w:rsid w:val="00D23323"/>
    <w:rsid w:val="00D2392A"/>
    <w:rsid w:val="00D23D58"/>
    <w:rsid w:val="00D25FFE"/>
    <w:rsid w:val="00D26165"/>
    <w:rsid w:val="00D261A8"/>
    <w:rsid w:val="00D26751"/>
    <w:rsid w:val="00D26E0E"/>
    <w:rsid w:val="00D2729F"/>
    <w:rsid w:val="00D27922"/>
    <w:rsid w:val="00D27A64"/>
    <w:rsid w:val="00D310C8"/>
    <w:rsid w:val="00D3169C"/>
    <w:rsid w:val="00D32071"/>
    <w:rsid w:val="00D32A10"/>
    <w:rsid w:val="00D32DBD"/>
    <w:rsid w:val="00D337C6"/>
    <w:rsid w:val="00D34327"/>
    <w:rsid w:val="00D3432B"/>
    <w:rsid w:val="00D34D91"/>
    <w:rsid w:val="00D34EC9"/>
    <w:rsid w:val="00D3526F"/>
    <w:rsid w:val="00D353B8"/>
    <w:rsid w:val="00D3565E"/>
    <w:rsid w:val="00D35E48"/>
    <w:rsid w:val="00D360B3"/>
    <w:rsid w:val="00D36220"/>
    <w:rsid w:val="00D37D80"/>
    <w:rsid w:val="00D40520"/>
    <w:rsid w:val="00D41258"/>
    <w:rsid w:val="00D414FF"/>
    <w:rsid w:val="00D41E85"/>
    <w:rsid w:val="00D423CC"/>
    <w:rsid w:val="00D42528"/>
    <w:rsid w:val="00D42968"/>
    <w:rsid w:val="00D4415D"/>
    <w:rsid w:val="00D442F3"/>
    <w:rsid w:val="00D44483"/>
    <w:rsid w:val="00D446BB"/>
    <w:rsid w:val="00D4476F"/>
    <w:rsid w:val="00D44BFD"/>
    <w:rsid w:val="00D44E3B"/>
    <w:rsid w:val="00D458EF"/>
    <w:rsid w:val="00D459BE"/>
    <w:rsid w:val="00D45EB6"/>
    <w:rsid w:val="00D47620"/>
    <w:rsid w:val="00D478EC"/>
    <w:rsid w:val="00D47989"/>
    <w:rsid w:val="00D47BB4"/>
    <w:rsid w:val="00D5008A"/>
    <w:rsid w:val="00D50573"/>
    <w:rsid w:val="00D508AB"/>
    <w:rsid w:val="00D508B8"/>
    <w:rsid w:val="00D50A65"/>
    <w:rsid w:val="00D52117"/>
    <w:rsid w:val="00D523B8"/>
    <w:rsid w:val="00D52809"/>
    <w:rsid w:val="00D535FB"/>
    <w:rsid w:val="00D53BFE"/>
    <w:rsid w:val="00D54B84"/>
    <w:rsid w:val="00D54D50"/>
    <w:rsid w:val="00D54F52"/>
    <w:rsid w:val="00D55586"/>
    <w:rsid w:val="00D560B4"/>
    <w:rsid w:val="00D566AE"/>
    <w:rsid w:val="00D57CB3"/>
    <w:rsid w:val="00D61CE9"/>
    <w:rsid w:val="00D61E56"/>
    <w:rsid w:val="00D63295"/>
    <w:rsid w:val="00D639DB"/>
    <w:rsid w:val="00D662F8"/>
    <w:rsid w:val="00D66797"/>
    <w:rsid w:val="00D66A17"/>
    <w:rsid w:val="00D670C7"/>
    <w:rsid w:val="00D67D45"/>
    <w:rsid w:val="00D70511"/>
    <w:rsid w:val="00D7087C"/>
    <w:rsid w:val="00D70C3C"/>
    <w:rsid w:val="00D71DF7"/>
    <w:rsid w:val="00D7204E"/>
    <w:rsid w:val="00D729F8"/>
    <w:rsid w:val="00D72BE5"/>
    <w:rsid w:val="00D73161"/>
    <w:rsid w:val="00D731EC"/>
    <w:rsid w:val="00D73267"/>
    <w:rsid w:val="00D740F4"/>
    <w:rsid w:val="00D7562B"/>
    <w:rsid w:val="00D75C5B"/>
    <w:rsid w:val="00D76261"/>
    <w:rsid w:val="00D77FA4"/>
    <w:rsid w:val="00D806E5"/>
    <w:rsid w:val="00D81462"/>
    <w:rsid w:val="00D82431"/>
    <w:rsid w:val="00D828FC"/>
    <w:rsid w:val="00D82F14"/>
    <w:rsid w:val="00D82F26"/>
    <w:rsid w:val="00D82FF7"/>
    <w:rsid w:val="00D83760"/>
    <w:rsid w:val="00D84272"/>
    <w:rsid w:val="00D851E7"/>
    <w:rsid w:val="00D863D0"/>
    <w:rsid w:val="00D86B00"/>
    <w:rsid w:val="00D86FB9"/>
    <w:rsid w:val="00D87039"/>
    <w:rsid w:val="00D872AA"/>
    <w:rsid w:val="00D8785C"/>
    <w:rsid w:val="00D87C87"/>
    <w:rsid w:val="00D901B6"/>
    <w:rsid w:val="00D903D3"/>
    <w:rsid w:val="00D90442"/>
    <w:rsid w:val="00D9088E"/>
    <w:rsid w:val="00D90BB4"/>
    <w:rsid w:val="00D90C6C"/>
    <w:rsid w:val="00D90D24"/>
    <w:rsid w:val="00D90E07"/>
    <w:rsid w:val="00D90EAB"/>
    <w:rsid w:val="00D91406"/>
    <w:rsid w:val="00D91992"/>
    <w:rsid w:val="00D91A3C"/>
    <w:rsid w:val="00D92B9E"/>
    <w:rsid w:val="00D932C2"/>
    <w:rsid w:val="00D94370"/>
    <w:rsid w:val="00D94DE1"/>
    <w:rsid w:val="00D95E8C"/>
    <w:rsid w:val="00D96092"/>
    <w:rsid w:val="00D96566"/>
    <w:rsid w:val="00D96F32"/>
    <w:rsid w:val="00D972A0"/>
    <w:rsid w:val="00D97435"/>
    <w:rsid w:val="00D976C7"/>
    <w:rsid w:val="00D9777D"/>
    <w:rsid w:val="00D97CBB"/>
    <w:rsid w:val="00D97E07"/>
    <w:rsid w:val="00D97E4D"/>
    <w:rsid w:val="00DA0232"/>
    <w:rsid w:val="00DA1DAA"/>
    <w:rsid w:val="00DA2163"/>
    <w:rsid w:val="00DA3095"/>
    <w:rsid w:val="00DA33FB"/>
    <w:rsid w:val="00DA52E8"/>
    <w:rsid w:val="00DA5655"/>
    <w:rsid w:val="00DA592A"/>
    <w:rsid w:val="00DA68CA"/>
    <w:rsid w:val="00DA6B23"/>
    <w:rsid w:val="00DA7F9E"/>
    <w:rsid w:val="00DB032C"/>
    <w:rsid w:val="00DB213E"/>
    <w:rsid w:val="00DB248F"/>
    <w:rsid w:val="00DB27DD"/>
    <w:rsid w:val="00DB38A8"/>
    <w:rsid w:val="00DB39CF"/>
    <w:rsid w:val="00DB52E7"/>
    <w:rsid w:val="00DB6D9E"/>
    <w:rsid w:val="00DB7256"/>
    <w:rsid w:val="00DB7374"/>
    <w:rsid w:val="00DB7C36"/>
    <w:rsid w:val="00DB7D1D"/>
    <w:rsid w:val="00DB7E3D"/>
    <w:rsid w:val="00DC0401"/>
    <w:rsid w:val="00DC0A99"/>
    <w:rsid w:val="00DC1779"/>
    <w:rsid w:val="00DC1AB0"/>
    <w:rsid w:val="00DC20BD"/>
    <w:rsid w:val="00DC27CC"/>
    <w:rsid w:val="00DC2EA8"/>
    <w:rsid w:val="00DC3AA4"/>
    <w:rsid w:val="00DC52C5"/>
    <w:rsid w:val="00DC5BB9"/>
    <w:rsid w:val="00DC5BBF"/>
    <w:rsid w:val="00DC644F"/>
    <w:rsid w:val="00DC6975"/>
    <w:rsid w:val="00DC7145"/>
    <w:rsid w:val="00DC7778"/>
    <w:rsid w:val="00DC7ABB"/>
    <w:rsid w:val="00DD00D4"/>
    <w:rsid w:val="00DD0BCD"/>
    <w:rsid w:val="00DD0CDA"/>
    <w:rsid w:val="00DD0D89"/>
    <w:rsid w:val="00DD1500"/>
    <w:rsid w:val="00DD2A94"/>
    <w:rsid w:val="00DD2AD6"/>
    <w:rsid w:val="00DD3E60"/>
    <w:rsid w:val="00DD447A"/>
    <w:rsid w:val="00DD4755"/>
    <w:rsid w:val="00DD49F9"/>
    <w:rsid w:val="00DD4C8F"/>
    <w:rsid w:val="00DD4DCD"/>
    <w:rsid w:val="00DD4F41"/>
    <w:rsid w:val="00DD5073"/>
    <w:rsid w:val="00DD5AD5"/>
    <w:rsid w:val="00DD60A1"/>
    <w:rsid w:val="00DD62D4"/>
    <w:rsid w:val="00DD7298"/>
    <w:rsid w:val="00DD7633"/>
    <w:rsid w:val="00DD7A0E"/>
    <w:rsid w:val="00DE0110"/>
    <w:rsid w:val="00DE045E"/>
    <w:rsid w:val="00DE07B8"/>
    <w:rsid w:val="00DE118A"/>
    <w:rsid w:val="00DE139B"/>
    <w:rsid w:val="00DE194D"/>
    <w:rsid w:val="00DE1AE3"/>
    <w:rsid w:val="00DE1AF1"/>
    <w:rsid w:val="00DE2BA8"/>
    <w:rsid w:val="00DE3B20"/>
    <w:rsid w:val="00DE455D"/>
    <w:rsid w:val="00DE5067"/>
    <w:rsid w:val="00DE6C94"/>
    <w:rsid w:val="00DE6FD7"/>
    <w:rsid w:val="00DE7E99"/>
    <w:rsid w:val="00DF0092"/>
    <w:rsid w:val="00DF0464"/>
    <w:rsid w:val="00DF0C7C"/>
    <w:rsid w:val="00DF1565"/>
    <w:rsid w:val="00DF2292"/>
    <w:rsid w:val="00DF2722"/>
    <w:rsid w:val="00DF2DE1"/>
    <w:rsid w:val="00DF30DE"/>
    <w:rsid w:val="00DF4179"/>
    <w:rsid w:val="00DF4924"/>
    <w:rsid w:val="00DF5B26"/>
    <w:rsid w:val="00DF67A7"/>
    <w:rsid w:val="00DF6DA3"/>
    <w:rsid w:val="00DF70DD"/>
    <w:rsid w:val="00DF773A"/>
    <w:rsid w:val="00DF7A50"/>
    <w:rsid w:val="00DF7CD9"/>
    <w:rsid w:val="00E0168B"/>
    <w:rsid w:val="00E027DE"/>
    <w:rsid w:val="00E03CCF"/>
    <w:rsid w:val="00E040C8"/>
    <w:rsid w:val="00E072B7"/>
    <w:rsid w:val="00E07D7A"/>
    <w:rsid w:val="00E10685"/>
    <w:rsid w:val="00E10B18"/>
    <w:rsid w:val="00E10F10"/>
    <w:rsid w:val="00E11FAE"/>
    <w:rsid w:val="00E139CE"/>
    <w:rsid w:val="00E13B6E"/>
    <w:rsid w:val="00E14990"/>
    <w:rsid w:val="00E1672B"/>
    <w:rsid w:val="00E16892"/>
    <w:rsid w:val="00E17CF8"/>
    <w:rsid w:val="00E20C0D"/>
    <w:rsid w:val="00E20DCE"/>
    <w:rsid w:val="00E20E13"/>
    <w:rsid w:val="00E23271"/>
    <w:rsid w:val="00E23E95"/>
    <w:rsid w:val="00E24AD7"/>
    <w:rsid w:val="00E24BDA"/>
    <w:rsid w:val="00E24F80"/>
    <w:rsid w:val="00E25200"/>
    <w:rsid w:val="00E257D2"/>
    <w:rsid w:val="00E259F3"/>
    <w:rsid w:val="00E25E46"/>
    <w:rsid w:val="00E25FAB"/>
    <w:rsid w:val="00E262BC"/>
    <w:rsid w:val="00E267CA"/>
    <w:rsid w:val="00E26F51"/>
    <w:rsid w:val="00E273A6"/>
    <w:rsid w:val="00E27AA5"/>
    <w:rsid w:val="00E30985"/>
    <w:rsid w:val="00E30B85"/>
    <w:rsid w:val="00E31399"/>
    <w:rsid w:val="00E31CFF"/>
    <w:rsid w:val="00E32139"/>
    <w:rsid w:val="00E327C2"/>
    <w:rsid w:val="00E33238"/>
    <w:rsid w:val="00E33934"/>
    <w:rsid w:val="00E33F0D"/>
    <w:rsid w:val="00E34960"/>
    <w:rsid w:val="00E34D4F"/>
    <w:rsid w:val="00E35491"/>
    <w:rsid w:val="00E35C6E"/>
    <w:rsid w:val="00E363F2"/>
    <w:rsid w:val="00E376B7"/>
    <w:rsid w:val="00E400B7"/>
    <w:rsid w:val="00E411C2"/>
    <w:rsid w:val="00E42835"/>
    <w:rsid w:val="00E42F5D"/>
    <w:rsid w:val="00E4317B"/>
    <w:rsid w:val="00E434FD"/>
    <w:rsid w:val="00E44091"/>
    <w:rsid w:val="00E4486C"/>
    <w:rsid w:val="00E451F1"/>
    <w:rsid w:val="00E4554E"/>
    <w:rsid w:val="00E460B6"/>
    <w:rsid w:val="00E46352"/>
    <w:rsid w:val="00E46FA0"/>
    <w:rsid w:val="00E50B4B"/>
    <w:rsid w:val="00E511D5"/>
    <w:rsid w:val="00E519AE"/>
    <w:rsid w:val="00E52AF3"/>
    <w:rsid w:val="00E5365C"/>
    <w:rsid w:val="00E53A9F"/>
    <w:rsid w:val="00E53DE4"/>
    <w:rsid w:val="00E556A9"/>
    <w:rsid w:val="00E55C16"/>
    <w:rsid w:val="00E55E9B"/>
    <w:rsid w:val="00E562AC"/>
    <w:rsid w:val="00E56E76"/>
    <w:rsid w:val="00E57349"/>
    <w:rsid w:val="00E60249"/>
    <w:rsid w:val="00E619D2"/>
    <w:rsid w:val="00E62238"/>
    <w:rsid w:val="00E62A0A"/>
    <w:rsid w:val="00E635B3"/>
    <w:rsid w:val="00E64A03"/>
    <w:rsid w:val="00E64F6F"/>
    <w:rsid w:val="00E65269"/>
    <w:rsid w:val="00E65852"/>
    <w:rsid w:val="00E65B38"/>
    <w:rsid w:val="00E65E43"/>
    <w:rsid w:val="00E70D23"/>
    <w:rsid w:val="00E70D87"/>
    <w:rsid w:val="00E7214B"/>
    <w:rsid w:val="00E721C8"/>
    <w:rsid w:val="00E73677"/>
    <w:rsid w:val="00E74BEE"/>
    <w:rsid w:val="00E74DA9"/>
    <w:rsid w:val="00E75D09"/>
    <w:rsid w:val="00E76777"/>
    <w:rsid w:val="00E76C34"/>
    <w:rsid w:val="00E76D66"/>
    <w:rsid w:val="00E77FD2"/>
    <w:rsid w:val="00E81339"/>
    <w:rsid w:val="00E814CF"/>
    <w:rsid w:val="00E81CCA"/>
    <w:rsid w:val="00E820B6"/>
    <w:rsid w:val="00E832B8"/>
    <w:rsid w:val="00E835D6"/>
    <w:rsid w:val="00E8421A"/>
    <w:rsid w:val="00E860A5"/>
    <w:rsid w:val="00E86A19"/>
    <w:rsid w:val="00E86F4D"/>
    <w:rsid w:val="00E871E1"/>
    <w:rsid w:val="00E872BB"/>
    <w:rsid w:val="00E8793A"/>
    <w:rsid w:val="00E90305"/>
    <w:rsid w:val="00E90E0D"/>
    <w:rsid w:val="00E918F2"/>
    <w:rsid w:val="00E919B9"/>
    <w:rsid w:val="00E91D2C"/>
    <w:rsid w:val="00E91D36"/>
    <w:rsid w:val="00E920B7"/>
    <w:rsid w:val="00E920F9"/>
    <w:rsid w:val="00E924C0"/>
    <w:rsid w:val="00E92C65"/>
    <w:rsid w:val="00E92C9C"/>
    <w:rsid w:val="00E931D7"/>
    <w:rsid w:val="00E94272"/>
    <w:rsid w:val="00E9556A"/>
    <w:rsid w:val="00E9601C"/>
    <w:rsid w:val="00E96E72"/>
    <w:rsid w:val="00E97A46"/>
    <w:rsid w:val="00EA1129"/>
    <w:rsid w:val="00EA12B3"/>
    <w:rsid w:val="00EA1397"/>
    <w:rsid w:val="00EA1801"/>
    <w:rsid w:val="00EA20E0"/>
    <w:rsid w:val="00EA2D01"/>
    <w:rsid w:val="00EA44D1"/>
    <w:rsid w:val="00EA5380"/>
    <w:rsid w:val="00EA542B"/>
    <w:rsid w:val="00EA5AAA"/>
    <w:rsid w:val="00EA5B61"/>
    <w:rsid w:val="00EA6093"/>
    <w:rsid w:val="00EA637A"/>
    <w:rsid w:val="00EA63C9"/>
    <w:rsid w:val="00EA72AE"/>
    <w:rsid w:val="00EA796A"/>
    <w:rsid w:val="00EB040E"/>
    <w:rsid w:val="00EB1195"/>
    <w:rsid w:val="00EB1437"/>
    <w:rsid w:val="00EB1856"/>
    <w:rsid w:val="00EB1FCD"/>
    <w:rsid w:val="00EB25EE"/>
    <w:rsid w:val="00EB2FBC"/>
    <w:rsid w:val="00EB3AE7"/>
    <w:rsid w:val="00EB52CD"/>
    <w:rsid w:val="00EB569F"/>
    <w:rsid w:val="00EB57B6"/>
    <w:rsid w:val="00EB6298"/>
    <w:rsid w:val="00EB7BA6"/>
    <w:rsid w:val="00EC0AC3"/>
    <w:rsid w:val="00EC157E"/>
    <w:rsid w:val="00EC3B34"/>
    <w:rsid w:val="00EC3D17"/>
    <w:rsid w:val="00EC46EF"/>
    <w:rsid w:val="00EC4A33"/>
    <w:rsid w:val="00EC50CE"/>
    <w:rsid w:val="00EC57AD"/>
    <w:rsid w:val="00EC5B34"/>
    <w:rsid w:val="00EC5FE2"/>
    <w:rsid w:val="00EC6468"/>
    <w:rsid w:val="00EC6680"/>
    <w:rsid w:val="00EC6EAD"/>
    <w:rsid w:val="00EC7CB3"/>
    <w:rsid w:val="00EC7E80"/>
    <w:rsid w:val="00ED021E"/>
    <w:rsid w:val="00ED1576"/>
    <w:rsid w:val="00ED206A"/>
    <w:rsid w:val="00ED21AC"/>
    <w:rsid w:val="00ED285D"/>
    <w:rsid w:val="00ED323C"/>
    <w:rsid w:val="00ED37CC"/>
    <w:rsid w:val="00ED3BAE"/>
    <w:rsid w:val="00ED3DA4"/>
    <w:rsid w:val="00ED5835"/>
    <w:rsid w:val="00ED613C"/>
    <w:rsid w:val="00ED6223"/>
    <w:rsid w:val="00ED6328"/>
    <w:rsid w:val="00ED645E"/>
    <w:rsid w:val="00ED6AF5"/>
    <w:rsid w:val="00ED74B3"/>
    <w:rsid w:val="00EE02D4"/>
    <w:rsid w:val="00EE0FEF"/>
    <w:rsid w:val="00EE102D"/>
    <w:rsid w:val="00EE111D"/>
    <w:rsid w:val="00EE1252"/>
    <w:rsid w:val="00EE17D1"/>
    <w:rsid w:val="00EE26A8"/>
    <w:rsid w:val="00EE2D5C"/>
    <w:rsid w:val="00EE3091"/>
    <w:rsid w:val="00EE452D"/>
    <w:rsid w:val="00EE4ADE"/>
    <w:rsid w:val="00EE4DE8"/>
    <w:rsid w:val="00EE595F"/>
    <w:rsid w:val="00EE5CB7"/>
    <w:rsid w:val="00EE6367"/>
    <w:rsid w:val="00EE67B8"/>
    <w:rsid w:val="00EE6CD1"/>
    <w:rsid w:val="00EE7B88"/>
    <w:rsid w:val="00EE7D13"/>
    <w:rsid w:val="00EE7E22"/>
    <w:rsid w:val="00EF0417"/>
    <w:rsid w:val="00EF0C44"/>
    <w:rsid w:val="00EF0C9B"/>
    <w:rsid w:val="00EF1016"/>
    <w:rsid w:val="00EF2E42"/>
    <w:rsid w:val="00EF35BF"/>
    <w:rsid w:val="00EF37EC"/>
    <w:rsid w:val="00EF5EA0"/>
    <w:rsid w:val="00EF62A5"/>
    <w:rsid w:val="00EF6597"/>
    <w:rsid w:val="00EF7927"/>
    <w:rsid w:val="00F000BF"/>
    <w:rsid w:val="00F00162"/>
    <w:rsid w:val="00F0021D"/>
    <w:rsid w:val="00F00CD9"/>
    <w:rsid w:val="00F00E12"/>
    <w:rsid w:val="00F021AD"/>
    <w:rsid w:val="00F024FE"/>
    <w:rsid w:val="00F027C4"/>
    <w:rsid w:val="00F02863"/>
    <w:rsid w:val="00F02AEB"/>
    <w:rsid w:val="00F02E8F"/>
    <w:rsid w:val="00F030ED"/>
    <w:rsid w:val="00F036D9"/>
    <w:rsid w:val="00F037C7"/>
    <w:rsid w:val="00F0400D"/>
    <w:rsid w:val="00F04330"/>
    <w:rsid w:val="00F04981"/>
    <w:rsid w:val="00F04F4D"/>
    <w:rsid w:val="00F05AD4"/>
    <w:rsid w:val="00F06C5A"/>
    <w:rsid w:val="00F1017E"/>
    <w:rsid w:val="00F103BE"/>
    <w:rsid w:val="00F10866"/>
    <w:rsid w:val="00F10E18"/>
    <w:rsid w:val="00F10EB6"/>
    <w:rsid w:val="00F11872"/>
    <w:rsid w:val="00F12C41"/>
    <w:rsid w:val="00F12E28"/>
    <w:rsid w:val="00F1334D"/>
    <w:rsid w:val="00F13CD3"/>
    <w:rsid w:val="00F13F07"/>
    <w:rsid w:val="00F14056"/>
    <w:rsid w:val="00F140B2"/>
    <w:rsid w:val="00F14C06"/>
    <w:rsid w:val="00F158DE"/>
    <w:rsid w:val="00F15CBB"/>
    <w:rsid w:val="00F15E7E"/>
    <w:rsid w:val="00F16595"/>
    <w:rsid w:val="00F17D82"/>
    <w:rsid w:val="00F17F1C"/>
    <w:rsid w:val="00F17F3C"/>
    <w:rsid w:val="00F20417"/>
    <w:rsid w:val="00F20CCC"/>
    <w:rsid w:val="00F211F3"/>
    <w:rsid w:val="00F21E4C"/>
    <w:rsid w:val="00F22078"/>
    <w:rsid w:val="00F22B5E"/>
    <w:rsid w:val="00F22E26"/>
    <w:rsid w:val="00F23C5D"/>
    <w:rsid w:val="00F23F1B"/>
    <w:rsid w:val="00F25021"/>
    <w:rsid w:val="00F2510B"/>
    <w:rsid w:val="00F25522"/>
    <w:rsid w:val="00F25810"/>
    <w:rsid w:val="00F25970"/>
    <w:rsid w:val="00F26634"/>
    <w:rsid w:val="00F268E2"/>
    <w:rsid w:val="00F26E38"/>
    <w:rsid w:val="00F271CC"/>
    <w:rsid w:val="00F27C4C"/>
    <w:rsid w:val="00F27E73"/>
    <w:rsid w:val="00F311A9"/>
    <w:rsid w:val="00F31343"/>
    <w:rsid w:val="00F3139A"/>
    <w:rsid w:val="00F31C70"/>
    <w:rsid w:val="00F336A8"/>
    <w:rsid w:val="00F338A4"/>
    <w:rsid w:val="00F3398E"/>
    <w:rsid w:val="00F33FC0"/>
    <w:rsid w:val="00F33FF1"/>
    <w:rsid w:val="00F34093"/>
    <w:rsid w:val="00F34E6E"/>
    <w:rsid w:val="00F35E9D"/>
    <w:rsid w:val="00F36005"/>
    <w:rsid w:val="00F363CA"/>
    <w:rsid w:val="00F36436"/>
    <w:rsid w:val="00F37381"/>
    <w:rsid w:val="00F4018F"/>
    <w:rsid w:val="00F40504"/>
    <w:rsid w:val="00F406BF"/>
    <w:rsid w:val="00F413AF"/>
    <w:rsid w:val="00F43587"/>
    <w:rsid w:val="00F43A0E"/>
    <w:rsid w:val="00F445B4"/>
    <w:rsid w:val="00F4470A"/>
    <w:rsid w:val="00F45384"/>
    <w:rsid w:val="00F45FFC"/>
    <w:rsid w:val="00F4636F"/>
    <w:rsid w:val="00F4691D"/>
    <w:rsid w:val="00F46B05"/>
    <w:rsid w:val="00F474E5"/>
    <w:rsid w:val="00F47BCC"/>
    <w:rsid w:val="00F47EFD"/>
    <w:rsid w:val="00F509C9"/>
    <w:rsid w:val="00F51405"/>
    <w:rsid w:val="00F5180D"/>
    <w:rsid w:val="00F51C80"/>
    <w:rsid w:val="00F52530"/>
    <w:rsid w:val="00F53C5A"/>
    <w:rsid w:val="00F53FE3"/>
    <w:rsid w:val="00F54E74"/>
    <w:rsid w:val="00F54FEE"/>
    <w:rsid w:val="00F55147"/>
    <w:rsid w:val="00F5535D"/>
    <w:rsid w:val="00F55A26"/>
    <w:rsid w:val="00F5615F"/>
    <w:rsid w:val="00F56DEF"/>
    <w:rsid w:val="00F5720F"/>
    <w:rsid w:val="00F60B0A"/>
    <w:rsid w:val="00F60B99"/>
    <w:rsid w:val="00F62118"/>
    <w:rsid w:val="00F62987"/>
    <w:rsid w:val="00F62AE7"/>
    <w:rsid w:val="00F63441"/>
    <w:rsid w:val="00F63781"/>
    <w:rsid w:val="00F63BA3"/>
    <w:rsid w:val="00F63C77"/>
    <w:rsid w:val="00F644CC"/>
    <w:rsid w:val="00F66564"/>
    <w:rsid w:val="00F66F12"/>
    <w:rsid w:val="00F672BB"/>
    <w:rsid w:val="00F67496"/>
    <w:rsid w:val="00F67E2B"/>
    <w:rsid w:val="00F708BE"/>
    <w:rsid w:val="00F70C28"/>
    <w:rsid w:val="00F710BD"/>
    <w:rsid w:val="00F719A1"/>
    <w:rsid w:val="00F72332"/>
    <w:rsid w:val="00F725AD"/>
    <w:rsid w:val="00F72770"/>
    <w:rsid w:val="00F72772"/>
    <w:rsid w:val="00F73263"/>
    <w:rsid w:val="00F73B11"/>
    <w:rsid w:val="00F7421E"/>
    <w:rsid w:val="00F74E00"/>
    <w:rsid w:val="00F75679"/>
    <w:rsid w:val="00F75E00"/>
    <w:rsid w:val="00F76473"/>
    <w:rsid w:val="00F76817"/>
    <w:rsid w:val="00F801BA"/>
    <w:rsid w:val="00F807AD"/>
    <w:rsid w:val="00F80977"/>
    <w:rsid w:val="00F81FEF"/>
    <w:rsid w:val="00F825AA"/>
    <w:rsid w:val="00F839CD"/>
    <w:rsid w:val="00F83F78"/>
    <w:rsid w:val="00F843BE"/>
    <w:rsid w:val="00F84412"/>
    <w:rsid w:val="00F84FD3"/>
    <w:rsid w:val="00F85634"/>
    <w:rsid w:val="00F85BAE"/>
    <w:rsid w:val="00F85FB0"/>
    <w:rsid w:val="00F8647A"/>
    <w:rsid w:val="00F864AA"/>
    <w:rsid w:val="00F8659B"/>
    <w:rsid w:val="00F86C51"/>
    <w:rsid w:val="00F875AA"/>
    <w:rsid w:val="00F8794B"/>
    <w:rsid w:val="00F87959"/>
    <w:rsid w:val="00F90215"/>
    <w:rsid w:val="00F90DF1"/>
    <w:rsid w:val="00F911C0"/>
    <w:rsid w:val="00F9167B"/>
    <w:rsid w:val="00F9366A"/>
    <w:rsid w:val="00F93EC4"/>
    <w:rsid w:val="00F946C9"/>
    <w:rsid w:val="00F956F3"/>
    <w:rsid w:val="00F95F5D"/>
    <w:rsid w:val="00F97C84"/>
    <w:rsid w:val="00F97DD2"/>
    <w:rsid w:val="00FA097D"/>
    <w:rsid w:val="00FA0EA5"/>
    <w:rsid w:val="00FA1383"/>
    <w:rsid w:val="00FA1956"/>
    <w:rsid w:val="00FA1A15"/>
    <w:rsid w:val="00FA1DEF"/>
    <w:rsid w:val="00FA2670"/>
    <w:rsid w:val="00FA2DBE"/>
    <w:rsid w:val="00FA2F00"/>
    <w:rsid w:val="00FA2F05"/>
    <w:rsid w:val="00FA302A"/>
    <w:rsid w:val="00FA3BC6"/>
    <w:rsid w:val="00FA4627"/>
    <w:rsid w:val="00FA53C4"/>
    <w:rsid w:val="00FA68C7"/>
    <w:rsid w:val="00FA6CAB"/>
    <w:rsid w:val="00FA709E"/>
    <w:rsid w:val="00FA74EE"/>
    <w:rsid w:val="00FA7FEC"/>
    <w:rsid w:val="00FB0929"/>
    <w:rsid w:val="00FB0A5B"/>
    <w:rsid w:val="00FB126A"/>
    <w:rsid w:val="00FB2087"/>
    <w:rsid w:val="00FB2BC0"/>
    <w:rsid w:val="00FB32B2"/>
    <w:rsid w:val="00FB3E06"/>
    <w:rsid w:val="00FB53ED"/>
    <w:rsid w:val="00FB7512"/>
    <w:rsid w:val="00FB7529"/>
    <w:rsid w:val="00FC0692"/>
    <w:rsid w:val="00FC1A6F"/>
    <w:rsid w:val="00FC1B2D"/>
    <w:rsid w:val="00FC3711"/>
    <w:rsid w:val="00FC384D"/>
    <w:rsid w:val="00FC3B43"/>
    <w:rsid w:val="00FC41F3"/>
    <w:rsid w:val="00FC46E7"/>
    <w:rsid w:val="00FC4934"/>
    <w:rsid w:val="00FC4CE7"/>
    <w:rsid w:val="00FC5D25"/>
    <w:rsid w:val="00FC5E21"/>
    <w:rsid w:val="00FC6018"/>
    <w:rsid w:val="00FC60A8"/>
    <w:rsid w:val="00FC64E8"/>
    <w:rsid w:val="00FC6BE4"/>
    <w:rsid w:val="00FC7AD5"/>
    <w:rsid w:val="00FC7E98"/>
    <w:rsid w:val="00FD0D7E"/>
    <w:rsid w:val="00FD0E28"/>
    <w:rsid w:val="00FD1606"/>
    <w:rsid w:val="00FD16C4"/>
    <w:rsid w:val="00FD16FA"/>
    <w:rsid w:val="00FD17CA"/>
    <w:rsid w:val="00FD224C"/>
    <w:rsid w:val="00FD2253"/>
    <w:rsid w:val="00FD2501"/>
    <w:rsid w:val="00FD3279"/>
    <w:rsid w:val="00FD3472"/>
    <w:rsid w:val="00FD362F"/>
    <w:rsid w:val="00FD47FE"/>
    <w:rsid w:val="00FD4FFB"/>
    <w:rsid w:val="00FD5B45"/>
    <w:rsid w:val="00FD64F3"/>
    <w:rsid w:val="00FD6ADE"/>
    <w:rsid w:val="00FD7A91"/>
    <w:rsid w:val="00FD7D0A"/>
    <w:rsid w:val="00FE022F"/>
    <w:rsid w:val="00FE0D9D"/>
    <w:rsid w:val="00FE149B"/>
    <w:rsid w:val="00FE1E76"/>
    <w:rsid w:val="00FE207F"/>
    <w:rsid w:val="00FE2615"/>
    <w:rsid w:val="00FE3260"/>
    <w:rsid w:val="00FE336A"/>
    <w:rsid w:val="00FE33BE"/>
    <w:rsid w:val="00FE3AFE"/>
    <w:rsid w:val="00FE6440"/>
    <w:rsid w:val="00FE65A7"/>
    <w:rsid w:val="00FE6D67"/>
    <w:rsid w:val="00FE6E13"/>
    <w:rsid w:val="00FE7555"/>
    <w:rsid w:val="00FE789A"/>
    <w:rsid w:val="00FE7D38"/>
    <w:rsid w:val="00FF15F6"/>
    <w:rsid w:val="00FF17B1"/>
    <w:rsid w:val="00FF2286"/>
    <w:rsid w:val="00FF27B9"/>
    <w:rsid w:val="00FF2ED6"/>
    <w:rsid w:val="00FF4B87"/>
    <w:rsid w:val="00FF527C"/>
    <w:rsid w:val="00FF55BB"/>
    <w:rsid w:val="00FF5DAE"/>
    <w:rsid w:val="00FF6126"/>
    <w:rsid w:val="00FF61A2"/>
    <w:rsid w:val="00FF65CD"/>
    <w:rsid w:val="00FF723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E128FD"/>
  <w15:docId w15:val="{C19ECD40-B6CA-459E-9F57-D0192A368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iPriority="0" w:unhideWhenUsed="1"/>
    <w:lsdException w:name="caption" w:semiHidden="1" w:uiPriority="0" w:unhideWhenUsed="1" w:qFormat="1"/>
    <w:lsdException w:name="table of figures" w:semiHidden="1" w:unhideWhenUsed="1" w:qFormat="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1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qFormat="1"/>
    <w:lsdException w:name="Body Text 3" w:semiHidden="1" w:uiPriority="0" w:unhideWhenUsed="1" w:qFormat="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iPriority="0"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19AE"/>
    <w:rPr>
      <w:rFonts w:ascii="Segoe UI" w:hAnsi="Segoe UI"/>
      <w:sz w:val="21"/>
      <w:lang w:eastAsia="en-GB"/>
    </w:rPr>
  </w:style>
  <w:style w:type="paragraph" w:styleId="Heading1">
    <w:name w:val="heading 1"/>
    <w:basedOn w:val="Normal"/>
    <w:next w:val="Normal"/>
    <w:link w:val="Heading1Char"/>
    <w:qFormat/>
    <w:rsid w:val="00DA7F9E"/>
    <w:pPr>
      <w:pageBreakBefore/>
      <w:spacing w:after="360"/>
      <w:outlineLvl w:val="0"/>
    </w:pPr>
    <w:rPr>
      <w:b/>
      <w:color w:val="23305D"/>
      <w:spacing w:val="-10"/>
      <w:sz w:val="72"/>
    </w:rPr>
  </w:style>
  <w:style w:type="paragraph" w:styleId="Heading2">
    <w:name w:val="heading 2"/>
    <w:basedOn w:val="Normal"/>
    <w:next w:val="Normal"/>
    <w:link w:val="Heading2Char"/>
    <w:qFormat/>
    <w:rsid w:val="002575E8"/>
    <w:pPr>
      <w:keepNext/>
      <w:spacing w:before="480" w:after="180"/>
      <w:outlineLvl w:val="1"/>
    </w:pPr>
    <w:rPr>
      <w:b/>
      <w:color w:val="0A6AB4"/>
      <w:spacing w:val="-5"/>
      <w:sz w:val="48"/>
    </w:rPr>
  </w:style>
  <w:style w:type="paragraph" w:styleId="Heading3">
    <w:name w:val="heading 3"/>
    <w:basedOn w:val="Normal"/>
    <w:next w:val="Normal"/>
    <w:link w:val="Heading3Char"/>
    <w:qFormat/>
    <w:rsid w:val="00030E84"/>
    <w:pPr>
      <w:keepNext/>
      <w:numPr>
        <w:ilvl w:val="2"/>
        <w:numId w:val="5"/>
      </w:numPr>
      <w:spacing w:before="360" w:after="180"/>
      <w:outlineLvl w:val="2"/>
    </w:pPr>
    <w:rPr>
      <w:color w:val="0A6AB4"/>
      <w:spacing w:val="-5"/>
      <w:sz w:val="36"/>
    </w:rPr>
  </w:style>
  <w:style w:type="paragraph" w:styleId="Heading4">
    <w:name w:val="heading 4"/>
    <w:basedOn w:val="Normal"/>
    <w:next w:val="Normal"/>
    <w:link w:val="Heading4Char"/>
    <w:qFormat/>
    <w:rsid w:val="00030E84"/>
    <w:pPr>
      <w:keepNext/>
      <w:spacing w:before="240" w:after="120"/>
      <w:outlineLvl w:val="3"/>
    </w:pPr>
    <w:rPr>
      <w:color w:val="0A6AB4"/>
      <w:sz w:val="28"/>
    </w:rPr>
  </w:style>
  <w:style w:type="paragraph" w:styleId="Heading5">
    <w:name w:val="heading 5"/>
    <w:basedOn w:val="Normal"/>
    <w:next w:val="Normal"/>
    <w:link w:val="Heading5Char"/>
    <w:qFormat/>
    <w:rsid w:val="00B00CF5"/>
    <w:pPr>
      <w:keepNext/>
      <w:spacing w:before="120" w:after="120"/>
      <w:outlineLvl w:val="4"/>
    </w:pPr>
    <w:rPr>
      <w:color w:val="0A6AB4"/>
      <w:sz w:val="24"/>
    </w:rPr>
  </w:style>
  <w:style w:type="paragraph" w:styleId="Heading6">
    <w:name w:val="heading 6"/>
    <w:basedOn w:val="Normal"/>
    <w:next w:val="Normal"/>
    <w:link w:val="Heading6Char"/>
    <w:unhideWhenUsed/>
    <w:qFormat/>
    <w:rsid w:val="00122363"/>
    <w:pPr>
      <w:keepNext/>
      <w:keepLines/>
      <w:spacing w:before="200" w:after="120" w:line="276" w:lineRule="auto"/>
      <w:ind w:left="1152" w:hanging="1152"/>
      <w:outlineLvl w:val="5"/>
    </w:pPr>
    <w:rPr>
      <w:rFonts w:ascii="Calibri" w:eastAsia="MS Gothic" w:hAnsi="Calibri"/>
      <w:i/>
      <w:iCs/>
      <w:color w:val="243F60"/>
      <w:szCs w:val="24"/>
      <w:lang w:val="en-GB" w:eastAsia="en-US"/>
    </w:rPr>
  </w:style>
  <w:style w:type="paragraph" w:styleId="Heading7">
    <w:name w:val="heading 7"/>
    <w:basedOn w:val="Normal"/>
    <w:next w:val="Normal"/>
    <w:link w:val="Heading7Char"/>
    <w:unhideWhenUsed/>
    <w:qFormat/>
    <w:rsid w:val="00122363"/>
    <w:pPr>
      <w:keepNext/>
      <w:keepLines/>
      <w:spacing w:before="200" w:after="120" w:line="276" w:lineRule="auto"/>
      <w:ind w:left="1296" w:hanging="1296"/>
      <w:outlineLvl w:val="6"/>
    </w:pPr>
    <w:rPr>
      <w:rFonts w:ascii="Calibri" w:eastAsia="MS Gothic" w:hAnsi="Calibri"/>
      <w:i/>
      <w:iCs/>
      <w:color w:val="404040"/>
      <w:szCs w:val="24"/>
      <w:lang w:val="en-GB" w:eastAsia="en-US"/>
    </w:rPr>
  </w:style>
  <w:style w:type="paragraph" w:styleId="Heading8">
    <w:name w:val="heading 8"/>
    <w:basedOn w:val="Normal"/>
    <w:next w:val="Normal"/>
    <w:link w:val="Heading8Char"/>
    <w:unhideWhenUsed/>
    <w:qFormat/>
    <w:rsid w:val="00030E84"/>
    <w:pPr>
      <w:keepNext/>
      <w:keepLines/>
      <w:spacing w:before="480" w:after="240"/>
      <w:outlineLvl w:val="7"/>
    </w:pPr>
    <w:rPr>
      <w:rFonts w:eastAsia="MS Gothic"/>
      <w:color w:val="0A6AB4"/>
      <w:spacing w:val="-10"/>
      <w:sz w:val="36"/>
      <w:szCs w:val="24"/>
      <w:lang w:eastAsia="en-US"/>
    </w:rPr>
  </w:style>
  <w:style w:type="paragraph" w:styleId="Heading9">
    <w:name w:val="heading 9"/>
    <w:basedOn w:val="Normal"/>
    <w:next w:val="Normal"/>
    <w:link w:val="Heading9Char"/>
    <w:unhideWhenUsed/>
    <w:qFormat/>
    <w:rsid w:val="00122363"/>
    <w:pPr>
      <w:keepNext/>
      <w:keepLines/>
      <w:spacing w:before="200" w:after="120" w:line="276" w:lineRule="auto"/>
      <w:ind w:left="1584" w:hanging="1584"/>
      <w:outlineLvl w:val="8"/>
    </w:pPr>
    <w:rPr>
      <w:rFonts w:ascii="Calibri" w:eastAsia="MS Gothic" w:hAnsi="Calibri"/>
      <w:i/>
      <w:iCs/>
      <w:color w:val="404040"/>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427FA"/>
    <w:rPr>
      <w:rFonts w:ascii="Segoe UI" w:hAnsi="Segoe UI"/>
      <w:b/>
      <w:color w:val="23305D"/>
      <w:spacing w:val="-10"/>
      <w:sz w:val="72"/>
      <w:lang w:eastAsia="en-GB"/>
    </w:rPr>
  </w:style>
  <w:style w:type="character" w:customStyle="1" w:styleId="Heading2Char">
    <w:name w:val="Heading 2 Char"/>
    <w:link w:val="Heading2"/>
    <w:rsid w:val="00030E84"/>
    <w:rPr>
      <w:rFonts w:ascii="Segoe UI" w:hAnsi="Segoe UI"/>
      <w:b/>
      <w:color w:val="0A6AB4"/>
      <w:spacing w:val="-5"/>
      <w:sz w:val="48"/>
      <w:lang w:eastAsia="en-GB"/>
    </w:rPr>
  </w:style>
  <w:style w:type="character" w:customStyle="1" w:styleId="Heading3Char">
    <w:name w:val="Heading 3 Char"/>
    <w:link w:val="Heading3"/>
    <w:rsid w:val="00030E84"/>
    <w:rPr>
      <w:rFonts w:ascii="Segoe UI" w:hAnsi="Segoe UI"/>
      <w:color w:val="0A6AB4"/>
      <w:spacing w:val="-5"/>
      <w:sz w:val="36"/>
      <w:lang w:eastAsia="en-GB"/>
    </w:rPr>
  </w:style>
  <w:style w:type="character" w:customStyle="1" w:styleId="Heading4Char">
    <w:name w:val="Heading 4 Char"/>
    <w:link w:val="Heading4"/>
    <w:rsid w:val="00030E84"/>
    <w:rPr>
      <w:rFonts w:ascii="Segoe UI" w:hAnsi="Segoe UI"/>
      <w:color w:val="0A6AB4"/>
      <w:sz w:val="28"/>
      <w:lang w:eastAsia="en-GB"/>
    </w:rPr>
  </w:style>
  <w:style w:type="character" w:customStyle="1" w:styleId="Heading5Char">
    <w:name w:val="Heading 5 Char"/>
    <w:link w:val="Heading5"/>
    <w:rsid w:val="00B00CF5"/>
    <w:rPr>
      <w:rFonts w:ascii="Segoe UI" w:hAnsi="Segoe UI"/>
      <w:color w:val="0A6AB4"/>
      <w:sz w:val="24"/>
      <w:lang w:eastAsia="en-GB"/>
    </w:rPr>
  </w:style>
  <w:style w:type="character" w:customStyle="1" w:styleId="Heading6Char">
    <w:name w:val="Heading 6 Char"/>
    <w:basedOn w:val="DefaultParagraphFont"/>
    <w:link w:val="Heading6"/>
    <w:rsid w:val="00122363"/>
    <w:rPr>
      <w:rFonts w:ascii="Calibri" w:eastAsia="MS Gothic" w:hAnsi="Calibri"/>
      <w:i/>
      <w:iCs/>
      <w:color w:val="243F60"/>
      <w:sz w:val="22"/>
      <w:szCs w:val="24"/>
      <w:lang w:val="en-GB" w:eastAsia="en-US"/>
    </w:rPr>
  </w:style>
  <w:style w:type="character" w:customStyle="1" w:styleId="Heading7Char">
    <w:name w:val="Heading 7 Char"/>
    <w:basedOn w:val="DefaultParagraphFont"/>
    <w:link w:val="Heading7"/>
    <w:rsid w:val="00122363"/>
    <w:rPr>
      <w:rFonts w:ascii="Calibri" w:eastAsia="MS Gothic" w:hAnsi="Calibri"/>
      <w:i/>
      <w:iCs/>
      <w:color w:val="404040"/>
      <w:sz w:val="22"/>
      <w:szCs w:val="24"/>
      <w:lang w:val="en-GB" w:eastAsia="en-US"/>
    </w:rPr>
  </w:style>
  <w:style w:type="character" w:customStyle="1" w:styleId="Heading8Char">
    <w:name w:val="Heading 8 Char"/>
    <w:basedOn w:val="DefaultParagraphFont"/>
    <w:link w:val="Heading8"/>
    <w:rsid w:val="00030E84"/>
    <w:rPr>
      <w:rFonts w:ascii="Segoe UI" w:eastAsia="MS Gothic" w:hAnsi="Segoe UI"/>
      <w:color w:val="0A6AB4"/>
      <w:spacing w:val="-10"/>
      <w:sz w:val="36"/>
      <w:szCs w:val="24"/>
      <w:lang w:eastAsia="en-US"/>
    </w:rPr>
  </w:style>
  <w:style w:type="character" w:customStyle="1" w:styleId="Heading9Char">
    <w:name w:val="Heading 9 Char"/>
    <w:basedOn w:val="DefaultParagraphFont"/>
    <w:link w:val="Heading9"/>
    <w:rsid w:val="00122363"/>
    <w:rPr>
      <w:rFonts w:ascii="Calibri" w:eastAsia="MS Gothic" w:hAnsi="Calibri"/>
      <w:i/>
      <w:iCs/>
      <w:color w:val="404040"/>
      <w:sz w:val="22"/>
      <w:szCs w:val="24"/>
      <w:lang w:val="en-GB" w:eastAsia="en-US"/>
    </w:rPr>
  </w:style>
  <w:style w:type="paragraph" w:styleId="TOC1">
    <w:name w:val="toc 1"/>
    <w:basedOn w:val="Normal"/>
    <w:next w:val="Normal"/>
    <w:uiPriority w:val="39"/>
    <w:qFormat/>
    <w:rsid w:val="00926D08"/>
    <w:pPr>
      <w:tabs>
        <w:tab w:val="right" w:pos="8080"/>
      </w:tabs>
      <w:spacing w:before="300"/>
      <w:ind w:right="567"/>
    </w:pPr>
    <w:rPr>
      <w:rFonts w:ascii="Segoe UI Semibold" w:hAnsi="Segoe UI Semibold"/>
      <w:sz w:val="24"/>
    </w:rPr>
  </w:style>
  <w:style w:type="paragraph" w:styleId="TOC2">
    <w:name w:val="toc 2"/>
    <w:basedOn w:val="Normal"/>
    <w:next w:val="Normal"/>
    <w:uiPriority w:val="39"/>
    <w:qFormat/>
    <w:rsid w:val="00656F28"/>
    <w:pPr>
      <w:tabs>
        <w:tab w:val="right" w:pos="8080"/>
      </w:tabs>
      <w:spacing w:before="60"/>
      <w:ind w:left="284" w:right="567"/>
    </w:pPr>
  </w:style>
  <w:style w:type="paragraph" w:styleId="TOC3">
    <w:name w:val="toc 3"/>
    <w:basedOn w:val="Normal"/>
    <w:next w:val="Normal"/>
    <w:uiPriority w:val="39"/>
    <w:rsid w:val="00125D45"/>
    <w:pPr>
      <w:tabs>
        <w:tab w:val="right" w:pos="8080"/>
      </w:tabs>
      <w:spacing w:before="120"/>
      <w:ind w:left="1276" w:right="567" w:hanging="1276"/>
    </w:pPr>
  </w:style>
  <w:style w:type="paragraph" w:customStyle="1" w:styleId="Bullet">
    <w:name w:val="Bullet"/>
    <w:basedOn w:val="Normal"/>
    <w:link w:val="BulletChar"/>
    <w:qFormat/>
    <w:rsid w:val="00FA0EA5"/>
    <w:pPr>
      <w:numPr>
        <w:numId w:val="1"/>
      </w:numPr>
      <w:spacing w:before="90"/>
    </w:pPr>
  </w:style>
  <w:style w:type="character" w:customStyle="1" w:styleId="BulletChar">
    <w:name w:val="Bullet Char"/>
    <w:link w:val="Bullet"/>
    <w:locked/>
    <w:rsid w:val="002B7BEC"/>
    <w:rPr>
      <w:rFonts w:ascii="Segoe UI" w:hAnsi="Segoe UI"/>
      <w:sz w:val="21"/>
      <w:lang w:eastAsia="en-GB"/>
    </w:rPr>
  </w:style>
  <w:style w:type="paragraph" w:styleId="Quote">
    <w:name w:val="Quote"/>
    <w:basedOn w:val="Normal"/>
    <w:next w:val="Normal"/>
    <w:link w:val="QuoteChar"/>
    <w:qFormat/>
    <w:pPr>
      <w:spacing w:before="120"/>
      <w:ind w:left="284" w:right="284"/>
    </w:pPr>
  </w:style>
  <w:style w:type="character" w:customStyle="1" w:styleId="QuoteChar">
    <w:name w:val="Quote Char"/>
    <w:link w:val="Quote"/>
    <w:rsid w:val="00122363"/>
    <w:rPr>
      <w:rFonts w:ascii="Georgia" w:hAnsi="Georgia"/>
      <w:sz w:val="22"/>
      <w:lang w:eastAsia="en-GB"/>
    </w:rPr>
  </w:style>
  <w:style w:type="paragraph" w:styleId="FootnoteText">
    <w:name w:val="footnote text"/>
    <w:basedOn w:val="Normal"/>
    <w:link w:val="FootnoteTextChar"/>
    <w:uiPriority w:val="99"/>
    <w:rsid w:val="00A7415D"/>
    <w:pPr>
      <w:spacing w:before="60" w:line="228" w:lineRule="auto"/>
      <w:ind w:left="284" w:hanging="284"/>
    </w:pPr>
    <w:rPr>
      <w:sz w:val="17"/>
    </w:rPr>
  </w:style>
  <w:style w:type="character" w:customStyle="1" w:styleId="FootnoteTextChar">
    <w:name w:val="Footnote Text Char"/>
    <w:link w:val="FootnoteText"/>
    <w:uiPriority w:val="99"/>
    <w:rsid w:val="00A7415D"/>
    <w:rPr>
      <w:rFonts w:ascii="Segoe UI" w:hAnsi="Segoe UI"/>
      <w:sz w:val="17"/>
      <w:lang w:eastAsia="en-GB"/>
    </w:rPr>
  </w:style>
  <w:style w:type="paragraph" w:styleId="Header">
    <w:name w:val="header"/>
    <w:basedOn w:val="Normal"/>
    <w:link w:val="HeaderChar"/>
    <w:uiPriority w:val="99"/>
    <w:qFormat/>
    <w:rsid w:val="00D25FFE"/>
  </w:style>
  <w:style w:type="character" w:customStyle="1" w:styleId="HeaderChar">
    <w:name w:val="Header Char"/>
    <w:link w:val="Header"/>
    <w:uiPriority w:val="99"/>
    <w:rsid w:val="0086388B"/>
    <w:rPr>
      <w:rFonts w:ascii="Georgia" w:hAnsi="Georgia"/>
      <w:sz w:val="22"/>
      <w:lang w:eastAsia="en-GB"/>
    </w:rPr>
  </w:style>
  <w:style w:type="paragraph" w:styleId="Title">
    <w:name w:val="Title"/>
    <w:basedOn w:val="Normal"/>
    <w:next w:val="Normal"/>
    <w:link w:val="TitleChar"/>
    <w:qFormat/>
    <w:rsid w:val="00B84351"/>
    <w:pPr>
      <w:spacing w:line="216" w:lineRule="auto"/>
      <w:ind w:right="2835"/>
    </w:pPr>
    <w:rPr>
      <w:rFonts w:ascii="Segoe UI Black" w:hAnsi="Segoe UI Black" w:cs="Lucida Sans Unicode"/>
      <w:b/>
      <w:sz w:val="72"/>
      <w:szCs w:val="72"/>
    </w:rPr>
  </w:style>
  <w:style w:type="character" w:customStyle="1" w:styleId="TitleChar">
    <w:name w:val="Title Char"/>
    <w:link w:val="Title"/>
    <w:rsid w:val="00B84351"/>
    <w:rPr>
      <w:rFonts w:ascii="Segoe UI Black" w:hAnsi="Segoe UI Black" w:cs="Lucida Sans Unicode"/>
      <w:b/>
      <w:sz w:val="72"/>
      <w:szCs w:val="72"/>
      <w:lang w:eastAsia="en-GB"/>
    </w:rPr>
  </w:style>
  <w:style w:type="paragraph" w:customStyle="1" w:styleId="Imprint">
    <w:name w:val="Imprint"/>
    <w:basedOn w:val="Normal"/>
    <w:next w:val="Normal"/>
    <w:qFormat/>
    <w:rsid w:val="00C05132"/>
    <w:pPr>
      <w:spacing w:after="240"/>
    </w:pPr>
    <w:rPr>
      <w:sz w:val="20"/>
    </w:rPr>
  </w:style>
  <w:style w:type="paragraph" w:styleId="Footer">
    <w:name w:val="footer"/>
    <w:basedOn w:val="Normal"/>
    <w:link w:val="FooterChar"/>
    <w:uiPriority w:val="99"/>
    <w:qFormat/>
    <w:rsid w:val="007A067F"/>
  </w:style>
  <w:style w:type="character" w:customStyle="1" w:styleId="FooterChar">
    <w:name w:val="Footer Char"/>
    <w:link w:val="Footer"/>
    <w:uiPriority w:val="99"/>
    <w:rsid w:val="007A067F"/>
    <w:rPr>
      <w:rFonts w:ascii="Segoe UI" w:hAnsi="Segoe UI"/>
      <w:sz w:val="21"/>
      <w:lang w:eastAsia="en-GB"/>
    </w:rPr>
  </w:style>
  <w:style w:type="character" w:styleId="PageNumber">
    <w:name w:val="page number"/>
    <w:rsid w:val="007A067F"/>
    <w:rPr>
      <w:rFonts w:ascii="Segoe UI" w:hAnsi="Segoe UI"/>
      <w:b/>
      <w:sz w:val="22"/>
    </w:rPr>
  </w:style>
  <w:style w:type="paragraph" w:customStyle="1" w:styleId="VersoFooter">
    <w:name w:val="Verso Footer"/>
    <w:basedOn w:val="Footer"/>
    <w:rsid w:val="00571223"/>
    <w:rPr>
      <w:sz w:val="15"/>
    </w:rPr>
  </w:style>
  <w:style w:type="paragraph" w:customStyle="1" w:styleId="RectoFooter">
    <w:name w:val="Recto Footer"/>
    <w:basedOn w:val="Footer"/>
    <w:rsid w:val="00581EB8"/>
    <w:pPr>
      <w:jc w:val="right"/>
    </w:pPr>
    <w:rPr>
      <w:caps/>
      <w:sz w:val="15"/>
    </w:rPr>
  </w:style>
  <w:style w:type="paragraph" w:customStyle="1" w:styleId="Figure">
    <w:name w:val="Figure"/>
    <w:basedOn w:val="Normal"/>
    <w:next w:val="Normal"/>
    <w:link w:val="FigureChar"/>
    <w:qFormat/>
    <w:rsid w:val="009133F5"/>
    <w:pPr>
      <w:keepNext/>
      <w:spacing w:before="120" w:after="120"/>
    </w:pPr>
    <w:rPr>
      <w:b/>
      <w:sz w:val="20"/>
    </w:rPr>
  </w:style>
  <w:style w:type="character" w:customStyle="1" w:styleId="FigureChar">
    <w:name w:val="Figure Char"/>
    <w:link w:val="Figure"/>
    <w:locked/>
    <w:rsid w:val="002B7BEC"/>
    <w:rPr>
      <w:rFonts w:ascii="Segoe UI" w:hAnsi="Segoe UI"/>
      <w:b/>
      <w:lang w:eastAsia="en-GB"/>
    </w:rPr>
  </w:style>
  <w:style w:type="character" w:styleId="FootnoteReference">
    <w:name w:val="footnote reference"/>
    <w:uiPriority w:val="99"/>
    <w:rPr>
      <w:vertAlign w:val="superscript"/>
    </w:rPr>
  </w:style>
  <w:style w:type="paragraph" w:customStyle="1" w:styleId="Table">
    <w:name w:val="Table"/>
    <w:basedOn w:val="Figure"/>
    <w:link w:val="TableChar"/>
    <w:qFormat/>
    <w:rsid w:val="00642868"/>
  </w:style>
  <w:style w:type="character" w:customStyle="1" w:styleId="TableChar">
    <w:name w:val="Table Char"/>
    <w:link w:val="Table"/>
    <w:locked/>
    <w:rsid w:val="002B7BEC"/>
    <w:rPr>
      <w:rFonts w:ascii="Segoe UI" w:hAnsi="Segoe UI"/>
      <w:b/>
      <w:lang w:eastAsia="en-GB"/>
    </w:rPr>
  </w:style>
  <w:style w:type="paragraph" w:customStyle="1" w:styleId="Dash">
    <w:name w:val="Dash"/>
    <w:basedOn w:val="Bullet"/>
    <w:qFormat/>
    <w:rsid w:val="00702854"/>
    <w:pPr>
      <w:numPr>
        <w:numId w:val="2"/>
      </w:numPr>
      <w:spacing w:before="60"/>
    </w:pPr>
  </w:style>
  <w:style w:type="paragraph" w:customStyle="1" w:styleId="TableText">
    <w:name w:val="TableText"/>
    <w:basedOn w:val="Normal"/>
    <w:qFormat/>
    <w:rsid w:val="007D06C8"/>
    <w:pPr>
      <w:widowControl w:val="0"/>
      <w:spacing w:before="60" w:after="60"/>
    </w:pPr>
    <w:rPr>
      <w:sz w:val="18"/>
    </w:rPr>
  </w:style>
  <w:style w:type="paragraph" w:customStyle="1" w:styleId="TableBullet">
    <w:name w:val="TableBullet"/>
    <w:basedOn w:val="TableText"/>
    <w:qFormat/>
    <w:rsid w:val="007D06C8"/>
    <w:pPr>
      <w:numPr>
        <w:numId w:val="11"/>
      </w:numPr>
    </w:pPr>
  </w:style>
  <w:style w:type="paragraph" w:customStyle="1" w:styleId="Box">
    <w:name w:val="Box"/>
    <w:basedOn w:val="Normal"/>
    <w:qFormat/>
    <w:pPr>
      <w:pBdr>
        <w:top w:val="single" w:sz="4" w:space="12" w:color="auto"/>
        <w:left w:val="single" w:sz="4" w:space="12" w:color="auto"/>
        <w:bottom w:val="single" w:sz="4" w:space="12" w:color="auto"/>
        <w:right w:val="single" w:sz="4" w:space="12" w:color="auto"/>
      </w:pBdr>
      <w:spacing w:before="120"/>
      <w:ind w:left="284" w:right="284"/>
    </w:pPr>
  </w:style>
  <w:style w:type="paragraph" w:customStyle="1" w:styleId="BoxHeading">
    <w:name w:val="BoxHeading"/>
    <w:basedOn w:val="Normal"/>
    <w:next w:val="Box"/>
    <w:qFormat/>
    <w:rsid w:val="00D37D80"/>
    <w:pPr>
      <w:keepNext/>
      <w:pBdr>
        <w:top w:val="single" w:sz="4" w:space="12" w:color="auto"/>
        <w:left w:val="single" w:sz="4" w:space="12" w:color="auto"/>
        <w:bottom w:val="single" w:sz="4" w:space="12" w:color="auto"/>
        <w:right w:val="single" w:sz="4" w:space="12" w:color="auto"/>
      </w:pBdr>
      <w:spacing w:before="240" w:line="264" w:lineRule="auto"/>
      <w:ind w:left="284" w:right="284"/>
    </w:pPr>
    <w:rPr>
      <w:b/>
      <w:sz w:val="24"/>
      <w:szCs w:val="24"/>
    </w:rPr>
  </w:style>
  <w:style w:type="paragraph" w:customStyle="1" w:styleId="BoxBullet">
    <w:name w:val="BoxBullet"/>
    <w:basedOn w:val="Bullet"/>
    <w:qFormat/>
    <w:rsid w:val="008814E8"/>
    <w:pPr>
      <w:pBdr>
        <w:top w:val="single" w:sz="4" w:space="12" w:color="auto"/>
        <w:left w:val="single" w:sz="4" w:space="12" w:color="auto"/>
        <w:bottom w:val="single" w:sz="4" w:space="12" w:color="auto"/>
        <w:right w:val="single" w:sz="4" w:space="12" w:color="auto"/>
      </w:pBdr>
      <w:spacing w:line="264" w:lineRule="auto"/>
      <w:ind w:left="568" w:right="284"/>
    </w:pPr>
  </w:style>
  <w:style w:type="paragraph" w:customStyle="1" w:styleId="IntroHead">
    <w:name w:val="IntroHead"/>
    <w:basedOn w:val="Heading1"/>
    <w:next w:val="Normal"/>
    <w:qFormat/>
    <w:rsid w:val="00F54E74"/>
    <w:pPr>
      <w:outlineLvl w:val="9"/>
    </w:pPr>
  </w:style>
  <w:style w:type="paragraph" w:customStyle="1" w:styleId="Source">
    <w:name w:val="Source"/>
    <w:basedOn w:val="Note"/>
    <w:next w:val="Normal"/>
    <w:qFormat/>
    <w:rsid w:val="0012053C"/>
  </w:style>
  <w:style w:type="paragraph" w:customStyle="1" w:styleId="Note">
    <w:name w:val="Note"/>
    <w:basedOn w:val="Normal"/>
    <w:next w:val="Normal"/>
    <w:link w:val="NoteChar"/>
    <w:qFormat/>
    <w:rsid w:val="00A87C05"/>
    <w:pPr>
      <w:spacing w:before="80"/>
    </w:pPr>
    <w:rPr>
      <w:sz w:val="17"/>
    </w:rPr>
  </w:style>
  <w:style w:type="character" w:customStyle="1" w:styleId="NoteChar">
    <w:name w:val="Note Char"/>
    <w:link w:val="Note"/>
    <w:rsid w:val="00A87C05"/>
    <w:rPr>
      <w:rFonts w:ascii="Segoe UI" w:hAnsi="Segoe UI"/>
      <w:sz w:val="17"/>
      <w:lang w:eastAsia="en-GB"/>
    </w:rPr>
  </w:style>
  <w:style w:type="paragraph" w:customStyle="1" w:styleId="Subhead">
    <w:name w:val="Subhead"/>
    <w:basedOn w:val="Normal"/>
    <w:next w:val="Year"/>
    <w:qFormat/>
    <w:rsid w:val="00B84351"/>
    <w:pPr>
      <w:spacing w:before="240"/>
      <w:ind w:right="2835"/>
    </w:pPr>
    <w:rPr>
      <w:rFonts w:ascii="Segoe UI Semibold" w:hAnsi="Segoe UI Semibold" w:cs="Segoe UI Semibold"/>
      <w:sz w:val="56"/>
      <w:szCs w:val="26"/>
    </w:rPr>
  </w:style>
  <w:style w:type="paragraph" w:customStyle="1" w:styleId="Year">
    <w:name w:val="Year"/>
    <w:basedOn w:val="Subhead"/>
    <w:next w:val="Subhead"/>
    <w:qFormat/>
    <w:rsid w:val="00B84351"/>
    <w:pPr>
      <w:spacing w:before="1200"/>
    </w:pPr>
    <w:rPr>
      <w:sz w:val="28"/>
    </w:rPr>
  </w:style>
  <w:style w:type="character" w:styleId="Hyperlink">
    <w:name w:val="Hyperlink"/>
    <w:uiPriority w:val="99"/>
    <w:rsid w:val="000C04EC"/>
    <w:rPr>
      <w:b/>
      <w:color w:val="595959" w:themeColor="text1" w:themeTint="A6"/>
      <w:u w:val="single"/>
    </w:rPr>
  </w:style>
  <w:style w:type="paragraph" w:customStyle="1" w:styleId="References">
    <w:name w:val="References"/>
    <w:basedOn w:val="Normal"/>
    <w:qFormat/>
    <w:rsid w:val="00D15C7D"/>
    <w:pPr>
      <w:spacing w:after="180"/>
      <w:ind w:left="567" w:hanging="567"/>
    </w:pPr>
  </w:style>
  <w:style w:type="paragraph" w:customStyle="1" w:styleId="TableDash">
    <w:name w:val="TableDash"/>
    <w:basedOn w:val="TableText"/>
    <w:qFormat/>
    <w:rsid w:val="0010541C"/>
    <w:pPr>
      <w:numPr>
        <w:numId w:val="3"/>
      </w:numPr>
      <w:spacing w:before="40" w:after="0"/>
    </w:pPr>
    <w:rPr>
      <w:szCs w:val="22"/>
    </w:rPr>
  </w:style>
  <w:style w:type="paragraph" w:styleId="Revision">
    <w:name w:val="Revision"/>
    <w:hidden/>
    <w:uiPriority w:val="99"/>
    <w:rsid w:val="0086388B"/>
    <w:rPr>
      <w:rFonts w:ascii="Calibri" w:eastAsia="Calibri" w:hAnsi="Calibri"/>
      <w:sz w:val="22"/>
      <w:szCs w:val="22"/>
      <w:lang w:val="en-US" w:eastAsia="en-US"/>
    </w:rPr>
  </w:style>
  <w:style w:type="paragraph" w:customStyle="1" w:styleId="Number">
    <w:name w:val="Number"/>
    <w:basedOn w:val="Normal"/>
    <w:rsid w:val="00F140B2"/>
    <w:pPr>
      <w:numPr>
        <w:ilvl w:val="3"/>
        <w:numId w:val="5"/>
      </w:numPr>
      <w:spacing w:before="180"/>
    </w:pPr>
    <w:rPr>
      <w:szCs w:val="24"/>
    </w:rPr>
  </w:style>
  <w:style w:type="paragraph" w:customStyle="1" w:styleId="Letter">
    <w:name w:val="Letter"/>
    <w:basedOn w:val="Normal"/>
    <w:qFormat/>
    <w:rsid w:val="00F140B2"/>
    <w:pPr>
      <w:numPr>
        <w:ilvl w:val="4"/>
        <w:numId w:val="5"/>
      </w:numPr>
      <w:spacing w:before="120"/>
    </w:pPr>
  </w:style>
  <w:style w:type="paragraph" w:customStyle="1" w:styleId="Introductoryparagraph">
    <w:name w:val="Introductory paragraph"/>
    <w:basedOn w:val="Normal"/>
    <w:next w:val="Normal"/>
    <w:qFormat/>
    <w:rsid w:val="00F036D9"/>
    <w:pPr>
      <w:spacing w:after="240"/>
      <w:jc w:val="center"/>
    </w:pPr>
    <w:rPr>
      <w:rFonts w:ascii="Segoe UI Light" w:hAnsi="Segoe UI Light"/>
      <w:i/>
      <w:color w:val="365F91" w:themeColor="accent1" w:themeShade="BF"/>
      <w:sz w:val="32"/>
    </w:rPr>
  </w:style>
  <w:style w:type="paragraph" w:customStyle="1" w:styleId="Roman">
    <w:name w:val="Roman"/>
    <w:basedOn w:val="Normal"/>
    <w:qFormat/>
    <w:rsid w:val="00AD6293"/>
    <w:pPr>
      <w:numPr>
        <w:ilvl w:val="5"/>
        <w:numId w:val="5"/>
      </w:numPr>
      <w:spacing w:before="90"/>
    </w:pPr>
    <w:rPr>
      <w:rFonts w:eastAsia="Arial Unicode MS"/>
    </w:rPr>
  </w:style>
  <w:style w:type="paragraph" w:styleId="EndnoteText">
    <w:name w:val="endnote text"/>
    <w:basedOn w:val="Normal"/>
    <w:link w:val="EndnoteTextChar"/>
    <w:uiPriority w:val="99"/>
    <w:unhideWhenUsed/>
    <w:rsid w:val="00D15C7D"/>
    <w:pPr>
      <w:spacing w:before="120"/>
    </w:pPr>
    <w:rPr>
      <w:rFonts w:eastAsia="Calibri"/>
      <w:lang w:eastAsia="en-US"/>
    </w:rPr>
  </w:style>
  <w:style w:type="character" w:customStyle="1" w:styleId="EndnoteTextChar">
    <w:name w:val="Endnote Text Char"/>
    <w:basedOn w:val="DefaultParagraphFont"/>
    <w:link w:val="EndnoteText"/>
    <w:uiPriority w:val="99"/>
    <w:rsid w:val="00D15C7D"/>
    <w:rPr>
      <w:rFonts w:ascii="Segoe UI" w:eastAsia="Calibri" w:hAnsi="Segoe UI"/>
      <w:sz w:val="21"/>
      <w:lang w:eastAsia="en-US"/>
    </w:rPr>
  </w:style>
  <w:style w:type="character" w:styleId="EndnoteReference">
    <w:name w:val="endnote reference"/>
    <w:uiPriority w:val="99"/>
    <w:semiHidden/>
    <w:unhideWhenUsed/>
    <w:rsid w:val="00C3624A"/>
    <w:rPr>
      <w:vertAlign w:val="superscript"/>
    </w:rPr>
  </w:style>
  <w:style w:type="paragraph" w:styleId="BalloonText">
    <w:name w:val="Balloon Text"/>
    <w:basedOn w:val="Normal"/>
    <w:link w:val="BalloonTextChar"/>
    <w:semiHidden/>
    <w:unhideWhenUsed/>
    <w:rsid w:val="00AC4B03"/>
    <w:rPr>
      <w:rFonts w:cs="Segoe UI"/>
      <w:sz w:val="18"/>
      <w:szCs w:val="18"/>
    </w:rPr>
  </w:style>
  <w:style w:type="character" w:customStyle="1" w:styleId="BalloonTextChar">
    <w:name w:val="Balloon Text Char"/>
    <w:basedOn w:val="DefaultParagraphFont"/>
    <w:link w:val="BalloonText"/>
    <w:semiHidden/>
    <w:rsid w:val="00AC4B03"/>
    <w:rPr>
      <w:rFonts w:ascii="Segoe UI" w:hAnsi="Segoe UI" w:cs="Segoe UI"/>
      <w:sz w:val="18"/>
      <w:szCs w:val="18"/>
      <w:lang w:eastAsia="en-GB"/>
    </w:rPr>
  </w:style>
  <w:style w:type="paragraph" w:styleId="ListParagraph">
    <w:name w:val="List Paragraph"/>
    <w:aliases w:val="List Paragraph PG,Level 3,List Paragraph1,List Paragraph numbered,List Bullet indent,Body,Recommendation,List Paragraph11,TOC style,lp1,Bullet OSM,Proposal Bullet List,Bullets,Rec para,Normal text,Bullet Normal,Colorful List - Accent 11"/>
    <w:basedOn w:val="Normal"/>
    <w:link w:val="ListParagraphChar"/>
    <w:uiPriority w:val="34"/>
    <w:qFormat/>
    <w:rsid w:val="00AD5DD9"/>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ListParagraphChar">
    <w:name w:val="List Paragraph Char"/>
    <w:aliases w:val="List Paragraph PG Char,Level 3 Char,List Paragraph1 Char,List Paragraph numbered Char,List Bullet indent Char,Body Char,Recommendation Char,List Paragraph11 Char,TOC style Char,lp1 Char,Bullet OSM Char,Proposal Bullet List Char"/>
    <w:link w:val="ListParagraph"/>
    <w:uiPriority w:val="34"/>
    <w:rsid w:val="00AD5DD9"/>
    <w:rPr>
      <w:rFonts w:asciiTheme="minorHAnsi" w:eastAsiaTheme="minorHAnsi" w:hAnsiTheme="minorHAnsi" w:cstheme="minorBidi"/>
      <w:sz w:val="22"/>
      <w:szCs w:val="22"/>
      <w:lang w:eastAsia="en-US"/>
    </w:rPr>
  </w:style>
  <w:style w:type="numbering" w:customStyle="1" w:styleId="ImportedStyle18">
    <w:name w:val="Imported Style 18"/>
    <w:rsid w:val="00AD5DD9"/>
    <w:pPr>
      <w:numPr>
        <w:numId w:val="6"/>
      </w:numPr>
    </w:pPr>
  </w:style>
  <w:style w:type="character" w:styleId="FollowedHyperlink">
    <w:name w:val="FollowedHyperlink"/>
    <w:basedOn w:val="DefaultParagraphFont"/>
    <w:uiPriority w:val="99"/>
    <w:semiHidden/>
    <w:unhideWhenUsed/>
    <w:rsid w:val="00A41503"/>
    <w:rPr>
      <w:color w:val="800080" w:themeColor="followedHyperlink"/>
      <w:u w:val="single"/>
    </w:rPr>
  </w:style>
  <w:style w:type="character" w:styleId="CommentReference">
    <w:name w:val="annotation reference"/>
    <w:basedOn w:val="DefaultParagraphFont"/>
    <w:uiPriority w:val="99"/>
    <w:semiHidden/>
    <w:unhideWhenUsed/>
    <w:rsid w:val="00A41503"/>
    <w:rPr>
      <w:sz w:val="16"/>
      <w:szCs w:val="16"/>
    </w:rPr>
  </w:style>
  <w:style w:type="paragraph" w:styleId="CommentText">
    <w:name w:val="annotation text"/>
    <w:basedOn w:val="Normal"/>
    <w:link w:val="CommentTextChar"/>
    <w:uiPriority w:val="99"/>
    <w:unhideWhenUsed/>
    <w:rsid w:val="00A41503"/>
    <w:rPr>
      <w:sz w:val="20"/>
    </w:rPr>
  </w:style>
  <w:style w:type="character" w:customStyle="1" w:styleId="CommentTextChar">
    <w:name w:val="Comment Text Char"/>
    <w:basedOn w:val="DefaultParagraphFont"/>
    <w:link w:val="CommentText"/>
    <w:uiPriority w:val="99"/>
    <w:rsid w:val="00A41503"/>
    <w:rPr>
      <w:rFonts w:ascii="Segoe UI" w:hAnsi="Segoe UI"/>
      <w:lang w:eastAsia="en-GB"/>
    </w:rPr>
  </w:style>
  <w:style w:type="paragraph" w:styleId="CommentSubject">
    <w:name w:val="annotation subject"/>
    <w:basedOn w:val="CommentText"/>
    <w:next w:val="CommentText"/>
    <w:link w:val="CommentSubjectChar"/>
    <w:semiHidden/>
    <w:unhideWhenUsed/>
    <w:rsid w:val="00A41503"/>
    <w:rPr>
      <w:b/>
      <w:bCs/>
    </w:rPr>
  </w:style>
  <w:style w:type="character" w:customStyle="1" w:styleId="CommentSubjectChar">
    <w:name w:val="Comment Subject Char"/>
    <w:basedOn w:val="CommentTextChar"/>
    <w:link w:val="CommentSubject"/>
    <w:semiHidden/>
    <w:rsid w:val="00A41503"/>
    <w:rPr>
      <w:rFonts w:ascii="Segoe UI" w:hAnsi="Segoe UI"/>
      <w:b/>
      <w:bCs/>
      <w:lang w:eastAsia="en-GB"/>
    </w:rPr>
  </w:style>
  <w:style w:type="table" w:styleId="TableGrid">
    <w:name w:val="Table Grid"/>
    <w:basedOn w:val="TableNormal"/>
    <w:uiPriority w:val="39"/>
    <w:rsid w:val="000D1FD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1550B"/>
    <w:rPr>
      <w:color w:val="605E5C"/>
      <w:shd w:val="clear" w:color="auto" w:fill="E1DFDD"/>
    </w:rPr>
  </w:style>
  <w:style w:type="paragraph" w:styleId="NormalWeb">
    <w:name w:val="Normal (Web)"/>
    <w:basedOn w:val="Normal"/>
    <w:uiPriority w:val="99"/>
    <w:semiHidden/>
    <w:unhideWhenUsed/>
    <w:rsid w:val="00F21E4C"/>
    <w:pPr>
      <w:spacing w:before="100" w:beforeAutospacing="1" w:after="100" w:afterAutospacing="1"/>
    </w:pPr>
    <w:rPr>
      <w:rFonts w:ascii="Times New Roman" w:hAnsi="Times New Roman"/>
      <w:sz w:val="24"/>
      <w:szCs w:val="24"/>
      <w:lang w:eastAsia="en-NZ"/>
    </w:rPr>
  </w:style>
  <w:style w:type="character" w:customStyle="1" w:styleId="BulletsChar">
    <w:name w:val="Bullets Char"/>
    <w:basedOn w:val="DefaultParagraphFont"/>
    <w:rsid w:val="008E3105"/>
    <w:rPr>
      <w:rFonts w:ascii="Arial" w:eastAsia="Times New Roman" w:hAnsi="Arial" w:cs="Times"/>
      <w:sz w:val="24"/>
      <w:szCs w:val="24"/>
      <w:lang w:val="en" w:eastAsia="en-GB"/>
    </w:rPr>
  </w:style>
  <w:style w:type="paragraph" w:customStyle="1" w:styleId="Tablebullets">
    <w:name w:val="Table bullets"/>
    <w:basedOn w:val="Normal"/>
    <w:link w:val="TablebulletsChar"/>
    <w:rsid w:val="00684736"/>
    <w:pPr>
      <w:numPr>
        <w:numId w:val="8"/>
      </w:numPr>
      <w:spacing w:before="60" w:after="60"/>
    </w:pPr>
    <w:rPr>
      <w:rFonts w:asciiTheme="minorHAnsi" w:eastAsiaTheme="minorHAnsi" w:hAnsiTheme="minorHAnsi" w:cstheme="minorBidi"/>
      <w:sz w:val="20"/>
      <w:lang w:eastAsia="en-US"/>
    </w:rPr>
  </w:style>
  <w:style w:type="character" w:customStyle="1" w:styleId="TablebulletsChar">
    <w:name w:val="Table bullets Char"/>
    <w:basedOn w:val="DefaultParagraphFont"/>
    <w:link w:val="Tablebullets"/>
    <w:rsid w:val="00684736"/>
    <w:rPr>
      <w:rFonts w:asciiTheme="minorHAnsi" w:eastAsiaTheme="minorHAnsi" w:hAnsiTheme="minorHAnsi" w:cstheme="minorBidi"/>
      <w:lang w:eastAsia="en-US"/>
    </w:rPr>
  </w:style>
  <w:style w:type="character" w:styleId="Emphasis">
    <w:name w:val="Emphasis"/>
    <w:basedOn w:val="DefaultParagraphFont"/>
    <w:uiPriority w:val="20"/>
    <w:qFormat/>
    <w:rsid w:val="00F62987"/>
    <w:rPr>
      <w:i/>
      <w:iCs/>
    </w:rPr>
  </w:style>
  <w:style w:type="paragraph" w:customStyle="1" w:styleId="ReportBody-MOH">
    <w:name w:val="Report Body - MOH"/>
    <w:basedOn w:val="Normal"/>
    <w:link w:val="ReportBody-MOHChar"/>
    <w:qFormat/>
    <w:rsid w:val="00C44D47"/>
    <w:pPr>
      <w:numPr>
        <w:numId w:val="15"/>
      </w:numPr>
      <w:spacing w:before="120" w:after="120"/>
      <w:ind w:right="284"/>
    </w:pPr>
    <w:rPr>
      <w:rFonts w:cs="Arial"/>
      <w:kern w:val="22"/>
      <w:sz w:val="22"/>
      <w:szCs w:val="22"/>
      <w:lang w:eastAsia="en-NZ"/>
    </w:rPr>
  </w:style>
  <w:style w:type="character" w:customStyle="1" w:styleId="ReportBody-MOHChar">
    <w:name w:val="Report Body - MOH Char"/>
    <w:basedOn w:val="DefaultParagraphFont"/>
    <w:link w:val="ReportBody-MOH"/>
    <w:rsid w:val="00C44D47"/>
    <w:rPr>
      <w:rFonts w:ascii="Segoe UI" w:hAnsi="Segoe UI" w:cs="Arial"/>
      <w:kern w:val="2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78149">
      <w:bodyDiv w:val="1"/>
      <w:marLeft w:val="0"/>
      <w:marRight w:val="0"/>
      <w:marTop w:val="0"/>
      <w:marBottom w:val="0"/>
      <w:divBdr>
        <w:top w:val="none" w:sz="0" w:space="0" w:color="auto"/>
        <w:left w:val="none" w:sz="0" w:space="0" w:color="auto"/>
        <w:bottom w:val="none" w:sz="0" w:space="0" w:color="auto"/>
        <w:right w:val="none" w:sz="0" w:space="0" w:color="auto"/>
      </w:divBdr>
    </w:div>
    <w:div w:id="28531902">
      <w:bodyDiv w:val="1"/>
      <w:marLeft w:val="0"/>
      <w:marRight w:val="0"/>
      <w:marTop w:val="0"/>
      <w:marBottom w:val="0"/>
      <w:divBdr>
        <w:top w:val="none" w:sz="0" w:space="0" w:color="auto"/>
        <w:left w:val="none" w:sz="0" w:space="0" w:color="auto"/>
        <w:bottom w:val="none" w:sz="0" w:space="0" w:color="auto"/>
        <w:right w:val="none" w:sz="0" w:space="0" w:color="auto"/>
      </w:divBdr>
    </w:div>
    <w:div w:id="57362858">
      <w:bodyDiv w:val="1"/>
      <w:marLeft w:val="0"/>
      <w:marRight w:val="0"/>
      <w:marTop w:val="0"/>
      <w:marBottom w:val="0"/>
      <w:divBdr>
        <w:top w:val="none" w:sz="0" w:space="0" w:color="auto"/>
        <w:left w:val="none" w:sz="0" w:space="0" w:color="auto"/>
        <w:bottom w:val="none" w:sz="0" w:space="0" w:color="auto"/>
        <w:right w:val="none" w:sz="0" w:space="0" w:color="auto"/>
      </w:divBdr>
    </w:div>
    <w:div w:id="69082243">
      <w:bodyDiv w:val="1"/>
      <w:marLeft w:val="0"/>
      <w:marRight w:val="0"/>
      <w:marTop w:val="0"/>
      <w:marBottom w:val="0"/>
      <w:divBdr>
        <w:top w:val="none" w:sz="0" w:space="0" w:color="auto"/>
        <w:left w:val="none" w:sz="0" w:space="0" w:color="auto"/>
        <w:bottom w:val="none" w:sz="0" w:space="0" w:color="auto"/>
        <w:right w:val="none" w:sz="0" w:space="0" w:color="auto"/>
      </w:divBdr>
    </w:div>
    <w:div w:id="77675786">
      <w:bodyDiv w:val="1"/>
      <w:marLeft w:val="0"/>
      <w:marRight w:val="0"/>
      <w:marTop w:val="0"/>
      <w:marBottom w:val="0"/>
      <w:divBdr>
        <w:top w:val="none" w:sz="0" w:space="0" w:color="auto"/>
        <w:left w:val="none" w:sz="0" w:space="0" w:color="auto"/>
        <w:bottom w:val="none" w:sz="0" w:space="0" w:color="auto"/>
        <w:right w:val="none" w:sz="0" w:space="0" w:color="auto"/>
      </w:divBdr>
    </w:div>
    <w:div w:id="165175738">
      <w:bodyDiv w:val="1"/>
      <w:marLeft w:val="0"/>
      <w:marRight w:val="0"/>
      <w:marTop w:val="0"/>
      <w:marBottom w:val="0"/>
      <w:divBdr>
        <w:top w:val="none" w:sz="0" w:space="0" w:color="auto"/>
        <w:left w:val="none" w:sz="0" w:space="0" w:color="auto"/>
        <w:bottom w:val="none" w:sz="0" w:space="0" w:color="auto"/>
        <w:right w:val="none" w:sz="0" w:space="0" w:color="auto"/>
      </w:divBdr>
    </w:div>
    <w:div w:id="176510155">
      <w:bodyDiv w:val="1"/>
      <w:marLeft w:val="0"/>
      <w:marRight w:val="0"/>
      <w:marTop w:val="0"/>
      <w:marBottom w:val="0"/>
      <w:divBdr>
        <w:top w:val="none" w:sz="0" w:space="0" w:color="auto"/>
        <w:left w:val="none" w:sz="0" w:space="0" w:color="auto"/>
        <w:bottom w:val="none" w:sz="0" w:space="0" w:color="auto"/>
        <w:right w:val="none" w:sz="0" w:space="0" w:color="auto"/>
      </w:divBdr>
    </w:div>
    <w:div w:id="242951315">
      <w:bodyDiv w:val="1"/>
      <w:marLeft w:val="0"/>
      <w:marRight w:val="0"/>
      <w:marTop w:val="0"/>
      <w:marBottom w:val="0"/>
      <w:divBdr>
        <w:top w:val="none" w:sz="0" w:space="0" w:color="auto"/>
        <w:left w:val="none" w:sz="0" w:space="0" w:color="auto"/>
        <w:bottom w:val="none" w:sz="0" w:space="0" w:color="auto"/>
        <w:right w:val="none" w:sz="0" w:space="0" w:color="auto"/>
      </w:divBdr>
    </w:div>
    <w:div w:id="268239510">
      <w:bodyDiv w:val="1"/>
      <w:marLeft w:val="0"/>
      <w:marRight w:val="0"/>
      <w:marTop w:val="0"/>
      <w:marBottom w:val="0"/>
      <w:divBdr>
        <w:top w:val="none" w:sz="0" w:space="0" w:color="auto"/>
        <w:left w:val="none" w:sz="0" w:space="0" w:color="auto"/>
        <w:bottom w:val="none" w:sz="0" w:space="0" w:color="auto"/>
        <w:right w:val="none" w:sz="0" w:space="0" w:color="auto"/>
      </w:divBdr>
    </w:div>
    <w:div w:id="302391841">
      <w:bodyDiv w:val="1"/>
      <w:marLeft w:val="0"/>
      <w:marRight w:val="0"/>
      <w:marTop w:val="0"/>
      <w:marBottom w:val="0"/>
      <w:divBdr>
        <w:top w:val="none" w:sz="0" w:space="0" w:color="auto"/>
        <w:left w:val="none" w:sz="0" w:space="0" w:color="auto"/>
        <w:bottom w:val="none" w:sz="0" w:space="0" w:color="auto"/>
        <w:right w:val="none" w:sz="0" w:space="0" w:color="auto"/>
      </w:divBdr>
    </w:div>
    <w:div w:id="309410653">
      <w:bodyDiv w:val="1"/>
      <w:marLeft w:val="0"/>
      <w:marRight w:val="0"/>
      <w:marTop w:val="0"/>
      <w:marBottom w:val="0"/>
      <w:divBdr>
        <w:top w:val="none" w:sz="0" w:space="0" w:color="auto"/>
        <w:left w:val="none" w:sz="0" w:space="0" w:color="auto"/>
        <w:bottom w:val="none" w:sz="0" w:space="0" w:color="auto"/>
        <w:right w:val="none" w:sz="0" w:space="0" w:color="auto"/>
      </w:divBdr>
    </w:div>
    <w:div w:id="335961693">
      <w:bodyDiv w:val="1"/>
      <w:marLeft w:val="0"/>
      <w:marRight w:val="0"/>
      <w:marTop w:val="0"/>
      <w:marBottom w:val="0"/>
      <w:divBdr>
        <w:top w:val="none" w:sz="0" w:space="0" w:color="auto"/>
        <w:left w:val="none" w:sz="0" w:space="0" w:color="auto"/>
        <w:bottom w:val="none" w:sz="0" w:space="0" w:color="auto"/>
        <w:right w:val="none" w:sz="0" w:space="0" w:color="auto"/>
      </w:divBdr>
    </w:div>
    <w:div w:id="341661263">
      <w:bodyDiv w:val="1"/>
      <w:marLeft w:val="0"/>
      <w:marRight w:val="0"/>
      <w:marTop w:val="0"/>
      <w:marBottom w:val="0"/>
      <w:divBdr>
        <w:top w:val="none" w:sz="0" w:space="0" w:color="auto"/>
        <w:left w:val="none" w:sz="0" w:space="0" w:color="auto"/>
        <w:bottom w:val="none" w:sz="0" w:space="0" w:color="auto"/>
        <w:right w:val="none" w:sz="0" w:space="0" w:color="auto"/>
      </w:divBdr>
    </w:div>
    <w:div w:id="419568942">
      <w:bodyDiv w:val="1"/>
      <w:marLeft w:val="0"/>
      <w:marRight w:val="0"/>
      <w:marTop w:val="0"/>
      <w:marBottom w:val="0"/>
      <w:divBdr>
        <w:top w:val="none" w:sz="0" w:space="0" w:color="auto"/>
        <w:left w:val="none" w:sz="0" w:space="0" w:color="auto"/>
        <w:bottom w:val="none" w:sz="0" w:space="0" w:color="auto"/>
        <w:right w:val="none" w:sz="0" w:space="0" w:color="auto"/>
      </w:divBdr>
    </w:div>
    <w:div w:id="450898779">
      <w:bodyDiv w:val="1"/>
      <w:marLeft w:val="0"/>
      <w:marRight w:val="0"/>
      <w:marTop w:val="0"/>
      <w:marBottom w:val="0"/>
      <w:divBdr>
        <w:top w:val="none" w:sz="0" w:space="0" w:color="auto"/>
        <w:left w:val="none" w:sz="0" w:space="0" w:color="auto"/>
        <w:bottom w:val="none" w:sz="0" w:space="0" w:color="auto"/>
        <w:right w:val="none" w:sz="0" w:space="0" w:color="auto"/>
      </w:divBdr>
    </w:div>
    <w:div w:id="515927348">
      <w:bodyDiv w:val="1"/>
      <w:marLeft w:val="0"/>
      <w:marRight w:val="0"/>
      <w:marTop w:val="0"/>
      <w:marBottom w:val="0"/>
      <w:divBdr>
        <w:top w:val="none" w:sz="0" w:space="0" w:color="auto"/>
        <w:left w:val="none" w:sz="0" w:space="0" w:color="auto"/>
        <w:bottom w:val="none" w:sz="0" w:space="0" w:color="auto"/>
        <w:right w:val="none" w:sz="0" w:space="0" w:color="auto"/>
      </w:divBdr>
    </w:div>
    <w:div w:id="563025344">
      <w:bodyDiv w:val="1"/>
      <w:marLeft w:val="0"/>
      <w:marRight w:val="0"/>
      <w:marTop w:val="0"/>
      <w:marBottom w:val="0"/>
      <w:divBdr>
        <w:top w:val="none" w:sz="0" w:space="0" w:color="auto"/>
        <w:left w:val="none" w:sz="0" w:space="0" w:color="auto"/>
        <w:bottom w:val="none" w:sz="0" w:space="0" w:color="auto"/>
        <w:right w:val="none" w:sz="0" w:space="0" w:color="auto"/>
      </w:divBdr>
    </w:div>
    <w:div w:id="637733296">
      <w:bodyDiv w:val="1"/>
      <w:marLeft w:val="0"/>
      <w:marRight w:val="0"/>
      <w:marTop w:val="0"/>
      <w:marBottom w:val="0"/>
      <w:divBdr>
        <w:top w:val="none" w:sz="0" w:space="0" w:color="auto"/>
        <w:left w:val="none" w:sz="0" w:space="0" w:color="auto"/>
        <w:bottom w:val="none" w:sz="0" w:space="0" w:color="auto"/>
        <w:right w:val="none" w:sz="0" w:space="0" w:color="auto"/>
      </w:divBdr>
      <w:divsChild>
        <w:div w:id="1679191599">
          <w:marLeft w:val="0"/>
          <w:marRight w:val="0"/>
          <w:marTop w:val="0"/>
          <w:marBottom w:val="0"/>
          <w:divBdr>
            <w:top w:val="none" w:sz="0" w:space="0" w:color="auto"/>
            <w:left w:val="none" w:sz="0" w:space="0" w:color="auto"/>
            <w:bottom w:val="none" w:sz="0" w:space="0" w:color="auto"/>
            <w:right w:val="none" w:sz="0" w:space="0" w:color="auto"/>
          </w:divBdr>
          <w:divsChild>
            <w:div w:id="427770190">
              <w:marLeft w:val="0"/>
              <w:marRight w:val="0"/>
              <w:marTop w:val="0"/>
              <w:marBottom w:val="0"/>
              <w:divBdr>
                <w:top w:val="none" w:sz="0" w:space="0" w:color="auto"/>
                <w:left w:val="none" w:sz="0" w:space="0" w:color="auto"/>
                <w:bottom w:val="none" w:sz="0" w:space="0" w:color="auto"/>
                <w:right w:val="none" w:sz="0" w:space="0" w:color="auto"/>
              </w:divBdr>
              <w:divsChild>
                <w:div w:id="2005434221">
                  <w:marLeft w:val="-150"/>
                  <w:marRight w:val="-150"/>
                  <w:marTop w:val="0"/>
                  <w:marBottom w:val="0"/>
                  <w:divBdr>
                    <w:top w:val="none" w:sz="0" w:space="0" w:color="auto"/>
                    <w:left w:val="none" w:sz="0" w:space="0" w:color="auto"/>
                    <w:bottom w:val="none" w:sz="0" w:space="0" w:color="auto"/>
                    <w:right w:val="none" w:sz="0" w:space="0" w:color="auto"/>
                  </w:divBdr>
                  <w:divsChild>
                    <w:div w:id="966862143">
                      <w:marLeft w:val="0"/>
                      <w:marRight w:val="0"/>
                      <w:marTop w:val="0"/>
                      <w:marBottom w:val="0"/>
                      <w:divBdr>
                        <w:top w:val="none" w:sz="0" w:space="0" w:color="auto"/>
                        <w:left w:val="none" w:sz="0" w:space="0" w:color="auto"/>
                        <w:bottom w:val="none" w:sz="0" w:space="0" w:color="auto"/>
                        <w:right w:val="none" w:sz="0" w:space="0" w:color="auto"/>
                      </w:divBdr>
                      <w:divsChild>
                        <w:div w:id="1878544434">
                          <w:marLeft w:val="0"/>
                          <w:marRight w:val="0"/>
                          <w:marTop w:val="0"/>
                          <w:marBottom w:val="0"/>
                          <w:divBdr>
                            <w:top w:val="none" w:sz="0" w:space="0" w:color="auto"/>
                            <w:left w:val="none" w:sz="0" w:space="0" w:color="auto"/>
                            <w:bottom w:val="none" w:sz="0" w:space="0" w:color="auto"/>
                            <w:right w:val="none" w:sz="0" w:space="0" w:color="auto"/>
                          </w:divBdr>
                          <w:divsChild>
                            <w:div w:id="1135870018">
                              <w:marLeft w:val="-150"/>
                              <w:marRight w:val="-150"/>
                              <w:marTop w:val="0"/>
                              <w:marBottom w:val="0"/>
                              <w:divBdr>
                                <w:top w:val="none" w:sz="0" w:space="0" w:color="auto"/>
                                <w:left w:val="none" w:sz="0" w:space="0" w:color="auto"/>
                                <w:bottom w:val="none" w:sz="0" w:space="0" w:color="auto"/>
                                <w:right w:val="none" w:sz="0" w:space="0" w:color="auto"/>
                              </w:divBdr>
                              <w:divsChild>
                                <w:div w:id="127433181">
                                  <w:marLeft w:val="0"/>
                                  <w:marRight w:val="0"/>
                                  <w:marTop w:val="0"/>
                                  <w:marBottom w:val="0"/>
                                  <w:divBdr>
                                    <w:top w:val="none" w:sz="0" w:space="0" w:color="auto"/>
                                    <w:left w:val="none" w:sz="0" w:space="0" w:color="auto"/>
                                    <w:bottom w:val="none" w:sz="0" w:space="0" w:color="auto"/>
                                    <w:right w:val="none" w:sz="0" w:space="0" w:color="auto"/>
                                  </w:divBdr>
                                  <w:divsChild>
                                    <w:div w:id="1560046069">
                                      <w:marLeft w:val="0"/>
                                      <w:marRight w:val="0"/>
                                      <w:marTop w:val="0"/>
                                      <w:marBottom w:val="0"/>
                                      <w:divBdr>
                                        <w:top w:val="none" w:sz="0" w:space="0" w:color="auto"/>
                                        <w:left w:val="none" w:sz="0" w:space="0" w:color="auto"/>
                                        <w:bottom w:val="none" w:sz="0" w:space="0" w:color="auto"/>
                                        <w:right w:val="none" w:sz="0" w:space="0" w:color="auto"/>
                                      </w:divBdr>
                                      <w:divsChild>
                                        <w:div w:id="205874112">
                                          <w:marLeft w:val="0"/>
                                          <w:marRight w:val="0"/>
                                          <w:marTop w:val="0"/>
                                          <w:marBottom w:val="0"/>
                                          <w:divBdr>
                                            <w:top w:val="none" w:sz="0" w:space="0" w:color="auto"/>
                                            <w:left w:val="none" w:sz="0" w:space="0" w:color="auto"/>
                                            <w:bottom w:val="none" w:sz="0" w:space="0" w:color="auto"/>
                                            <w:right w:val="none" w:sz="0" w:space="0" w:color="auto"/>
                                          </w:divBdr>
                                          <w:divsChild>
                                            <w:div w:id="591668003">
                                              <w:marLeft w:val="0"/>
                                              <w:marRight w:val="0"/>
                                              <w:marTop w:val="0"/>
                                              <w:marBottom w:val="0"/>
                                              <w:divBdr>
                                                <w:top w:val="none" w:sz="0" w:space="0" w:color="auto"/>
                                                <w:left w:val="none" w:sz="0" w:space="0" w:color="auto"/>
                                                <w:bottom w:val="none" w:sz="0" w:space="0" w:color="auto"/>
                                                <w:right w:val="none" w:sz="0" w:space="0" w:color="auto"/>
                                              </w:divBdr>
                                              <w:divsChild>
                                                <w:div w:id="856428132">
                                                  <w:marLeft w:val="0"/>
                                                  <w:marRight w:val="0"/>
                                                  <w:marTop w:val="0"/>
                                                  <w:marBottom w:val="0"/>
                                                  <w:divBdr>
                                                    <w:top w:val="none" w:sz="0" w:space="0" w:color="auto"/>
                                                    <w:left w:val="none" w:sz="0" w:space="0" w:color="auto"/>
                                                    <w:bottom w:val="none" w:sz="0" w:space="0" w:color="auto"/>
                                                    <w:right w:val="none" w:sz="0" w:space="0" w:color="auto"/>
                                                  </w:divBdr>
                                                  <w:divsChild>
                                                    <w:div w:id="328102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49332578">
      <w:bodyDiv w:val="1"/>
      <w:marLeft w:val="0"/>
      <w:marRight w:val="0"/>
      <w:marTop w:val="0"/>
      <w:marBottom w:val="0"/>
      <w:divBdr>
        <w:top w:val="none" w:sz="0" w:space="0" w:color="auto"/>
        <w:left w:val="none" w:sz="0" w:space="0" w:color="auto"/>
        <w:bottom w:val="none" w:sz="0" w:space="0" w:color="auto"/>
        <w:right w:val="none" w:sz="0" w:space="0" w:color="auto"/>
      </w:divBdr>
    </w:div>
    <w:div w:id="685402675">
      <w:bodyDiv w:val="1"/>
      <w:marLeft w:val="0"/>
      <w:marRight w:val="0"/>
      <w:marTop w:val="0"/>
      <w:marBottom w:val="0"/>
      <w:divBdr>
        <w:top w:val="none" w:sz="0" w:space="0" w:color="auto"/>
        <w:left w:val="none" w:sz="0" w:space="0" w:color="auto"/>
        <w:bottom w:val="none" w:sz="0" w:space="0" w:color="auto"/>
        <w:right w:val="none" w:sz="0" w:space="0" w:color="auto"/>
      </w:divBdr>
    </w:div>
    <w:div w:id="731123081">
      <w:bodyDiv w:val="1"/>
      <w:marLeft w:val="0"/>
      <w:marRight w:val="0"/>
      <w:marTop w:val="0"/>
      <w:marBottom w:val="0"/>
      <w:divBdr>
        <w:top w:val="none" w:sz="0" w:space="0" w:color="auto"/>
        <w:left w:val="none" w:sz="0" w:space="0" w:color="auto"/>
        <w:bottom w:val="none" w:sz="0" w:space="0" w:color="auto"/>
        <w:right w:val="none" w:sz="0" w:space="0" w:color="auto"/>
      </w:divBdr>
    </w:div>
    <w:div w:id="751895608">
      <w:bodyDiv w:val="1"/>
      <w:marLeft w:val="0"/>
      <w:marRight w:val="0"/>
      <w:marTop w:val="0"/>
      <w:marBottom w:val="0"/>
      <w:divBdr>
        <w:top w:val="none" w:sz="0" w:space="0" w:color="auto"/>
        <w:left w:val="none" w:sz="0" w:space="0" w:color="auto"/>
        <w:bottom w:val="none" w:sz="0" w:space="0" w:color="auto"/>
        <w:right w:val="none" w:sz="0" w:space="0" w:color="auto"/>
      </w:divBdr>
    </w:div>
    <w:div w:id="822625180">
      <w:bodyDiv w:val="1"/>
      <w:marLeft w:val="0"/>
      <w:marRight w:val="0"/>
      <w:marTop w:val="0"/>
      <w:marBottom w:val="0"/>
      <w:divBdr>
        <w:top w:val="none" w:sz="0" w:space="0" w:color="auto"/>
        <w:left w:val="none" w:sz="0" w:space="0" w:color="auto"/>
        <w:bottom w:val="none" w:sz="0" w:space="0" w:color="auto"/>
        <w:right w:val="none" w:sz="0" w:space="0" w:color="auto"/>
      </w:divBdr>
    </w:div>
    <w:div w:id="846600251">
      <w:bodyDiv w:val="1"/>
      <w:marLeft w:val="0"/>
      <w:marRight w:val="0"/>
      <w:marTop w:val="0"/>
      <w:marBottom w:val="0"/>
      <w:divBdr>
        <w:top w:val="none" w:sz="0" w:space="0" w:color="auto"/>
        <w:left w:val="none" w:sz="0" w:space="0" w:color="auto"/>
        <w:bottom w:val="none" w:sz="0" w:space="0" w:color="auto"/>
        <w:right w:val="none" w:sz="0" w:space="0" w:color="auto"/>
      </w:divBdr>
    </w:div>
    <w:div w:id="847327791">
      <w:bodyDiv w:val="1"/>
      <w:marLeft w:val="0"/>
      <w:marRight w:val="0"/>
      <w:marTop w:val="0"/>
      <w:marBottom w:val="0"/>
      <w:divBdr>
        <w:top w:val="none" w:sz="0" w:space="0" w:color="auto"/>
        <w:left w:val="none" w:sz="0" w:space="0" w:color="auto"/>
        <w:bottom w:val="none" w:sz="0" w:space="0" w:color="auto"/>
        <w:right w:val="none" w:sz="0" w:space="0" w:color="auto"/>
      </w:divBdr>
    </w:div>
    <w:div w:id="871768009">
      <w:bodyDiv w:val="1"/>
      <w:marLeft w:val="0"/>
      <w:marRight w:val="0"/>
      <w:marTop w:val="0"/>
      <w:marBottom w:val="0"/>
      <w:divBdr>
        <w:top w:val="none" w:sz="0" w:space="0" w:color="auto"/>
        <w:left w:val="none" w:sz="0" w:space="0" w:color="auto"/>
        <w:bottom w:val="none" w:sz="0" w:space="0" w:color="auto"/>
        <w:right w:val="none" w:sz="0" w:space="0" w:color="auto"/>
      </w:divBdr>
      <w:divsChild>
        <w:div w:id="1654942562">
          <w:marLeft w:val="0"/>
          <w:marRight w:val="0"/>
          <w:marTop w:val="0"/>
          <w:marBottom w:val="0"/>
          <w:divBdr>
            <w:top w:val="none" w:sz="0" w:space="0" w:color="auto"/>
            <w:left w:val="none" w:sz="0" w:space="0" w:color="auto"/>
            <w:bottom w:val="none" w:sz="0" w:space="0" w:color="auto"/>
            <w:right w:val="none" w:sz="0" w:space="0" w:color="auto"/>
          </w:divBdr>
        </w:div>
      </w:divsChild>
    </w:div>
    <w:div w:id="875317983">
      <w:bodyDiv w:val="1"/>
      <w:marLeft w:val="0"/>
      <w:marRight w:val="0"/>
      <w:marTop w:val="0"/>
      <w:marBottom w:val="0"/>
      <w:divBdr>
        <w:top w:val="none" w:sz="0" w:space="0" w:color="auto"/>
        <w:left w:val="none" w:sz="0" w:space="0" w:color="auto"/>
        <w:bottom w:val="none" w:sz="0" w:space="0" w:color="auto"/>
        <w:right w:val="none" w:sz="0" w:space="0" w:color="auto"/>
      </w:divBdr>
    </w:div>
    <w:div w:id="891698814">
      <w:bodyDiv w:val="1"/>
      <w:marLeft w:val="0"/>
      <w:marRight w:val="0"/>
      <w:marTop w:val="0"/>
      <w:marBottom w:val="0"/>
      <w:divBdr>
        <w:top w:val="none" w:sz="0" w:space="0" w:color="auto"/>
        <w:left w:val="none" w:sz="0" w:space="0" w:color="auto"/>
        <w:bottom w:val="none" w:sz="0" w:space="0" w:color="auto"/>
        <w:right w:val="none" w:sz="0" w:space="0" w:color="auto"/>
      </w:divBdr>
    </w:div>
    <w:div w:id="940524779">
      <w:bodyDiv w:val="1"/>
      <w:marLeft w:val="0"/>
      <w:marRight w:val="0"/>
      <w:marTop w:val="0"/>
      <w:marBottom w:val="0"/>
      <w:divBdr>
        <w:top w:val="none" w:sz="0" w:space="0" w:color="auto"/>
        <w:left w:val="none" w:sz="0" w:space="0" w:color="auto"/>
        <w:bottom w:val="none" w:sz="0" w:space="0" w:color="auto"/>
        <w:right w:val="none" w:sz="0" w:space="0" w:color="auto"/>
      </w:divBdr>
    </w:div>
    <w:div w:id="968902795">
      <w:bodyDiv w:val="1"/>
      <w:marLeft w:val="0"/>
      <w:marRight w:val="0"/>
      <w:marTop w:val="0"/>
      <w:marBottom w:val="0"/>
      <w:divBdr>
        <w:top w:val="none" w:sz="0" w:space="0" w:color="auto"/>
        <w:left w:val="none" w:sz="0" w:space="0" w:color="auto"/>
        <w:bottom w:val="none" w:sz="0" w:space="0" w:color="auto"/>
        <w:right w:val="none" w:sz="0" w:space="0" w:color="auto"/>
      </w:divBdr>
      <w:divsChild>
        <w:div w:id="1859389368">
          <w:marLeft w:val="0"/>
          <w:marRight w:val="0"/>
          <w:marTop w:val="0"/>
          <w:marBottom w:val="0"/>
          <w:divBdr>
            <w:top w:val="none" w:sz="0" w:space="0" w:color="auto"/>
            <w:left w:val="none" w:sz="0" w:space="0" w:color="auto"/>
            <w:bottom w:val="none" w:sz="0" w:space="0" w:color="auto"/>
            <w:right w:val="none" w:sz="0" w:space="0" w:color="auto"/>
          </w:divBdr>
        </w:div>
      </w:divsChild>
    </w:div>
    <w:div w:id="993415532">
      <w:bodyDiv w:val="1"/>
      <w:marLeft w:val="0"/>
      <w:marRight w:val="0"/>
      <w:marTop w:val="0"/>
      <w:marBottom w:val="0"/>
      <w:divBdr>
        <w:top w:val="none" w:sz="0" w:space="0" w:color="auto"/>
        <w:left w:val="none" w:sz="0" w:space="0" w:color="auto"/>
        <w:bottom w:val="none" w:sz="0" w:space="0" w:color="auto"/>
        <w:right w:val="none" w:sz="0" w:space="0" w:color="auto"/>
      </w:divBdr>
    </w:div>
    <w:div w:id="1005471475">
      <w:bodyDiv w:val="1"/>
      <w:marLeft w:val="0"/>
      <w:marRight w:val="0"/>
      <w:marTop w:val="0"/>
      <w:marBottom w:val="0"/>
      <w:divBdr>
        <w:top w:val="none" w:sz="0" w:space="0" w:color="auto"/>
        <w:left w:val="none" w:sz="0" w:space="0" w:color="auto"/>
        <w:bottom w:val="none" w:sz="0" w:space="0" w:color="auto"/>
        <w:right w:val="none" w:sz="0" w:space="0" w:color="auto"/>
      </w:divBdr>
    </w:div>
    <w:div w:id="1019116236">
      <w:bodyDiv w:val="1"/>
      <w:marLeft w:val="0"/>
      <w:marRight w:val="0"/>
      <w:marTop w:val="0"/>
      <w:marBottom w:val="0"/>
      <w:divBdr>
        <w:top w:val="none" w:sz="0" w:space="0" w:color="auto"/>
        <w:left w:val="none" w:sz="0" w:space="0" w:color="auto"/>
        <w:bottom w:val="none" w:sz="0" w:space="0" w:color="auto"/>
        <w:right w:val="none" w:sz="0" w:space="0" w:color="auto"/>
      </w:divBdr>
    </w:div>
    <w:div w:id="1023635274">
      <w:bodyDiv w:val="1"/>
      <w:marLeft w:val="0"/>
      <w:marRight w:val="0"/>
      <w:marTop w:val="0"/>
      <w:marBottom w:val="0"/>
      <w:divBdr>
        <w:top w:val="none" w:sz="0" w:space="0" w:color="auto"/>
        <w:left w:val="none" w:sz="0" w:space="0" w:color="auto"/>
        <w:bottom w:val="none" w:sz="0" w:space="0" w:color="auto"/>
        <w:right w:val="none" w:sz="0" w:space="0" w:color="auto"/>
      </w:divBdr>
    </w:div>
    <w:div w:id="1043871331">
      <w:bodyDiv w:val="1"/>
      <w:marLeft w:val="0"/>
      <w:marRight w:val="0"/>
      <w:marTop w:val="0"/>
      <w:marBottom w:val="0"/>
      <w:divBdr>
        <w:top w:val="none" w:sz="0" w:space="0" w:color="auto"/>
        <w:left w:val="none" w:sz="0" w:space="0" w:color="auto"/>
        <w:bottom w:val="none" w:sz="0" w:space="0" w:color="auto"/>
        <w:right w:val="none" w:sz="0" w:space="0" w:color="auto"/>
      </w:divBdr>
    </w:div>
    <w:div w:id="1047802896">
      <w:bodyDiv w:val="1"/>
      <w:marLeft w:val="0"/>
      <w:marRight w:val="0"/>
      <w:marTop w:val="0"/>
      <w:marBottom w:val="0"/>
      <w:divBdr>
        <w:top w:val="none" w:sz="0" w:space="0" w:color="auto"/>
        <w:left w:val="none" w:sz="0" w:space="0" w:color="auto"/>
        <w:bottom w:val="none" w:sz="0" w:space="0" w:color="auto"/>
        <w:right w:val="none" w:sz="0" w:space="0" w:color="auto"/>
      </w:divBdr>
    </w:div>
    <w:div w:id="1067345003">
      <w:bodyDiv w:val="1"/>
      <w:marLeft w:val="0"/>
      <w:marRight w:val="0"/>
      <w:marTop w:val="0"/>
      <w:marBottom w:val="0"/>
      <w:divBdr>
        <w:top w:val="none" w:sz="0" w:space="0" w:color="auto"/>
        <w:left w:val="none" w:sz="0" w:space="0" w:color="auto"/>
        <w:bottom w:val="none" w:sz="0" w:space="0" w:color="auto"/>
        <w:right w:val="none" w:sz="0" w:space="0" w:color="auto"/>
      </w:divBdr>
    </w:div>
    <w:div w:id="1071394114">
      <w:bodyDiv w:val="1"/>
      <w:marLeft w:val="0"/>
      <w:marRight w:val="0"/>
      <w:marTop w:val="0"/>
      <w:marBottom w:val="0"/>
      <w:divBdr>
        <w:top w:val="none" w:sz="0" w:space="0" w:color="auto"/>
        <w:left w:val="none" w:sz="0" w:space="0" w:color="auto"/>
        <w:bottom w:val="none" w:sz="0" w:space="0" w:color="auto"/>
        <w:right w:val="none" w:sz="0" w:space="0" w:color="auto"/>
      </w:divBdr>
    </w:div>
    <w:div w:id="1097410361">
      <w:bodyDiv w:val="1"/>
      <w:marLeft w:val="0"/>
      <w:marRight w:val="0"/>
      <w:marTop w:val="0"/>
      <w:marBottom w:val="0"/>
      <w:divBdr>
        <w:top w:val="none" w:sz="0" w:space="0" w:color="auto"/>
        <w:left w:val="none" w:sz="0" w:space="0" w:color="auto"/>
        <w:bottom w:val="none" w:sz="0" w:space="0" w:color="auto"/>
        <w:right w:val="none" w:sz="0" w:space="0" w:color="auto"/>
      </w:divBdr>
    </w:div>
    <w:div w:id="1098671207">
      <w:bodyDiv w:val="1"/>
      <w:marLeft w:val="0"/>
      <w:marRight w:val="0"/>
      <w:marTop w:val="0"/>
      <w:marBottom w:val="0"/>
      <w:divBdr>
        <w:top w:val="none" w:sz="0" w:space="0" w:color="auto"/>
        <w:left w:val="none" w:sz="0" w:space="0" w:color="auto"/>
        <w:bottom w:val="none" w:sz="0" w:space="0" w:color="auto"/>
        <w:right w:val="none" w:sz="0" w:space="0" w:color="auto"/>
      </w:divBdr>
    </w:div>
    <w:div w:id="1120302045">
      <w:bodyDiv w:val="1"/>
      <w:marLeft w:val="0"/>
      <w:marRight w:val="0"/>
      <w:marTop w:val="0"/>
      <w:marBottom w:val="0"/>
      <w:divBdr>
        <w:top w:val="none" w:sz="0" w:space="0" w:color="auto"/>
        <w:left w:val="none" w:sz="0" w:space="0" w:color="auto"/>
        <w:bottom w:val="none" w:sz="0" w:space="0" w:color="auto"/>
        <w:right w:val="none" w:sz="0" w:space="0" w:color="auto"/>
      </w:divBdr>
    </w:div>
    <w:div w:id="1142042991">
      <w:bodyDiv w:val="1"/>
      <w:marLeft w:val="0"/>
      <w:marRight w:val="0"/>
      <w:marTop w:val="0"/>
      <w:marBottom w:val="0"/>
      <w:divBdr>
        <w:top w:val="none" w:sz="0" w:space="0" w:color="auto"/>
        <w:left w:val="none" w:sz="0" w:space="0" w:color="auto"/>
        <w:bottom w:val="none" w:sz="0" w:space="0" w:color="auto"/>
        <w:right w:val="none" w:sz="0" w:space="0" w:color="auto"/>
      </w:divBdr>
    </w:div>
    <w:div w:id="1150555712">
      <w:bodyDiv w:val="1"/>
      <w:marLeft w:val="0"/>
      <w:marRight w:val="0"/>
      <w:marTop w:val="0"/>
      <w:marBottom w:val="0"/>
      <w:divBdr>
        <w:top w:val="none" w:sz="0" w:space="0" w:color="auto"/>
        <w:left w:val="none" w:sz="0" w:space="0" w:color="auto"/>
        <w:bottom w:val="none" w:sz="0" w:space="0" w:color="auto"/>
        <w:right w:val="none" w:sz="0" w:space="0" w:color="auto"/>
      </w:divBdr>
    </w:div>
    <w:div w:id="1174496262">
      <w:bodyDiv w:val="1"/>
      <w:marLeft w:val="0"/>
      <w:marRight w:val="0"/>
      <w:marTop w:val="0"/>
      <w:marBottom w:val="0"/>
      <w:divBdr>
        <w:top w:val="none" w:sz="0" w:space="0" w:color="auto"/>
        <w:left w:val="none" w:sz="0" w:space="0" w:color="auto"/>
        <w:bottom w:val="none" w:sz="0" w:space="0" w:color="auto"/>
        <w:right w:val="none" w:sz="0" w:space="0" w:color="auto"/>
      </w:divBdr>
    </w:div>
    <w:div w:id="1198546252">
      <w:bodyDiv w:val="1"/>
      <w:marLeft w:val="0"/>
      <w:marRight w:val="0"/>
      <w:marTop w:val="0"/>
      <w:marBottom w:val="0"/>
      <w:divBdr>
        <w:top w:val="none" w:sz="0" w:space="0" w:color="auto"/>
        <w:left w:val="none" w:sz="0" w:space="0" w:color="auto"/>
        <w:bottom w:val="none" w:sz="0" w:space="0" w:color="auto"/>
        <w:right w:val="none" w:sz="0" w:space="0" w:color="auto"/>
      </w:divBdr>
    </w:div>
    <w:div w:id="1215316006">
      <w:bodyDiv w:val="1"/>
      <w:marLeft w:val="0"/>
      <w:marRight w:val="0"/>
      <w:marTop w:val="0"/>
      <w:marBottom w:val="0"/>
      <w:divBdr>
        <w:top w:val="none" w:sz="0" w:space="0" w:color="auto"/>
        <w:left w:val="none" w:sz="0" w:space="0" w:color="auto"/>
        <w:bottom w:val="none" w:sz="0" w:space="0" w:color="auto"/>
        <w:right w:val="none" w:sz="0" w:space="0" w:color="auto"/>
      </w:divBdr>
    </w:div>
    <w:div w:id="1222446089">
      <w:bodyDiv w:val="1"/>
      <w:marLeft w:val="0"/>
      <w:marRight w:val="0"/>
      <w:marTop w:val="0"/>
      <w:marBottom w:val="0"/>
      <w:divBdr>
        <w:top w:val="none" w:sz="0" w:space="0" w:color="auto"/>
        <w:left w:val="none" w:sz="0" w:space="0" w:color="auto"/>
        <w:bottom w:val="none" w:sz="0" w:space="0" w:color="auto"/>
        <w:right w:val="none" w:sz="0" w:space="0" w:color="auto"/>
      </w:divBdr>
    </w:div>
    <w:div w:id="1252667886">
      <w:bodyDiv w:val="1"/>
      <w:marLeft w:val="0"/>
      <w:marRight w:val="0"/>
      <w:marTop w:val="0"/>
      <w:marBottom w:val="0"/>
      <w:divBdr>
        <w:top w:val="none" w:sz="0" w:space="0" w:color="auto"/>
        <w:left w:val="none" w:sz="0" w:space="0" w:color="auto"/>
        <w:bottom w:val="none" w:sz="0" w:space="0" w:color="auto"/>
        <w:right w:val="none" w:sz="0" w:space="0" w:color="auto"/>
      </w:divBdr>
    </w:div>
    <w:div w:id="1267806875">
      <w:bodyDiv w:val="1"/>
      <w:marLeft w:val="0"/>
      <w:marRight w:val="0"/>
      <w:marTop w:val="0"/>
      <w:marBottom w:val="0"/>
      <w:divBdr>
        <w:top w:val="none" w:sz="0" w:space="0" w:color="auto"/>
        <w:left w:val="none" w:sz="0" w:space="0" w:color="auto"/>
        <w:bottom w:val="none" w:sz="0" w:space="0" w:color="auto"/>
        <w:right w:val="none" w:sz="0" w:space="0" w:color="auto"/>
      </w:divBdr>
    </w:div>
    <w:div w:id="1278754181">
      <w:bodyDiv w:val="1"/>
      <w:marLeft w:val="0"/>
      <w:marRight w:val="0"/>
      <w:marTop w:val="0"/>
      <w:marBottom w:val="0"/>
      <w:divBdr>
        <w:top w:val="none" w:sz="0" w:space="0" w:color="auto"/>
        <w:left w:val="none" w:sz="0" w:space="0" w:color="auto"/>
        <w:bottom w:val="none" w:sz="0" w:space="0" w:color="auto"/>
        <w:right w:val="none" w:sz="0" w:space="0" w:color="auto"/>
      </w:divBdr>
    </w:div>
    <w:div w:id="1295137012">
      <w:bodyDiv w:val="1"/>
      <w:marLeft w:val="0"/>
      <w:marRight w:val="0"/>
      <w:marTop w:val="0"/>
      <w:marBottom w:val="0"/>
      <w:divBdr>
        <w:top w:val="none" w:sz="0" w:space="0" w:color="auto"/>
        <w:left w:val="none" w:sz="0" w:space="0" w:color="auto"/>
        <w:bottom w:val="none" w:sz="0" w:space="0" w:color="auto"/>
        <w:right w:val="none" w:sz="0" w:space="0" w:color="auto"/>
      </w:divBdr>
    </w:div>
    <w:div w:id="1312752495">
      <w:bodyDiv w:val="1"/>
      <w:marLeft w:val="0"/>
      <w:marRight w:val="0"/>
      <w:marTop w:val="0"/>
      <w:marBottom w:val="0"/>
      <w:divBdr>
        <w:top w:val="none" w:sz="0" w:space="0" w:color="auto"/>
        <w:left w:val="none" w:sz="0" w:space="0" w:color="auto"/>
        <w:bottom w:val="none" w:sz="0" w:space="0" w:color="auto"/>
        <w:right w:val="none" w:sz="0" w:space="0" w:color="auto"/>
      </w:divBdr>
    </w:div>
    <w:div w:id="1342929282">
      <w:bodyDiv w:val="1"/>
      <w:marLeft w:val="0"/>
      <w:marRight w:val="0"/>
      <w:marTop w:val="0"/>
      <w:marBottom w:val="0"/>
      <w:divBdr>
        <w:top w:val="none" w:sz="0" w:space="0" w:color="auto"/>
        <w:left w:val="none" w:sz="0" w:space="0" w:color="auto"/>
        <w:bottom w:val="none" w:sz="0" w:space="0" w:color="auto"/>
        <w:right w:val="none" w:sz="0" w:space="0" w:color="auto"/>
      </w:divBdr>
    </w:div>
    <w:div w:id="1351880351">
      <w:bodyDiv w:val="1"/>
      <w:marLeft w:val="0"/>
      <w:marRight w:val="0"/>
      <w:marTop w:val="0"/>
      <w:marBottom w:val="0"/>
      <w:divBdr>
        <w:top w:val="none" w:sz="0" w:space="0" w:color="auto"/>
        <w:left w:val="none" w:sz="0" w:space="0" w:color="auto"/>
        <w:bottom w:val="none" w:sz="0" w:space="0" w:color="auto"/>
        <w:right w:val="none" w:sz="0" w:space="0" w:color="auto"/>
      </w:divBdr>
    </w:div>
    <w:div w:id="1401555957">
      <w:bodyDiv w:val="1"/>
      <w:marLeft w:val="0"/>
      <w:marRight w:val="0"/>
      <w:marTop w:val="0"/>
      <w:marBottom w:val="0"/>
      <w:divBdr>
        <w:top w:val="none" w:sz="0" w:space="0" w:color="auto"/>
        <w:left w:val="none" w:sz="0" w:space="0" w:color="auto"/>
        <w:bottom w:val="none" w:sz="0" w:space="0" w:color="auto"/>
        <w:right w:val="none" w:sz="0" w:space="0" w:color="auto"/>
      </w:divBdr>
    </w:div>
    <w:div w:id="1408771804">
      <w:bodyDiv w:val="1"/>
      <w:marLeft w:val="0"/>
      <w:marRight w:val="0"/>
      <w:marTop w:val="0"/>
      <w:marBottom w:val="0"/>
      <w:divBdr>
        <w:top w:val="none" w:sz="0" w:space="0" w:color="auto"/>
        <w:left w:val="none" w:sz="0" w:space="0" w:color="auto"/>
        <w:bottom w:val="none" w:sz="0" w:space="0" w:color="auto"/>
        <w:right w:val="none" w:sz="0" w:space="0" w:color="auto"/>
      </w:divBdr>
    </w:div>
    <w:div w:id="1419403845">
      <w:bodyDiv w:val="1"/>
      <w:marLeft w:val="0"/>
      <w:marRight w:val="0"/>
      <w:marTop w:val="0"/>
      <w:marBottom w:val="0"/>
      <w:divBdr>
        <w:top w:val="none" w:sz="0" w:space="0" w:color="auto"/>
        <w:left w:val="none" w:sz="0" w:space="0" w:color="auto"/>
        <w:bottom w:val="none" w:sz="0" w:space="0" w:color="auto"/>
        <w:right w:val="none" w:sz="0" w:space="0" w:color="auto"/>
      </w:divBdr>
    </w:div>
    <w:div w:id="1440293377">
      <w:bodyDiv w:val="1"/>
      <w:marLeft w:val="0"/>
      <w:marRight w:val="0"/>
      <w:marTop w:val="0"/>
      <w:marBottom w:val="0"/>
      <w:divBdr>
        <w:top w:val="none" w:sz="0" w:space="0" w:color="auto"/>
        <w:left w:val="none" w:sz="0" w:space="0" w:color="auto"/>
        <w:bottom w:val="none" w:sz="0" w:space="0" w:color="auto"/>
        <w:right w:val="none" w:sz="0" w:space="0" w:color="auto"/>
      </w:divBdr>
    </w:div>
    <w:div w:id="1487354016">
      <w:bodyDiv w:val="1"/>
      <w:marLeft w:val="0"/>
      <w:marRight w:val="0"/>
      <w:marTop w:val="0"/>
      <w:marBottom w:val="0"/>
      <w:divBdr>
        <w:top w:val="none" w:sz="0" w:space="0" w:color="auto"/>
        <w:left w:val="none" w:sz="0" w:space="0" w:color="auto"/>
        <w:bottom w:val="none" w:sz="0" w:space="0" w:color="auto"/>
        <w:right w:val="none" w:sz="0" w:space="0" w:color="auto"/>
      </w:divBdr>
    </w:div>
    <w:div w:id="1536887715">
      <w:bodyDiv w:val="1"/>
      <w:marLeft w:val="0"/>
      <w:marRight w:val="0"/>
      <w:marTop w:val="0"/>
      <w:marBottom w:val="0"/>
      <w:divBdr>
        <w:top w:val="none" w:sz="0" w:space="0" w:color="auto"/>
        <w:left w:val="none" w:sz="0" w:space="0" w:color="auto"/>
        <w:bottom w:val="none" w:sz="0" w:space="0" w:color="auto"/>
        <w:right w:val="none" w:sz="0" w:space="0" w:color="auto"/>
      </w:divBdr>
    </w:div>
    <w:div w:id="1549948914">
      <w:bodyDiv w:val="1"/>
      <w:marLeft w:val="0"/>
      <w:marRight w:val="0"/>
      <w:marTop w:val="0"/>
      <w:marBottom w:val="0"/>
      <w:divBdr>
        <w:top w:val="none" w:sz="0" w:space="0" w:color="auto"/>
        <w:left w:val="none" w:sz="0" w:space="0" w:color="auto"/>
        <w:bottom w:val="none" w:sz="0" w:space="0" w:color="auto"/>
        <w:right w:val="none" w:sz="0" w:space="0" w:color="auto"/>
      </w:divBdr>
    </w:div>
    <w:div w:id="1578125501">
      <w:bodyDiv w:val="1"/>
      <w:marLeft w:val="0"/>
      <w:marRight w:val="0"/>
      <w:marTop w:val="0"/>
      <w:marBottom w:val="0"/>
      <w:divBdr>
        <w:top w:val="none" w:sz="0" w:space="0" w:color="auto"/>
        <w:left w:val="none" w:sz="0" w:space="0" w:color="auto"/>
        <w:bottom w:val="none" w:sz="0" w:space="0" w:color="auto"/>
        <w:right w:val="none" w:sz="0" w:space="0" w:color="auto"/>
      </w:divBdr>
      <w:divsChild>
        <w:div w:id="2101482069">
          <w:marLeft w:val="0"/>
          <w:marRight w:val="0"/>
          <w:marTop w:val="0"/>
          <w:marBottom w:val="0"/>
          <w:divBdr>
            <w:top w:val="none" w:sz="0" w:space="0" w:color="auto"/>
            <w:left w:val="none" w:sz="0" w:space="0" w:color="auto"/>
            <w:bottom w:val="none" w:sz="0" w:space="0" w:color="auto"/>
            <w:right w:val="none" w:sz="0" w:space="0" w:color="auto"/>
          </w:divBdr>
        </w:div>
      </w:divsChild>
    </w:div>
    <w:div w:id="1589578999">
      <w:bodyDiv w:val="1"/>
      <w:marLeft w:val="0"/>
      <w:marRight w:val="0"/>
      <w:marTop w:val="0"/>
      <w:marBottom w:val="0"/>
      <w:divBdr>
        <w:top w:val="none" w:sz="0" w:space="0" w:color="auto"/>
        <w:left w:val="none" w:sz="0" w:space="0" w:color="auto"/>
        <w:bottom w:val="none" w:sz="0" w:space="0" w:color="auto"/>
        <w:right w:val="none" w:sz="0" w:space="0" w:color="auto"/>
      </w:divBdr>
      <w:divsChild>
        <w:div w:id="733090339">
          <w:marLeft w:val="274"/>
          <w:marRight w:val="0"/>
          <w:marTop w:val="0"/>
          <w:marBottom w:val="0"/>
          <w:divBdr>
            <w:top w:val="none" w:sz="0" w:space="0" w:color="auto"/>
            <w:left w:val="none" w:sz="0" w:space="0" w:color="auto"/>
            <w:bottom w:val="none" w:sz="0" w:space="0" w:color="auto"/>
            <w:right w:val="none" w:sz="0" w:space="0" w:color="auto"/>
          </w:divBdr>
        </w:div>
        <w:div w:id="1826897517">
          <w:marLeft w:val="274"/>
          <w:marRight w:val="0"/>
          <w:marTop w:val="0"/>
          <w:marBottom w:val="0"/>
          <w:divBdr>
            <w:top w:val="none" w:sz="0" w:space="0" w:color="auto"/>
            <w:left w:val="none" w:sz="0" w:space="0" w:color="auto"/>
            <w:bottom w:val="none" w:sz="0" w:space="0" w:color="auto"/>
            <w:right w:val="none" w:sz="0" w:space="0" w:color="auto"/>
          </w:divBdr>
        </w:div>
        <w:div w:id="301425948">
          <w:marLeft w:val="274"/>
          <w:marRight w:val="0"/>
          <w:marTop w:val="0"/>
          <w:marBottom w:val="0"/>
          <w:divBdr>
            <w:top w:val="none" w:sz="0" w:space="0" w:color="auto"/>
            <w:left w:val="none" w:sz="0" w:space="0" w:color="auto"/>
            <w:bottom w:val="none" w:sz="0" w:space="0" w:color="auto"/>
            <w:right w:val="none" w:sz="0" w:space="0" w:color="auto"/>
          </w:divBdr>
        </w:div>
        <w:div w:id="1229805413">
          <w:marLeft w:val="274"/>
          <w:marRight w:val="0"/>
          <w:marTop w:val="0"/>
          <w:marBottom w:val="0"/>
          <w:divBdr>
            <w:top w:val="none" w:sz="0" w:space="0" w:color="auto"/>
            <w:left w:val="none" w:sz="0" w:space="0" w:color="auto"/>
            <w:bottom w:val="none" w:sz="0" w:space="0" w:color="auto"/>
            <w:right w:val="none" w:sz="0" w:space="0" w:color="auto"/>
          </w:divBdr>
        </w:div>
        <w:div w:id="502283227">
          <w:marLeft w:val="274"/>
          <w:marRight w:val="0"/>
          <w:marTop w:val="0"/>
          <w:marBottom w:val="0"/>
          <w:divBdr>
            <w:top w:val="none" w:sz="0" w:space="0" w:color="auto"/>
            <w:left w:val="none" w:sz="0" w:space="0" w:color="auto"/>
            <w:bottom w:val="none" w:sz="0" w:space="0" w:color="auto"/>
            <w:right w:val="none" w:sz="0" w:space="0" w:color="auto"/>
          </w:divBdr>
        </w:div>
      </w:divsChild>
    </w:div>
    <w:div w:id="1605260396">
      <w:bodyDiv w:val="1"/>
      <w:marLeft w:val="0"/>
      <w:marRight w:val="0"/>
      <w:marTop w:val="0"/>
      <w:marBottom w:val="0"/>
      <w:divBdr>
        <w:top w:val="none" w:sz="0" w:space="0" w:color="auto"/>
        <w:left w:val="none" w:sz="0" w:space="0" w:color="auto"/>
        <w:bottom w:val="none" w:sz="0" w:space="0" w:color="auto"/>
        <w:right w:val="none" w:sz="0" w:space="0" w:color="auto"/>
      </w:divBdr>
    </w:div>
    <w:div w:id="1608269099">
      <w:bodyDiv w:val="1"/>
      <w:marLeft w:val="0"/>
      <w:marRight w:val="0"/>
      <w:marTop w:val="0"/>
      <w:marBottom w:val="0"/>
      <w:divBdr>
        <w:top w:val="none" w:sz="0" w:space="0" w:color="auto"/>
        <w:left w:val="none" w:sz="0" w:space="0" w:color="auto"/>
        <w:bottom w:val="none" w:sz="0" w:space="0" w:color="auto"/>
        <w:right w:val="none" w:sz="0" w:space="0" w:color="auto"/>
      </w:divBdr>
    </w:div>
    <w:div w:id="1623459676">
      <w:bodyDiv w:val="1"/>
      <w:marLeft w:val="0"/>
      <w:marRight w:val="0"/>
      <w:marTop w:val="0"/>
      <w:marBottom w:val="0"/>
      <w:divBdr>
        <w:top w:val="none" w:sz="0" w:space="0" w:color="auto"/>
        <w:left w:val="none" w:sz="0" w:space="0" w:color="auto"/>
        <w:bottom w:val="none" w:sz="0" w:space="0" w:color="auto"/>
        <w:right w:val="none" w:sz="0" w:space="0" w:color="auto"/>
      </w:divBdr>
    </w:div>
    <w:div w:id="1656106000">
      <w:bodyDiv w:val="1"/>
      <w:marLeft w:val="0"/>
      <w:marRight w:val="0"/>
      <w:marTop w:val="0"/>
      <w:marBottom w:val="0"/>
      <w:divBdr>
        <w:top w:val="none" w:sz="0" w:space="0" w:color="auto"/>
        <w:left w:val="none" w:sz="0" w:space="0" w:color="auto"/>
        <w:bottom w:val="none" w:sz="0" w:space="0" w:color="auto"/>
        <w:right w:val="none" w:sz="0" w:space="0" w:color="auto"/>
      </w:divBdr>
    </w:div>
    <w:div w:id="1660383841">
      <w:bodyDiv w:val="1"/>
      <w:marLeft w:val="0"/>
      <w:marRight w:val="0"/>
      <w:marTop w:val="0"/>
      <w:marBottom w:val="0"/>
      <w:divBdr>
        <w:top w:val="none" w:sz="0" w:space="0" w:color="auto"/>
        <w:left w:val="none" w:sz="0" w:space="0" w:color="auto"/>
        <w:bottom w:val="none" w:sz="0" w:space="0" w:color="auto"/>
        <w:right w:val="none" w:sz="0" w:space="0" w:color="auto"/>
      </w:divBdr>
    </w:div>
    <w:div w:id="1703628492">
      <w:bodyDiv w:val="1"/>
      <w:marLeft w:val="0"/>
      <w:marRight w:val="0"/>
      <w:marTop w:val="0"/>
      <w:marBottom w:val="0"/>
      <w:divBdr>
        <w:top w:val="none" w:sz="0" w:space="0" w:color="auto"/>
        <w:left w:val="none" w:sz="0" w:space="0" w:color="auto"/>
        <w:bottom w:val="none" w:sz="0" w:space="0" w:color="auto"/>
        <w:right w:val="none" w:sz="0" w:space="0" w:color="auto"/>
      </w:divBdr>
      <w:divsChild>
        <w:div w:id="44573277">
          <w:marLeft w:val="274"/>
          <w:marRight w:val="0"/>
          <w:marTop w:val="0"/>
          <w:marBottom w:val="0"/>
          <w:divBdr>
            <w:top w:val="none" w:sz="0" w:space="0" w:color="auto"/>
            <w:left w:val="none" w:sz="0" w:space="0" w:color="auto"/>
            <w:bottom w:val="none" w:sz="0" w:space="0" w:color="auto"/>
            <w:right w:val="none" w:sz="0" w:space="0" w:color="auto"/>
          </w:divBdr>
        </w:div>
      </w:divsChild>
    </w:div>
    <w:div w:id="1723825569">
      <w:bodyDiv w:val="1"/>
      <w:marLeft w:val="0"/>
      <w:marRight w:val="0"/>
      <w:marTop w:val="0"/>
      <w:marBottom w:val="0"/>
      <w:divBdr>
        <w:top w:val="none" w:sz="0" w:space="0" w:color="auto"/>
        <w:left w:val="none" w:sz="0" w:space="0" w:color="auto"/>
        <w:bottom w:val="none" w:sz="0" w:space="0" w:color="auto"/>
        <w:right w:val="none" w:sz="0" w:space="0" w:color="auto"/>
      </w:divBdr>
    </w:div>
    <w:div w:id="1726879501">
      <w:bodyDiv w:val="1"/>
      <w:marLeft w:val="0"/>
      <w:marRight w:val="0"/>
      <w:marTop w:val="0"/>
      <w:marBottom w:val="0"/>
      <w:divBdr>
        <w:top w:val="none" w:sz="0" w:space="0" w:color="auto"/>
        <w:left w:val="none" w:sz="0" w:space="0" w:color="auto"/>
        <w:bottom w:val="none" w:sz="0" w:space="0" w:color="auto"/>
        <w:right w:val="none" w:sz="0" w:space="0" w:color="auto"/>
      </w:divBdr>
    </w:div>
    <w:div w:id="1741514577">
      <w:bodyDiv w:val="1"/>
      <w:marLeft w:val="0"/>
      <w:marRight w:val="0"/>
      <w:marTop w:val="0"/>
      <w:marBottom w:val="0"/>
      <w:divBdr>
        <w:top w:val="none" w:sz="0" w:space="0" w:color="auto"/>
        <w:left w:val="none" w:sz="0" w:space="0" w:color="auto"/>
        <w:bottom w:val="none" w:sz="0" w:space="0" w:color="auto"/>
        <w:right w:val="none" w:sz="0" w:space="0" w:color="auto"/>
      </w:divBdr>
      <w:divsChild>
        <w:div w:id="705368400">
          <w:marLeft w:val="0"/>
          <w:marRight w:val="0"/>
          <w:marTop w:val="0"/>
          <w:marBottom w:val="0"/>
          <w:divBdr>
            <w:top w:val="none" w:sz="0" w:space="0" w:color="auto"/>
            <w:left w:val="none" w:sz="0" w:space="0" w:color="auto"/>
            <w:bottom w:val="none" w:sz="0" w:space="0" w:color="auto"/>
            <w:right w:val="none" w:sz="0" w:space="0" w:color="auto"/>
          </w:divBdr>
        </w:div>
        <w:div w:id="1012219327">
          <w:marLeft w:val="0"/>
          <w:marRight w:val="0"/>
          <w:marTop w:val="0"/>
          <w:marBottom w:val="0"/>
          <w:divBdr>
            <w:top w:val="none" w:sz="0" w:space="0" w:color="auto"/>
            <w:left w:val="none" w:sz="0" w:space="0" w:color="auto"/>
            <w:bottom w:val="none" w:sz="0" w:space="0" w:color="auto"/>
            <w:right w:val="none" w:sz="0" w:space="0" w:color="auto"/>
          </w:divBdr>
        </w:div>
      </w:divsChild>
    </w:div>
    <w:div w:id="1748529179">
      <w:bodyDiv w:val="1"/>
      <w:marLeft w:val="0"/>
      <w:marRight w:val="0"/>
      <w:marTop w:val="0"/>
      <w:marBottom w:val="0"/>
      <w:divBdr>
        <w:top w:val="none" w:sz="0" w:space="0" w:color="auto"/>
        <w:left w:val="none" w:sz="0" w:space="0" w:color="auto"/>
        <w:bottom w:val="none" w:sz="0" w:space="0" w:color="auto"/>
        <w:right w:val="none" w:sz="0" w:space="0" w:color="auto"/>
      </w:divBdr>
    </w:div>
    <w:div w:id="1762993964">
      <w:bodyDiv w:val="1"/>
      <w:marLeft w:val="0"/>
      <w:marRight w:val="0"/>
      <w:marTop w:val="0"/>
      <w:marBottom w:val="0"/>
      <w:divBdr>
        <w:top w:val="none" w:sz="0" w:space="0" w:color="auto"/>
        <w:left w:val="none" w:sz="0" w:space="0" w:color="auto"/>
        <w:bottom w:val="none" w:sz="0" w:space="0" w:color="auto"/>
        <w:right w:val="none" w:sz="0" w:space="0" w:color="auto"/>
      </w:divBdr>
      <w:divsChild>
        <w:div w:id="1277907318">
          <w:marLeft w:val="274"/>
          <w:marRight w:val="0"/>
          <w:marTop w:val="0"/>
          <w:marBottom w:val="60"/>
          <w:divBdr>
            <w:top w:val="none" w:sz="0" w:space="0" w:color="auto"/>
            <w:left w:val="none" w:sz="0" w:space="0" w:color="auto"/>
            <w:bottom w:val="none" w:sz="0" w:space="0" w:color="auto"/>
            <w:right w:val="none" w:sz="0" w:space="0" w:color="auto"/>
          </w:divBdr>
        </w:div>
        <w:div w:id="1131631438">
          <w:marLeft w:val="274"/>
          <w:marRight w:val="0"/>
          <w:marTop w:val="0"/>
          <w:marBottom w:val="60"/>
          <w:divBdr>
            <w:top w:val="none" w:sz="0" w:space="0" w:color="auto"/>
            <w:left w:val="none" w:sz="0" w:space="0" w:color="auto"/>
            <w:bottom w:val="none" w:sz="0" w:space="0" w:color="auto"/>
            <w:right w:val="none" w:sz="0" w:space="0" w:color="auto"/>
          </w:divBdr>
        </w:div>
      </w:divsChild>
    </w:div>
    <w:div w:id="1810129450">
      <w:bodyDiv w:val="1"/>
      <w:marLeft w:val="0"/>
      <w:marRight w:val="0"/>
      <w:marTop w:val="0"/>
      <w:marBottom w:val="0"/>
      <w:divBdr>
        <w:top w:val="none" w:sz="0" w:space="0" w:color="auto"/>
        <w:left w:val="none" w:sz="0" w:space="0" w:color="auto"/>
        <w:bottom w:val="none" w:sz="0" w:space="0" w:color="auto"/>
        <w:right w:val="none" w:sz="0" w:space="0" w:color="auto"/>
      </w:divBdr>
      <w:divsChild>
        <w:div w:id="285694691">
          <w:marLeft w:val="274"/>
          <w:marRight w:val="0"/>
          <w:marTop w:val="0"/>
          <w:marBottom w:val="0"/>
          <w:divBdr>
            <w:top w:val="none" w:sz="0" w:space="0" w:color="auto"/>
            <w:left w:val="none" w:sz="0" w:space="0" w:color="auto"/>
            <w:bottom w:val="none" w:sz="0" w:space="0" w:color="auto"/>
            <w:right w:val="none" w:sz="0" w:space="0" w:color="auto"/>
          </w:divBdr>
        </w:div>
      </w:divsChild>
    </w:div>
    <w:div w:id="1820539768">
      <w:bodyDiv w:val="1"/>
      <w:marLeft w:val="0"/>
      <w:marRight w:val="0"/>
      <w:marTop w:val="0"/>
      <w:marBottom w:val="0"/>
      <w:divBdr>
        <w:top w:val="none" w:sz="0" w:space="0" w:color="auto"/>
        <w:left w:val="none" w:sz="0" w:space="0" w:color="auto"/>
        <w:bottom w:val="none" w:sz="0" w:space="0" w:color="auto"/>
        <w:right w:val="none" w:sz="0" w:space="0" w:color="auto"/>
      </w:divBdr>
      <w:divsChild>
        <w:div w:id="1728870791">
          <w:marLeft w:val="0"/>
          <w:marRight w:val="0"/>
          <w:marTop w:val="0"/>
          <w:marBottom w:val="0"/>
          <w:divBdr>
            <w:top w:val="none" w:sz="0" w:space="0" w:color="auto"/>
            <w:left w:val="none" w:sz="0" w:space="0" w:color="auto"/>
            <w:bottom w:val="none" w:sz="0" w:space="0" w:color="auto"/>
            <w:right w:val="none" w:sz="0" w:space="0" w:color="auto"/>
          </w:divBdr>
        </w:div>
      </w:divsChild>
    </w:div>
    <w:div w:id="1853376986">
      <w:bodyDiv w:val="1"/>
      <w:marLeft w:val="0"/>
      <w:marRight w:val="0"/>
      <w:marTop w:val="0"/>
      <w:marBottom w:val="0"/>
      <w:divBdr>
        <w:top w:val="none" w:sz="0" w:space="0" w:color="auto"/>
        <w:left w:val="none" w:sz="0" w:space="0" w:color="auto"/>
        <w:bottom w:val="none" w:sz="0" w:space="0" w:color="auto"/>
        <w:right w:val="none" w:sz="0" w:space="0" w:color="auto"/>
      </w:divBdr>
    </w:div>
    <w:div w:id="1876306979">
      <w:bodyDiv w:val="1"/>
      <w:marLeft w:val="0"/>
      <w:marRight w:val="0"/>
      <w:marTop w:val="0"/>
      <w:marBottom w:val="0"/>
      <w:divBdr>
        <w:top w:val="none" w:sz="0" w:space="0" w:color="auto"/>
        <w:left w:val="none" w:sz="0" w:space="0" w:color="auto"/>
        <w:bottom w:val="none" w:sz="0" w:space="0" w:color="auto"/>
        <w:right w:val="none" w:sz="0" w:space="0" w:color="auto"/>
      </w:divBdr>
      <w:divsChild>
        <w:div w:id="122966315">
          <w:marLeft w:val="0"/>
          <w:marRight w:val="0"/>
          <w:marTop w:val="0"/>
          <w:marBottom w:val="0"/>
          <w:divBdr>
            <w:top w:val="none" w:sz="0" w:space="0" w:color="auto"/>
            <w:left w:val="none" w:sz="0" w:space="0" w:color="auto"/>
            <w:bottom w:val="none" w:sz="0" w:space="0" w:color="auto"/>
            <w:right w:val="none" w:sz="0" w:space="0" w:color="auto"/>
          </w:divBdr>
        </w:div>
      </w:divsChild>
    </w:div>
    <w:div w:id="1933467446">
      <w:bodyDiv w:val="1"/>
      <w:marLeft w:val="0"/>
      <w:marRight w:val="0"/>
      <w:marTop w:val="0"/>
      <w:marBottom w:val="0"/>
      <w:divBdr>
        <w:top w:val="none" w:sz="0" w:space="0" w:color="auto"/>
        <w:left w:val="none" w:sz="0" w:space="0" w:color="auto"/>
        <w:bottom w:val="none" w:sz="0" w:space="0" w:color="auto"/>
        <w:right w:val="none" w:sz="0" w:space="0" w:color="auto"/>
      </w:divBdr>
    </w:div>
    <w:div w:id="1935359007">
      <w:bodyDiv w:val="1"/>
      <w:marLeft w:val="0"/>
      <w:marRight w:val="0"/>
      <w:marTop w:val="0"/>
      <w:marBottom w:val="0"/>
      <w:divBdr>
        <w:top w:val="none" w:sz="0" w:space="0" w:color="auto"/>
        <w:left w:val="none" w:sz="0" w:space="0" w:color="auto"/>
        <w:bottom w:val="none" w:sz="0" w:space="0" w:color="auto"/>
        <w:right w:val="none" w:sz="0" w:space="0" w:color="auto"/>
      </w:divBdr>
    </w:div>
    <w:div w:id="1936133164">
      <w:bodyDiv w:val="1"/>
      <w:marLeft w:val="0"/>
      <w:marRight w:val="0"/>
      <w:marTop w:val="0"/>
      <w:marBottom w:val="0"/>
      <w:divBdr>
        <w:top w:val="none" w:sz="0" w:space="0" w:color="auto"/>
        <w:left w:val="none" w:sz="0" w:space="0" w:color="auto"/>
        <w:bottom w:val="none" w:sz="0" w:space="0" w:color="auto"/>
        <w:right w:val="none" w:sz="0" w:space="0" w:color="auto"/>
      </w:divBdr>
    </w:div>
    <w:div w:id="1961643068">
      <w:bodyDiv w:val="1"/>
      <w:marLeft w:val="0"/>
      <w:marRight w:val="0"/>
      <w:marTop w:val="0"/>
      <w:marBottom w:val="0"/>
      <w:divBdr>
        <w:top w:val="none" w:sz="0" w:space="0" w:color="auto"/>
        <w:left w:val="none" w:sz="0" w:space="0" w:color="auto"/>
        <w:bottom w:val="none" w:sz="0" w:space="0" w:color="auto"/>
        <w:right w:val="none" w:sz="0" w:space="0" w:color="auto"/>
      </w:divBdr>
    </w:div>
    <w:div w:id="1965185221">
      <w:bodyDiv w:val="1"/>
      <w:marLeft w:val="0"/>
      <w:marRight w:val="0"/>
      <w:marTop w:val="0"/>
      <w:marBottom w:val="0"/>
      <w:divBdr>
        <w:top w:val="none" w:sz="0" w:space="0" w:color="auto"/>
        <w:left w:val="none" w:sz="0" w:space="0" w:color="auto"/>
        <w:bottom w:val="none" w:sz="0" w:space="0" w:color="auto"/>
        <w:right w:val="none" w:sz="0" w:space="0" w:color="auto"/>
      </w:divBdr>
      <w:divsChild>
        <w:div w:id="911892183">
          <w:marLeft w:val="274"/>
          <w:marRight w:val="0"/>
          <w:marTop w:val="0"/>
          <w:marBottom w:val="0"/>
          <w:divBdr>
            <w:top w:val="none" w:sz="0" w:space="0" w:color="auto"/>
            <w:left w:val="none" w:sz="0" w:space="0" w:color="auto"/>
            <w:bottom w:val="none" w:sz="0" w:space="0" w:color="auto"/>
            <w:right w:val="none" w:sz="0" w:space="0" w:color="auto"/>
          </w:divBdr>
        </w:div>
      </w:divsChild>
    </w:div>
    <w:div w:id="2006660798">
      <w:bodyDiv w:val="1"/>
      <w:marLeft w:val="0"/>
      <w:marRight w:val="0"/>
      <w:marTop w:val="0"/>
      <w:marBottom w:val="0"/>
      <w:divBdr>
        <w:top w:val="none" w:sz="0" w:space="0" w:color="auto"/>
        <w:left w:val="none" w:sz="0" w:space="0" w:color="auto"/>
        <w:bottom w:val="none" w:sz="0" w:space="0" w:color="auto"/>
        <w:right w:val="none" w:sz="0" w:space="0" w:color="auto"/>
      </w:divBdr>
    </w:div>
    <w:div w:id="2022857725">
      <w:bodyDiv w:val="1"/>
      <w:marLeft w:val="0"/>
      <w:marRight w:val="0"/>
      <w:marTop w:val="0"/>
      <w:marBottom w:val="0"/>
      <w:divBdr>
        <w:top w:val="none" w:sz="0" w:space="0" w:color="auto"/>
        <w:left w:val="none" w:sz="0" w:space="0" w:color="auto"/>
        <w:bottom w:val="none" w:sz="0" w:space="0" w:color="auto"/>
        <w:right w:val="none" w:sz="0" w:space="0" w:color="auto"/>
      </w:divBdr>
    </w:div>
    <w:div w:id="2032796946">
      <w:bodyDiv w:val="1"/>
      <w:marLeft w:val="0"/>
      <w:marRight w:val="0"/>
      <w:marTop w:val="0"/>
      <w:marBottom w:val="0"/>
      <w:divBdr>
        <w:top w:val="none" w:sz="0" w:space="0" w:color="auto"/>
        <w:left w:val="none" w:sz="0" w:space="0" w:color="auto"/>
        <w:bottom w:val="none" w:sz="0" w:space="0" w:color="auto"/>
        <w:right w:val="none" w:sz="0" w:space="0" w:color="auto"/>
      </w:divBdr>
    </w:div>
    <w:div w:id="2044743180">
      <w:bodyDiv w:val="1"/>
      <w:marLeft w:val="0"/>
      <w:marRight w:val="0"/>
      <w:marTop w:val="0"/>
      <w:marBottom w:val="0"/>
      <w:divBdr>
        <w:top w:val="none" w:sz="0" w:space="0" w:color="auto"/>
        <w:left w:val="none" w:sz="0" w:space="0" w:color="auto"/>
        <w:bottom w:val="none" w:sz="0" w:space="0" w:color="auto"/>
        <w:right w:val="none" w:sz="0" w:space="0" w:color="auto"/>
      </w:divBdr>
    </w:div>
    <w:div w:id="2059237417">
      <w:bodyDiv w:val="1"/>
      <w:marLeft w:val="0"/>
      <w:marRight w:val="0"/>
      <w:marTop w:val="0"/>
      <w:marBottom w:val="0"/>
      <w:divBdr>
        <w:top w:val="none" w:sz="0" w:space="0" w:color="auto"/>
        <w:left w:val="none" w:sz="0" w:space="0" w:color="auto"/>
        <w:bottom w:val="none" w:sz="0" w:space="0" w:color="auto"/>
        <w:right w:val="none" w:sz="0" w:space="0" w:color="auto"/>
      </w:divBdr>
    </w:div>
    <w:div w:id="2108962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health.govt.nz/publication/whakamaua-maori-health-action-plan-2020-2025" TargetMode="External"/><Relationship Id="rId117" Type="http://schemas.openxmlformats.org/officeDocument/2006/relationships/hyperlink" Target="https://doi.org/10.1371/journal.pone.0241658" TargetMode="External"/><Relationship Id="rId21" Type="http://schemas.openxmlformats.org/officeDocument/2006/relationships/hyperlink" Target="https://www.health.govt.nz/system/files/documents/information-release/response_to_the_inq.pdf" TargetMode="External"/><Relationship Id="rId42" Type="http://schemas.openxmlformats.org/officeDocument/2006/relationships/hyperlink" Target="https://www.odi.govt.nz/disability-action-plan-2/" TargetMode="External"/><Relationship Id="rId47" Type="http://schemas.openxmlformats.org/officeDocument/2006/relationships/hyperlink" Target="https://www.mbie.govt.nz/assets/69361d5a98/health-safety-at-work-strategy-2018-2028.pdf" TargetMode="External"/><Relationship Id="rId63" Type="http://schemas.openxmlformats.org/officeDocument/2006/relationships/hyperlink" Target="https://depression.org.nz/" TargetMode="External"/><Relationship Id="rId68" Type="http://schemas.openxmlformats.org/officeDocument/2006/relationships/hyperlink" Target="https://www.wellbeingsessions.nz/" TargetMode="External"/><Relationship Id="rId84" Type="http://schemas.openxmlformats.org/officeDocument/2006/relationships/hyperlink" Target="https://covid19.govt.nz/" TargetMode="External"/><Relationship Id="rId89" Type="http://schemas.openxmlformats.org/officeDocument/2006/relationships/hyperlink" Target="https://www.health.govt.nz/our-work/diseases-and-conditions/covid-19-novel-coronavirus/covid-19-information-specific-audiences/covid-19-personal-protective-equipment-workers/personal-protective-equipment-use-health-and-disability-care-settings" TargetMode="External"/><Relationship Id="rId112" Type="http://schemas.openxmlformats.org/officeDocument/2006/relationships/hyperlink" Target="https://www.health.govt.nz/our-work/diseases-and-conditions/covid-19-novel-coronavirus/covid-19-health-advice-general-public/covid-19-mental-health-and-wellbeing-resources" TargetMode="External"/><Relationship Id="rId16" Type="http://schemas.openxmlformats.org/officeDocument/2006/relationships/footer" Target="footer1.xml"/><Relationship Id="rId107" Type="http://schemas.openxmlformats.org/officeDocument/2006/relationships/hyperlink" Target="https://depression.org.nz/get-better/your-identity/pasifika/" TargetMode="External"/><Relationship Id="rId11" Type="http://schemas.openxmlformats.org/officeDocument/2006/relationships/image" Target="media/image1.jpeg"/><Relationship Id="rId32" Type="http://schemas.openxmlformats.org/officeDocument/2006/relationships/header" Target="header4.xml"/><Relationship Id="rId37" Type="http://schemas.openxmlformats.org/officeDocument/2006/relationships/hyperlink" Target="http://www.myd.govt.nz/young-people/youth-plan/youth-plan.html" TargetMode="External"/><Relationship Id="rId53" Type="http://schemas.openxmlformats.org/officeDocument/2006/relationships/hyperlink" Target="https://www.health.govt.nz/our-work/preventative-health-wellness/healthy-families-nz" TargetMode="External"/><Relationship Id="rId58" Type="http://schemas.openxmlformats.org/officeDocument/2006/relationships/hyperlink" Target="https://www.mentemia.com/?gclid=EAIaIQobChMIperPw8me7AIVEiQrCh3vtwiDEAAYASAAEgIMJ_D_BwE" TargetMode="External"/><Relationship Id="rId74" Type="http://schemas.openxmlformats.org/officeDocument/2006/relationships/hyperlink" Target="https://www.msd.govt.nz/about-msd-and-our-work/newsroom/2020/covid-19/index.html" TargetMode="External"/><Relationship Id="rId79" Type="http://schemas.openxmlformats.org/officeDocument/2006/relationships/hyperlink" Target="https://www.health.govt.nz/our-work/diseases-and-conditions/covid-19-novel-coronavirus/covid-19-current-situation/health-and-disability-services-alert-level-3" TargetMode="External"/><Relationship Id="rId102" Type="http://schemas.openxmlformats.org/officeDocument/2006/relationships/hyperlink" Target="https://covid19.govt.nz/everyday-life/religious-communities/" TargetMode="External"/><Relationship Id="rId123" Type="http://schemas.openxmlformats.org/officeDocument/2006/relationships/hyperlink" Target="http://www.un.org/en/universal-declaration-human-rights" TargetMode="External"/><Relationship Id="rId128" Type="http://schemas.microsoft.com/office/2018/08/relationships/commentsExtensible" Target="commentsExtensible.xml"/><Relationship Id="rId5" Type="http://schemas.openxmlformats.org/officeDocument/2006/relationships/numbering" Target="numbering.xml"/><Relationship Id="rId90" Type="http://schemas.openxmlformats.org/officeDocument/2006/relationships/hyperlink" Target="https://www.health.govt.nz/our-work/diseases-and-conditions/covid-19-novel-coronavirus/covid-19-resources-health-professionals/covid-19-mental-health-and-addiction-providers" TargetMode="External"/><Relationship Id="rId95" Type="http://schemas.openxmlformats.org/officeDocument/2006/relationships/hyperlink" Target="https://www.health.govt.nz/our-work/diseases-and-conditions/covid-19-novel-coronavirus/covid-19-information-specific-audiences/covid-19-deaths-funerals-and-tangihanga" TargetMode="External"/><Relationship Id="rId19" Type="http://schemas.openxmlformats.org/officeDocument/2006/relationships/image" Target="media/image4.PNG"/><Relationship Id="rId14" Type="http://schemas.openxmlformats.org/officeDocument/2006/relationships/header" Target="header1.xml"/><Relationship Id="rId22" Type="http://schemas.openxmlformats.org/officeDocument/2006/relationships/hyperlink" Target="https://mentalhealth.inquiry.govt.nz/inquiry-report/he-ara-oranga/" TargetMode="External"/><Relationship Id="rId27" Type="http://schemas.openxmlformats.org/officeDocument/2006/relationships/footer" Target="footer3.xml"/><Relationship Id="rId30" Type="http://schemas.openxmlformats.org/officeDocument/2006/relationships/footer" Target="footer5.xml"/><Relationship Id="rId35" Type="http://schemas.openxmlformats.org/officeDocument/2006/relationships/header" Target="header6.xml"/><Relationship Id="rId43" Type="http://schemas.openxmlformats.org/officeDocument/2006/relationships/hyperlink" Target="https://www.msd.govt.nz/what-we-can-do/disability-services/disability-employment-action-plan/index.html" TargetMode="External"/><Relationship Id="rId48" Type="http://schemas.openxmlformats.org/officeDocument/2006/relationships/hyperlink" Target="https://www.education.govt.nz/covid-19/urgent-response-fund/" TargetMode="External"/><Relationship Id="rId56" Type="http://schemas.openxmlformats.org/officeDocument/2006/relationships/hyperlink" Target="https://depression.org.nz/" TargetMode="External"/><Relationship Id="rId64" Type="http://schemas.openxmlformats.org/officeDocument/2006/relationships/hyperlink" Target="https://depression.org.nz/get-better/your-identity/rural/" TargetMode="External"/><Relationship Id="rId69" Type="http://schemas.openxmlformats.org/officeDocument/2006/relationships/hyperlink" Target="https://www.health.govt.nz/publication/guidelines-mental-health-compulsory-assessment-and-treatment-act-1992" TargetMode="External"/><Relationship Id="rId77" Type="http://schemas.openxmlformats.org/officeDocument/2006/relationships/hyperlink" Target="https://www.msd.govt.nz/about-msd-and-our-work/newsroom/2020/covid-19/index.html" TargetMode="External"/><Relationship Id="rId100" Type="http://schemas.openxmlformats.org/officeDocument/2006/relationships/hyperlink" Target="https://covid19.govt.nz/everyday-life/pacific-peoples/" TargetMode="External"/><Relationship Id="rId105" Type="http://schemas.openxmlformats.org/officeDocument/2006/relationships/hyperlink" Target="https://www.mpp.govt.nz/what-we-do/covid-19/" TargetMode="External"/><Relationship Id="rId113" Type="http://schemas.openxmlformats.org/officeDocument/2006/relationships/hyperlink" Target="https://depression.org.nz/" TargetMode="External"/><Relationship Id="rId118" Type="http://schemas.openxmlformats.org/officeDocument/2006/relationships/hyperlink" Target="http://www.health.govt.nz/about-ministry/what-we-do/work-programme-2019-20/achieving-equity" TargetMode="External"/><Relationship Id="rId126"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www.health.govt.nz/news-media/media-releases/mental-health-and-addictions-charities-and-community-groups-get-share-200k-support-people-through" TargetMode="External"/><Relationship Id="rId72" Type="http://schemas.openxmlformats.org/officeDocument/2006/relationships/hyperlink" Target="https://www.mentalhealth.org.nz/get-help/getting-through-together/workplace-wellbeing/" TargetMode="External"/><Relationship Id="rId80" Type="http://schemas.openxmlformats.org/officeDocument/2006/relationships/hyperlink" Target="https://www.health.govt.nz/our-work/diseases-and-conditions/covid-19-novel-coronavirus/covid-19-current-situation/health-and-disability-services-alert-level-2" TargetMode="External"/><Relationship Id="rId85" Type="http://schemas.openxmlformats.org/officeDocument/2006/relationships/hyperlink" Target="https://www.health.govt.nz/our-work/diseases-and-conditions/covid-19-novel-coronavirus/covid-19-resources-health-professionals/covid-19-mental-health-and-addiction-providers" TargetMode="External"/><Relationship Id="rId93" Type="http://schemas.openxmlformats.org/officeDocument/2006/relationships/hyperlink" Target="http://www.allright.org.nz/te-waioratanga" TargetMode="External"/><Relationship Id="rId98" Type="http://schemas.openxmlformats.org/officeDocument/2006/relationships/hyperlink" Target="https://www.tpk.govt.nz/en/whakamahia/covid-19-information-for-maori" TargetMode="External"/><Relationship Id="rId121" Type="http://schemas.openxmlformats.org/officeDocument/2006/relationships/hyperlink" Target="http://researcharchive.vuw.ac.nz/bitstream/handle/10063/9022/WP-20-03-covid-19-life-in-lockdown.pdf?sequence=1" TargetMode="Externa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footer" Target="footer2.xml"/><Relationship Id="rId25" Type="http://schemas.openxmlformats.org/officeDocument/2006/relationships/hyperlink" Target="https://www.health.govt.nz/publication/ola-manuia-pacific-health-and-wellbeing-action-plan-2020-2025" TargetMode="External"/><Relationship Id="rId33" Type="http://schemas.openxmlformats.org/officeDocument/2006/relationships/header" Target="header5.xml"/><Relationship Id="rId38" Type="http://schemas.openxmlformats.org/officeDocument/2006/relationships/hyperlink" Target="https://www.mpp.govt.nz/news-and-stories/supporting-pacific-peoples-through-a-covid-19-recovery-plan/" TargetMode="External"/><Relationship Id="rId46" Type="http://schemas.openxmlformats.org/officeDocument/2006/relationships/hyperlink" Target="https://worksafe.govt.nz/managing-health-and-safety/novel-coronavirus-covid/" TargetMode="External"/><Relationship Id="rId59" Type="http://schemas.openxmlformats.org/officeDocument/2006/relationships/hyperlink" Target="https://www.melonhealth.com/" TargetMode="External"/><Relationship Id="rId67" Type="http://schemas.openxmlformats.org/officeDocument/2006/relationships/hyperlink" Target="https://www.hrc.co.nz/news/racism-no-joke-campaign-launched-fight-racism-against-asian-new-zealanders/" TargetMode="External"/><Relationship Id="rId103" Type="http://schemas.openxmlformats.org/officeDocument/2006/relationships/hyperlink" Target="https://depression.org.nz/get-better/your-identity/pasifika/" TargetMode="External"/><Relationship Id="rId108" Type="http://schemas.openxmlformats.org/officeDocument/2006/relationships/hyperlink" Target="https://www.health.govt.nz/our-work/diseases-and-conditions/covid-19-novel-coronavirus/covid-19-health-advice-general-public/covid-19-mental-health-and-wellbeing-resources" TargetMode="External"/><Relationship Id="rId116" Type="http://schemas.openxmlformats.org/officeDocument/2006/relationships/footer" Target="footer9.xml"/><Relationship Id="rId124" Type="http://schemas.openxmlformats.org/officeDocument/2006/relationships/footer" Target="footer10.xml"/><Relationship Id="rId20" Type="http://schemas.openxmlformats.org/officeDocument/2006/relationships/hyperlink" Target="https://www.health.govt.nz/publication/summary-feedback-covid-19-psychosocial-and-mental-wellbeing" TargetMode="External"/><Relationship Id="rId41" Type="http://schemas.openxmlformats.org/officeDocument/2006/relationships/hyperlink" Target="https://www.health.govt.nz/system/files/documents/publications/ola_manuia-phwap-22june.pdf" TargetMode="External"/><Relationship Id="rId54" Type="http://schemas.openxmlformats.org/officeDocument/2006/relationships/hyperlink" Target="http://www.rural-support.org.nz" TargetMode="External"/><Relationship Id="rId62" Type="http://schemas.openxmlformats.org/officeDocument/2006/relationships/hyperlink" Target="https://www.bestbubble.co.nz/" TargetMode="External"/><Relationship Id="rId70" Type="http://schemas.openxmlformats.org/officeDocument/2006/relationships/hyperlink" Target="https://www.health.govt.nz/our-work/diseases-and-conditions/covid-19-novel-coronavirus/covid-19-health-advice-public/covid-19-mental-health-and-wellbeing-resources" TargetMode="External"/><Relationship Id="rId75" Type="http://schemas.openxmlformats.org/officeDocument/2006/relationships/hyperlink" Target="https://www.mentalhealth.org.nz/get-help/getting-through-together/workplace-wellbeing/" TargetMode="External"/><Relationship Id="rId83" Type="http://schemas.openxmlformats.org/officeDocument/2006/relationships/hyperlink" Target="https://www.health.govt.nz/our-work/diseases-and-conditions/covid-19-novel-coronavirus/covid-19-resources-health-professionals/covid-19-mental-health-and-addiction-providers" TargetMode="External"/><Relationship Id="rId88" Type="http://schemas.openxmlformats.org/officeDocument/2006/relationships/hyperlink" Target="https://www.health.govt.nz/our-work/diseases-and-conditions/covid-19-novel-coronavirus/covid-19-information-specific-audiences/covid-19-personal-protective-equipment-workers/personal-protective-equipment-use-health-and-disability-care-settings" TargetMode="External"/><Relationship Id="rId91" Type="http://schemas.openxmlformats.org/officeDocument/2006/relationships/hyperlink" Target="https://covid19.govt.nz/" TargetMode="External"/><Relationship Id="rId96" Type="http://schemas.openxmlformats.org/officeDocument/2006/relationships/hyperlink" Target="https://depression.org.nz/maori/" TargetMode="External"/><Relationship Id="rId111" Type="http://schemas.openxmlformats.org/officeDocument/2006/relationships/hyperlink" Target="https://www.education.govt.nz/covid-19/"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2.xml"/><Relationship Id="rId23" Type="http://schemas.openxmlformats.org/officeDocument/2006/relationships/hyperlink" Target="https://www.health.govt.nz/publication/covid-19-health-and-disability-system-response-plan" TargetMode="External"/><Relationship Id="rId28" Type="http://schemas.openxmlformats.org/officeDocument/2006/relationships/footer" Target="footer4.xml"/><Relationship Id="rId36" Type="http://schemas.openxmlformats.org/officeDocument/2006/relationships/hyperlink" Target="https://www.health.govt.nz/publication/whakamaua-maori-health-action-plan-2020-2025" TargetMode="External"/><Relationship Id="rId49" Type="http://schemas.openxmlformats.org/officeDocument/2006/relationships/hyperlink" Target="https://www.corrections.govt.nz/resources/strategic_reports/corrections_strategic_plans/hokai_rangi" TargetMode="External"/><Relationship Id="rId57" Type="http://schemas.openxmlformats.org/officeDocument/2006/relationships/hyperlink" Target="https://www.health.govt.nz/our-work/diseases-and-conditions/covid-19-novel-coronavirus/covid-19-health-advice-public/covid-19-mental-health-and-wellbeing-resources" TargetMode="External"/><Relationship Id="rId106" Type="http://schemas.openxmlformats.org/officeDocument/2006/relationships/hyperlink" Target="https://covid19.govt.nz/everyday-life/religious-communities/" TargetMode="External"/><Relationship Id="rId114" Type="http://schemas.openxmlformats.org/officeDocument/2006/relationships/hyperlink" Target="https://covid19.govt.nz/health-and-wellbeing/family-and-sexual-violence-prevention/" TargetMode="External"/><Relationship Id="rId119" Type="http://schemas.openxmlformats.org/officeDocument/2006/relationships/hyperlink" Target="http://URL:%20www.health.govt.nz/publication/ola-manuia-pacific-health-and-wellbeing-action-plan-2020-2025" TargetMode="External"/><Relationship Id="rId10" Type="http://schemas.openxmlformats.org/officeDocument/2006/relationships/endnotes" Target="endnotes.xml"/><Relationship Id="rId31" Type="http://schemas.openxmlformats.org/officeDocument/2006/relationships/hyperlink" Target="https://www.health.govt.nz/system/files/documents/pages/whakamaua-tiriti-o-waitangi-framework-a3-aug20.pdf" TargetMode="External"/><Relationship Id="rId44" Type="http://schemas.openxmlformats.org/officeDocument/2006/relationships/hyperlink" Target="https://www.hud.govt.nz/community-and-public-housing/support-for-people-in-need/aotearoa-homelessness-action-plan/" TargetMode="External"/><Relationship Id="rId52" Type="http://schemas.openxmlformats.org/officeDocument/2006/relationships/hyperlink" Target="https://www.msd.govt.nz/about-msd-and-our-work/publications-resources/planning-strategy/social-sector-commissioning/index.html" TargetMode="External"/><Relationship Id="rId60" Type="http://schemas.openxmlformats.org/officeDocument/2006/relationships/hyperlink" Target="https://www.justathought.co.nz/" TargetMode="External"/><Relationship Id="rId65" Type="http://schemas.openxmlformats.org/officeDocument/2006/relationships/hyperlink" Target="https://www.leva.co.nz/our-work/catchyourself/" TargetMode="External"/><Relationship Id="rId73" Type="http://schemas.openxmlformats.org/officeDocument/2006/relationships/hyperlink" Target="https://www.tepou.co.nz/resources" TargetMode="External"/><Relationship Id="rId78" Type="http://schemas.openxmlformats.org/officeDocument/2006/relationships/hyperlink" Target="https://www.health.govt.nz/our-work/diseases-and-conditions/covid-19-novel-coronavirus/covid-19-resources-health-professionals/covid-19-mental-health-and-addiction-providers" TargetMode="External"/><Relationship Id="rId81" Type="http://schemas.openxmlformats.org/officeDocument/2006/relationships/hyperlink" Target="https://www.health.govt.nz/our-work/diseases-and-conditions/covid-19-novel-coronavirus/covid-19-information-specific-audiences/covid-19-personal-protective-equipment-workers/personal-protective-equipment-use-health-and-disability-care-settings" TargetMode="External"/><Relationship Id="rId86" Type="http://schemas.openxmlformats.org/officeDocument/2006/relationships/hyperlink" Target="https://www.health.govt.nz/our-work/diseases-and-conditions/covid-19-novel-coronavirus/covid-19-current-situation/health-and-disability-services-alert-level-3" TargetMode="External"/><Relationship Id="rId94" Type="http://schemas.openxmlformats.org/officeDocument/2006/relationships/hyperlink" Target="https://www.tpk.govt.nz/en/whakamahia/covid-19-information-for-maori" TargetMode="External"/><Relationship Id="rId99" Type="http://schemas.openxmlformats.org/officeDocument/2006/relationships/hyperlink" Target="https://www.health.govt.nz/our-work/diseases-and-conditions/covid-19-novel-coronavirus/covid-19-information-specific-audiences/covid-19-deaths-funerals-and-tangihanga" TargetMode="External"/><Relationship Id="rId101" Type="http://schemas.openxmlformats.org/officeDocument/2006/relationships/hyperlink" Target="https://www.mpp.govt.nz/what-we-do/covid-19/" TargetMode="External"/><Relationship Id="rId122" Type="http://schemas.openxmlformats.org/officeDocument/2006/relationships/hyperlink" Target="https://ojs.victoria.ac.nz/pq/issue/view/712/PQ16-3"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header" Target="header3.xml"/><Relationship Id="rId39" Type="http://schemas.openxmlformats.org/officeDocument/2006/relationships/hyperlink" Target="https://childyouthwellbeing.govt.nz/resources/child-and-youth-wellbeing-strategy" TargetMode="External"/><Relationship Id="rId109" Type="http://schemas.openxmlformats.org/officeDocument/2006/relationships/hyperlink" Target="https://depression.org.nz/" TargetMode="External"/><Relationship Id="rId34" Type="http://schemas.openxmlformats.org/officeDocument/2006/relationships/footer" Target="footer6.xml"/><Relationship Id="rId50" Type="http://schemas.openxmlformats.org/officeDocument/2006/relationships/footer" Target="footer7.xml"/><Relationship Id="rId55" Type="http://schemas.openxmlformats.org/officeDocument/2006/relationships/hyperlink" Target="https://covid19.govt.nz/business-work-and-money/business/help-finding-new-employees/" TargetMode="External"/><Relationship Id="rId76" Type="http://schemas.openxmlformats.org/officeDocument/2006/relationships/hyperlink" Target="https://www.tepou.co.nz/resources" TargetMode="External"/><Relationship Id="rId97" Type="http://schemas.openxmlformats.org/officeDocument/2006/relationships/hyperlink" Target="http://www.allright.org.nz/te-waioratanga" TargetMode="External"/><Relationship Id="rId104" Type="http://schemas.openxmlformats.org/officeDocument/2006/relationships/hyperlink" Target="https://covid19.govt.nz/everyday-life/pacific-peoples/" TargetMode="External"/><Relationship Id="rId120" Type="http://schemas.openxmlformats.org/officeDocument/2006/relationships/hyperlink" Target="http://www.health.govt.nz/our-work/diseases-and-conditions/covid-19-novel-coronavirus/covid-19-resources-and-tools/covid-19-health-and-wellbeing-survey" TargetMode="External"/><Relationship Id="rId125" Type="http://schemas.openxmlformats.org/officeDocument/2006/relationships/fontTable" Target="fontTable.xml"/><Relationship Id="rId7" Type="http://schemas.openxmlformats.org/officeDocument/2006/relationships/settings" Target="settings.xml"/><Relationship Id="rId71" Type="http://schemas.openxmlformats.org/officeDocument/2006/relationships/footer" Target="footer8.xml"/><Relationship Id="rId92" Type="http://schemas.openxmlformats.org/officeDocument/2006/relationships/hyperlink" Target="https://depression.org.nz/maori/" TargetMode="External"/><Relationship Id="rId2" Type="http://schemas.openxmlformats.org/officeDocument/2006/relationships/customXml" Target="../customXml/item2.xml"/><Relationship Id="rId29" Type="http://schemas.openxmlformats.org/officeDocument/2006/relationships/image" Target="media/image5.png"/><Relationship Id="rId24" Type="http://schemas.openxmlformats.org/officeDocument/2006/relationships/hyperlink" Target="https://www.health.govt.nz/publication/whakamaua-maori-health-action-plan-2020-2025" TargetMode="External"/><Relationship Id="rId40" Type="http://schemas.openxmlformats.org/officeDocument/2006/relationships/hyperlink" Target="http://www.superseniors.msd.govt.nz/about-superseniors/ageing-population/better-later-life-report/index.html" TargetMode="External"/><Relationship Id="rId45" Type="http://schemas.openxmlformats.org/officeDocument/2006/relationships/hyperlink" Target="https://www.health.govt.nz/our-work/preventative-health-wellness/healthy-homes-initiative" TargetMode="External"/><Relationship Id="rId66" Type="http://schemas.openxmlformats.org/officeDocument/2006/relationships/hyperlink" Target="https://www.hrc.co.nz/our-work/race-relations-and-diversity/give-nothing-racism/" TargetMode="External"/><Relationship Id="rId87" Type="http://schemas.openxmlformats.org/officeDocument/2006/relationships/hyperlink" Target="https://www.health.govt.nz/our-work/diseases-and-conditions/covid-19-novel-coronavirus/covid-19-current-situation/health-and-disability-services-alert-level-2" TargetMode="External"/><Relationship Id="rId110" Type="http://schemas.openxmlformats.org/officeDocument/2006/relationships/hyperlink" Target="https://covid19.govt.nz/health-and-wellbeing/family-and-sexual-violence-prevention/" TargetMode="External"/><Relationship Id="rId115" Type="http://schemas.openxmlformats.org/officeDocument/2006/relationships/hyperlink" Target="https://www.education.govt.nz/covid-19/" TargetMode="External"/><Relationship Id="rId61" Type="http://schemas.openxmlformats.org/officeDocument/2006/relationships/hyperlink" Target="https://www.allright.org.nz/campaigns/getting-through-together" TargetMode="External"/><Relationship Id="rId82" Type="http://schemas.openxmlformats.org/officeDocument/2006/relationships/hyperlink" Target="https://www.health.govt.nz/our-work/diseases-and-conditions/covid-19-novel-coronavirus/covid-19-information-specific-audiences/covid-19-personal-protective-equipment-workers/personal-protective-equipment-use-health-and-disability-care-setting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anne\Application%20Data\Microsoft\Templates\Health\2012%20Report%20Sans%20Serif%20Bod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0D82E3FC07494888D7C9368DFAC697" ma:contentTypeVersion="12" ma:contentTypeDescription="Create a new document." ma:contentTypeScope="" ma:versionID="30e294c2f000ccf511e181804ae2a442">
  <xsd:schema xmlns:xsd="http://www.w3.org/2001/XMLSchema" xmlns:xs="http://www.w3.org/2001/XMLSchema" xmlns:p="http://schemas.microsoft.com/office/2006/metadata/properties" xmlns:ns3="417601d8-b133-4bfa-a841-9972946f34d2" xmlns:ns4="d59ea6e6-a59c-44b8-a0cc-c20c48781dd0" targetNamespace="http://schemas.microsoft.com/office/2006/metadata/properties" ma:root="true" ma:fieldsID="859977c404d788aaf00b05b260345708" ns3:_="" ns4:_="">
    <xsd:import namespace="417601d8-b133-4bfa-a841-9972946f34d2"/>
    <xsd:import namespace="d59ea6e6-a59c-44b8-a0cc-c20c48781dd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7601d8-b133-4bfa-a841-9972946f34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59ea6e6-a59c-44b8-a0cc-c20c48781dd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FF4BCB-AB3A-402B-9762-576EC569E1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7601d8-b133-4bfa-a841-9972946f34d2"/>
    <ds:schemaRef ds:uri="d59ea6e6-a59c-44b8-a0cc-c20c48781d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BAEFAA-9429-4D0B-B348-5BF4583E3A89}">
  <ds:schemaRefs>
    <ds:schemaRef ds:uri="http://schemas.microsoft.com/sharepoint/v3/contenttype/forms"/>
  </ds:schemaRefs>
</ds:datastoreItem>
</file>

<file path=customXml/itemProps3.xml><?xml version="1.0" encoding="utf-8"?>
<ds:datastoreItem xmlns:ds="http://schemas.openxmlformats.org/officeDocument/2006/customXml" ds:itemID="{A50A480B-B7FF-4835-A404-08631843C56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F38FEC1-FD89-4411-8149-95B5DC862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2012 Report Sans Serif Body</Template>
  <TotalTime>0</TotalTime>
  <Pages>3</Pages>
  <Words>16827</Words>
  <Characters>95920</Characters>
  <Application>Microsoft Office Word</Application>
  <DocSecurity>0</DocSecurity>
  <Lines>799</Lines>
  <Paragraphs>225</Paragraphs>
  <ScaleCrop>false</ScaleCrop>
  <HeadingPairs>
    <vt:vector size="2" baseType="variant">
      <vt:variant>
        <vt:lpstr>Title</vt:lpstr>
      </vt:variant>
      <vt:variant>
        <vt:i4>1</vt:i4>
      </vt:variant>
    </vt:vector>
  </HeadingPairs>
  <TitlesOfParts>
    <vt:vector size="1" baseType="lpstr">
      <vt:lpstr>Kia Kaha, Kia Māia, Kia Ora Aotearoa: COVID 19 Psychosocial and Mental Wellbeing Plan</vt:lpstr>
    </vt:vector>
  </TitlesOfParts>
  <Company>Microsoft</Company>
  <LinksUpToDate>false</LinksUpToDate>
  <CharactersWithSpaces>112522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Kia Kaha, Kia Māia, Kia Ora Aotearoa: COVID 19 Psychosocial and Mental Wellbeing Plan</dc:title>
  <dc:creator>Ministry of Health</dc:creator>
  <cp:lastModifiedBy>Tania Hockings</cp:lastModifiedBy>
  <cp:revision>2</cp:revision>
  <cp:lastPrinted>2020-12-20T23:17:00Z</cp:lastPrinted>
  <dcterms:created xsi:type="dcterms:W3CDTF">2021-01-11T04:33:00Z</dcterms:created>
  <dcterms:modified xsi:type="dcterms:W3CDTF">2021-01-11T04:33:00Z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0x010100080D82E3FC07494888D7C9368DFAC697</vt:lpwstr>
  </property>
</Properties>
</file>