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ADBBE" w14:textId="5CE98C89" w:rsidR="00C05132" w:rsidRDefault="001E0455" w:rsidP="00926083">
      <w:pPr>
        <w:pStyle w:val="Subhead"/>
        <w:rPr>
          <w:rFonts w:ascii="Segoe UI Black" w:hAnsi="Segoe UI Black" w:cs="Lucida Sans Unicode"/>
          <w:b/>
          <w:color w:val="000000" w:themeColor="text1"/>
          <w:sz w:val="72"/>
          <w:szCs w:val="72"/>
        </w:rPr>
      </w:pPr>
      <w:r w:rsidRPr="001E0455">
        <w:rPr>
          <w:rFonts w:ascii="Segoe UI Black" w:hAnsi="Segoe UI Black" w:cs="Lucida Sans Unicode"/>
          <w:b/>
          <w:color w:val="000000" w:themeColor="text1"/>
          <w:sz w:val="72"/>
          <w:szCs w:val="72"/>
        </w:rPr>
        <w:t>COVID-19 disruptions to hospital and general practice activity</w:t>
      </w:r>
    </w:p>
    <w:p w14:paraId="1782728B" w14:textId="77777777" w:rsidR="00A737C2" w:rsidRPr="00A737C2" w:rsidRDefault="00A737C2" w:rsidP="00A737C2"/>
    <w:p w14:paraId="7EF953CF" w14:textId="019BE3FB" w:rsidR="00142954" w:rsidRPr="001E0455" w:rsidRDefault="001E0455" w:rsidP="00142954">
      <w:pPr>
        <w:rPr>
          <w:color w:val="000000" w:themeColor="text1"/>
          <w:sz w:val="24"/>
        </w:rPr>
        <w:sectPr w:rsidR="00142954" w:rsidRPr="001E0455" w:rsidSect="005A79E5">
          <w:headerReference w:type="default" r:id="rId12"/>
          <w:footerReference w:type="default" r:id="rId13"/>
          <w:pgSz w:w="11907" w:h="16834" w:code="9"/>
          <w:pgMar w:top="5670" w:right="1134" w:bottom="1134" w:left="1134" w:header="567" w:footer="851" w:gutter="0"/>
          <w:pgNumType w:start="1"/>
          <w:cols w:space="720"/>
        </w:sectPr>
      </w:pPr>
      <w:r w:rsidRPr="001E0455">
        <w:rPr>
          <w:color w:val="000000" w:themeColor="text1"/>
          <w:sz w:val="24"/>
        </w:rPr>
        <w:t xml:space="preserve">A working report on the impact of COVID-19 on hospital and </w:t>
      </w:r>
      <w:r>
        <w:rPr>
          <w:color w:val="000000" w:themeColor="text1"/>
          <w:sz w:val="24"/>
        </w:rPr>
        <w:br/>
      </w:r>
      <w:r w:rsidRPr="001E0455">
        <w:rPr>
          <w:color w:val="000000" w:themeColor="text1"/>
          <w:sz w:val="24"/>
        </w:rPr>
        <w:t>general practice activity in New Zealand</w:t>
      </w:r>
    </w:p>
    <w:p w14:paraId="3E112030" w14:textId="5CF45A0D" w:rsidR="0086301C" w:rsidRDefault="0086301C">
      <w:pPr>
        <w:pStyle w:val="Imprint"/>
        <w:rPr>
          <w:rFonts w:cs="Segoe UI"/>
          <w:color w:val="000000" w:themeColor="text1"/>
        </w:rPr>
      </w:pPr>
      <w:r w:rsidRPr="0086301C">
        <w:rPr>
          <w:rFonts w:cs="Segoe UI"/>
          <w:color w:val="000000" w:themeColor="text1"/>
        </w:rPr>
        <w:lastRenderedPageBreak/>
        <w:t>Citation: Ministry of Health. 20</w:t>
      </w:r>
      <w:r w:rsidR="006C69BF">
        <w:rPr>
          <w:rFonts w:cs="Segoe UI"/>
          <w:color w:val="000000" w:themeColor="text1"/>
        </w:rPr>
        <w:t>20</w:t>
      </w:r>
      <w:r w:rsidRPr="0086301C">
        <w:rPr>
          <w:rFonts w:cs="Segoe UI"/>
          <w:color w:val="000000" w:themeColor="text1"/>
        </w:rPr>
        <w:t xml:space="preserve">. </w:t>
      </w:r>
      <w:r w:rsidR="001E0455" w:rsidRPr="001E0455">
        <w:rPr>
          <w:rFonts w:cs="Segoe UI"/>
          <w:i/>
          <w:color w:val="000000" w:themeColor="text1"/>
        </w:rPr>
        <w:t>COVID-19 disruptions to hospital and general practice activity</w:t>
      </w:r>
      <w:r w:rsidRPr="0086301C">
        <w:rPr>
          <w:rFonts w:cs="Segoe UI"/>
          <w:color w:val="000000" w:themeColor="text1"/>
        </w:rPr>
        <w:t>. Wellington: Ministry of Health.</w:t>
      </w:r>
    </w:p>
    <w:p w14:paraId="320CB22C" w14:textId="6DE7F74C" w:rsidR="00C86248" w:rsidRPr="00434299" w:rsidRDefault="00C86248">
      <w:pPr>
        <w:pStyle w:val="Imprint"/>
        <w:rPr>
          <w:color w:val="000000" w:themeColor="text1"/>
        </w:rPr>
      </w:pPr>
      <w:r w:rsidRPr="00434299">
        <w:rPr>
          <w:color w:val="000000" w:themeColor="text1"/>
        </w:rPr>
        <w:t xml:space="preserve">Published in </w:t>
      </w:r>
      <w:r w:rsidR="00FA6D26">
        <w:rPr>
          <w:color w:val="000000" w:themeColor="text1"/>
        </w:rPr>
        <w:t>November</w:t>
      </w:r>
      <w:r w:rsidR="006C69BF">
        <w:rPr>
          <w:color w:val="000000" w:themeColor="text1"/>
        </w:rPr>
        <w:t xml:space="preserve"> </w:t>
      </w:r>
      <w:r w:rsidR="00F6065C" w:rsidRPr="00434299">
        <w:rPr>
          <w:color w:val="000000" w:themeColor="text1"/>
        </w:rPr>
        <w:t>20</w:t>
      </w:r>
      <w:r w:rsidR="006C69BF">
        <w:rPr>
          <w:color w:val="000000" w:themeColor="text1"/>
        </w:rPr>
        <w:t>20</w:t>
      </w:r>
      <w:r w:rsidR="00F6065C" w:rsidRPr="00434299">
        <w:rPr>
          <w:color w:val="000000" w:themeColor="text1"/>
        </w:rPr>
        <w:t xml:space="preserve"> </w:t>
      </w:r>
      <w:r w:rsidRPr="00434299">
        <w:rPr>
          <w:color w:val="000000" w:themeColor="text1"/>
        </w:rPr>
        <w:t>by the</w:t>
      </w:r>
      <w:r w:rsidR="00442C1C" w:rsidRPr="00434299">
        <w:rPr>
          <w:color w:val="000000" w:themeColor="text1"/>
        </w:rPr>
        <w:t xml:space="preserve"> </w:t>
      </w:r>
      <w:r w:rsidRPr="00434299">
        <w:rPr>
          <w:color w:val="000000" w:themeColor="text1"/>
        </w:rPr>
        <w:t>Ministry of Health</w:t>
      </w:r>
      <w:r w:rsidRPr="00434299">
        <w:rPr>
          <w:color w:val="000000" w:themeColor="text1"/>
        </w:rPr>
        <w:br/>
        <w:t>PO Box 5013, Wellington</w:t>
      </w:r>
      <w:r w:rsidR="00A80363" w:rsidRPr="00434299">
        <w:rPr>
          <w:color w:val="000000" w:themeColor="text1"/>
        </w:rPr>
        <w:t xml:space="preserve"> 614</w:t>
      </w:r>
      <w:r w:rsidR="006041F0" w:rsidRPr="00434299">
        <w:rPr>
          <w:color w:val="000000" w:themeColor="text1"/>
        </w:rPr>
        <w:t>0</w:t>
      </w:r>
      <w:r w:rsidRPr="00434299">
        <w:rPr>
          <w:color w:val="000000" w:themeColor="text1"/>
        </w:rPr>
        <w:t xml:space="preserve">, </w:t>
      </w:r>
      <w:r w:rsidR="00571223" w:rsidRPr="00434299">
        <w:rPr>
          <w:color w:val="000000" w:themeColor="text1"/>
        </w:rPr>
        <w:t>New Zealand</w:t>
      </w:r>
    </w:p>
    <w:p w14:paraId="2C1C0892" w14:textId="56F3A8D4" w:rsidR="00082CD6" w:rsidRPr="00434299" w:rsidRDefault="00D863D0" w:rsidP="00082CD6">
      <w:pPr>
        <w:pStyle w:val="Imprint"/>
        <w:rPr>
          <w:color w:val="000000" w:themeColor="text1"/>
        </w:rPr>
      </w:pPr>
      <w:r w:rsidRPr="007F368B">
        <w:rPr>
          <w:color w:val="000000" w:themeColor="text1"/>
        </w:rPr>
        <w:t>ISBN</w:t>
      </w:r>
      <w:r w:rsidR="00442C1C" w:rsidRPr="007F368B">
        <w:rPr>
          <w:color w:val="000000" w:themeColor="text1"/>
        </w:rPr>
        <w:t xml:space="preserve"> </w:t>
      </w:r>
      <w:r w:rsidR="00361417" w:rsidRPr="003D6738">
        <w:rPr>
          <w:color w:val="000000" w:themeColor="text1"/>
        </w:rPr>
        <w:t>978-1-99-002958-5</w:t>
      </w:r>
      <w:r w:rsidR="00361417" w:rsidRPr="007F368B">
        <w:rPr>
          <w:color w:val="000000" w:themeColor="text1"/>
        </w:rPr>
        <w:t xml:space="preserve"> </w:t>
      </w:r>
      <w:r w:rsidRPr="007F368B">
        <w:rPr>
          <w:color w:val="000000" w:themeColor="text1"/>
        </w:rPr>
        <w:t>(</w:t>
      </w:r>
      <w:r w:rsidR="00442C1C" w:rsidRPr="007F368B">
        <w:rPr>
          <w:color w:val="000000" w:themeColor="text1"/>
        </w:rPr>
        <w:t>online</w:t>
      </w:r>
      <w:r w:rsidRPr="007F368B">
        <w:rPr>
          <w:color w:val="000000" w:themeColor="text1"/>
        </w:rPr>
        <w:t>)</w:t>
      </w:r>
      <w:r w:rsidR="00082CD6" w:rsidRPr="007F368B">
        <w:rPr>
          <w:color w:val="000000" w:themeColor="text1"/>
        </w:rPr>
        <w:br/>
        <w:t xml:space="preserve">HP </w:t>
      </w:r>
      <w:r w:rsidR="00FF65F8">
        <w:rPr>
          <w:color w:val="000000" w:themeColor="text1"/>
        </w:rPr>
        <w:t>7504</w:t>
      </w:r>
    </w:p>
    <w:p w14:paraId="4A818090" w14:textId="77777777" w:rsidR="00C86248" w:rsidRPr="00434299" w:rsidRDefault="008C64C4" w:rsidP="00A63DFF">
      <w:pPr>
        <w:rPr>
          <w:color w:val="000000" w:themeColor="text1"/>
        </w:rPr>
      </w:pPr>
      <w:r w:rsidRPr="00434299">
        <w:rPr>
          <w:noProof/>
          <w:color w:val="000000" w:themeColor="text1"/>
          <w:lang w:eastAsia="en-NZ"/>
        </w:rPr>
        <w:drawing>
          <wp:inline distT="0" distB="0" distL="0" distR="0" wp14:anchorId="69E523DB" wp14:editId="169D7775">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652DDEA4" w14:textId="77777777" w:rsidR="00A63DFF" w:rsidRPr="00434299" w:rsidRDefault="00A63DFF" w:rsidP="00A63DFF">
      <w:pPr>
        <w:pStyle w:val="Imprint"/>
        <w:spacing w:before="240" w:after="480"/>
        <w:rPr>
          <w:color w:val="000000" w:themeColor="text1"/>
        </w:rPr>
      </w:pPr>
      <w:r w:rsidRPr="00434299">
        <w:rPr>
          <w:color w:val="000000" w:themeColor="text1"/>
        </w:rP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D15FDE" w:rsidRPr="00434299" w14:paraId="25918064" w14:textId="77777777" w:rsidTr="00A63DFF">
        <w:trPr>
          <w:cantSplit/>
        </w:trPr>
        <w:tc>
          <w:tcPr>
            <w:tcW w:w="1526" w:type="dxa"/>
          </w:tcPr>
          <w:p w14:paraId="2BC31A9D" w14:textId="77777777" w:rsidR="00A63DFF" w:rsidRPr="00434299" w:rsidRDefault="00A63DFF" w:rsidP="00A63DFF">
            <w:pPr>
              <w:rPr>
                <w:rFonts w:cs="Segoe UI"/>
                <w:color w:val="000000" w:themeColor="text1"/>
                <w:sz w:val="15"/>
                <w:szCs w:val="15"/>
              </w:rPr>
            </w:pPr>
            <w:r w:rsidRPr="00434299">
              <w:rPr>
                <w:rFonts w:cs="Segoe UI"/>
                <w:b/>
                <w:noProof/>
                <w:color w:val="000000" w:themeColor="text1"/>
                <w:sz w:val="15"/>
                <w:szCs w:val="15"/>
                <w:lang w:eastAsia="en-NZ"/>
              </w:rPr>
              <w:drawing>
                <wp:inline distT="0" distB="0" distL="0" distR="0" wp14:anchorId="31FC7063" wp14:editId="3C70583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6E0B520" w14:textId="77777777" w:rsidR="00A63DFF" w:rsidRPr="00434299" w:rsidRDefault="00A63DFF" w:rsidP="00A63DFF">
            <w:pPr>
              <w:rPr>
                <w:rFonts w:cs="Segoe UI"/>
                <w:color w:val="000000" w:themeColor="text1"/>
                <w:sz w:val="15"/>
                <w:szCs w:val="15"/>
              </w:rPr>
            </w:pPr>
            <w:r w:rsidRPr="00434299">
              <w:rPr>
                <w:rFonts w:cs="Segoe UI"/>
                <w:color w:val="000000" w:themeColor="text1"/>
                <w:sz w:val="15"/>
                <w:szCs w:val="15"/>
              </w:rPr>
              <w:t xml:space="preserve">This work is licensed under the Creative Commons Attribution 4.0 International licence. In essence, </w:t>
            </w:r>
            <w:r w:rsidRPr="00434299">
              <w:rPr>
                <w:rFonts w:cs="Segoe UI"/>
                <w:bCs/>
                <w:color w:val="000000" w:themeColor="text1"/>
                <w:sz w:val="15"/>
                <w:szCs w:val="15"/>
              </w:rPr>
              <w:t xml:space="preserve">you are free to: </w:t>
            </w:r>
            <w:r w:rsidRPr="00434299">
              <w:rPr>
                <w:rFonts w:cs="Segoe UI"/>
                <w:color w:val="000000" w:themeColor="text1"/>
                <w:sz w:val="15"/>
                <w:szCs w:val="15"/>
              </w:rPr>
              <w:t xml:space="preserve">share ie, copy and redistribute the material in any medium or format; adapt ie, remix, transform and build upon the material. </w:t>
            </w:r>
            <w:r w:rsidRPr="00434299">
              <w:rPr>
                <w:rFonts w:cs="Segoe UI"/>
                <w:bCs/>
                <w:color w:val="000000" w:themeColor="text1"/>
                <w:sz w:val="15"/>
                <w:szCs w:val="15"/>
              </w:rPr>
              <w:t>You must give appropriate credit, provide a link to the licence and indicate if changes were made.</w:t>
            </w:r>
          </w:p>
        </w:tc>
      </w:tr>
    </w:tbl>
    <w:p w14:paraId="59F7483B" w14:textId="77777777" w:rsidR="007E74F1" w:rsidRPr="00434299" w:rsidRDefault="007E74F1" w:rsidP="00A63DFF">
      <w:pPr>
        <w:rPr>
          <w:color w:val="000000" w:themeColor="text1"/>
        </w:rPr>
      </w:pPr>
    </w:p>
    <w:p w14:paraId="7E9AD958" w14:textId="77777777" w:rsidR="00C86248" w:rsidRPr="00434299" w:rsidRDefault="00C86248">
      <w:pPr>
        <w:jc w:val="center"/>
        <w:rPr>
          <w:color w:val="000000" w:themeColor="text1"/>
        </w:rPr>
        <w:sectPr w:rsidR="00C86248" w:rsidRPr="00434299" w:rsidSect="00C05132">
          <w:footerReference w:type="even" r:id="rId16"/>
          <w:footerReference w:type="default" r:id="rId17"/>
          <w:pgSz w:w="11907" w:h="16834" w:code="9"/>
          <w:pgMar w:top="1701" w:right="2268" w:bottom="1134" w:left="2268" w:header="0" w:footer="0" w:gutter="0"/>
          <w:cols w:space="720"/>
          <w:vAlign w:val="bottom"/>
        </w:sectPr>
      </w:pPr>
    </w:p>
    <w:p w14:paraId="159103FA" w14:textId="77777777" w:rsidR="00C86248" w:rsidRPr="005026EE" w:rsidRDefault="00C86248" w:rsidP="00EB06C1">
      <w:pPr>
        <w:pStyle w:val="IntroHead"/>
        <w:keepNext/>
        <w:pageBreakBefore w:val="0"/>
      </w:pPr>
      <w:bookmarkStart w:id="0" w:name="_Toc405792991"/>
      <w:bookmarkStart w:id="1" w:name="_Toc405793224"/>
      <w:r w:rsidRPr="00EB06C1">
        <w:lastRenderedPageBreak/>
        <w:t>Contents</w:t>
      </w:r>
      <w:bookmarkEnd w:id="0"/>
      <w:bookmarkEnd w:id="1"/>
    </w:p>
    <w:p w14:paraId="346F57C3" w14:textId="26D95332" w:rsidR="00C46B46" w:rsidRDefault="00337885">
      <w:pPr>
        <w:pStyle w:val="TOC1"/>
        <w:rPr>
          <w:rFonts w:asciiTheme="minorHAnsi" w:eastAsiaTheme="minorEastAsia" w:hAnsiTheme="minorHAnsi" w:cstheme="minorBidi"/>
          <w:noProof/>
          <w:sz w:val="22"/>
          <w:szCs w:val="22"/>
          <w:lang w:val="en-AU" w:eastAsia="en-AU"/>
        </w:rPr>
      </w:pPr>
      <w:r>
        <w:rPr>
          <w:b/>
          <w:color w:val="000000" w:themeColor="text1"/>
        </w:rPr>
        <w:fldChar w:fldCharType="begin"/>
      </w:r>
      <w:r>
        <w:rPr>
          <w:b/>
          <w:color w:val="000000" w:themeColor="text1"/>
        </w:rPr>
        <w:instrText xml:space="preserve"> TOC \o "1-2" \h \z </w:instrText>
      </w:r>
      <w:r>
        <w:rPr>
          <w:b/>
          <w:color w:val="000000" w:themeColor="text1"/>
        </w:rPr>
        <w:fldChar w:fldCharType="separate"/>
      </w:r>
      <w:hyperlink w:anchor="_Toc53471207" w:history="1">
        <w:r w:rsidR="00C46B46" w:rsidRPr="00EB3FDE">
          <w:rPr>
            <w:rStyle w:val="Hyperlink"/>
            <w:noProof/>
          </w:rPr>
          <w:t>Summary</w:t>
        </w:r>
        <w:r w:rsidR="00C46B46">
          <w:rPr>
            <w:noProof/>
            <w:webHidden/>
          </w:rPr>
          <w:tab/>
        </w:r>
        <w:r w:rsidR="00C46B46">
          <w:rPr>
            <w:noProof/>
            <w:webHidden/>
          </w:rPr>
          <w:fldChar w:fldCharType="begin"/>
        </w:r>
        <w:r w:rsidR="00C46B46">
          <w:rPr>
            <w:noProof/>
            <w:webHidden/>
          </w:rPr>
          <w:instrText xml:space="preserve"> PAGEREF _Toc53471207 \h </w:instrText>
        </w:r>
        <w:r w:rsidR="00C46B46">
          <w:rPr>
            <w:noProof/>
            <w:webHidden/>
          </w:rPr>
        </w:r>
        <w:r w:rsidR="00C46B46">
          <w:rPr>
            <w:noProof/>
            <w:webHidden/>
          </w:rPr>
          <w:fldChar w:fldCharType="separate"/>
        </w:r>
        <w:r w:rsidR="00CF2713">
          <w:rPr>
            <w:noProof/>
            <w:webHidden/>
          </w:rPr>
          <w:t>iii</w:t>
        </w:r>
        <w:r w:rsidR="00C46B46">
          <w:rPr>
            <w:noProof/>
            <w:webHidden/>
          </w:rPr>
          <w:fldChar w:fldCharType="end"/>
        </w:r>
      </w:hyperlink>
    </w:p>
    <w:p w14:paraId="2E869541" w14:textId="2FB79E38" w:rsidR="00C46B46" w:rsidRDefault="00F11A59">
      <w:pPr>
        <w:pStyle w:val="TOC2"/>
        <w:rPr>
          <w:rFonts w:asciiTheme="minorHAnsi" w:eastAsiaTheme="minorEastAsia" w:hAnsiTheme="minorHAnsi" w:cstheme="minorBidi"/>
          <w:noProof/>
          <w:szCs w:val="22"/>
          <w:lang w:val="en-AU" w:eastAsia="en-AU"/>
        </w:rPr>
      </w:pPr>
      <w:hyperlink w:anchor="_Toc53471208" w:history="1">
        <w:r w:rsidR="00C46B46" w:rsidRPr="00EB3FDE">
          <w:rPr>
            <w:rStyle w:val="Hyperlink"/>
            <w:noProof/>
          </w:rPr>
          <w:t>Background and data</w:t>
        </w:r>
        <w:r w:rsidR="00C46B46">
          <w:rPr>
            <w:noProof/>
            <w:webHidden/>
          </w:rPr>
          <w:tab/>
        </w:r>
        <w:r w:rsidR="00C46B46">
          <w:rPr>
            <w:noProof/>
            <w:webHidden/>
          </w:rPr>
          <w:fldChar w:fldCharType="begin"/>
        </w:r>
        <w:r w:rsidR="00C46B46">
          <w:rPr>
            <w:noProof/>
            <w:webHidden/>
          </w:rPr>
          <w:instrText xml:space="preserve"> PAGEREF _Toc53471208 \h </w:instrText>
        </w:r>
        <w:r w:rsidR="00C46B46">
          <w:rPr>
            <w:noProof/>
            <w:webHidden/>
          </w:rPr>
        </w:r>
        <w:r w:rsidR="00C46B46">
          <w:rPr>
            <w:noProof/>
            <w:webHidden/>
          </w:rPr>
          <w:fldChar w:fldCharType="separate"/>
        </w:r>
        <w:r w:rsidR="00CF2713">
          <w:rPr>
            <w:noProof/>
            <w:webHidden/>
          </w:rPr>
          <w:t>1</w:t>
        </w:r>
        <w:r w:rsidR="00C46B46">
          <w:rPr>
            <w:noProof/>
            <w:webHidden/>
          </w:rPr>
          <w:fldChar w:fldCharType="end"/>
        </w:r>
      </w:hyperlink>
    </w:p>
    <w:p w14:paraId="7C18A80A" w14:textId="02184D84" w:rsidR="00C46B46" w:rsidRDefault="00F11A59">
      <w:pPr>
        <w:pStyle w:val="TOC2"/>
        <w:rPr>
          <w:rFonts w:asciiTheme="minorHAnsi" w:eastAsiaTheme="minorEastAsia" w:hAnsiTheme="minorHAnsi" w:cstheme="minorBidi"/>
          <w:noProof/>
          <w:szCs w:val="22"/>
          <w:lang w:val="en-AU" w:eastAsia="en-AU"/>
        </w:rPr>
      </w:pPr>
      <w:hyperlink w:anchor="_Toc53471209" w:history="1">
        <w:r w:rsidR="00C46B46" w:rsidRPr="00EB3FDE">
          <w:rPr>
            <w:rStyle w:val="Hyperlink"/>
            <w:noProof/>
          </w:rPr>
          <w:t>Summary of results</w:t>
        </w:r>
        <w:r w:rsidR="00C46B46">
          <w:rPr>
            <w:noProof/>
            <w:webHidden/>
          </w:rPr>
          <w:tab/>
        </w:r>
        <w:r w:rsidR="00C46B46">
          <w:rPr>
            <w:noProof/>
            <w:webHidden/>
          </w:rPr>
          <w:fldChar w:fldCharType="begin"/>
        </w:r>
        <w:r w:rsidR="00C46B46">
          <w:rPr>
            <w:noProof/>
            <w:webHidden/>
          </w:rPr>
          <w:instrText xml:space="preserve"> PAGEREF _Toc53471209 \h </w:instrText>
        </w:r>
        <w:r w:rsidR="00C46B46">
          <w:rPr>
            <w:noProof/>
            <w:webHidden/>
          </w:rPr>
        </w:r>
        <w:r w:rsidR="00C46B46">
          <w:rPr>
            <w:noProof/>
            <w:webHidden/>
          </w:rPr>
          <w:fldChar w:fldCharType="separate"/>
        </w:r>
        <w:r w:rsidR="00CF2713">
          <w:rPr>
            <w:noProof/>
            <w:webHidden/>
          </w:rPr>
          <w:t>1</w:t>
        </w:r>
        <w:r w:rsidR="00C46B46">
          <w:rPr>
            <w:noProof/>
            <w:webHidden/>
          </w:rPr>
          <w:fldChar w:fldCharType="end"/>
        </w:r>
      </w:hyperlink>
    </w:p>
    <w:p w14:paraId="58F38822" w14:textId="52D6FD97" w:rsidR="00C46B46" w:rsidRDefault="00F11A59">
      <w:pPr>
        <w:pStyle w:val="TOC1"/>
        <w:rPr>
          <w:rFonts w:asciiTheme="minorHAnsi" w:eastAsiaTheme="minorEastAsia" w:hAnsiTheme="minorHAnsi" w:cstheme="minorBidi"/>
          <w:noProof/>
          <w:sz w:val="22"/>
          <w:szCs w:val="22"/>
          <w:lang w:val="en-AU" w:eastAsia="en-AU"/>
        </w:rPr>
      </w:pPr>
      <w:hyperlink w:anchor="_Toc53471210" w:history="1">
        <w:r w:rsidR="00C46B46" w:rsidRPr="00EB3FDE">
          <w:rPr>
            <w:rStyle w:val="Hyperlink"/>
            <w:noProof/>
          </w:rPr>
          <w:t>Introduction</w:t>
        </w:r>
        <w:r w:rsidR="00C46B46">
          <w:rPr>
            <w:noProof/>
            <w:webHidden/>
          </w:rPr>
          <w:tab/>
        </w:r>
        <w:r w:rsidR="00C46B46">
          <w:rPr>
            <w:noProof/>
            <w:webHidden/>
          </w:rPr>
          <w:fldChar w:fldCharType="begin"/>
        </w:r>
        <w:r w:rsidR="00C46B46">
          <w:rPr>
            <w:noProof/>
            <w:webHidden/>
          </w:rPr>
          <w:instrText xml:space="preserve"> PAGEREF _Toc53471210 \h </w:instrText>
        </w:r>
        <w:r w:rsidR="00C46B46">
          <w:rPr>
            <w:noProof/>
            <w:webHidden/>
          </w:rPr>
        </w:r>
        <w:r w:rsidR="00C46B46">
          <w:rPr>
            <w:noProof/>
            <w:webHidden/>
          </w:rPr>
          <w:fldChar w:fldCharType="separate"/>
        </w:r>
        <w:r w:rsidR="00CF2713">
          <w:rPr>
            <w:noProof/>
            <w:webHidden/>
          </w:rPr>
          <w:t>3</w:t>
        </w:r>
        <w:r w:rsidR="00C46B46">
          <w:rPr>
            <w:noProof/>
            <w:webHidden/>
          </w:rPr>
          <w:fldChar w:fldCharType="end"/>
        </w:r>
      </w:hyperlink>
    </w:p>
    <w:p w14:paraId="11BA6DFA" w14:textId="41607979" w:rsidR="00C46B46" w:rsidRDefault="00F11A59">
      <w:pPr>
        <w:pStyle w:val="TOC2"/>
        <w:rPr>
          <w:rFonts w:asciiTheme="minorHAnsi" w:eastAsiaTheme="minorEastAsia" w:hAnsiTheme="minorHAnsi" w:cstheme="minorBidi"/>
          <w:noProof/>
          <w:szCs w:val="22"/>
          <w:lang w:val="en-AU" w:eastAsia="en-AU"/>
        </w:rPr>
      </w:pPr>
      <w:hyperlink w:anchor="_Toc53471211" w:history="1">
        <w:r w:rsidR="00C46B46" w:rsidRPr="00EB3FDE">
          <w:rPr>
            <w:rStyle w:val="Hyperlink"/>
            <w:noProof/>
          </w:rPr>
          <w:t>Background</w:t>
        </w:r>
        <w:r w:rsidR="00C46B46">
          <w:rPr>
            <w:noProof/>
            <w:webHidden/>
          </w:rPr>
          <w:tab/>
        </w:r>
        <w:r w:rsidR="00C46B46">
          <w:rPr>
            <w:noProof/>
            <w:webHidden/>
          </w:rPr>
          <w:fldChar w:fldCharType="begin"/>
        </w:r>
        <w:r w:rsidR="00C46B46">
          <w:rPr>
            <w:noProof/>
            <w:webHidden/>
          </w:rPr>
          <w:instrText xml:space="preserve"> PAGEREF _Toc53471211 \h </w:instrText>
        </w:r>
        <w:r w:rsidR="00C46B46">
          <w:rPr>
            <w:noProof/>
            <w:webHidden/>
          </w:rPr>
        </w:r>
        <w:r w:rsidR="00C46B46">
          <w:rPr>
            <w:noProof/>
            <w:webHidden/>
          </w:rPr>
          <w:fldChar w:fldCharType="separate"/>
        </w:r>
        <w:r w:rsidR="00CF2713">
          <w:rPr>
            <w:noProof/>
            <w:webHidden/>
          </w:rPr>
          <w:t>3</w:t>
        </w:r>
        <w:r w:rsidR="00C46B46">
          <w:rPr>
            <w:noProof/>
            <w:webHidden/>
          </w:rPr>
          <w:fldChar w:fldCharType="end"/>
        </w:r>
      </w:hyperlink>
    </w:p>
    <w:p w14:paraId="3819B955" w14:textId="66353796" w:rsidR="00C46B46" w:rsidRDefault="00F11A59">
      <w:pPr>
        <w:pStyle w:val="TOC2"/>
        <w:rPr>
          <w:rFonts w:asciiTheme="minorHAnsi" w:eastAsiaTheme="minorEastAsia" w:hAnsiTheme="minorHAnsi" w:cstheme="minorBidi"/>
          <w:noProof/>
          <w:szCs w:val="22"/>
          <w:lang w:val="en-AU" w:eastAsia="en-AU"/>
        </w:rPr>
      </w:pPr>
      <w:hyperlink w:anchor="_Toc53471212" w:history="1">
        <w:r w:rsidR="00C46B46" w:rsidRPr="00EB3FDE">
          <w:rPr>
            <w:rStyle w:val="Hyperlink"/>
            <w:noProof/>
          </w:rPr>
          <w:t>Purpose of report</w:t>
        </w:r>
        <w:r w:rsidR="00C46B46">
          <w:rPr>
            <w:noProof/>
            <w:webHidden/>
          </w:rPr>
          <w:tab/>
        </w:r>
        <w:r w:rsidR="00C46B46">
          <w:rPr>
            <w:noProof/>
            <w:webHidden/>
          </w:rPr>
          <w:fldChar w:fldCharType="begin"/>
        </w:r>
        <w:r w:rsidR="00C46B46">
          <w:rPr>
            <w:noProof/>
            <w:webHidden/>
          </w:rPr>
          <w:instrText xml:space="preserve"> PAGEREF _Toc53471212 \h </w:instrText>
        </w:r>
        <w:r w:rsidR="00C46B46">
          <w:rPr>
            <w:noProof/>
            <w:webHidden/>
          </w:rPr>
        </w:r>
        <w:r w:rsidR="00C46B46">
          <w:rPr>
            <w:noProof/>
            <w:webHidden/>
          </w:rPr>
          <w:fldChar w:fldCharType="separate"/>
        </w:r>
        <w:r w:rsidR="00CF2713">
          <w:rPr>
            <w:noProof/>
            <w:webHidden/>
          </w:rPr>
          <w:t>3</w:t>
        </w:r>
        <w:r w:rsidR="00C46B46">
          <w:rPr>
            <w:noProof/>
            <w:webHidden/>
          </w:rPr>
          <w:fldChar w:fldCharType="end"/>
        </w:r>
      </w:hyperlink>
    </w:p>
    <w:p w14:paraId="4DE7BD7B" w14:textId="4B119BCA" w:rsidR="00C46B46" w:rsidRDefault="00F11A59">
      <w:pPr>
        <w:pStyle w:val="TOC2"/>
        <w:rPr>
          <w:rFonts w:asciiTheme="minorHAnsi" w:eastAsiaTheme="minorEastAsia" w:hAnsiTheme="minorHAnsi" w:cstheme="minorBidi"/>
          <w:noProof/>
          <w:szCs w:val="22"/>
          <w:lang w:val="en-AU" w:eastAsia="en-AU"/>
        </w:rPr>
      </w:pPr>
      <w:hyperlink w:anchor="_Toc53471213" w:history="1">
        <w:r w:rsidR="00C46B46" w:rsidRPr="00EB3FDE">
          <w:rPr>
            <w:rStyle w:val="Hyperlink"/>
            <w:noProof/>
          </w:rPr>
          <w:t>Data and analysis</w:t>
        </w:r>
        <w:r w:rsidR="00C46B46">
          <w:rPr>
            <w:noProof/>
            <w:webHidden/>
          </w:rPr>
          <w:tab/>
        </w:r>
        <w:r w:rsidR="00C46B46">
          <w:rPr>
            <w:noProof/>
            <w:webHidden/>
          </w:rPr>
          <w:fldChar w:fldCharType="begin"/>
        </w:r>
        <w:r w:rsidR="00C46B46">
          <w:rPr>
            <w:noProof/>
            <w:webHidden/>
          </w:rPr>
          <w:instrText xml:space="preserve"> PAGEREF _Toc53471213 \h </w:instrText>
        </w:r>
        <w:r w:rsidR="00C46B46">
          <w:rPr>
            <w:noProof/>
            <w:webHidden/>
          </w:rPr>
        </w:r>
        <w:r w:rsidR="00C46B46">
          <w:rPr>
            <w:noProof/>
            <w:webHidden/>
          </w:rPr>
          <w:fldChar w:fldCharType="separate"/>
        </w:r>
        <w:r w:rsidR="00CF2713">
          <w:rPr>
            <w:noProof/>
            <w:webHidden/>
          </w:rPr>
          <w:t>3</w:t>
        </w:r>
        <w:r w:rsidR="00C46B46">
          <w:rPr>
            <w:noProof/>
            <w:webHidden/>
          </w:rPr>
          <w:fldChar w:fldCharType="end"/>
        </w:r>
      </w:hyperlink>
    </w:p>
    <w:p w14:paraId="4E5CFC16" w14:textId="736DAB77" w:rsidR="00C46B46" w:rsidRDefault="00F11A59">
      <w:pPr>
        <w:pStyle w:val="TOC2"/>
        <w:rPr>
          <w:rFonts w:asciiTheme="minorHAnsi" w:eastAsiaTheme="minorEastAsia" w:hAnsiTheme="minorHAnsi" w:cstheme="minorBidi"/>
          <w:noProof/>
          <w:szCs w:val="22"/>
          <w:lang w:val="en-AU" w:eastAsia="en-AU"/>
        </w:rPr>
      </w:pPr>
      <w:hyperlink w:anchor="_Toc53471214" w:history="1">
        <w:r w:rsidR="00C46B46" w:rsidRPr="00EB3FDE">
          <w:rPr>
            <w:rStyle w:val="Hyperlink"/>
            <w:noProof/>
          </w:rPr>
          <w:t>Key dates</w:t>
        </w:r>
        <w:r w:rsidR="00C46B46">
          <w:rPr>
            <w:noProof/>
            <w:webHidden/>
          </w:rPr>
          <w:tab/>
        </w:r>
        <w:r w:rsidR="00C46B46">
          <w:rPr>
            <w:noProof/>
            <w:webHidden/>
          </w:rPr>
          <w:fldChar w:fldCharType="begin"/>
        </w:r>
        <w:r w:rsidR="00C46B46">
          <w:rPr>
            <w:noProof/>
            <w:webHidden/>
          </w:rPr>
          <w:instrText xml:space="preserve"> PAGEREF _Toc53471214 \h </w:instrText>
        </w:r>
        <w:r w:rsidR="00C46B46">
          <w:rPr>
            <w:noProof/>
            <w:webHidden/>
          </w:rPr>
        </w:r>
        <w:r w:rsidR="00C46B46">
          <w:rPr>
            <w:noProof/>
            <w:webHidden/>
          </w:rPr>
          <w:fldChar w:fldCharType="separate"/>
        </w:r>
        <w:r w:rsidR="00CF2713">
          <w:rPr>
            <w:noProof/>
            <w:webHidden/>
          </w:rPr>
          <w:t>4</w:t>
        </w:r>
        <w:r w:rsidR="00C46B46">
          <w:rPr>
            <w:noProof/>
            <w:webHidden/>
          </w:rPr>
          <w:fldChar w:fldCharType="end"/>
        </w:r>
      </w:hyperlink>
    </w:p>
    <w:p w14:paraId="603FC11D" w14:textId="354C2374" w:rsidR="00C46B46" w:rsidRDefault="00F11A59">
      <w:pPr>
        <w:pStyle w:val="TOC1"/>
        <w:rPr>
          <w:rFonts w:asciiTheme="minorHAnsi" w:eastAsiaTheme="minorEastAsia" w:hAnsiTheme="minorHAnsi" w:cstheme="minorBidi"/>
          <w:noProof/>
          <w:sz w:val="22"/>
          <w:szCs w:val="22"/>
          <w:lang w:val="en-AU" w:eastAsia="en-AU"/>
        </w:rPr>
      </w:pPr>
      <w:hyperlink w:anchor="_Toc53471215" w:history="1">
        <w:r w:rsidR="00C46B46" w:rsidRPr="00EB3FDE">
          <w:rPr>
            <w:rStyle w:val="Hyperlink"/>
            <w:noProof/>
          </w:rPr>
          <w:t>Mortality</w:t>
        </w:r>
        <w:r w:rsidR="00C46B46">
          <w:rPr>
            <w:noProof/>
            <w:webHidden/>
          </w:rPr>
          <w:tab/>
        </w:r>
        <w:r w:rsidR="00C46B46">
          <w:rPr>
            <w:noProof/>
            <w:webHidden/>
          </w:rPr>
          <w:fldChar w:fldCharType="begin"/>
        </w:r>
        <w:r w:rsidR="00C46B46">
          <w:rPr>
            <w:noProof/>
            <w:webHidden/>
          </w:rPr>
          <w:instrText xml:space="preserve"> PAGEREF _Toc53471215 \h </w:instrText>
        </w:r>
        <w:r w:rsidR="00C46B46">
          <w:rPr>
            <w:noProof/>
            <w:webHidden/>
          </w:rPr>
        </w:r>
        <w:r w:rsidR="00C46B46">
          <w:rPr>
            <w:noProof/>
            <w:webHidden/>
          </w:rPr>
          <w:fldChar w:fldCharType="separate"/>
        </w:r>
        <w:r w:rsidR="00CF2713">
          <w:rPr>
            <w:noProof/>
            <w:webHidden/>
          </w:rPr>
          <w:t>5</w:t>
        </w:r>
        <w:r w:rsidR="00C46B46">
          <w:rPr>
            <w:noProof/>
            <w:webHidden/>
          </w:rPr>
          <w:fldChar w:fldCharType="end"/>
        </w:r>
      </w:hyperlink>
    </w:p>
    <w:p w14:paraId="08E06FAC" w14:textId="1B6391D1" w:rsidR="00C46B46" w:rsidRDefault="00F11A59">
      <w:pPr>
        <w:pStyle w:val="TOC2"/>
        <w:rPr>
          <w:rFonts w:asciiTheme="minorHAnsi" w:eastAsiaTheme="minorEastAsia" w:hAnsiTheme="minorHAnsi" w:cstheme="minorBidi"/>
          <w:noProof/>
          <w:szCs w:val="22"/>
          <w:lang w:val="en-AU" w:eastAsia="en-AU"/>
        </w:rPr>
      </w:pPr>
      <w:hyperlink w:anchor="_Toc53471216" w:history="1">
        <w:r w:rsidR="00C46B46" w:rsidRPr="00EB3FDE">
          <w:rPr>
            <w:rStyle w:val="Hyperlink"/>
            <w:noProof/>
          </w:rPr>
          <w:t>Notes on data</w:t>
        </w:r>
        <w:r w:rsidR="00C46B46">
          <w:rPr>
            <w:noProof/>
            <w:webHidden/>
          </w:rPr>
          <w:tab/>
        </w:r>
        <w:r w:rsidR="00C46B46">
          <w:rPr>
            <w:noProof/>
            <w:webHidden/>
          </w:rPr>
          <w:fldChar w:fldCharType="begin"/>
        </w:r>
        <w:r w:rsidR="00C46B46">
          <w:rPr>
            <w:noProof/>
            <w:webHidden/>
          </w:rPr>
          <w:instrText xml:space="preserve"> PAGEREF _Toc53471216 \h </w:instrText>
        </w:r>
        <w:r w:rsidR="00C46B46">
          <w:rPr>
            <w:noProof/>
            <w:webHidden/>
          </w:rPr>
        </w:r>
        <w:r w:rsidR="00C46B46">
          <w:rPr>
            <w:noProof/>
            <w:webHidden/>
          </w:rPr>
          <w:fldChar w:fldCharType="separate"/>
        </w:r>
        <w:r w:rsidR="00CF2713">
          <w:rPr>
            <w:noProof/>
            <w:webHidden/>
          </w:rPr>
          <w:t>5</w:t>
        </w:r>
        <w:r w:rsidR="00C46B46">
          <w:rPr>
            <w:noProof/>
            <w:webHidden/>
          </w:rPr>
          <w:fldChar w:fldCharType="end"/>
        </w:r>
      </w:hyperlink>
    </w:p>
    <w:p w14:paraId="2528CFCF" w14:textId="39369B5F" w:rsidR="00C46B46" w:rsidRDefault="00F11A59">
      <w:pPr>
        <w:pStyle w:val="TOC2"/>
        <w:rPr>
          <w:rFonts w:asciiTheme="minorHAnsi" w:eastAsiaTheme="minorEastAsia" w:hAnsiTheme="minorHAnsi" w:cstheme="minorBidi"/>
          <w:noProof/>
          <w:szCs w:val="22"/>
          <w:lang w:val="en-AU" w:eastAsia="en-AU"/>
        </w:rPr>
      </w:pPr>
      <w:hyperlink w:anchor="_Toc53471217" w:history="1">
        <w:r w:rsidR="00C46B46" w:rsidRPr="00EB3FDE">
          <w:rPr>
            <w:rStyle w:val="Hyperlink"/>
            <w:noProof/>
          </w:rPr>
          <w:t>Results</w:t>
        </w:r>
        <w:r w:rsidR="00C46B46">
          <w:rPr>
            <w:noProof/>
            <w:webHidden/>
          </w:rPr>
          <w:tab/>
        </w:r>
        <w:r w:rsidR="00C46B46">
          <w:rPr>
            <w:noProof/>
            <w:webHidden/>
          </w:rPr>
          <w:fldChar w:fldCharType="begin"/>
        </w:r>
        <w:r w:rsidR="00C46B46">
          <w:rPr>
            <w:noProof/>
            <w:webHidden/>
          </w:rPr>
          <w:instrText xml:space="preserve"> PAGEREF _Toc53471217 \h </w:instrText>
        </w:r>
        <w:r w:rsidR="00C46B46">
          <w:rPr>
            <w:noProof/>
            <w:webHidden/>
          </w:rPr>
        </w:r>
        <w:r w:rsidR="00C46B46">
          <w:rPr>
            <w:noProof/>
            <w:webHidden/>
          </w:rPr>
          <w:fldChar w:fldCharType="separate"/>
        </w:r>
        <w:r w:rsidR="00CF2713">
          <w:rPr>
            <w:noProof/>
            <w:webHidden/>
          </w:rPr>
          <w:t>5</w:t>
        </w:r>
        <w:r w:rsidR="00C46B46">
          <w:rPr>
            <w:noProof/>
            <w:webHidden/>
          </w:rPr>
          <w:fldChar w:fldCharType="end"/>
        </w:r>
      </w:hyperlink>
    </w:p>
    <w:p w14:paraId="29B90620" w14:textId="56C6CA6E" w:rsidR="00C46B46" w:rsidRDefault="00F11A59">
      <w:pPr>
        <w:pStyle w:val="TOC2"/>
        <w:rPr>
          <w:rFonts w:asciiTheme="minorHAnsi" w:eastAsiaTheme="minorEastAsia" w:hAnsiTheme="minorHAnsi" w:cstheme="minorBidi"/>
          <w:noProof/>
          <w:szCs w:val="22"/>
          <w:lang w:val="en-AU" w:eastAsia="en-AU"/>
        </w:rPr>
      </w:pPr>
      <w:hyperlink w:anchor="_Toc53471218" w:history="1">
        <w:r w:rsidR="00C46B46" w:rsidRPr="00EB3FDE">
          <w:rPr>
            <w:rStyle w:val="Hyperlink"/>
            <w:noProof/>
          </w:rPr>
          <w:t>Key points</w:t>
        </w:r>
        <w:r w:rsidR="00C46B46">
          <w:rPr>
            <w:noProof/>
            <w:webHidden/>
          </w:rPr>
          <w:tab/>
        </w:r>
        <w:r w:rsidR="00C46B46">
          <w:rPr>
            <w:noProof/>
            <w:webHidden/>
          </w:rPr>
          <w:fldChar w:fldCharType="begin"/>
        </w:r>
        <w:r w:rsidR="00C46B46">
          <w:rPr>
            <w:noProof/>
            <w:webHidden/>
          </w:rPr>
          <w:instrText xml:space="preserve"> PAGEREF _Toc53471218 \h </w:instrText>
        </w:r>
        <w:r w:rsidR="00C46B46">
          <w:rPr>
            <w:noProof/>
            <w:webHidden/>
          </w:rPr>
        </w:r>
        <w:r w:rsidR="00C46B46">
          <w:rPr>
            <w:noProof/>
            <w:webHidden/>
          </w:rPr>
          <w:fldChar w:fldCharType="separate"/>
        </w:r>
        <w:r w:rsidR="00CF2713">
          <w:rPr>
            <w:noProof/>
            <w:webHidden/>
          </w:rPr>
          <w:t>7</w:t>
        </w:r>
        <w:r w:rsidR="00C46B46">
          <w:rPr>
            <w:noProof/>
            <w:webHidden/>
          </w:rPr>
          <w:fldChar w:fldCharType="end"/>
        </w:r>
      </w:hyperlink>
    </w:p>
    <w:p w14:paraId="3A2CCFDE" w14:textId="6F0912B4" w:rsidR="00C46B46" w:rsidRDefault="00F11A59">
      <w:pPr>
        <w:pStyle w:val="TOC1"/>
        <w:rPr>
          <w:rFonts w:asciiTheme="minorHAnsi" w:eastAsiaTheme="minorEastAsia" w:hAnsiTheme="minorHAnsi" w:cstheme="minorBidi"/>
          <w:noProof/>
          <w:sz w:val="22"/>
          <w:szCs w:val="22"/>
          <w:lang w:val="en-AU" w:eastAsia="en-AU"/>
        </w:rPr>
      </w:pPr>
      <w:hyperlink w:anchor="_Toc53471219" w:history="1">
        <w:r w:rsidR="00C46B46" w:rsidRPr="00EB3FDE">
          <w:rPr>
            <w:rStyle w:val="Hyperlink"/>
            <w:noProof/>
          </w:rPr>
          <w:t>Primary care</w:t>
        </w:r>
        <w:r w:rsidR="00C46B46">
          <w:rPr>
            <w:noProof/>
            <w:webHidden/>
          </w:rPr>
          <w:tab/>
        </w:r>
        <w:r w:rsidR="00C46B46">
          <w:rPr>
            <w:noProof/>
            <w:webHidden/>
          </w:rPr>
          <w:fldChar w:fldCharType="begin"/>
        </w:r>
        <w:r w:rsidR="00C46B46">
          <w:rPr>
            <w:noProof/>
            <w:webHidden/>
          </w:rPr>
          <w:instrText xml:space="preserve"> PAGEREF _Toc53471219 \h </w:instrText>
        </w:r>
        <w:r w:rsidR="00C46B46">
          <w:rPr>
            <w:noProof/>
            <w:webHidden/>
          </w:rPr>
        </w:r>
        <w:r w:rsidR="00C46B46">
          <w:rPr>
            <w:noProof/>
            <w:webHidden/>
          </w:rPr>
          <w:fldChar w:fldCharType="separate"/>
        </w:r>
        <w:r w:rsidR="00CF2713">
          <w:rPr>
            <w:noProof/>
            <w:webHidden/>
          </w:rPr>
          <w:t>8</w:t>
        </w:r>
        <w:r w:rsidR="00C46B46">
          <w:rPr>
            <w:noProof/>
            <w:webHidden/>
          </w:rPr>
          <w:fldChar w:fldCharType="end"/>
        </w:r>
      </w:hyperlink>
    </w:p>
    <w:p w14:paraId="642F541C" w14:textId="369229C2" w:rsidR="00C46B46" w:rsidRDefault="00F11A59">
      <w:pPr>
        <w:pStyle w:val="TOC2"/>
        <w:rPr>
          <w:rFonts w:asciiTheme="minorHAnsi" w:eastAsiaTheme="minorEastAsia" w:hAnsiTheme="minorHAnsi" w:cstheme="minorBidi"/>
          <w:noProof/>
          <w:szCs w:val="22"/>
          <w:lang w:val="en-AU" w:eastAsia="en-AU"/>
        </w:rPr>
      </w:pPr>
      <w:hyperlink w:anchor="_Toc53471220" w:history="1">
        <w:r w:rsidR="00C46B46" w:rsidRPr="00EB3FDE">
          <w:rPr>
            <w:rStyle w:val="Hyperlink"/>
            <w:noProof/>
          </w:rPr>
          <w:t>Notes on data</w:t>
        </w:r>
        <w:r w:rsidR="00C46B46">
          <w:rPr>
            <w:noProof/>
            <w:webHidden/>
          </w:rPr>
          <w:tab/>
        </w:r>
        <w:r w:rsidR="00C46B46">
          <w:rPr>
            <w:noProof/>
            <w:webHidden/>
          </w:rPr>
          <w:fldChar w:fldCharType="begin"/>
        </w:r>
        <w:r w:rsidR="00C46B46">
          <w:rPr>
            <w:noProof/>
            <w:webHidden/>
          </w:rPr>
          <w:instrText xml:space="preserve"> PAGEREF _Toc53471220 \h </w:instrText>
        </w:r>
        <w:r w:rsidR="00C46B46">
          <w:rPr>
            <w:noProof/>
            <w:webHidden/>
          </w:rPr>
        </w:r>
        <w:r w:rsidR="00C46B46">
          <w:rPr>
            <w:noProof/>
            <w:webHidden/>
          </w:rPr>
          <w:fldChar w:fldCharType="separate"/>
        </w:r>
        <w:r w:rsidR="00CF2713">
          <w:rPr>
            <w:noProof/>
            <w:webHidden/>
          </w:rPr>
          <w:t>8</w:t>
        </w:r>
        <w:r w:rsidR="00C46B46">
          <w:rPr>
            <w:noProof/>
            <w:webHidden/>
          </w:rPr>
          <w:fldChar w:fldCharType="end"/>
        </w:r>
      </w:hyperlink>
    </w:p>
    <w:p w14:paraId="06BA958F" w14:textId="0A770132" w:rsidR="00C46B46" w:rsidRDefault="00F11A59">
      <w:pPr>
        <w:pStyle w:val="TOC2"/>
        <w:rPr>
          <w:rFonts w:asciiTheme="minorHAnsi" w:eastAsiaTheme="minorEastAsia" w:hAnsiTheme="minorHAnsi" w:cstheme="minorBidi"/>
          <w:noProof/>
          <w:szCs w:val="22"/>
          <w:lang w:val="en-AU" w:eastAsia="en-AU"/>
        </w:rPr>
      </w:pPr>
      <w:hyperlink w:anchor="_Toc53471221" w:history="1">
        <w:r w:rsidR="00C46B46" w:rsidRPr="00EB3FDE">
          <w:rPr>
            <w:rStyle w:val="Hyperlink"/>
            <w:noProof/>
          </w:rPr>
          <w:t>Results</w:t>
        </w:r>
        <w:r w:rsidR="00C46B46">
          <w:rPr>
            <w:noProof/>
            <w:webHidden/>
          </w:rPr>
          <w:tab/>
        </w:r>
        <w:r w:rsidR="00C46B46">
          <w:rPr>
            <w:noProof/>
            <w:webHidden/>
          </w:rPr>
          <w:fldChar w:fldCharType="begin"/>
        </w:r>
        <w:r w:rsidR="00C46B46">
          <w:rPr>
            <w:noProof/>
            <w:webHidden/>
          </w:rPr>
          <w:instrText xml:space="preserve"> PAGEREF _Toc53471221 \h </w:instrText>
        </w:r>
        <w:r w:rsidR="00C46B46">
          <w:rPr>
            <w:noProof/>
            <w:webHidden/>
          </w:rPr>
        </w:r>
        <w:r w:rsidR="00C46B46">
          <w:rPr>
            <w:noProof/>
            <w:webHidden/>
          </w:rPr>
          <w:fldChar w:fldCharType="separate"/>
        </w:r>
        <w:r w:rsidR="00CF2713">
          <w:rPr>
            <w:noProof/>
            <w:webHidden/>
          </w:rPr>
          <w:t>8</w:t>
        </w:r>
        <w:r w:rsidR="00C46B46">
          <w:rPr>
            <w:noProof/>
            <w:webHidden/>
          </w:rPr>
          <w:fldChar w:fldCharType="end"/>
        </w:r>
      </w:hyperlink>
    </w:p>
    <w:p w14:paraId="3F084B31" w14:textId="4449CB9A" w:rsidR="00C46B46" w:rsidRDefault="00F11A59">
      <w:pPr>
        <w:pStyle w:val="TOC2"/>
        <w:rPr>
          <w:rFonts w:asciiTheme="minorHAnsi" w:eastAsiaTheme="minorEastAsia" w:hAnsiTheme="minorHAnsi" w:cstheme="minorBidi"/>
          <w:noProof/>
          <w:szCs w:val="22"/>
          <w:lang w:val="en-AU" w:eastAsia="en-AU"/>
        </w:rPr>
      </w:pPr>
      <w:hyperlink w:anchor="_Toc53471222" w:history="1">
        <w:r w:rsidR="00C46B46" w:rsidRPr="00EB3FDE">
          <w:rPr>
            <w:rStyle w:val="Hyperlink"/>
            <w:noProof/>
          </w:rPr>
          <w:t>Key points</w:t>
        </w:r>
        <w:r w:rsidR="00C46B46">
          <w:rPr>
            <w:noProof/>
            <w:webHidden/>
          </w:rPr>
          <w:tab/>
        </w:r>
        <w:r w:rsidR="00C46B46">
          <w:rPr>
            <w:noProof/>
            <w:webHidden/>
          </w:rPr>
          <w:fldChar w:fldCharType="begin"/>
        </w:r>
        <w:r w:rsidR="00C46B46">
          <w:rPr>
            <w:noProof/>
            <w:webHidden/>
          </w:rPr>
          <w:instrText xml:space="preserve"> PAGEREF _Toc53471222 \h </w:instrText>
        </w:r>
        <w:r w:rsidR="00C46B46">
          <w:rPr>
            <w:noProof/>
            <w:webHidden/>
          </w:rPr>
        </w:r>
        <w:r w:rsidR="00C46B46">
          <w:rPr>
            <w:noProof/>
            <w:webHidden/>
          </w:rPr>
          <w:fldChar w:fldCharType="separate"/>
        </w:r>
        <w:r w:rsidR="00CF2713">
          <w:rPr>
            <w:noProof/>
            <w:webHidden/>
          </w:rPr>
          <w:t>10</w:t>
        </w:r>
        <w:r w:rsidR="00C46B46">
          <w:rPr>
            <w:noProof/>
            <w:webHidden/>
          </w:rPr>
          <w:fldChar w:fldCharType="end"/>
        </w:r>
      </w:hyperlink>
    </w:p>
    <w:p w14:paraId="3C397224" w14:textId="5A270D56" w:rsidR="00C46B46" w:rsidRDefault="00F11A59">
      <w:pPr>
        <w:pStyle w:val="TOC1"/>
        <w:rPr>
          <w:rFonts w:asciiTheme="minorHAnsi" w:eastAsiaTheme="minorEastAsia" w:hAnsiTheme="minorHAnsi" w:cstheme="minorBidi"/>
          <w:noProof/>
          <w:sz w:val="22"/>
          <w:szCs w:val="22"/>
          <w:lang w:val="en-AU" w:eastAsia="en-AU"/>
        </w:rPr>
      </w:pPr>
      <w:hyperlink w:anchor="_Toc53471223" w:history="1">
        <w:r w:rsidR="00C46B46" w:rsidRPr="00EB3FDE">
          <w:rPr>
            <w:rStyle w:val="Hyperlink"/>
            <w:noProof/>
          </w:rPr>
          <w:t>Overall hospital activity</w:t>
        </w:r>
        <w:r w:rsidR="00C46B46">
          <w:rPr>
            <w:noProof/>
            <w:webHidden/>
          </w:rPr>
          <w:tab/>
        </w:r>
        <w:r w:rsidR="00C46B46">
          <w:rPr>
            <w:noProof/>
            <w:webHidden/>
          </w:rPr>
          <w:fldChar w:fldCharType="begin"/>
        </w:r>
        <w:r w:rsidR="00C46B46">
          <w:rPr>
            <w:noProof/>
            <w:webHidden/>
          </w:rPr>
          <w:instrText xml:space="preserve"> PAGEREF _Toc53471223 \h </w:instrText>
        </w:r>
        <w:r w:rsidR="00C46B46">
          <w:rPr>
            <w:noProof/>
            <w:webHidden/>
          </w:rPr>
        </w:r>
        <w:r w:rsidR="00C46B46">
          <w:rPr>
            <w:noProof/>
            <w:webHidden/>
          </w:rPr>
          <w:fldChar w:fldCharType="separate"/>
        </w:r>
        <w:r w:rsidR="00CF2713">
          <w:rPr>
            <w:noProof/>
            <w:webHidden/>
          </w:rPr>
          <w:t>11</w:t>
        </w:r>
        <w:r w:rsidR="00C46B46">
          <w:rPr>
            <w:noProof/>
            <w:webHidden/>
          </w:rPr>
          <w:fldChar w:fldCharType="end"/>
        </w:r>
      </w:hyperlink>
    </w:p>
    <w:p w14:paraId="02DC92AB" w14:textId="18BF1284" w:rsidR="00C46B46" w:rsidRDefault="00F11A59">
      <w:pPr>
        <w:pStyle w:val="TOC2"/>
        <w:rPr>
          <w:rFonts w:asciiTheme="minorHAnsi" w:eastAsiaTheme="minorEastAsia" w:hAnsiTheme="minorHAnsi" w:cstheme="minorBidi"/>
          <w:noProof/>
          <w:szCs w:val="22"/>
          <w:lang w:val="en-AU" w:eastAsia="en-AU"/>
        </w:rPr>
      </w:pPr>
      <w:hyperlink w:anchor="_Toc53471224" w:history="1">
        <w:r w:rsidR="00C46B46" w:rsidRPr="00EB3FDE">
          <w:rPr>
            <w:rStyle w:val="Hyperlink"/>
            <w:noProof/>
          </w:rPr>
          <w:t>Notes on data</w:t>
        </w:r>
        <w:r w:rsidR="00C46B46">
          <w:rPr>
            <w:noProof/>
            <w:webHidden/>
          </w:rPr>
          <w:tab/>
        </w:r>
        <w:r w:rsidR="00C46B46">
          <w:rPr>
            <w:noProof/>
            <w:webHidden/>
          </w:rPr>
          <w:fldChar w:fldCharType="begin"/>
        </w:r>
        <w:r w:rsidR="00C46B46">
          <w:rPr>
            <w:noProof/>
            <w:webHidden/>
          </w:rPr>
          <w:instrText xml:space="preserve"> PAGEREF _Toc53471224 \h </w:instrText>
        </w:r>
        <w:r w:rsidR="00C46B46">
          <w:rPr>
            <w:noProof/>
            <w:webHidden/>
          </w:rPr>
        </w:r>
        <w:r w:rsidR="00C46B46">
          <w:rPr>
            <w:noProof/>
            <w:webHidden/>
          </w:rPr>
          <w:fldChar w:fldCharType="separate"/>
        </w:r>
        <w:r w:rsidR="00CF2713">
          <w:rPr>
            <w:noProof/>
            <w:webHidden/>
          </w:rPr>
          <w:t>11</w:t>
        </w:r>
        <w:r w:rsidR="00C46B46">
          <w:rPr>
            <w:noProof/>
            <w:webHidden/>
          </w:rPr>
          <w:fldChar w:fldCharType="end"/>
        </w:r>
      </w:hyperlink>
    </w:p>
    <w:p w14:paraId="62F35773" w14:textId="3502388E" w:rsidR="00C46B46" w:rsidRDefault="00F11A59">
      <w:pPr>
        <w:pStyle w:val="TOC2"/>
        <w:rPr>
          <w:rFonts w:asciiTheme="minorHAnsi" w:eastAsiaTheme="minorEastAsia" w:hAnsiTheme="minorHAnsi" w:cstheme="minorBidi"/>
          <w:noProof/>
          <w:szCs w:val="22"/>
          <w:lang w:val="en-AU" w:eastAsia="en-AU"/>
        </w:rPr>
      </w:pPr>
      <w:hyperlink w:anchor="_Toc53471225" w:history="1">
        <w:r w:rsidR="00C46B46" w:rsidRPr="00EB3FDE">
          <w:rPr>
            <w:rStyle w:val="Hyperlink"/>
            <w:noProof/>
          </w:rPr>
          <w:t>Results</w:t>
        </w:r>
        <w:r w:rsidR="00C46B46">
          <w:rPr>
            <w:noProof/>
            <w:webHidden/>
          </w:rPr>
          <w:tab/>
        </w:r>
        <w:r w:rsidR="00C46B46">
          <w:rPr>
            <w:noProof/>
            <w:webHidden/>
          </w:rPr>
          <w:fldChar w:fldCharType="begin"/>
        </w:r>
        <w:r w:rsidR="00C46B46">
          <w:rPr>
            <w:noProof/>
            <w:webHidden/>
          </w:rPr>
          <w:instrText xml:space="preserve"> PAGEREF _Toc53471225 \h </w:instrText>
        </w:r>
        <w:r w:rsidR="00C46B46">
          <w:rPr>
            <w:noProof/>
            <w:webHidden/>
          </w:rPr>
        </w:r>
        <w:r w:rsidR="00C46B46">
          <w:rPr>
            <w:noProof/>
            <w:webHidden/>
          </w:rPr>
          <w:fldChar w:fldCharType="separate"/>
        </w:r>
        <w:r w:rsidR="00CF2713">
          <w:rPr>
            <w:noProof/>
            <w:webHidden/>
          </w:rPr>
          <w:t>11</w:t>
        </w:r>
        <w:r w:rsidR="00C46B46">
          <w:rPr>
            <w:noProof/>
            <w:webHidden/>
          </w:rPr>
          <w:fldChar w:fldCharType="end"/>
        </w:r>
      </w:hyperlink>
    </w:p>
    <w:p w14:paraId="2C6ED2DD" w14:textId="1128E027" w:rsidR="00C46B46" w:rsidRDefault="00F11A59">
      <w:pPr>
        <w:pStyle w:val="TOC2"/>
        <w:rPr>
          <w:rFonts w:asciiTheme="minorHAnsi" w:eastAsiaTheme="minorEastAsia" w:hAnsiTheme="minorHAnsi" w:cstheme="minorBidi"/>
          <w:noProof/>
          <w:szCs w:val="22"/>
          <w:lang w:val="en-AU" w:eastAsia="en-AU"/>
        </w:rPr>
      </w:pPr>
      <w:hyperlink w:anchor="_Toc53471226" w:history="1">
        <w:r w:rsidR="00C46B46" w:rsidRPr="00EB3FDE">
          <w:rPr>
            <w:rStyle w:val="Hyperlink"/>
            <w:noProof/>
          </w:rPr>
          <w:t>Key points</w:t>
        </w:r>
        <w:r w:rsidR="00C46B46">
          <w:rPr>
            <w:noProof/>
            <w:webHidden/>
          </w:rPr>
          <w:tab/>
        </w:r>
        <w:r w:rsidR="00C46B46">
          <w:rPr>
            <w:noProof/>
            <w:webHidden/>
          </w:rPr>
          <w:fldChar w:fldCharType="begin"/>
        </w:r>
        <w:r w:rsidR="00C46B46">
          <w:rPr>
            <w:noProof/>
            <w:webHidden/>
          </w:rPr>
          <w:instrText xml:space="preserve"> PAGEREF _Toc53471226 \h </w:instrText>
        </w:r>
        <w:r w:rsidR="00C46B46">
          <w:rPr>
            <w:noProof/>
            <w:webHidden/>
          </w:rPr>
        </w:r>
        <w:r w:rsidR="00C46B46">
          <w:rPr>
            <w:noProof/>
            <w:webHidden/>
          </w:rPr>
          <w:fldChar w:fldCharType="separate"/>
        </w:r>
        <w:r w:rsidR="00CF2713">
          <w:rPr>
            <w:noProof/>
            <w:webHidden/>
          </w:rPr>
          <w:t>17</w:t>
        </w:r>
        <w:r w:rsidR="00C46B46">
          <w:rPr>
            <w:noProof/>
            <w:webHidden/>
          </w:rPr>
          <w:fldChar w:fldCharType="end"/>
        </w:r>
      </w:hyperlink>
    </w:p>
    <w:p w14:paraId="329C2AF9" w14:textId="79325CA5" w:rsidR="00C46B46" w:rsidRDefault="00F11A59">
      <w:pPr>
        <w:pStyle w:val="TOC1"/>
        <w:rPr>
          <w:rFonts w:asciiTheme="minorHAnsi" w:eastAsiaTheme="minorEastAsia" w:hAnsiTheme="minorHAnsi" w:cstheme="minorBidi"/>
          <w:noProof/>
          <w:sz w:val="22"/>
          <w:szCs w:val="22"/>
          <w:lang w:val="en-AU" w:eastAsia="en-AU"/>
        </w:rPr>
      </w:pPr>
      <w:hyperlink w:anchor="_Toc53471227" w:history="1">
        <w:r w:rsidR="00C46B46" w:rsidRPr="00EB3FDE">
          <w:rPr>
            <w:rStyle w:val="Hyperlink"/>
            <w:noProof/>
          </w:rPr>
          <w:t>Planned care</w:t>
        </w:r>
        <w:r w:rsidR="00C46B46">
          <w:rPr>
            <w:noProof/>
            <w:webHidden/>
          </w:rPr>
          <w:tab/>
        </w:r>
        <w:r w:rsidR="00C46B46">
          <w:rPr>
            <w:noProof/>
            <w:webHidden/>
          </w:rPr>
          <w:fldChar w:fldCharType="begin"/>
        </w:r>
        <w:r w:rsidR="00C46B46">
          <w:rPr>
            <w:noProof/>
            <w:webHidden/>
          </w:rPr>
          <w:instrText xml:space="preserve"> PAGEREF _Toc53471227 \h </w:instrText>
        </w:r>
        <w:r w:rsidR="00C46B46">
          <w:rPr>
            <w:noProof/>
            <w:webHidden/>
          </w:rPr>
        </w:r>
        <w:r w:rsidR="00C46B46">
          <w:rPr>
            <w:noProof/>
            <w:webHidden/>
          </w:rPr>
          <w:fldChar w:fldCharType="separate"/>
        </w:r>
        <w:r w:rsidR="00CF2713">
          <w:rPr>
            <w:noProof/>
            <w:webHidden/>
          </w:rPr>
          <w:t>18</w:t>
        </w:r>
        <w:r w:rsidR="00C46B46">
          <w:rPr>
            <w:noProof/>
            <w:webHidden/>
          </w:rPr>
          <w:fldChar w:fldCharType="end"/>
        </w:r>
      </w:hyperlink>
    </w:p>
    <w:p w14:paraId="2C295F43" w14:textId="085293CD" w:rsidR="00C46B46" w:rsidRDefault="00F11A59">
      <w:pPr>
        <w:pStyle w:val="TOC2"/>
        <w:rPr>
          <w:rFonts w:asciiTheme="minorHAnsi" w:eastAsiaTheme="minorEastAsia" w:hAnsiTheme="minorHAnsi" w:cstheme="minorBidi"/>
          <w:noProof/>
          <w:szCs w:val="22"/>
          <w:lang w:val="en-AU" w:eastAsia="en-AU"/>
        </w:rPr>
      </w:pPr>
      <w:hyperlink w:anchor="_Toc53471228" w:history="1">
        <w:r w:rsidR="00C46B46" w:rsidRPr="00EB3FDE">
          <w:rPr>
            <w:rStyle w:val="Hyperlink"/>
            <w:noProof/>
          </w:rPr>
          <w:t>Notes on data</w:t>
        </w:r>
        <w:r w:rsidR="00C46B46">
          <w:rPr>
            <w:noProof/>
            <w:webHidden/>
          </w:rPr>
          <w:tab/>
        </w:r>
        <w:r w:rsidR="00C46B46">
          <w:rPr>
            <w:noProof/>
            <w:webHidden/>
          </w:rPr>
          <w:fldChar w:fldCharType="begin"/>
        </w:r>
        <w:r w:rsidR="00C46B46">
          <w:rPr>
            <w:noProof/>
            <w:webHidden/>
          </w:rPr>
          <w:instrText xml:space="preserve"> PAGEREF _Toc53471228 \h </w:instrText>
        </w:r>
        <w:r w:rsidR="00C46B46">
          <w:rPr>
            <w:noProof/>
            <w:webHidden/>
          </w:rPr>
        </w:r>
        <w:r w:rsidR="00C46B46">
          <w:rPr>
            <w:noProof/>
            <w:webHidden/>
          </w:rPr>
          <w:fldChar w:fldCharType="separate"/>
        </w:r>
        <w:r w:rsidR="00CF2713">
          <w:rPr>
            <w:noProof/>
            <w:webHidden/>
          </w:rPr>
          <w:t>18</w:t>
        </w:r>
        <w:r w:rsidR="00C46B46">
          <w:rPr>
            <w:noProof/>
            <w:webHidden/>
          </w:rPr>
          <w:fldChar w:fldCharType="end"/>
        </w:r>
      </w:hyperlink>
    </w:p>
    <w:p w14:paraId="4A3847C9" w14:textId="17A2EC8C" w:rsidR="00C46B46" w:rsidRDefault="00F11A59">
      <w:pPr>
        <w:pStyle w:val="TOC2"/>
        <w:rPr>
          <w:rFonts w:asciiTheme="minorHAnsi" w:eastAsiaTheme="minorEastAsia" w:hAnsiTheme="minorHAnsi" w:cstheme="minorBidi"/>
          <w:noProof/>
          <w:szCs w:val="22"/>
          <w:lang w:val="en-AU" w:eastAsia="en-AU"/>
        </w:rPr>
      </w:pPr>
      <w:hyperlink w:anchor="_Toc53471229" w:history="1">
        <w:r w:rsidR="00C46B46" w:rsidRPr="00EB3FDE">
          <w:rPr>
            <w:rStyle w:val="Hyperlink"/>
            <w:noProof/>
          </w:rPr>
          <w:t>Results</w:t>
        </w:r>
        <w:r w:rsidR="00C46B46">
          <w:rPr>
            <w:noProof/>
            <w:webHidden/>
          </w:rPr>
          <w:tab/>
        </w:r>
        <w:r w:rsidR="00C46B46">
          <w:rPr>
            <w:noProof/>
            <w:webHidden/>
          </w:rPr>
          <w:fldChar w:fldCharType="begin"/>
        </w:r>
        <w:r w:rsidR="00C46B46">
          <w:rPr>
            <w:noProof/>
            <w:webHidden/>
          </w:rPr>
          <w:instrText xml:space="preserve"> PAGEREF _Toc53471229 \h </w:instrText>
        </w:r>
        <w:r w:rsidR="00C46B46">
          <w:rPr>
            <w:noProof/>
            <w:webHidden/>
          </w:rPr>
        </w:r>
        <w:r w:rsidR="00C46B46">
          <w:rPr>
            <w:noProof/>
            <w:webHidden/>
          </w:rPr>
          <w:fldChar w:fldCharType="separate"/>
        </w:r>
        <w:r w:rsidR="00CF2713">
          <w:rPr>
            <w:noProof/>
            <w:webHidden/>
          </w:rPr>
          <w:t>18</w:t>
        </w:r>
        <w:r w:rsidR="00C46B46">
          <w:rPr>
            <w:noProof/>
            <w:webHidden/>
          </w:rPr>
          <w:fldChar w:fldCharType="end"/>
        </w:r>
      </w:hyperlink>
    </w:p>
    <w:p w14:paraId="6C26B791" w14:textId="64003801" w:rsidR="00C46B46" w:rsidRDefault="00F11A59">
      <w:pPr>
        <w:pStyle w:val="TOC2"/>
        <w:rPr>
          <w:rFonts w:asciiTheme="minorHAnsi" w:eastAsiaTheme="minorEastAsia" w:hAnsiTheme="minorHAnsi" w:cstheme="minorBidi"/>
          <w:noProof/>
          <w:szCs w:val="22"/>
          <w:lang w:val="en-AU" w:eastAsia="en-AU"/>
        </w:rPr>
      </w:pPr>
      <w:hyperlink w:anchor="_Toc53471230" w:history="1">
        <w:r w:rsidR="00C46B46" w:rsidRPr="00EB3FDE">
          <w:rPr>
            <w:rStyle w:val="Hyperlink"/>
            <w:noProof/>
          </w:rPr>
          <w:t>Key points</w:t>
        </w:r>
        <w:r w:rsidR="00C46B46">
          <w:rPr>
            <w:noProof/>
            <w:webHidden/>
          </w:rPr>
          <w:tab/>
        </w:r>
        <w:r w:rsidR="00C46B46">
          <w:rPr>
            <w:noProof/>
            <w:webHidden/>
          </w:rPr>
          <w:fldChar w:fldCharType="begin"/>
        </w:r>
        <w:r w:rsidR="00C46B46">
          <w:rPr>
            <w:noProof/>
            <w:webHidden/>
          </w:rPr>
          <w:instrText xml:space="preserve"> PAGEREF _Toc53471230 \h </w:instrText>
        </w:r>
        <w:r w:rsidR="00C46B46">
          <w:rPr>
            <w:noProof/>
            <w:webHidden/>
          </w:rPr>
        </w:r>
        <w:r w:rsidR="00C46B46">
          <w:rPr>
            <w:noProof/>
            <w:webHidden/>
          </w:rPr>
          <w:fldChar w:fldCharType="separate"/>
        </w:r>
        <w:r w:rsidR="00CF2713">
          <w:rPr>
            <w:noProof/>
            <w:webHidden/>
          </w:rPr>
          <w:t>32</w:t>
        </w:r>
        <w:r w:rsidR="00C46B46">
          <w:rPr>
            <w:noProof/>
            <w:webHidden/>
          </w:rPr>
          <w:fldChar w:fldCharType="end"/>
        </w:r>
      </w:hyperlink>
    </w:p>
    <w:p w14:paraId="245D35CE" w14:textId="54205FBD" w:rsidR="00C46B46" w:rsidRDefault="00F11A59">
      <w:pPr>
        <w:pStyle w:val="TOC1"/>
        <w:rPr>
          <w:rFonts w:asciiTheme="minorHAnsi" w:eastAsiaTheme="minorEastAsia" w:hAnsiTheme="minorHAnsi" w:cstheme="minorBidi"/>
          <w:noProof/>
          <w:sz w:val="22"/>
          <w:szCs w:val="22"/>
          <w:lang w:val="en-AU" w:eastAsia="en-AU"/>
        </w:rPr>
      </w:pPr>
      <w:hyperlink w:anchor="_Toc53471231" w:history="1">
        <w:r w:rsidR="00C46B46" w:rsidRPr="00EB3FDE">
          <w:rPr>
            <w:rStyle w:val="Hyperlink"/>
            <w:noProof/>
          </w:rPr>
          <w:t>Unplanned care</w:t>
        </w:r>
        <w:r w:rsidR="00C46B46">
          <w:rPr>
            <w:noProof/>
            <w:webHidden/>
          </w:rPr>
          <w:tab/>
        </w:r>
        <w:r w:rsidR="00C46B46">
          <w:rPr>
            <w:noProof/>
            <w:webHidden/>
          </w:rPr>
          <w:fldChar w:fldCharType="begin"/>
        </w:r>
        <w:r w:rsidR="00C46B46">
          <w:rPr>
            <w:noProof/>
            <w:webHidden/>
          </w:rPr>
          <w:instrText xml:space="preserve"> PAGEREF _Toc53471231 \h </w:instrText>
        </w:r>
        <w:r w:rsidR="00C46B46">
          <w:rPr>
            <w:noProof/>
            <w:webHidden/>
          </w:rPr>
        </w:r>
        <w:r w:rsidR="00C46B46">
          <w:rPr>
            <w:noProof/>
            <w:webHidden/>
          </w:rPr>
          <w:fldChar w:fldCharType="separate"/>
        </w:r>
        <w:r w:rsidR="00CF2713">
          <w:rPr>
            <w:noProof/>
            <w:webHidden/>
          </w:rPr>
          <w:t>33</w:t>
        </w:r>
        <w:r w:rsidR="00C46B46">
          <w:rPr>
            <w:noProof/>
            <w:webHidden/>
          </w:rPr>
          <w:fldChar w:fldCharType="end"/>
        </w:r>
      </w:hyperlink>
    </w:p>
    <w:p w14:paraId="26E5EAB1" w14:textId="6E29E521" w:rsidR="00C46B46" w:rsidRDefault="00F11A59">
      <w:pPr>
        <w:pStyle w:val="TOC2"/>
        <w:rPr>
          <w:rFonts w:asciiTheme="minorHAnsi" w:eastAsiaTheme="minorEastAsia" w:hAnsiTheme="minorHAnsi" w:cstheme="minorBidi"/>
          <w:noProof/>
          <w:szCs w:val="22"/>
          <w:lang w:val="en-AU" w:eastAsia="en-AU"/>
        </w:rPr>
      </w:pPr>
      <w:hyperlink w:anchor="_Toc53471232" w:history="1">
        <w:r w:rsidR="00C46B46" w:rsidRPr="00EB3FDE">
          <w:rPr>
            <w:rStyle w:val="Hyperlink"/>
            <w:noProof/>
          </w:rPr>
          <w:t>Notes on data</w:t>
        </w:r>
        <w:r w:rsidR="00C46B46">
          <w:rPr>
            <w:noProof/>
            <w:webHidden/>
          </w:rPr>
          <w:tab/>
        </w:r>
        <w:r w:rsidR="00C46B46">
          <w:rPr>
            <w:noProof/>
            <w:webHidden/>
          </w:rPr>
          <w:fldChar w:fldCharType="begin"/>
        </w:r>
        <w:r w:rsidR="00C46B46">
          <w:rPr>
            <w:noProof/>
            <w:webHidden/>
          </w:rPr>
          <w:instrText xml:space="preserve"> PAGEREF _Toc53471232 \h </w:instrText>
        </w:r>
        <w:r w:rsidR="00C46B46">
          <w:rPr>
            <w:noProof/>
            <w:webHidden/>
          </w:rPr>
        </w:r>
        <w:r w:rsidR="00C46B46">
          <w:rPr>
            <w:noProof/>
            <w:webHidden/>
          </w:rPr>
          <w:fldChar w:fldCharType="separate"/>
        </w:r>
        <w:r w:rsidR="00CF2713">
          <w:rPr>
            <w:noProof/>
            <w:webHidden/>
          </w:rPr>
          <w:t>33</w:t>
        </w:r>
        <w:r w:rsidR="00C46B46">
          <w:rPr>
            <w:noProof/>
            <w:webHidden/>
          </w:rPr>
          <w:fldChar w:fldCharType="end"/>
        </w:r>
      </w:hyperlink>
    </w:p>
    <w:p w14:paraId="5D694D62" w14:textId="610AF119" w:rsidR="00C46B46" w:rsidRDefault="00F11A59">
      <w:pPr>
        <w:pStyle w:val="TOC2"/>
        <w:rPr>
          <w:rFonts w:asciiTheme="minorHAnsi" w:eastAsiaTheme="minorEastAsia" w:hAnsiTheme="minorHAnsi" w:cstheme="minorBidi"/>
          <w:noProof/>
          <w:szCs w:val="22"/>
          <w:lang w:val="en-AU" w:eastAsia="en-AU"/>
        </w:rPr>
      </w:pPr>
      <w:hyperlink w:anchor="_Toc53471233" w:history="1">
        <w:r w:rsidR="00C46B46" w:rsidRPr="00EB3FDE">
          <w:rPr>
            <w:rStyle w:val="Hyperlink"/>
            <w:noProof/>
          </w:rPr>
          <w:t>Results</w:t>
        </w:r>
        <w:r w:rsidR="00C46B46">
          <w:rPr>
            <w:noProof/>
            <w:webHidden/>
          </w:rPr>
          <w:tab/>
        </w:r>
        <w:r w:rsidR="00C46B46">
          <w:rPr>
            <w:noProof/>
            <w:webHidden/>
          </w:rPr>
          <w:fldChar w:fldCharType="begin"/>
        </w:r>
        <w:r w:rsidR="00C46B46">
          <w:rPr>
            <w:noProof/>
            <w:webHidden/>
          </w:rPr>
          <w:instrText xml:space="preserve"> PAGEREF _Toc53471233 \h </w:instrText>
        </w:r>
        <w:r w:rsidR="00C46B46">
          <w:rPr>
            <w:noProof/>
            <w:webHidden/>
          </w:rPr>
        </w:r>
        <w:r w:rsidR="00C46B46">
          <w:rPr>
            <w:noProof/>
            <w:webHidden/>
          </w:rPr>
          <w:fldChar w:fldCharType="separate"/>
        </w:r>
        <w:r w:rsidR="00CF2713">
          <w:rPr>
            <w:noProof/>
            <w:webHidden/>
          </w:rPr>
          <w:t>33</w:t>
        </w:r>
        <w:r w:rsidR="00C46B46">
          <w:rPr>
            <w:noProof/>
            <w:webHidden/>
          </w:rPr>
          <w:fldChar w:fldCharType="end"/>
        </w:r>
      </w:hyperlink>
    </w:p>
    <w:p w14:paraId="2BCA9493" w14:textId="0095837F" w:rsidR="00C46B46" w:rsidRDefault="00F11A59">
      <w:pPr>
        <w:pStyle w:val="TOC2"/>
        <w:rPr>
          <w:rFonts w:asciiTheme="minorHAnsi" w:eastAsiaTheme="minorEastAsia" w:hAnsiTheme="minorHAnsi" w:cstheme="minorBidi"/>
          <w:noProof/>
          <w:szCs w:val="22"/>
          <w:lang w:val="en-AU" w:eastAsia="en-AU"/>
        </w:rPr>
      </w:pPr>
      <w:hyperlink w:anchor="_Toc53471234" w:history="1">
        <w:r w:rsidR="00C46B46" w:rsidRPr="00EB3FDE">
          <w:rPr>
            <w:rStyle w:val="Hyperlink"/>
            <w:noProof/>
          </w:rPr>
          <w:t>Key points</w:t>
        </w:r>
        <w:r w:rsidR="00C46B46">
          <w:rPr>
            <w:noProof/>
            <w:webHidden/>
          </w:rPr>
          <w:tab/>
        </w:r>
        <w:r w:rsidR="00C46B46">
          <w:rPr>
            <w:noProof/>
            <w:webHidden/>
          </w:rPr>
          <w:fldChar w:fldCharType="begin"/>
        </w:r>
        <w:r w:rsidR="00C46B46">
          <w:rPr>
            <w:noProof/>
            <w:webHidden/>
          </w:rPr>
          <w:instrText xml:space="preserve"> PAGEREF _Toc53471234 \h </w:instrText>
        </w:r>
        <w:r w:rsidR="00C46B46">
          <w:rPr>
            <w:noProof/>
            <w:webHidden/>
          </w:rPr>
        </w:r>
        <w:r w:rsidR="00C46B46">
          <w:rPr>
            <w:noProof/>
            <w:webHidden/>
          </w:rPr>
          <w:fldChar w:fldCharType="separate"/>
        </w:r>
        <w:r w:rsidR="00CF2713">
          <w:rPr>
            <w:noProof/>
            <w:webHidden/>
          </w:rPr>
          <w:t>36</w:t>
        </w:r>
        <w:r w:rsidR="00C46B46">
          <w:rPr>
            <w:noProof/>
            <w:webHidden/>
          </w:rPr>
          <w:fldChar w:fldCharType="end"/>
        </w:r>
      </w:hyperlink>
    </w:p>
    <w:p w14:paraId="15B29B6E" w14:textId="41CCC896" w:rsidR="00C46B46" w:rsidRDefault="00F11A59">
      <w:pPr>
        <w:pStyle w:val="TOC1"/>
        <w:rPr>
          <w:rFonts w:asciiTheme="minorHAnsi" w:eastAsiaTheme="minorEastAsia" w:hAnsiTheme="minorHAnsi" w:cstheme="minorBidi"/>
          <w:noProof/>
          <w:sz w:val="22"/>
          <w:szCs w:val="22"/>
          <w:lang w:val="en-AU" w:eastAsia="en-AU"/>
        </w:rPr>
      </w:pPr>
      <w:hyperlink w:anchor="_Toc53471235" w:history="1">
        <w:r w:rsidR="00C46B46" w:rsidRPr="00EB3FDE">
          <w:rPr>
            <w:rStyle w:val="Hyperlink"/>
            <w:noProof/>
          </w:rPr>
          <w:t>Unmet need</w:t>
        </w:r>
        <w:r w:rsidR="00C46B46">
          <w:rPr>
            <w:noProof/>
            <w:webHidden/>
          </w:rPr>
          <w:tab/>
        </w:r>
        <w:r w:rsidR="00C46B46">
          <w:rPr>
            <w:noProof/>
            <w:webHidden/>
          </w:rPr>
          <w:fldChar w:fldCharType="begin"/>
        </w:r>
        <w:r w:rsidR="00C46B46">
          <w:rPr>
            <w:noProof/>
            <w:webHidden/>
          </w:rPr>
          <w:instrText xml:space="preserve"> PAGEREF _Toc53471235 \h </w:instrText>
        </w:r>
        <w:r w:rsidR="00C46B46">
          <w:rPr>
            <w:noProof/>
            <w:webHidden/>
          </w:rPr>
        </w:r>
        <w:r w:rsidR="00C46B46">
          <w:rPr>
            <w:noProof/>
            <w:webHidden/>
          </w:rPr>
          <w:fldChar w:fldCharType="separate"/>
        </w:r>
        <w:r w:rsidR="00CF2713">
          <w:rPr>
            <w:noProof/>
            <w:webHidden/>
          </w:rPr>
          <w:t>37</w:t>
        </w:r>
        <w:r w:rsidR="00C46B46">
          <w:rPr>
            <w:noProof/>
            <w:webHidden/>
          </w:rPr>
          <w:fldChar w:fldCharType="end"/>
        </w:r>
      </w:hyperlink>
    </w:p>
    <w:p w14:paraId="00017E24" w14:textId="447AEECF" w:rsidR="00C46B46" w:rsidRDefault="00F11A59">
      <w:pPr>
        <w:pStyle w:val="TOC2"/>
        <w:rPr>
          <w:rFonts w:asciiTheme="minorHAnsi" w:eastAsiaTheme="minorEastAsia" w:hAnsiTheme="minorHAnsi" w:cstheme="minorBidi"/>
          <w:noProof/>
          <w:szCs w:val="22"/>
          <w:lang w:val="en-AU" w:eastAsia="en-AU"/>
        </w:rPr>
      </w:pPr>
      <w:hyperlink w:anchor="_Toc53471236" w:history="1">
        <w:r w:rsidR="00C46B46" w:rsidRPr="00EB3FDE">
          <w:rPr>
            <w:rStyle w:val="Hyperlink"/>
            <w:noProof/>
          </w:rPr>
          <w:t>Notes on data</w:t>
        </w:r>
        <w:r w:rsidR="00C46B46">
          <w:rPr>
            <w:noProof/>
            <w:webHidden/>
          </w:rPr>
          <w:tab/>
        </w:r>
        <w:r w:rsidR="00C46B46">
          <w:rPr>
            <w:noProof/>
            <w:webHidden/>
          </w:rPr>
          <w:fldChar w:fldCharType="begin"/>
        </w:r>
        <w:r w:rsidR="00C46B46">
          <w:rPr>
            <w:noProof/>
            <w:webHidden/>
          </w:rPr>
          <w:instrText xml:space="preserve"> PAGEREF _Toc53471236 \h </w:instrText>
        </w:r>
        <w:r w:rsidR="00C46B46">
          <w:rPr>
            <w:noProof/>
            <w:webHidden/>
          </w:rPr>
        </w:r>
        <w:r w:rsidR="00C46B46">
          <w:rPr>
            <w:noProof/>
            <w:webHidden/>
          </w:rPr>
          <w:fldChar w:fldCharType="separate"/>
        </w:r>
        <w:r w:rsidR="00CF2713">
          <w:rPr>
            <w:noProof/>
            <w:webHidden/>
          </w:rPr>
          <w:t>37</w:t>
        </w:r>
        <w:r w:rsidR="00C46B46">
          <w:rPr>
            <w:noProof/>
            <w:webHidden/>
          </w:rPr>
          <w:fldChar w:fldCharType="end"/>
        </w:r>
      </w:hyperlink>
    </w:p>
    <w:p w14:paraId="5450E0E0" w14:textId="14E8D718" w:rsidR="00C46B46" w:rsidRDefault="00F11A59">
      <w:pPr>
        <w:pStyle w:val="TOC2"/>
        <w:rPr>
          <w:rFonts w:asciiTheme="minorHAnsi" w:eastAsiaTheme="minorEastAsia" w:hAnsiTheme="minorHAnsi" w:cstheme="minorBidi"/>
          <w:noProof/>
          <w:szCs w:val="22"/>
          <w:lang w:val="en-AU" w:eastAsia="en-AU"/>
        </w:rPr>
      </w:pPr>
      <w:hyperlink w:anchor="_Toc53471237" w:history="1">
        <w:r w:rsidR="00C46B46" w:rsidRPr="00EB3FDE">
          <w:rPr>
            <w:rStyle w:val="Hyperlink"/>
            <w:noProof/>
          </w:rPr>
          <w:t>Results</w:t>
        </w:r>
        <w:r w:rsidR="00C46B46">
          <w:rPr>
            <w:noProof/>
            <w:webHidden/>
          </w:rPr>
          <w:tab/>
        </w:r>
        <w:r w:rsidR="00C46B46">
          <w:rPr>
            <w:noProof/>
            <w:webHidden/>
          </w:rPr>
          <w:fldChar w:fldCharType="begin"/>
        </w:r>
        <w:r w:rsidR="00C46B46">
          <w:rPr>
            <w:noProof/>
            <w:webHidden/>
          </w:rPr>
          <w:instrText xml:space="preserve"> PAGEREF _Toc53471237 \h </w:instrText>
        </w:r>
        <w:r w:rsidR="00C46B46">
          <w:rPr>
            <w:noProof/>
            <w:webHidden/>
          </w:rPr>
        </w:r>
        <w:r w:rsidR="00C46B46">
          <w:rPr>
            <w:noProof/>
            <w:webHidden/>
          </w:rPr>
          <w:fldChar w:fldCharType="separate"/>
        </w:r>
        <w:r w:rsidR="00CF2713">
          <w:rPr>
            <w:noProof/>
            <w:webHidden/>
          </w:rPr>
          <w:t>37</w:t>
        </w:r>
        <w:r w:rsidR="00C46B46">
          <w:rPr>
            <w:noProof/>
            <w:webHidden/>
          </w:rPr>
          <w:fldChar w:fldCharType="end"/>
        </w:r>
      </w:hyperlink>
    </w:p>
    <w:p w14:paraId="3DCFDB40" w14:textId="159D1D4C" w:rsidR="00C46B46" w:rsidRDefault="00F11A59">
      <w:pPr>
        <w:pStyle w:val="TOC2"/>
        <w:rPr>
          <w:rFonts w:asciiTheme="minorHAnsi" w:eastAsiaTheme="minorEastAsia" w:hAnsiTheme="minorHAnsi" w:cstheme="minorBidi"/>
          <w:noProof/>
          <w:szCs w:val="22"/>
          <w:lang w:val="en-AU" w:eastAsia="en-AU"/>
        </w:rPr>
      </w:pPr>
      <w:hyperlink w:anchor="_Toc53471238" w:history="1">
        <w:r w:rsidR="00C46B46" w:rsidRPr="00EB3FDE">
          <w:rPr>
            <w:rStyle w:val="Hyperlink"/>
            <w:noProof/>
          </w:rPr>
          <w:t>Key points</w:t>
        </w:r>
        <w:r w:rsidR="00C46B46">
          <w:rPr>
            <w:noProof/>
            <w:webHidden/>
          </w:rPr>
          <w:tab/>
        </w:r>
        <w:r w:rsidR="00C46B46">
          <w:rPr>
            <w:noProof/>
            <w:webHidden/>
          </w:rPr>
          <w:fldChar w:fldCharType="begin"/>
        </w:r>
        <w:r w:rsidR="00C46B46">
          <w:rPr>
            <w:noProof/>
            <w:webHidden/>
          </w:rPr>
          <w:instrText xml:space="preserve"> PAGEREF _Toc53471238 \h </w:instrText>
        </w:r>
        <w:r w:rsidR="00C46B46">
          <w:rPr>
            <w:noProof/>
            <w:webHidden/>
          </w:rPr>
        </w:r>
        <w:r w:rsidR="00C46B46">
          <w:rPr>
            <w:noProof/>
            <w:webHidden/>
          </w:rPr>
          <w:fldChar w:fldCharType="separate"/>
        </w:r>
        <w:r w:rsidR="00CF2713">
          <w:rPr>
            <w:noProof/>
            <w:webHidden/>
          </w:rPr>
          <w:t>37</w:t>
        </w:r>
        <w:r w:rsidR="00C46B46">
          <w:rPr>
            <w:noProof/>
            <w:webHidden/>
          </w:rPr>
          <w:fldChar w:fldCharType="end"/>
        </w:r>
      </w:hyperlink>
    </w:p>
    <w:p w14:paraId="6A1B00D6" w14:textId="202A5BBA" w:rsidR="00C46B46" w:rsidRDefault="00F11A59">
      <w:pPr>
        <w:pStyle w:val="TOC1"/>
        <w:rPr>
          <w:rFonts w:asciiTheme="minorHAnsi" w:eastAsiaTheme="minorEastAsia" w:hAnsiTheme="minorHAnsi" w:cstheme="minorBidi"/>
          <w:noProof/>
          <w:sz w:val="22"/>
          <w:szCs w:val="22"/>
          <w:lang w:val="en-AU" w:eastAsia="en-AU"/>
        </w:rPr>
      </w:pPr>
      <w:hyperlink w:anchor="_Toc53471239" w:history="1">
        <w:r w:rsidR="00C46B46" w:rsidRPr="00EB3FDE">
          <w:rPr>
            <w:rStyle w:val="Hyperlink"/>
            <w:noProof/>
          </w:rPr>
          <w:t>Conclusions</w:t>
        </w:r>
        <w:r w:rsidR="00C46B46">
          <w:rPr>
            <w:noProof/>
            <w:webHidden/>
          </w:rPr>
          <w:tab/>
        </w:r>
        <w:r w:rsidR="00C46B46">
          <w:rPr>
            <w:noProof/>
            <w:webHidden/>
          </w:rPr>
          <w:fldChar w:fldCharType="begin"/>
        </w:r>
        <w:r w:rsidR="00C46B46">
          <w:rPr>
            <w:noProof/>
            <w:webHidden/>
          </w:rPr>
          <w:instrText xml:space="preserve"> PAGEREF _Toc53471239 \h </w:instrText>
        </w:r>
        <w:r w:rsidR="00C46B46">
          <w:rPr>
            <w:noProof/>
            <w:webHidden/>
          </w:rPr>
        </w:r>
        <w:r w:rsidR="00C46B46">
          <w:rPr>
            <w:noProof/>
            <w:webHidden/>
          </w:rPr>
          <w:fldChar w:fldCharType="separate"/>
        </w:r>
        <w:r w:rsidR="00CF2713">
          <w:rPr>
            <w:noProof/>
            <w:webHidden/>
          </w:rPr>
          <w:t>38</w:t>
        </w:r>
        <w:r w:rsidR="00C46B46">
          <w:rPr>
            <w:noProof/>
            <w:webHidden/>
          </w:rPr>
          <w:fldChar w:fldCharType="end"/>
        </w:r>
      </w:hyperlink>
    </w:p>
    <w:p w14:paraId="28FC02BC" w14:textId="6C393F12" w:rsidR="00C46B46" w:rsidRDefault="00F11A59">
      <w:pPr>
        <w:pStyle w:val="TOC1"/>
        <w:rPr>
          <w:rFonts w:asciiTheme="minorHAnsi" w:eastAsiaTheme="minorEastAsia" w:hAnsiTheme="minorHAnsi" w:cstheme="minorBidi"/>
          <w:noProof/>
          <w:sz w:val="22"/>
          <w:szCs w:val="22"/>
          <w:lang w:val="en-AU" w:eastAsia="en-AU"/>
        </w:rPr>
      </w:pPr>
      <w:hyperlink w:anchor="_Toc53471240" w:history="1">
        <w:r w:rsidR="00C46B46" w:rsidRPr="00EB3FDE">
          <w:rPr>
            <w:rStyle w:val="Hyperlink"/>
            <w:noProof/>
          </w:rPr>
          <w:t>Appendix 1:  Number of qualifying encounters per 1,000 enrolees by age group, 7 March to 12 July in 2019 and 2020</w:t>
        </w:r>
        <w:r w:rsidR="00C46B46">
          <w:rPr>
            <w:noProof/>
            <w:webHidden/>
          </w:rPr>
          <w:tab/>
        </w:r>
        <w:r w:rsidR="00C46B46">
          <w:rPr>
            <w:noProof/>
            <w:webHidden/>
          </w:rPr>
          <w:fldChar w:fldCharType="begin"/>
        </w:r>
        <w:r w:rsidR="00C46B46">
          <w:rPr>
            <w:noProof/>
            <w:webHidden/>
          </w:rPr>
          <w:instrText xml:space="preserve"> PAGEREF _Toc53471240 \h </w:instrText>
        </w:r>
        <w:r w:rsidR="00C46B46">
          <w:rPr>
            <w:noProof/>
            <w:webHidden/>
          </w:rPr>
        </w:r>
        <w:r w:rsidR="00C46B46">
          <w:rPr>
            <w:noProof/>
            <w:webHidden/>
          </w:rPr>
          <w:fldChar w:fldCharType="separate"/>
        </w:r>
        <w:r w:rsidR="00CF2713">
          <w:rPr>
            <w:noProof/>
            <w:webHidden/>
          </w:rPr>
          <w:t>39</w:t>
        </w:r>
        <w:r w:rsidR="00C46B46">
          <w:rPr>
            <w:noProof/>
            <w:webHidden/>
          </w:rPr>
          <w:fldChar w:fldCharType="end"/>
        </w:r>
      </w:hyperlink>
    </w:p>
    <w:p w14:paraId="6701BCD6" w14:textId="7D773D1D" w:rsidR="00C46B46" w:rsidRDefault="00F11A59">
      <w:pPr>
        <w:pStyle w:val="TOC1"/>
        <w:rPr>
          <w:rFonts w:asciiTheme="minorHAnsi" w:eastAsiaTheme="minorEastAsia" w:hAnsiTheme="minorHAnsi" w:cstheme="minorBidi"/>
          <w:noProof/>
          <w:sz w:val="22"/>
          <w:szCs w:val="22"/>
          <w:lang w:val="en-AU" w:eastAsia="en-AU"/>
        </w:rPr>
      </w:pPr>
      <w:hyperlink w:anchor="_Toc53471241" w:history="1">
        <w:r w:rsidR="00C46B46" w:rsidRPr="00EB3FDE">
          <w:rPr>
            <w:rStyle w:val="Hyperlink"/>
            <w:noProof/>
          </w:rPr>
          <w:t>Appendix 2:  Number of discharges year to date February, and by month from March to June 2018–2020</w:t>
        </w:r>
        <w:r w:rsidR="00C46B46">
          <w:rPr>
            <w:noProof/>
            <w:webHidden/>
          </w:rPr>
          <w:tab/>
        </w:r>
        <w:r w:rsidR="00C46B46">
          <w:rPr>
            <w:noProof/>
            <w:webHidden/>
          </w:rPr>
          <w:fldChar w:fldCharType="begin"/>
        </w:r>
        <w:r w:rsidR="00C46B46">
          <w:rPr>
            <w:noProof/>
            <w:webHidden/>
          </w:rPr>
          <w:instrText xml:space="preserve"> PAGEREF _Toc53471241 \h </w:instrText>
        </w:r>
        <w:r w:rsidR="00C46B46">
          <w:rPr>
            <w:noProof/>
            <w:webHidden/>
          </w:rPr>
        </w:r>
        <w:r w:rsidR="00C46B46">
          <w:rPr>
            <w:noProof/>
            <w:webHidden/>
          </w:rPr>
          <w:fldChar w:fldCharType="separate"/>
        </w:r>
        <w:r w:rsidR="00CF2713">
          <w:rPr>
            <w:noProof/>
            <w:webHidden/>
          </w:rPr>
          <w:t>41</w:t>
        </w:r>
        <w:r w:rsidR="00C46B46">
          <w:rPr>
            <w:noProof/>
            <w:webHidden/>
          </w:rPr>
          <w:fldChar w:fldCharType="end"/>
        </w:r>
      </w:hyperlink>
    </w:p>
    <w:p w14:paraId="48B65614" w14:textId="12CBEEC9" w:rsidR="00C46B46" w:rsidRDefault="00F11A59">
      <w:pPr>
        <w:pStyle w:val="TOC1"/>
        <w:rPr>
          <w:rFonts w:asciiTheme="minorHAnsi" w:eastAsiaTheme="minorEastAsia" w:hAnsiTheme="minorHAnsi" w:cstheme="minorBidi"/>
          <w:noProof/>
          <w:sz w:val="22"/>
          <w:szCs w:val="22"/>
          <w:lang w:val="en-AU" w:eastAsia="en-AU"/>
        </w:rPr>
      </w:pPr>
      <w:hyperlink w:anchor="_Toc53471242" w:history="1">
        <w:r w:rsidR="00C46B46" w:rsidRPr="00EB3FDE">
          <w:rPr>
            <w:rStyle w:val="Hyperlink"/>
            <w:noProof/>
          </w:rPr>
          <w:t>Appendix 3: Number of discharges by region, March to June 2018–2020</w:t>
        </w:r>
        <w:r w:rsidR="00C46B46">
          <w:rPr>
            <w:noProof/>
            <w:webHidden/>
          </w:rPr>
          <w:tab/>
        </w:r>
        <w:r w:rsidR="00C46B46">
          <w:rPr>
            <w:noProof/>
            <w:webHidden/>
          </w:rPr>
          <w:fldChar w:fldCharType="begin"/>
        </w:r>
        <w:r w:rsidR="00C46B46">
          <w:rPr>
            <w:noProof/>
            <w:webHidden/>
          </w:rPr>
          <w:instrText xml:space="preserve"> PAGEREF _Toc53471242 \h </w:instrText>
        </w:r>
        <w:r w:rsidR="00C46B46">
          <w:rPr>
            <w:noProof/>
            <w:webHidden/>
          </w:rPr>
        </w:r>
        <w:r w:rsidR="00C46B46">
          <w:rPr>
            <w:noProof/>
            <w:webHidden/>
          </w:rPr>
          <w:fldChar w:fldCharType="separate"/>
        </w:r>
        <w:r w:rsidR="00CF2713">
          <w:rPr>
            <w:noProof/>
            <w:webHidden/>
          </w:rPr>
          <w:t>44</w:t>
        </w:r>
        <w:r w:rsidR="00C46B46">
          <w:rPr>
            <w:noProof/>
            <w:webHidden/>
          </w:rPr>
          <w:fldChar w:fldCharType="end"/>
        </w:r>
      </w:hyperlink>
    </w:p>
    <w:p w14:paraId="16110C2B" w14:textId="3BB5F362" w:rsidR="00C46B46" w:rsidRDefault="00F11A59">
      <w:pPr>
        <w:pStyle w:val="TOC1"/>
        <w:rPr>
          <w:rFonts w:asciiTheme="minorHAnsi" w:eastAsiaTheme="minorEastAsia" w:hAnsiTheme="minorHAnsi" w:cstheme="minorBidi"/>
          <w:noProof/>
          <w:sz w:val="22"/>
          <w:szCs w:val="22"/>
          <w:lang w:val="en-AU" w:eastAsia="en-AU"/>
        </w:rPr>
      </w:pPr>
      <w:hyperlink w:anchor="_Toc53471243" w:history="1">
        <w:r w:rsidR="00C46B46" w:rsidRPr="00EB3FDE">
          <w:rPr>
            <w:rStyle w:val="Hyperlink"/>
            <w:noProof/>
          </w:rPr>
          <w:t>Appendix 4:  Number of case-weighted discharges year to date February, and by month from March to June 2018–2020</w:t>
        </w:r>
        <w:r w:rsidR="00C46B46">
          <w:rPr>
            <w:noProof/>
            <w:webHidden/>
          </w:rPr>
          <w:tab/>
        </w:r>
        <w:r w:rsidR="00C46B46">
          <w:rPr>
            <w:noProof/>
            <w:webHidden/>
          </w:rPr>
          <w:fldChar w:fldCharType="begin"/>
        </w:r>
        <w:r w:rsidR="00C46B46">
          <w:rPr>
            <w:noProof/>
            <w:webHidden/>
          </w:rPr>
          <w:instrText xml:space="preserve"> PAGEREF _Toc53471243 \h </w:instrText>
        </w:r>
        <w:r w:rsidR="00C46B46">
          <w:rPr>
            <w:noProof/>
            <w:webHidden/>
          </w:rPr>
        </w:r>
        <w:r w:rsidR="00C46B46">
          <w:rPr>
            <w:noProof/>
            <w:webHidden/>
          </w:rPr>
          <w:fldChar w:fldCharType="separate"/>
        </w:r>
        <w:r w:rsidR="00CF2713">
          <w:rPr>
            <w:noProof/>
            <w:webHidden/>
          </w:rPr>
          <w:t>45</w:t>
        </w:r>
        <w:r w:rsidR="00C46B46">
          <w:rPr>
            <w:noProof/>
            <w:webHidden/>
          </w:rPr>
          <w:fldChar w:fldCharType="end"/>
        </w:r>
      </w:hyperlink>
    </w:p>
    <w:p w14:paraId="270C8B5D" w14:textId="0A6756E1" w:rsidR="00C46B46" w:rsidRDefault="00F11A59">
      <w:pPr>
        <w:pStyle w:val="TOC1"/>
        <w:rPr>
          <w:rFonts w:asciiTheme="minorHAnsi" w:eastAsiaTheme="minorEastAsia" w:hAnsiTheme="minorHAnsi" w:cstheme="minorBidi"/>
          <w:noProof/>
          <w:sz w:val="22"/>
          <w:szCs w:val="22"/>
          <w:lang w:val="en-AU" w:eastAsia="en-AU"/>
        </w:rPr>
      </w:pPr>
      <w:hyperlink w:anchor="_Toc53471244" w:history="1">
        <w:r w:rsidR="00C46B46" w:rsidRPr="00EB3FDE">
          <w:rPr>
            <w:rStyle w:val="Hyperlink"/>
            <w:noProof/>
          </w:rPr>
          <w:t>Appendix 5:  Number of case-weighted discharges by region, March to June 2018–2020</w:t>
        </w:r>
        <w:r w:rsidR="00C46B46">
          <w:rPr>
            <w:noProof/>
            <w:webHidden/>
          </w:rPr>
          <w:tab/>
        </w:r>
        <w:r w:rsidR="00C46B46">
          <w:rPr>
            <w:noProof/>
            <w:webHidden/>
          </w:rPr>
          <w:fldChar w:fldCharType="begin"/>
        </w:r>
        <w:r w:rsidR="00C46B46">
          <w:rPr>
            <w:noProof/>
            <w:webHidden/>
          </w:rPr>
          <w:instrText xml:space="preserve"> PAGEREF _Toc53471244 \h </w:instrText>
        </w:r>
        <w:r w:rsidR="00C46B46">
          <w:rPr>
            <w:noProof/>
            <w:webHidden/>
          </w:rPr>
        </w:r>
        <w:r w:rsidR="00C46B46">
          <w:rPr>
            <w:noProof/>
            <w:webHidden/>
          </w:rPr>
          <w:fldChar w:fldCharType="separate"/>
        </w:r>
        <w:r w:rsidR="00CF2713">
          <w:rPr>
            <w:noProof/>
            <w:webHidden/>
          </w:rPr>
          <w:t>47</w:t>
        </w:r>
        <w:r w:rsidR="00C46B46">
          <w:rPr>
            <w:noProof/>
            <w:webHidden/>
          </w:rPr>
          <w:fldChar w:fldCharType="end"/>
        </w:r>
      </w:hyperlink>
    </w:p>
    <w:p w14:paraId="274B3C0A" w14:textId="7C9A29FD" w:rsidR="00C46B46" w:rsidRDefault="00F11A59">
      <w:pPr>
        <w:pStyle w:val="TOC1"/>
        <w:rPr>
          <w:rFonts w:asciiTheme="minorHAnsi" w:eastAsiaTheme="minorEastAsia" w:hAnsiTheme="minorHAnsi" w:cstheme="minorBidi"/>
          <w:noProof/>
          <w:sz w:val="22"/>
          <w:szCs w:val="22"/>
          <w:lang w:val="en-AU" w:eastAsia="en-AU"/>
        </w:rPr>
      </w:pPr>
      <w:hyperlink w:anchor="_Toc53471245" w:history="1">
        <w:r w:rsidR="00C46B46" w:rsidRPr="00EB3FDE">
          <w:rPr>
            <w:rStyle w:val="Hyperlink"/>
            <w:noProof/>
          </w:rPr>
          <w:t>Appendix 6:  Number of planned care interventions delivered by region, March to June 2018–2020</w:t>
        </w:r>
        <w:r w:rsidR="00C46B46">
          <w:rPr>
            <w:noProof/>
            <w:webHidden/>
          </w:rPr>
          <w:tab/>
        </w:r>
        <w:r w:rsidR="00C46B46">
          <w:rPr>
            <w:noProof/>
            <w:webHidden/>
          </w:rPr>
          <w:fldChar w:fldCharType="begin"/>
        </w:r>
        <w:r w:rsidR="00C46B46">
          <w:rPr>
            <w:noProof/>
            <w:webHidden/>
          </w:rPr>
          <w:instrText xml:space="preserve"> PAGEREF _Toc53471245 \h </w:instrText>
        </w:r>
        <w:r w:rsidR="00C46B46">
          <w:rPr>
            <w:noProof/>
            <w:webHidden/>
          </w:rPr>
        </w:r>
        <w:r w:rsidR="00C46B46">
          <w:rPr>
            <w:noProof/>
            <w:webHidden/>
          </w:rPr>
          <w:fldChar w:fldCharType="separate"/>
        </w:r>
        <w:r w:rsidR="00CF2713">
          <w:rPr>
            <w:noProof/>
            <w:webHidden/>
          </w:rPr>
          <w:t>48</w:t>
        </w:r>
        <w:r w:rsidR="00C46B46">
          <w:rPr>
            <w:noProof/>
            <w:webHidden/>
          </w:rPr>
          <w:fldChar w:fldCharType="end"/>
        </w:r>
      </w:hyperlink>
    </w:p>
    <w:p w14:paraId="0C4B0987" w14:textId="45F4D038" w:rsidR="00C46B46" w:rsidRDefault="00F11A59">
      <w:pPr>
        <w:pStyle w:val="TOC1"/>
        <w:rPr>
          <w:rFonts w:asciiTheme="minorHAnsi" w:eastAsiaTheme="minorEastAsia" w:hAnsiTheme="minorHAnsi" w:cstheme="minorBidi"/>
          <w:noProof/>
          <w:sz w:val="22"/>
          <w:szCs w:val="22"/>
          <w:lang w:val="en-AU" w:eastAsia="en-AU"/>
        </w:rPr>
      </w:pPr>
      <w:hyperlink w:anchor="_Toc53471246" w:history="1">
        <w:r w:rsidR="00C46B46" w:rsidRPr="00EB3FDE">
          <w:rPr>
            <w:rStyle w:val="Hyperlink"/>
            <w:bCs/>
            <w:noProof/>
          </w:rPr>
          <w:t>Appendix 7</w:t>
        </w:r>
        <w:r w:rsidR="00C46B46" w:rsidRPr="00EB3FDE">
          <w:rPr>
            <w:rStyle w:val="Hyperlink"/>
            <w:noProof/>
          </w:rPr>
          <w:t>:  Number of planned care intervention case-weighted discharges by region, March to June 2018–2020</w:t>
        </w:r>
        <w:r w:rsidR="00C46B46">
          <w:rPr>
            <w:noProof/>
            <w:webHidden/>
          </w:rPr>
          <w:tab/>
        </w:r>
        <w:r w:rsidR="00C46B46">
          <w:rPr>
            <w:noProof/>
            <w:webHidden/>
          </w:rPr>
          <w:fldChar w:fldCharType="begin"/>
        </w:r>
        <w:r w:rsidR="00C46B46">
          <w:rPr>
            <w:noProof/>
            <w:webHidden/>
          </w:rPr>
          <w:instrText xml:space="preserve"> PAGEREF _Toc53471246 \h </w:instrText>
        </w:r>
        <w:r w:rsidR="00C46B46">
          <w:rPr>
            <w:noProof/>
            <w:webHidden/>
          </w:rPr>
        </w:r>
        <w:r w:rsidR="00C46B46">
          <w:rPr>
            <w:noProof/>
            <w:webHidden/>
          </w:rPr>
          <w:fldChar w:fldCharType="separate"/>
        </w:r>
        <w:r w:rsidR="00CF2713">
          <w:rPr>
            <w:noProof/>
            <w:webHidden/>
          </w:rPr>
          <w:t>49</w:t>
        </w:r>
        <w:r w:rsidR="00C46B46">
          <w:rPr>
            <w:noProof/>
            <w:webHidden/>
          </w:rPr>
          <w:fldChar w:fldCharType="end"/>
        </w:r>
      </w:hyperlink>
    </w:p>
    <w:p w14:paraId="35B934DE" w14:textId="7281E15B" w:rsidR="00C46B46" w:rsidRDefault="00F11A59">
      <w:pPr>
        <w:pStyle w:val="TOC1"/>
        <w:rPr>
          <w:rFonts w:asciiTheme="minorHAnsi" w:eastAsiaTheme="minorEastAsia" w:hAnsiTheme="minorHAnsi" w:cstheme="minorBidi"/>
          <w:noProof/>
          <w:sz w:val="22"/>
          <w:szCs w:val="22"/>
          <w:lang w:val="en-AU" w:eastAsia="en-AU"/>
        </w:rPr>
      </w:pPr>
      <w:hyperlink w:anchor="_Toc53471247" w:history="1">
        <w:r w:rsidR="00C46B46" w:rsidRPr="00EB3FDE">
          <w:rPr>
            <w:rStyle w:val="Hyperlink"/>
            <w:noProof/>
          </w:rPr>
          <w:t>Appendix 8:  Number of first specialist assessments delivered by region, March to June 2018–2020</w:t>
        </w:r>
        <w:r w:rsidR="00C46B46">
          <w:rPr>
            <w:noProof/>
            <w:webHidden/>
          </w:rPr>
          <w:tab/>
        </w:r>
        <w:r w:rsidR="00C46B46">
          <w:rPr>
            <w:noProof/>
            <w:webHidden/>
          </w:rPr>
          <w:fldChar w:fldCharType="begin"/>
        </w:r>
        <w:r w:rsidR="00C46B46">
          <w:rPr>
            <w:noProof/>
            <w:webHidden/>
          </w:rPr>
          <w:instrText xml:space="preserve"> PAGEREF _Toc53471247 \h </w:instrText>
        </w:r>
        <w:r w:rsidR="00C46B46">
          <w:rPr>
            <w:noProof/>
            <w:webHidden/>
          </w:rPr>
        </w:r>
        <w:r w:rsidR="00C46B46">
          <w:rPr>
            <w:noProof/>
            <w:webHidden/>
          </w:rPr>
          <w:fldChar w:fldCharType="separate"/>
        </w:r>
        <w:r w:rsidR="00CF2713">
          <w:rPr>
            <w:noProof/>
            <w:webHidden/>
          </w:rPr>
          <w:t>50</w:t>
        </w:r>
        <w:r w:rsidR="00C46B46">
          <w:rPr>
            <w:noProof/>
            <w:webHidden/>
          </w:rPr>
          <w:fldChar w:fldCharType="end"/>
        </w:r>
      </w:hyperlink>
    </w:p>
    <w:p w14:paraId="1D2E04AA" w14:textId="12C7939C" w:rsidR="00C46B46" w:rsidRDefault="00F11A59">
      <w:pPr>
        <w:pStyle w:val="TOC1"/>
        <w:rPr>
          <w:rFonts w:asciiTheme="minorHAnsi" w:eastAsiaTheme="minorEastAsia" w:hAnsiTheme="minorHAnsi" w:cstheme="minorBidi"/>
          <w:noProof/>
          <w:sz w:val="22"/>
          <w:szCs w:val="22"/>
          <w:lang w:val="en-AU" w:eastAsia="en-AU"/>
        </w:rPr>
      </w:pPr>
      <w:hyperlink w:anchor="_Toc53471248" w:history="1">
        <w:r w:rsidR="00C46B46" w:rsidRPr="00EB3FDE">
          <w:rPr>
            <w:rStyle w:val="Hyperlink"/>
            <w:noProof/>
          </w:rPr>
          <w:t>Appendix 9:  Number of follow-up appointments delivered by region, March to June 2018–2020</w:t>
        </w:r>
        <w:r w:rsidR="00C46B46">
          <w:rPr>
            <w:noProof/>
            <w:webHidden/>
          </w:rPr>
          <w:tab/>
        </w:r>
        <w:r w:rsidR="00C46B46">
          <w:rPr>
            <w:noProof/>
            <w:webHidden/>
          </w:rPr>
          <w:fldChar w:fldCharType="begin"/>
        </w:r>
        <w:r w:rsidR="00C46B46">
          <w:rPr>
            <w:noProof/>
            <w:webHidden/>
          </w:rPr>
          <w:instrText xml:space="preserve"> PAGEREF _Toc53471248 \h </w:instrText>
        </w:r>
        <w:r w:rsidR="00C46B46">
          <w:rPr>
            <w:noProof/>
            <w:webHidden/>
          </w:rPr>
        </w:r>
        <w:r w:rsidR="00C46B46">
          <w:rPr>
            <w:noProof/>
            <w:webHidden/>
          </w:rPr>
          <w:fldChar w:fldCharType="separate"/>
        </w:r>
        <w:r w:rsidR="00CF2713">
          <w:rPr>
            <w:noProof/>
            <w:webHidden/>
          </w:rPr>
          <w:t>51</w:t>
        </w:r>
        <w:r w:rsidR="00C46B46">
          <w:rPr>
            <w:noProof/>
            <w:webHidden/>
          </w:rPr>
          <w:fldChar w:fldCharType="end"/>
        </w:r>
      </w:hyperlink>
    </w:p>
    <w:p w14:paraId="0975A356" w14:textId="156AB1F6" w:rsidR="00C46B46" w:rsidRDefault="00F11A59">
      <w:pPr>
        <w:pStyle w:val="TOC1"/>
        <w:rPr>
          <w:rFonts w:asciiTheme="minorHAnsi" w:eastAsiaTheme="minorEastAsia" w:hAnsiTheme="minorHAnsi" w:cstheme="minorBidi"/>
          <w:noProof/>
          <w:sz w:val="22"/>
          <w:szCs w:val="22"/>
          <w:lang w:val="en-AU" w:eastAsia="en-AU"/>
        </w:rPr>
      </w:pPr>
      <w:hyperlink w:anchor="_Toc53471249" w:history="1">
        <w:r w:rsidR="00C46B46" w:rsidRPr="00EB3FDE">
          <w:rPr>
            <w:rStyle w:val="Hyperlink"/>
            <w:noProof/>
          </w:rPr>
          <w:t>Appendix 10: Elective Services Patient Flow Indicator 2 (ESPI 2) by region, July 2019–June 2020</w:t>
        </w:r>
        <w:r w:rsidR="00C46B46">
          <w:rPr>
            <w:noProof/>
            <w:webHidden/>
          </w:rPr>
          <w:tab/>
        </w:r>
        <w:r w:rsidR="00C46B46">
          <w:rPr>
            <w:noProof/>
            <w:webHidden/>
          </w:rPr>
          <w:fldChar w:fldCharType="begin"/>
        </w:r>
        <w:r w:rsidR="00C46B46">
          <w:rPr>
            <w:noProof/>
            <w:webHidden/>
          </w:rPr>
          <w:instrText xml:space="preserve"> PAGEREF _Toc53471249 \h </w:instrText>
        </w:r>
        <w:r w:rsidR="00C46B46">
          <w:rPr>
            <w:noProof/>
            <w:webHidden/>
          </w:rPr>
        </w:r>
        <w:r w:rsidR="00C46B46">
          <w:rPr>
            <w:noProof/>
            <w:webHidden/>
          </w:rPr>
          <w:fldChar w:fldCharType="separate"/>
        </w:r>
        <w:r w:rsidR="00CF2713">
          <w:rPr>
            <w:noProof/>
            <w:webHidden/>
          </w:rPr>
          <w:t>52</w:t>
        </w:r>
        <w:r w:rsidR="00C46B46">
          <w:rPr>
            <w:noProof/>
            <w:webHidden/>
          </w:rPr>
          <w:fldChar w:fldCharType="end"/>
        </w:r>
      </w:hyperlink>
    </w:p>
    <w:p w14:paraId="0107C8DA" w14:textId="7F369426" w:rsidR="00C46B46" w:rsidRDefault="00F11A59">
      <w:pPr>
        <w:pStyle w:val="TOC1"/>
        <w:rPr>
          <w:rFonts w:asciiTheme="minorHAnsi" w:eastAsiaTheme="minorEastAsia" w:hAnsiTheme="minorHAnsi" w:cstheme="minorBidi"/>
          <w:noProof/>
          <w:sz w:val="22"/>
          <w:szCs w:val="22"/>
          <w:lang w:val="en-AU" w:eastAsia="en-AU"/>
        </w:rPr>
      </w:pPr>
      <w:hyperlink w:anchor="_Toc53471250" w:history="1">
        <w:r w:rsidR="00C46B46" w:rsidRPr="00EB3FDE">
          <w:rPr>
            <w:rStyle w:val="Hyperlink"/>
            <w:noProof/>
          </w:rPr>
          <w:t>Appendix 11:  Elective Services Patient Flow Indicator 5 (ESPI 5) by region, July 2019–June 2020</w:t>
        </w:r>
        <w:r w:rsidR="00C46B46">
          <w:rPr>
            <w:noProof/>
            <w:webHidden/>
          </w:rPr>
          <w:tab/>
        </w:r>
        <w:r w:rsidR="00C46B46">
          <w:rPr>
            <w:noProof/>
            <w:webHidden/>
          </w:rPr>
          <w:fldChar w:fldCharType="begin"/>
        </w:r>
        <w:r w:rsidR="00C46B46">
          <w:rPr>
            <w:noProof/>
            <w:webHidden/>
          </w:rPr>
          <w:instrText xml:space="preserve"> PAGEREF _Toc53471250 \h </w:instrText>
        </w:r>
        <w:r w:rsidR="00C46B46">
          <w:rPr>
            <w:noProof/>
            <w:webHidden/>
          </w:rPr>
        </w:r>
        <w:r w:rsidR="00C46B46">
          <w:rPr>
            <w:noProof/>
            <w:webHidden/>
          </w:rPr>
          <w:fldChar w:fldCharType="separate"/>
        </w:r>
        <w:r w:rsidR="00CF2713">
          <w:rPr>
            <w:noProof/>
            <w:webHidden/>
          </w:rPr>
          <w:t>53</w:t>
        </w:r>
        <w:r w:rsidR="00C46B46">
          <w:rPr>
            <w:noProof/>
            <w:webHidden/>
          </w:rPr>
          <w:fldChar w:fldCharType="end"/>
        </w:r>
      </w:hyperlink>
    </w:p>
    <w:p w14:paraId="22B105ED" w14:textId="51E8EAE2" w:rsidR="00C46B46" w:rsidRDefault="00F11A59">
      <w:pPr>
        <w:pStyle w:val="TOC1"/>
        <w:rPr>
          <w:rStyle w:val="Hyperlink"/>
          <w:noProof/>
        </w:rPr>
      </w:pPr>
      <w:hyperlink w:anchor="_Toc53471251" w:history="1">
        <w:r w:rsidR="00C46B46" w:rsidRPr="00EB3FDE">
          <w:rPr>
            <w:rStyle w:val="Hyperlink"/>
            <w:noProof/>
          </w:rPr>
          <w:t>Appendix 12:  Number of emergency department (ED) attendances by region, March to June 2018–2020</w:t>
        </w:r>
        <w:r w:rsidR="00C46B46">
          <w:rPr>
            <w:noProof/>
            <w:webHidden/>
          </w:rPr>
          <w:tab/>
        </w:r>
        <w:r w:rsidR="00C46B46">
          <w:rPr>
            <w:noProof/>
            <w:webHidden/>
          </w:rPr>
          <w:fldChar w:fldCharType="begin"/>
        </w:r>
        <w:r w:rsidR="00C46B46">
          <w:rPr>
            <w:noProof/>
            <w:webHidden/>
          </w:rPr>
          <w:instrText xml:space="preserve"> PAGEREF _Toc53471251 \h </w:instrText>
        </w:r>
        <w:r w:rsidR="00C46B46">
          <w:rPr>
            <w:noProof/>
            <w:webHidden/>
          </w:rPr>
        </w:r>
        <w:r w:rsidR="00C46B46">
          <w:rPr>
            <w:noProof/>
            <w:webHidden/>
          </w:rPr>
          <w:fldChar w:fldCharType="separate"/>
        </w:r>
        <w:r w:rsidR="00CF2713">
          <w:rPr>
            <w:noProof/>
            <w:webHidden/>
          </w:rPr>
          <w:t>54</w:t>
        </w:r>
        <w:r w:rsidR="00C46B46">
          <w:rPr>
            <w:noProof/>
            <w:webHidden/>
          </w:rPr>
          <w:fldChar w:fldCharType="end"/>
        </w:r>
      </w:hyperlink>
    </w:p>
    <w:p w14:paraId="21F81D92" w14:textId="46932994" w:rsidR="00C46B46" w:rsidRPr="00C46B46" w:rsidRDefault="00C46B46" w:rsidP="00C46B46">
      <w:pPr>
        <w:rPr>
          <w:noProof/>
          <w:lang w:val="en-AU" w:eastAsia="en-AU"/>
        </w:rPr>
      </w:pPr>
    </w:p>
    <w:p w14:paraId="05CD0315" w14:textId="77777777" w:rsidR="00C46B46" w:rsidRDefault="00C46B46" w:rsidP="00C46B46">
      <w:pPr>
        <w:tabs>
          <w:tab w:val="left" w:pos="817"/>
        </w:tabs>
        <w:rPr>
          <w:rStyle w:val="Hyperlink"/>
          <w:rFonts w:ascii="Segoe UI Semibold" w:hAnsi="Segoe UI Semibold"/>
          <w:noProof/>
          <w:sz w:val="24"/>
        </w:rPr>
        <w:sectPr w:rsidR="00C46B46" w:rsidSect="00C46B46">
          <w:headerReference w:type="default" r:id="rId18"/>
          <w:footerReference w:type="even" r:id="rId19"/>
          <w:pgSz w:w="11907" w:h="16834" w:code="9"/>
          <w:pgMar w:top="1418" w:right="1701" w:bottom="1418" w:left="1843" w:header="284" w:footer="709" w:gutter="284"/>
          <w:pgNumType w:fmt="lowerRoman" w:start="1"/>
          <w:cols w:space="720"/>
          <w:docGrid w:linePitch="286"/>
        </w:sectPr>
      </w:pPr>
      <w:r>
        <w:rPr>
          <w:rStyle w:val="Hyperlink"/>
          <w:rFonts w:ascii="Segoe UI Semibold" w:hAnsi="Segoe UI Semibold"/>
          <w:noProof/>
          <w:sz w:val="24"/>
        </w:rPr>
        <w:tab/>
      </w:r>
    </w:p>
    <w:p w14:paraId="69F2C9BB" w14:textId="77777777" w:rsidR="00A0537F" w:rsidRDefault="00337885" w:rsidP="00CE69D3">
      <w:r>
        <w:fldChar w:fldCharType="end"/>
      </w:r>
      <w:bookmarkStart w:id="2" w:name="_bookmark4"/>
      <w:bookmarkStart w:id="3" w:name="_Toc53471207"/>
      <w:bookmarkEnd w:id="2"/>
    </w:p>
    <w:p w14:paraId="6FD1A9B6" w14:textId="77777777" w:rsidR="00A0537F" w:rsidRDefault="00A0537F" w:rsidP="00CE69D3"/>
    <w:p w14:paraId="4D90A1EB" w14:textId="4CBCF9E5" w:rsidR="00A0537F" w:rsidRDefault="00A0537F" w:rsidP="00CE69D3">
      <w:pPr>
        <w:rPr>
          <w:b/>
          <w:sz w:val="24"/>
          <w:szCs w:val="24"/>
        </w:rPr>
      </w:pPr>
      <w:r>
        <w:rPr>
          <w:b/>
          <w:sz w:val="24"/>
          <w:szCs w:val="24"/>
        </w:rPr>
        <w:lastRenderedPageBreak/>
        <w:t>List of Tables</w:t>
      </w:r>
    </w:p>
    <w:p w14:paraId="08CBB41D" w14:textId="77777777" w:rsidR="00A0537F" w:rsidRDefault="00A0537F" w:rsidP="00CE69D3">
      <w:pPr>
        <w:rPr>
          <w:b/>
          <w:sz w:val="24"/>
          <w:szCs w:val="24"/>
        </w:rPr>
      </w:pPr>
    </w:p>
    <w:p w14:paraId="24EEB84B" w14:textId="01F6DC02" w:rsidR="00A0537F" w:rsidRDefault="00A0537F">
      <w:pPr>
        <w:pStyle w:val="TableofFigures"/>
        <w:tabs>
          <w:tab w:val="right" w:leader="dot" w:pos="8212"/>
        </w:tabs>
        <w:rPr>
          <w:rFonts w:asciiTheme="minorHAnsi" w:hAnsiTheme="minorHAnsi"/>
          <w:noProof/>
          <w:sz w:val="22"/>
          <w:szCs w:val="22"/>
          <w:lang w:val="en-AU" w:eastAsia="en-AU"/>
        </w:rPr>
      </w:pPr>
      <w:r>
        <w:rPr>
          <w:b/>
          <w:sz w:val="24"/>
          <w:szCs w:val="24"/>
        </w:rPr>
        <w:fldChar w:fldCharType="begin"/>
      </w:r>
      <w:r>
        <w:rPr>
          <w:b/>
          <w:sz w:val="24"/>
          <w:szCs w:val="24"/>
        </w:rPr>
        <w:instrText xml:space="preserve"> TOC \h \z \c "Table" </w:instrText>
      </w:r>
      <w:r>
        <w:rPr>
          <w:b/>
          <w:sz w:val="24"/>
          <w:szCs w:val="24"/>
        </w:rPr>
        <w:fldChar w:fldCharType="separate"/>
      </w:r>
      <w:hyperlink w:anchor="_Toc53585965" w:history="1">
        <w:r w:rsidRPr="007A263D">
          <w:rPr>
            <w:rStyle w:val="Hyperlink"/>
            <w:noProof/>
          </w:rPr>
          <w:t>Table 1: Death rate per 1,000 Disability Support Services clients across the period of March to May 2019 and 2020 (provisional)</w:t>
        </w:r>
        <w:r>
          <w:rPr>
            <w:noProof/>
            <w:webHidden/>
          </w:rPr>
          <w:tab/>
        </w:r>
        <w:r>
          <w:rPr>
            <w:noProof/>
            <w:webHidden/>
          </w:rPr>
          <w:fldChar w:fldCharType="begin"/>
        </w:r>
        <w:r>
          <w:rPr>
            <w:noProof/>
            <w:webHidden/>
          </w:rPr>
          <w:instrText xml:space="preserve"> PAGEREF _Toc53585965 \h </w:instrText>
        </w:r>
        <w:r>
          <w:rPr>
            <w:noProof/>
            <w:webHidden/>
          </w:rPr>
        </w:r>
        <w:r>
          <w:rPr>
            <w:noProof/>
            <w:webHidden/>
          </w:rPr>
          <w:fldChar w:fldCharType="separate"/>
        </w:r>
        <w:r w:rsidR="00CF2713">
          <w:rPr>
            <w:noProof/>
            <w:webHidden/>
          </w:rPr>
          <w:t>6</w:t>
        </w:r>
        <w:r>
          <w:rPr>
            <w:noProof/>
            <w:webHidden/>
          </w:rPr>
          <w:fldChar w:fldCharType="end"/>
        </w:r>
      </w:hyperlink>
    </w:p>
    <w:p w14:paraId="7520E019" w14:textId="49BF1314" w:rsidR="00A0537F" w:rsidRDefault="00F11A59">
      <w:pPr>
        <w:pStyle w:val="TableofFigures"/>
        <w:tabs>
          <w:tab w:val="right" w:leader="dot" w:pos="8212"/>
        </w:tabs>
        <w:rPr>
          <w:rFonts w:asciiTheme="minorHAnsi" w:hAnsiTheme="minorHAnsi"/>
          <w:noProof/>
          <w:sz w:val="22"/>
          <w:szCs w:val="22"/>
          <w:lang w:val="en-AU" w:eastAsia="en-AU"/>
        </w:rPr>
      </w:pPr>
      <w:hyperlink w:anchor="_Toc53585966" w:history="1">
        <w:r w:rsidR="00A0537F" w:rsidRPr="007A263D">
          <w:rPr>
            <w:rStyle w:val="Hyperlink"/>
            <w:noProof/>
          </w:rPr>
          <w:t>Table 2: Death rate per 1,000 Disability Support Services clients living in community residential services across the period of March to May 2019 and 2020 (provisional)</w:t>
        </w:r>
        <w:r w:rsidR="00A0537F">
          <w:rPr>
            <w:noProof/>
            <w:webHidden/>
          </w:rPr>
          <w:tab/>
        </w:r>
        <w:r w:rsidR="00A0537F">
          <w:rPr>
            <w:noProof/>
            <w:webHidden/>
          </w:rPr>
          <w:fldChar w:fldCharType="begin"/>
        </w:r>
        <w:r w:rsidR="00A0537F">
          <w:rPr>
            <w:noProof/>
            <w:webHidden/>
          </w:rPr>
          <w:instrText xml:space="preserve"> PAGEREF _Toc53585966 \h </w:instrText>
        </w:r>
        <w:r w:rsidR="00A0537F">
          <w:rPr>
            <w:noProof/>
            <w:webHidden/>
          </w:rPr>
        </w:r>
        <w:r w:rsidR="00A0537F">
          <w:rPr>
            <w:noProof/>
            <w:webHidden/>
          </w:rPr>
          <w:fldChar w:fldCharType="separate"/>
        </w:r>
        <w:r w:rsidR="00CF2713">
          <w:rPr>
            <w:noProof/>
            <w:webHidden/>
          </w:rPr>
          <w:t>7</w:t>
        </w:r>
        <w:r w:rsidR="00A0537F">
          <w:rPr>
            <w:noProof/>
            <w:webHidden/>
          </w:rPr>
          <w:fldChar w:fldCharType="end"/>
        </w:r>
      </w:hyperlink>
    </w:p>
    <w:p w14:paraId="09420A88" w14:textId="6CD6B758" w:rsidR="00A0537F" w:rsidRDefault="00F11A59">
      <w:pPr>
        <w:pStyle w:val="TableofFigures"/>
        <w:tabs>
          <w:tab w:val="right" w:leader="dot" w:pos="8212"/>
        </w:tabs>
        <w:rPr>
          <w:rFonts w:asciiTheme="minorHAnsi" w:hAnsiTheme="minorHAnsi"/>
          <w:noProof/>
          <w:sz w:val="22"/>
          <w:szCs w:val="22"/>
          <w:lang w:val="en-AU" w:eastAsia="en-AU"/>
        </w:rPr>
      </w:pPr>
      <w:hyperlink w:anchor="_Toc53585967" w:history="1">
        <w:r w:rsidR="00A0537F" w:rsidRPr="007A263D">
          <w:rPr>
            <w:rStyle w:val="Hyperlink"/>
            <w:noProof/>
          </w:rPr>
          <w:t>Table 3: Percentage change in Elective Services Patient Flow Indicator 5 (ESPI 5) nationally, July 2019–June 2020, by ethnicity</w:t>
        </w:r>
        <w:r w:rsidR="00A0537F">
          <w:rPr>
            <w:noProof/>
            <w:webHidden/>
          </w:rPr>
          <w:tab/>
        </w:r>
        <w:r w:rsidR="00A0537F">
          <w:rPr>
            <w:noProof/>
            <w:webHidden/>
          </w:rPr>
          <w:fldChar w:fldCharType="begin"/>
        </w:r>
        <w:r w:rsidR="00A0537F">
          <w:rPr>
            <w:noProof/>
            <w:webHidden/>
          </w:rPr>
          <w:instrText xml:space="preserve"> PAGEREF _Toc53585967 \h </w:instrText>
        </w:r>
        <w:r w:rsidR="00A0537F">
          <w:rPr>
            <w:noProof/>
            <w:webHidden/>
          </w:rPr>
        </w:r>
        <w:r w:rsidR="00A0537F">
          <w:rPr>
            <w:noProof/>
            <w:webHidden/>
          </w:rPr>
          <w:fldChar w:fldCharType="separate"/>
        </w:r>
        <w:r w:rsidR="00CF2713">
          <w:rPr>
            <w:noProof/>
            <w:webHidden/>
          </w:rPr>
          <w:t>31</w:t>
        </w:r>
        <w:r w:rsidR="00A0537F">
          <w:rPr>
            <w:noProof/>
            <w:webHidden/>
          </w:rPr>
          <w:fldChar w:fldCharType="end"/>
        </w:r>
      </w:hyperlink>
    </w:p>
    <w:p w14:paraId="589DF067" w14:textId="33479D5E" w:rsidR="00A0537F" w:rsidRDefault="00A0537F" w:rsidP="00CE69D3">
      <w:pPr>
        <w:rPr>
          <w:b/>
          <w:sz w:val="24"/>
          <w:szCs w:val="24"/>
        </w:rPr>
      </w:pPr>
      <w:r>
        <w:rPr>
          <w:b/>
          <w:sz w:val="24"/>
          <w:szCs w:val="24"/>
        </w:rPr>
        <w:fldChar w:fldCharType="end"/>
      </w:r>
    </w:p>
    <w:p w14:paraId="6AA06DA2" w14:textId="77777777" w:rsidR="00A0537F" w:rsidRDefault="00A0537F" w:rsidP="00CE69D3">
      <w:pPr>
        <w:rPr>
          <w:b/>
          <w:sz w:val="24"/>
          <w:szCs w:val="24"/>
        </w:rPr>
      </w:pPr>
    </w:p>
    <w:p w14:paraId="663BE010" w14:textId="40A08F26" w:rsidR="00CE69D3" w:rsidRPr="00CE69D3" w:rsidRDefault="00CE69D3" w:rsidP="00CE69D3">
      <w:pPr>
        <w:rPr>
          <w:b/>
          <w:sz w:val="24"/>
          <w:szCs w:val="24"/>
        </w:rPr>
      </w:pPr>
      <w:r w:rsidRPr="00CE69D3">
        <w:rPr>
          <w:b/>
          <w:sz w:val="24"/>
          <w:szCs w:val="24"/>
        </w:rPr>
        <w:t xml:space="preserve">List of </w:t>
      </w:r>
      <w:r w:rsidR="00A0537F">
        <w:rPr>
          <w:b/>
          <w:sz w:val="24"/>
          <w:szCs w:val="24"/>
        </w:rPr>
        <w:t>Figures</w:t>
      </w:r>
    </w:p>
    <w:p w14:paraId="3D364503" w14:textId="77777777" w:rsidR="00CE69D3" w:rsidRDefault="00CE69D3" w:rsidP="00CE69D3"/>
    <w:p w14:paraId="18F5B51C" w14:textId="565F6BA6" w:rsidR="00A0537F" w:rsidRDefault="00A0537F">
      <w:pPr>
        <w:pStyle w:val="TableofFigures"/>
        <w:tabs>
          <w:tab w:val="right" w:leader="dot" w:pos="8212"/>
        </w:tabs>
        <w:rPr>
          <w:rFonts w:asciiTheme="minorHAnsi" w:hAnsiTheme="minorHAnsi"/>
          <w:noProof/>
          <w:sz w:val="22"/>
          <w:szCs w:val="22"/>
          <w:lang w:val="en-AU" w:eastAsia="en-AU"/>
        </w:rPr>
      </w:pPr>
      <w:r>
        <w:fldChar w:fldCharType="begin"/>
      </w:r>
      <w:r>
        <w:instrText xml:space="preserve"> TOC \h \z \c "Figure" </w:instrText>
      </w:r>
      <w:r>
        <w:fldChar w:fldCharType="separate"/>
      </w:r>
      <w:hyperlink w:anchor="_Toc53585931" w:history="1">
        <w:r w:rsidRPr="001B052D">
          <w:rPr>
            <w:rStyle w:val="Hyperlink"/>
            <w:noProof/>
          </w:rPr>
          <w:t>Figure 1: Number of deaths by week in the first 22 weeks (beginning of January to end of May) of 2020, 2019 and 2015–2019 average for the total population</w:t>
        </w:r>
        <w:r>
          <w:rPr>
            <w:noProof/>
            <w:webHidden/>
          </w:rPr>
          <w:tab/>
        </w:r>
        <w:r>
          <w:rPr>
            <w:noProof/>
            <w:webHidden/>
          </w:rPr>
          <w:fldChar w:fldCharType="begin"/>
        </w:r>
        <w:r>
          <w:rPr>
            <w:noProof/>
            <w:webHidden/>
          </w:rPr>
          <w:instrText xml:space="preserve"> PAGEREF _Toc53585931 \h </w:instrText>
        </w:r>
        <w:r>
          <w:rPr>
            <w:noProof/>
            <w:webHidden/>
          </w:rPr>
        </w:r>
        <w:r>
          <w:rPr>
            <w:noProof/>
            <w:webHidden/>
          </w:rPr>
          <w:fldChar w:fldCharType="separate"/>
        </w:r>
        <w:r w:rsidR="00CF2713">
          <w:rPr>
            <w:noProof/>
            <w:webHidden/>
          </w:rPr>
          <w:t>5</w:t>
        </w:r>
        <w:r>
          <w:rPr>
            <w:noProof/>
            <w:webHidden/>
          </w:rPr>
          <w:fldChar w:fldCharType="end"/>
        </w:r>
      </w:hyperlink>
    </w:p>
    <w:p w14:paraId="2531BBDB" w14:textId="2A4CC69B" w:rsidR="00A0537F" w:rsidRDefault="00F11A59">
      <w:pPr>
        <w:pStyle w:val="TableofFigures"/>
        <w:tabs>
          <w:tab w:val="right" w:leader="dot" w:pos="8212"/>
        </w:tabs>
        <w:rPr>
          <w:rFonts w:asciiTheme="minorHAnsi" w:hAnsiTheme="minorHAnsi"/>
          <w:noProof/>
          <w:sz w:val="22"/>
          <w:szCs w:val="22"/>
          <w:lang w:val="en-AU" w:eastAsia="en-AU"/>
        </w:rPr>
      </w:pPr>
      <w:hyperlink w:anchor="_Toc53585932" w:history="1">
        <w:r w:rsidR="00A0537F" w:rsidRPr="001B052D">
          <w:rPr>
            <w:rStyle w:val="Hyperlink"/>
            <w:noProof/>
          </w:rPr>
          <w:t>Figure 2: Total number of Disability Support Services client deaths by month from March to May 2019 and 2020 (provisional)</w:t>
        </w:r>
        <w:r w:rsidR="00A0537F">
          <w:rPr>
            <w:noProof/>
            <w:webHidden/>
          </w:rPr>
          <w:tab/>
        </w:r>
        <w:r w:rsidR="00A0537F">
          <w:rPr>
            <w:noProof/>
            <w:webHidden/>
          </w:rPr>
          <w:fldChar w:fldCharType="begin"/>
        </w:r>
        <w:r w:rsidR="00A0537F">
          <w:rPr>
            <w:noProof/>
            <w:webHidden/>
          </w:rPr>
          <w:instrText xml:space="preserve"> PAGEREF _Toc53585932 \h </w:instrText>
        </w:r>
        <w:r w:rsidR="00A0537F">
          <w:rPr>
            <w:noProof/>
            <w:webHidden/>
          </w:rPr>
        </w:r>
        <w:r w:rsidR="00A0537F">
          <w:rPr>
            <w:noProof/>
            <w:webHidden/>
          </w:rPr>
          <w:fldChar w:fldCharType="separate"/>
        </w:r>
        <w:r w:rsidR="00CF2713">
          <w:rPr>
            <w:noProof/>
            <w:webHidden/>
          </w:rPr>
          <w:t>6</w:t>
        </w:r>
        <w:r w:rsidR="00A0537F">
          <w:rPr>
            <w:noProof/>
            <w:webHidden/>
          </w:rPr>
          <w:fldChar w:fldCharType="end"/>
        </w:r>
      </w:hyperlink>
    </w:p>
    <w:p w14:paraId="00007B62" w14:textId="6D51035E" w:rsidR="00A0537F" w:rsidRDefault="00F11A59">
      <w:pPr>
        <w:pStyle w:val="TableofFigures"/>
        <w:tabs>
          <w:tab w:val="right" w:leader="dot" w:pos="8212"/>
        </w:tabs>
        <w:rPr>
          <w:rFonts w:asciiTheme="minorHAnsi" w:hAnsiTheme="minorHAnsi"/>
          <w:noProof/>
          <w:sz w:val="22"/>
          <w:szCs w:val="22"/>
          <w:lang w:val="en-AU" w:eastAsia="en-AU"/>
        </w:rPr>
      </w:pPr>
      <w:hyperlink w:anchor="_Toc53585933" w:history="1">
        <w:r w:rsidR="00A0537F" w:rsidRPr="001B052D">
          <w:rPr>
            <w:rStyle w:val="Hyperlink"/>
            <w:noProof/>
          </w:rPr>
          <w:t>Figure 3: Number of deaths of Disability Support Services clients living in community residential services from March to May 2019 and 2020 (provisional)</w:t>
        </w:r>
        <w:r w:rsidR="00A0537F">
          <w:rPr>
            <w:noProof/>
            <w:webHidden/>
          </w:rPr>
          <w:tab/>
        </w:r>
        <w:r w:rsidR="00A0537F">
          <w:rPr>
            <w:noProof/>
            <w:webHidden/>
          </w:rPr>
          <w:fldChar w:fldCharType="begin"/>
        </w:r>
        <w:r w:rsidR="00A0537F">
          <w:rPr>
            <w:noProof/>
            <w:webHidden/>
          </w:rPr>
          <w:instrText xml:space="preserve"> PAGEREF _Toc53585933 \h </w:instrText>
        </w:r>
        <w:r w:rsidR="00A0537F">
          <w:rPr>
            <w:noProof/>
            <w:webHidden/>
          </w:rPr>
        </w:r>
        <w:r w:rsidR="00A0537F">
          <w:rPr>
            <w:noProof/>
            <w:webHidden/>
          </w:rPr>
          <w:fldChar w:fldCharType="separate"/>
        </w:r>
        <w:r w:rsidR="00CF2713">
          <w:rPr>
            <w:noProof/>
            <w:webHidden/>
          </w:rPr>
          <w:t>7</w:t>
        </w:r>
        <w:r w:rsidR="00A0537F">
          <w:rPr>
            <w:noProof/>
            <w:webHidden/>
          </w:rPr>
          <w:fldChar w:fldCharType="end"/>
        </w:r>
      </w:hyperlink>
    </w:p>
    <w:p w14:paraId="2D8A0245" w14:textId="56F12AEE" w:rsidR="00A0537F" w:rsidRDefault="00F11A59">
      <w:pPr>
        <w:pStyle w:val="TableofFigures"/>
        <w:tabs>
          <w:tab w:val="right" w:leader="dot" w:pos="8212"/>
        </w:tabs>
        <w:rPr>
          <w:rFonts w:asciiTheme="minorHAnsi" w:hAnsiTheme="minorHAnsi"/>
          <w:noProof/>
          <w:sz w:val="22"/>
          <w:szCs w:val="22"/>
          <w:lang w:val="en-AU" w:eastAsia="en-AU"/>
        </w:rPr>
      </w:pPr>
      <w:hyperlink w:anchor="_Toc53585934" w:history="1">
        <w:r w:rsidR="00A0537F" w:rsidRPr="001B052D">
          <w:rPr>
            <w:rStyle w:val="Hyperlink"/>
            <w:noProof/>
          </w:rPr>
          <w:t>Figure 4: Number of qualifying encounters in 2019 and 2020 – seven-day running total (7 March to 12 July)</w:t>
        </w:r>
        <w:r w:rsidR="00A0537F">
          <w:rPr>
            <w:noProof/>
            <w:webHidden/>
          </w:rPr>
          <w:tab/>
        </w:r>
        <w:r w:rsidR="00A0537F">
          <w:rPr>
            <w:noProof/>
            <w:webHidden/>
          </w:rPr>
          <w:fldChar w:fldCharType="begin"/>
        </w:r>
        <w:r w:rsidR="00A0537F">
          <w:rPr>
            <w:noProof/>
            <w:webHidden/>
          </w:rPr>
          <w:instrText xml:space="preserve"> PAGEREF _Toc53585934 \h </w:instrText>
        </w:r>
        <w:r w:rsidR="00A0537F">
          <w:rPr>
            <w:noProof/>
            <w:webHidden/>
          </w:rPr>
        </w:r>
        <w:r w:rsidR="00A0537F">
          <w:rPr>
            <w:noProof/>
            <w:webHidden/>
          </w:rPr>
          <w:fldChar w:fldCharType="separate"/>
        </w:r>
        <w:r w:rsidR="00CF2713">
          <w:rPr>
            <w:noProof/>
            <w:webHidden/>
          </w:rPr>
          <w:t>9</w:t>
        </w:r>
        <w:r w:rsidR="00A0537F">
          <w:rPr>
            <w:noProof/>
            <w:webHidden/>
          </w:rPr>
          <w:fldChar w:fldCharType="end"/>
        </w:r>
      </w:hyperlink>
    </w:p>
    <w:p w14:paraId="2285D63B" w14:textId="57B74699" w:rsidR="00A0537F" w:rsidRDefault="00F11A59">
      <w:pPr>
        <w:pStyle w:val="TableofFigures"/>
        <w:tabs>
          <w:tab w:val="right" w:leader="dot" w:pos="8212"/>
        </w:tabs>
        <w:rPr>
          <w:rFonts w:asciiTheme="minorHAnsi" w:hAnsiTheme="minorHAnsi"/>
          <w:noProof/>
          <w:sz w:val="22"/>
          <w:szCs w:val="22"/>
          <w:lang w:val="en-AU" w:eastAsia="en-AU"/>
        </w:rPr>
      </w:pPr>
      <w:hyperlink w:anchor="_Toc53585935" w:history="1">
        <w:r w:rsidR="00A0537F" w:rsidRPr="001B052D">
          <w:rPr>
            <w:rStyle w:val="Hyperlink"/>
            <w:noProof/>
          </w:rPr>
          <w:t>Figure 5: Number of qualifying encounters per 1,000 enrolees from 1 March 2020 to 12 July 2020 by ethnicity – seven-day running total</w:t>
        </w:r>
        <w:r w:rsidR="00A0537F">
          <w:rPr>
            <w:noProof/>
            <w:webHidden/>
          </w:rPr>
          <w:tab/>
        </w:r>
        <w:r w:rsidR="00A0537F">
          <w:rPr>
            <w:noProof/>
            <w:webHidden/>
          </w:rPr>
          <w:fldChar w:fldCharType="begin"/>
        </w:r>
        <w:r w:rsidR="00A0537F">
          <w:rPr>
            <w:noProof/>
            <w:webHidden/>
          </w:rPr>
          <w:instrText xml:space="preserve"> PAGEREF _Toc53585935 \h </w:instrText>
        </w:r>
        <w:r w:rsidR="00A0537F">
          <w:rPr>
            <w:noProof/>
            <w:webHidden/>
          </w:rPr>
        </w:r>
        <w:r w:rsidR="00A0537F">
          <w:rPr>
            <w:noProof/>
            <w:webHidden/>
          </w:rPr>
          <w:fldChar w:fldCharType="separate"/>
        </w:r>
        <w:r w:rsidR="00CF2713">
          <w:rPr>
            <w:noProof/>
            <w:webHidden/>
          </w:rPr>
          <w:t>10</w:t>
        </w:r>
        <w:r w:rsidR="00A0537F">
          <w:rPr>
            <w:noProof/>
            <w:webHidden/>
          </w:rPr>
          <w:fldChar w:fldCharType="end"/>
        </w:r>
      </w:hyperlink>
    </w:p>
    <w:p w14:paraId="03784970" w14:textId="2D8809ED" w:rsidR="00A0537F" w:rsidRDefault="00F11A59">
      <w:pPr>
        <w:pStyle w:val="TableofFigures"/>
        <w:tabs>
          <w:tab w:val="right" w:leader="dot" w:pos="8212"/>
        </w:tabs>
        <w:rPr>
          <w:rFonts w:asciiTheme="minorHAnsi" w:hAnsiTheme="minorHAnsi"/>
          <w:noProof/>
          <w:sz w:val="22"/>
          <w:szCs w:val="22"/>
          <w:lang w:val="en-AU" w:eastAsia="en-AU"/>
        </w:rPr>
      </w:pPr>
      <w:hyperlink w:anchor="_Toc53585936" w:history="1">
        <w:r w:rsidR="00A0537F" w:rsidRPr="001B052D">
          <w:rPr>
            <w:rStyle w:val="Hyperlink"/>
            <w:noProof/>
          </w:rPr>
          <w:t>Figure 6: Number of discharges nationally from March to June 2018–2020</w:t>
        </w:r>
        <w:r w:rsidR="00A0537F">
          <w:rPr>
            <w:noProof/>
            <w:webHidden/>
          </w:rPr>
          <w:tab/>
        </w:r>
        <w:r w:rsidR="00A0537F">
          <w:rPr>
            <w:noProof/>
            <w:webHidden/>
          </w:rPr>
          <w:fldChar w:fldCharType="begin"/>
        </w:r>
        <w:r w:rsidR="00A0537F">
          <w:rPr>
            <w:noProof/>
            <w:webHidden/>
          </w:rPr>
          <w:instrText xml:space="preserve"> PAGEREF _Toc53585936 \h </w:instrText>
        </w:r>
        <w:r w:rsidR="00A0537F">
          <w:rPr>
            <w:noProof/>
            <w:webHidden/>
          </w:rPr>
        </w:r>
        <w:r w:rsidR="00A0537F">
          <w:rPr>
            <w:noProof/>
            <w:webHidden/>
          </w:rPr>
          <w:fldChar w:fldCharType="separate"/>
        </w:r>
        <w:r w:rsidR="00CF2713">
          <w:rPr>
            <w:noProof/>
            <w:webHidden/>
          </w:rPr>
          <w:t>12</w:t>
        </w:r>
        <w:r w:rsidR="00A0537F">
          <w:rPr>
            <w:noProof/>
            <w:webHidden/>
          </w:rPr>
          <w:fldChar w:fldCharType="end"/>
        </w:r>
      </w:hyperlink>
    </w:p>
    <w:p w14:paraId="38A60369" w14:textId="0CFF3A24" w:rsidR="00A0537F" w:rsidRDefault="00F11A59">
      <w:pPr>
        <w:pStyle w:val="TableofFigures"/>
        <w:tabs>
          <w:tab w:val="right" w:leader="dot" w:pos="8212"/>
        </w:tabs>
        <w:rPr>
          <w:rFonts w:asciiTheme="minorHAnsi" w:hAnsiTheme="minorHAnsi"/>
          <w:noProof/>
          <w:sz w:val="22"/>
          <w:szCs w:val="22"/>
          <w:lang w:val="en-AU" w:eastAsia="en-AU"/>
        </w:rPr>
      </w:pPr>
      <w:hyperlink w:anchor="_Toc53585937" w:history="1">
        <w:r w:rsidR="00A0537F" w:rsidRPr="001B052D">
          <w:rPr>
            <w:rStyle w:val="Hyperlink"/>
            <w:noProof/>
          </w:rPr>
          <w:t>Figure 7: Number of case-weighted discharges nationally from March to June 2018–2020</w:t>
        </w:r>
        <w:r w:rsidR="00A0537F">
          <w:rPr>
            <w:noProof/>
            <w:webHidden/>
          </w:rPr>
          <w:tab/>
        </w:r>
        <w:r w:rsidR="00A0537F">
          <w:rPr>
            <w:noProof/>
            <w:webHidden/>
          </w:rPr>
          <w:fldChar w:fldCharType="begin"/>
        </w:r>
        <w:r w:rsidR="00A0537F">
          <w:rPr>
            <w:noProof/>
            <w:webHidden/>
          </w:rPr>
          <w:instrText xml:space="preserve"> PAGEREF _Toc53585937 \h </w:instrText>
        </w:r>
        <w:r w:rsidR="00A0537F">
          <w:rPr>
            <w:noProof/>
            <w:webHidden/>
          </w:rPr>
        </w:r>
        <w:r w:rsidR="00A0537F">
          <w:rPr>
            <w:noProof/>
            <w:webHidden/>
          </w:rPr>
          <w:fldChar w:fldCharType="separate"/>
        </w:r>
        <w:r w:rsidR="00CF2713">
          <w:rPr>
            <w:noProof/>
            <w:webHidden/>
          </w:rPr>
          <w:t>13</w:t>
        </w:r>
        <w:r w:rsidR="00A0537F">
          <w:rPr>
            <w:noProof/>
            <w:webHidden/>
          </w:rPr>
          <w:fldChar w:fldCharType="end"/>
        </w:r>
      </w:hyperlink>
    </w:p>
    <w:p w14:paraId="53DDB60D" w14:textId="0A5885CB" w:rsidR="00A0537F" w:rsidRDefault="00F11A59">
      <w:pPr>
        <w:pStyle w:val="TableofFigures"/>
        <w:tabs>
          <w:tab w:val="right" w:leader="dot" w:pos="8212"/>
        </w:tabs>
        <w:rPr>
          <w:rFonts w:asciiTheme="minorHAnsi" w:hAnsiTheme="minorHAnsi"/>
          <w:noProof/>
          <w:sz w:val="22"/>
          <w:szCs w:val="22"/>
          <w:lang w:val="en-AU" w:eastAsia="en-AU"/>
        </w:rPr>
      </w:pPr>
      <w:hyperlink w:anchor="_Toc53585938" w:history="1">
        <w:r w:rsidR="00A0537F" w:rsidRPr="001B052D">
          <w:rPr>
            <w:rStyle w:val="Hyperlink"/>
            <w:noProof/>
          </w:rPr>
          <w:t>Figure 8: Number of discharges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_Toc53585938 \h </w:instrText>
        </w:r>
        <w:r w:rsidR="00A0537F">
          <w:rPr>
            <w:noProof/>
            <w:webHidden/>
          </w:rPr>
        </w:r>
        <w:r w:rsidR="00A0537F">
          <w:rPr>
            <w:noProof/>
            <w:webHidden/>
          </w:rPr>
          <w:fldChar w:fldCharType="separate"/>
        </w:r>
        <w:r w:rsidR="00CF2713">
          <w:rPr>
            <w:noProof/>
            <w:webHidden/>
          </w:rPr>
          <w:t>13</w:t>
        </w:r>
        <w:r w:rsidR="00A0537F">
          <w:rPr>
            <w:noProof/>
            <w:webHidden/>
          </w:rPr>
          <w:fldChar w:fldCharType="end"/>
        </w:r>
      </w:hyperlink>
    </w:p>
    <w:p w14:paraId="7B9DE191" w14:textId="15F10209" w:rsidR="00A0537F" w:rsidRDefault="00F11A59">
      <w:pPr>
        <w:pStyle w:val="TableofFigures"/>
        <w:tabs>
          <w:tab w:val="right" w:leader="dot" w:pos="8212"/>
        </w:tabs>
        <w:rPr>
          <w:rFonts w:asciiTheme="minorHAnsi" w:hAnsiTheme="minorHAnsi"/>
          <w:noProof/>
          <w:sz w:val="22"/>
          <w:szCs w:val="22"/>
          <w:lang w:val="en-AU" w:eastAsia="en-AU"/>
        </w:rPr>
      </w:pPr>
      <w:hyperlink w:anchor="_Toc53585939" w:history="1">
        <w:r w:rsidR="00A0537F" w:rsidRPr="001B052D">
          <w:rPr>
            <w:rStyle w:val="Hyperlink"/>
            <w:noProof/>
          </w:rPr>
          <w:t>Figure 9: Number of case-weighted discharges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_Toc53585939 \h </w:instrText>
        </w:r>
        <w:r w:rsidR="00A0537F">
          <w:rPr>
            <w:noProof/>
            <w:webHidden/>
          </w:rPr>
        </w:r>
        <w:r w:rsidR="00A0537F">
          <w:rPr>
            <w:noProof/>
            <w:webHidden/>
          </w:rPr>
          <w:fldChar w:fldCharType="separate"/>
        </w:r>
        <w:r w:rsidR="00CF2713">
          <w:rPr>
            <w:noProof/>
            <w:webHidden/>
          </w:rPr>
          <w:t>14</w:t>
        </w:r>
        <w:r w:rsidR="00A0537F">
          <w:rPr>
            <w:noProof/>
            <w:webHidden/>
          </w:rPr>
          <w:fldChar w:fldCharType="end"/>
        </w:r>
      </w:hyperlink>
    </w:p>
    <w:p w14:paraId="72E37780" w14:textId="2E051070" w:rsidR="00A0537F" w:rsidRDefault="00F11A59">
      <w:pPr>
        <w:pStyle w:val="TableofFigures"/>
        <w:tabs>
          <w:tab w:val="right" w:leader="dot" w:pos="8212"/>
        </w:tabs>
        <w:rPr>
          <w:rFonts w:asciiTheme="minorHAnsi" w:hAnsiTheme="minorHAnsi"/>
          <w:noProof/>
          <w:sz w:val="22"/>
          <w:szCs w:val="22"/>
          <w:lang w:val="en-AU" w:eastAsia="en-AU"/>
        </w:rPr>
      </w:pPr>
      <w:hyperlink w:anchor="_Toc53585940" w:history="1">
        <w:r w:rsidR="00A0537F" w:rsidRPr="001B052D">
          <w:rPr>
            <w:rStyle w:val="Hyperlink"/>
            <w:noProof/>
          </w:rPr>
          <w:t>Figure 10: Number of elective discharges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_Toc53585940 \h </w:instrText>
        </w:r>
        <w:r w:rsidR="00A0537F">
          <w:rPr>
            <w:noProof/>
            <w:webHidden/>
          </w:rPr>
        </w:r>
        <w:r w:rsidR="00A0537F">
          <w:rPr>
            <w:noProof/>
            <w:webHidden/>
          </w:rPr>
          <w:fldChar w:fldCharType="separate"/>
        </w:r>
        <w:r w:rsidR="00CF2713">
          <w:rPr>
            <w:noProof/>
            <w:webHidden/>
          </w:rPr>
          <w:t>15</w:t>
        </w:r>
        <w:r w:rsidR="00A0537F">
          <w:rPr>
            <w:noProof/>
            <w:webHidden/>
          </w:rPr>
          <w:fldChar w:fldCharType="end"/>
        </w:r>
      </w:hyperlink>
    </w:p>
    <w:p w14:paraId="1B6C6536" w14:textId="27D4AC93" w:rsidR="00A0537F" w:rsidRDefault="00F11A59">
      <w:pPr>
        <w:pStyle w:val="TableofFigures"/>
        <w:tabs>
          <w:tab w:val="right" w:leader="dot" w:pos="8212"/>
        </w:tabs>
        <w:rPr>
          <w:rFonts w:asciiTheme="minorHAnsi" w:hAnsiTheme="minorHAnsi"/>
          <w:noProof/>
          <w:sz w:val="22"/>
          <w:szCs w:val="22"/>
          <w:lang w:val="en-AU" w:eastAsia="en-AU"/>
        </w:rPr>
      </w:pPr>
      <w:hyperlink w:anchor="_Toc53585941" w:history="1">
        <w:r w:rsidR="00A0537F" w:rsidRPr="001B052D">
          <w:rPr>
            <w:rStyle w:val="Hyperlink"/>
            <w:noProof/>
          </w:rPr>
          <w:t>Figure 11: Number of arranged discharges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_Toc53585941 \h </w:instrText>
        </w:r>
        <w:r w:rsidR="00A0537F">
          <w:rPr>
            <w:noProof/>
            <w:webHidden/>
          </w:rPr>
        </w:r>
        <w:r w:rsidR="00A0537F">
          <w:rPr>
            <w:noProof/>
            <w:webHidden/>
          </w:rPr>
          <w:fldChar w:fldCharType="separate"/>
        </w:r>
        <w:r w:rsidR="00CF2713">
          <w:rPr>
            <w:noProof/>
            <w:webHidden/>
          </w:rPr>
          <w:t>16</w:t>
        </w:r>
        <w:r w:rsidR="00A0537F">
          <w:rPr>
            <w:noProof/>
            <w:webHidden/>
          </w:rPr>
          <w:fldChar w:fldCharType="end"/>
        </w:r>
      </w:hyperlink>
    </w:p>
    <w:p w14:paraId="287377E6" w14:textId="3C30FDF8" w:rsidR="00A0537F" w:rsidRDefault="00F11A59">
      <w:pPr>
        <w:pStyle w:val="TableofFigures"/>
        <w:tabs>
          <w:tab w:val="right" w:leader="dot" w:pos="8212"/>
        </w:tabs>
        <w:rPr>
          <w:rFonts w:asciiTheme="minorHAnsi" w:hAnsiTheme="minorHAnsi"/>
          <w:noProof/>
          <w:sz w:val="22"/>
          <w:szCs w:val="22"/>
          <w:lang w:val="en-AU" w:eastAsia="en-AU"/>
        </w:rPr>
      </w:pPr>
      <w:hyperlink w:anchor="_Toc53585942" w:history="1">
        <w:r w:rsidR="00A0537F" w:rsidRPr="001B052D">
          <w:rPr>
            <w:rStyle w:val="Hyperlink"/>
            <w:noProof/>
          </w:rPr>
          <w:t>Figure 12: Number of discharges nationally from March to June 2018–2020, by activity type</w:t>
        </w:r>
        <w:r w:rsidR="00A0537F">
          <w:rPr>
            <w:noProof/>
            <w:webHidden/>
          </w:rPr>
          <w:tab/>
        </w:r>
        <w:r w:rsidR="00A0537F">
          <w:rPr>
            <w:noProof/>
            <w:webHidden/>
          </w:rPr>
          <w:fldChar w:fldCharType="begin"/>
        </w:r>
        <w:r w:rsidR="00A0537F">
          <w:rPr>
            <w:noProof/>
            <w:webHidden/>
          </w:rPr>
          <w:instrText xml:space="preserve"> PAGEREF _Toc53585942 \h </w:instrText>
        </w:r>
        <w:r w:rsidR="00A0537F">
          <w:rPr>
            <w:noProof/>
            <w:webHidden/>
          </w:rPr>
        </w:r>
        <w:r w:rsidR="00A0537F">
          <w:rPr>
            <w:noProof/>
            <w:webHidden/>
          </w:rPr>
          <w:fldChar w:fldCharType="separate"/>
        </w:r>
        <w:r w:rsidR="00CF2713">
          <w:rPr>
            <w:noProof/>
            <w:webHidden/>
          </w:rPr>
          <w:t>17</w:t>
        </w:r>
        <w:r w:rsidR="00A0537F">
          <w:rPr>
            <w:noProof/>
            <w:webHidden/>
          </w:rPr>
          <w:fldChar w:fldCharType="end"/>
        </w:r>
      </w:hyperlink>
    </w:p>
    <w:p w14:paraId="70CB7DA1" w14:textId="19E4F4CD" w:rsidR="00A0537F" w:rsidRDefault="00F11A59">
      <w:pPr>
        <w:pStyle w:val="TableofFigures"/>
        <w:tabs>
          <w:tab w:val="right" w:leader="dot" w:pos="8212"/>
        </w:tabs>
        <w:rPr>
          <w:rFonts w:asciiTheme="minorHAnsi" w:hAnsiTheme="minorHAnsi"/>
          <w:noProof/>
          <w:sz w:val="22"/>
          <w:szCs w:val="22"/>
          <w:lang w:val="en-AU" w:eastAsia="en-AU"/>
        </w:rPr>
      </w:pPr>
      <w:hyperlink w:anchor="_Toc53585943" w:history="1">
        <w:r w:rsidR="00A0537F" w:rsidRPr="001B052D">
          <w:rPr>
            <w:rStyle w:val="Hyperlink"/>
            <w:noProof/>
          </w:rPr>
          <w:t>Figure 13: Number of planned care interventions delivered nationally from March to June 2018–2020</w:t>
        </w:r>
        <w:r w:rsidR="00A0537F">
          <w:rPr>
            <w:noProof/>
            <w:webHidden/>
          </w:rPr>
          <w:tab/>
        </w:r>
        <w:r w:rsidR="00A0537F">
          <w:rPr>
            <w:noProof/>
            <w:webHidden/>
          </w:rPr>
          <w:fldChar w:fldCharType="begin"/>
        </w:r>
        <w:r w:rsidR="00A0537F">
          <w:rPr>
            <w:noProof/>
            <w:webHidden/>
          </w:rPr>
          <w:instrText xml:space="preserve"> PAGEREF _Toc53585943 \h </w:instrText>
        </w:r>
        <w:r w:rsidR="00A0537F">
          <w:rPr>
            <w:noProof/>
            <w:webHidden/>
          </w:rPr>
        </w:r>
        <w:r w:rsidR="00A0537F">
          <w:rPr>
            <w:noProof/>
            <w:webHidden/>
          </w:rPr>
          <w:fldChar w:fldCharType="separate"/>
        </w:r>
        <w:r w:rsidR="00CF2713">
          <w:rPr>
            <w:noProof/>
            <w:webHidden/>
          </w:rPr>
          <w:t>19</w:t>
        </w:r>
        <w:r w:rsidR="00A0537F">
          <w:rPr>
            <w:noProof/>
            <w:webHidden/>
          </w:rPr>
          <w:fldChar w:fldCharType="end"/>
        </w:r>
      </w:hyperlink>
    </w:p>
    <w:p w14:paraId="499F89D7" w14:textId="545C137A" w:rsidR="00A0537F" w:rsidRDefault="00F11A59">
      <w:pPr>
        <w:pStyle w:val="TableofFigures"/>
        <w:tabs>
          <w:tab w:val="right" w:leader="dot" w:pos="8212"/>
        </w:tabs>
        <w:rPr>
          <w:rFonts w:asciiTheme="minorHAnsi" w:hAnsiTheme="minorHAnsi"/>
          <w:noProof/>
          <w:sz w:val="22"/>
          <w:szCs w:val="22"/>
          <w:lang w:val="en-AU" w:eastAsia="en-AU"/>
        </w:rPr>
      </w:pPr>
      <w:hyperlink w:anchor="_Toc53585944" w:history="1">
        <w:r w:rsidR="00A0537F" w:rsidRPr="001B052D">
          <w:rPr>
            <w:rStyle w:val="Hyperlink"/>
            <w:noProof/>
          </w:rPr>
          <w:t>Figure 14: Number of case-weighted discharges for planned care interventions nationally from March to June 2018–2020</w:t>
        </w:r>
        <w:r w:rsidR="00A0537F">
          <w:rPr>
            <w:noProof/>
            <w:webHidden/>
          </w:rPr>
          <w:tab/>
        </w:r>
        <w:r w:rsidR="00A0537F">
          <w:rPr>
            <w:noProof/>
            <w:webHidden/>
          </w:rPr>
          <w:fldChar w:fldCharType="begin"/>
        </w:r>
        <w:r w:rsidR="00A0537F">
          <w:rPr>
            <w:noProof/>
            <w:webHidden/>
          </w:rPr>
          <w:instrText xml:space="preserve"> PAGEREF _Toc53585944 \h </w:instrText>
        </w:r>
        <w:r w:rsidR="00A0537F">
          <w:rPr>
            <w:noProof/>
            <w:webHidden/>
          </w:rPr>
        </w:r>
        <w:r w:rsidR="00A0537F">
          <w:rPr>
            <w:noProof/>
            <w:webHidden/>
          </w:rPr>
          <w:fldChar w:fldCharType="separate"/>
        </w:r>
        <w:r w:rsidR="00CF2713">
          <w:rPr>
            <w:noProof/>
            <w:webHidden/>
          </w:rPr>
          <w:t>20</w:t>
        </w:r>
        <w:r w:rsidR="00A0537F">
          <w:rPr>
            <w:noProof/>
            <w:webHidden/>
          </w:rPr>
          <w:fldChar w:fldCharType="end"/>
        </w:r>
      </w:hyperlink>
    </w:p>
    <w:p w14:paraId="0877DCCB" w14:textId="76504C1E" w:rsidR="00A0537F" w:rsidRDefault="00F11A59">
      <w:pPr>
        <w:pStyle w:val="TableofFigures"/>
        <w:tabs>
          <w:tab w:val="right" w:leader="dot" w:pos="8212"/>
        </w:tabs>
        <w:rPr>
          <w:rFonts w:asciiTheme="minorHAnsi" w:hAnsiTheme="minorHAnsi"/>
          <w:noProof/>
          <w:sz w:val="22"/>
          <w:szCs w:val="22"/>
          <w:lang w:val="en-AU" w:eastAsia="en-AU"/>
        </w:rPr>
      </w:pPr>
      <w:hyperlink w:anchor="_Toc53585945" w:history="1">
        <w:r w:rsidR="00A0537F" w:rsidRPr="001B052D">
          <w:rPr>
            <w:rStyle w:val="Hyperlink"/>
            <w:noProof/>
          </w:rPr>
          <w:t>Figure 15: Number of planned care interventions delivered nationally from March to June 2018–2020, by type of intervention</w:t>
        </w:r>
        <w:r w:rsidR="00A0537F">
          <w:rPr>
            <w:noProof/>
            <w:webHidden/>
          </w:rPr>
          <w:tab/>
        </w:r>
        <w:r w:rsidR="00A0537F">
          <w:rPr>
            <w:noProof/>
            <w:webHidden/>
          </w:rPr>
          <w:fldChar w:fldCharType="begin"/>
        </w:r>
        <w:r w:rsidR="00A0537F">
          <w:rPr>
            <w:noProof/>
            <w:webHidden/>
          </w:rPr>
          <w:instrText xml:space="preserve"> PAGEREF _Toc53585945 \h </w:instrText>
        </w:r>
        <w:r w:rsidR="00A0537F">
          <w:rPr>
            <w:noProof/>
            <w:webHidden/>
          </w:rPr>
        </w:r>
        <w:r w:rsidR="00A0537F">
          <w:rPr>
            <w:noProof/>
            <w:webHidden/>
          </w:rPr>
          <w:fldChar w:fldCharType="separate"/>
        </w:r>
        <w:r w:rsidR="00CF2713">
          <w:rPr>
            <w:noProof/>
            <w:webHidden/>
          </w:rPr>
          <w:t>21</w:t>
        </w:r>
        <w:r w:rsidR="00A0537F">
          <w:rPr>
            <w:noProof/>
            <w:webHidden/>
          </w:rPr>
          <w:fldChar w:fldCharType="end"/>
        </w:r>
      </w:hyperlink>
    </w:p>
    <w:p w14:paraId="795E097F" w14:textId="68F21743" w:rsidR="00A0537F" w:rsidRDefault="00F11A59">
      <w:pPr>
        <w:pStyle w:val="TableofFigures"/>
        <w:tabs>
          <w:tab w:val="right" w:leader="dot" w:pos="8212"/>
        </w:tabs>
        <w:rPr>
          <w:rFonts w:asciiTheme="minorHAnsi" w:hAnsiTheme="minorHAnsi"/>
          <w:noProof/>
          <w:sz w:val="22"/>
          <w:szCs w:val="22"/>
          <w:lang w:val="en-AU" w:eastAsia="en-AU"/>
        </w:rPr>
      </w:pPr>
      <w:hyperlink w:anchor="_Toc53585946" w:history="1">
        <w:r w:rsidR="00A0537F" w:rsidRPr="001B052D">
          <w:rPr>
            <w:rStyle w:val="Hyperlink"/>
            <w:noProof/>
          </w:rPr>
          <w:t>Figure 16: Number of planned care interventions delivered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_Toc53585946 \h </w:instrText>
        </w:r>
        <w:r w:rsidR="00A0537F">
          <w:rPr>
            <w:noProof/>
            <w:webHidden/>
          </w:rPr>
        </w:r>
        <w:r w:rsidR="00A0537F">
          <w:rPr>
            <w:noProof/>
            <w:webHidden/>
          </w:rPr>
          <w:fldChar w:fldCharType="separate"/>
        </w:r>
        <w:r w:rsidR="00CF2713">
          <w:rPr>
            <w:noProof/>
            <w:webHidden/>
          </w:rPr>
          <w:t>22</w:t>
        </w:r>
        <w:r w:rsidR="00A0537F">
          <w:rPr>
            <w:noProof/>
            <w:webHidden/>
          </w:rPr>
          <w:fldChar w:fldCharType="end"/>
        </w:r>
      </w:hyperlink>
    </w:p>
    <w:p w14:paraId="279F3E5B" w14:textId="244E2DB3" w:rsidR="00A0537F" w:rsidRDefault="00F11A59">
      <w:pPr>
        <w:pStyle w:val="TableofFigures"/>
        <w:tabs>
          <w:tab w:val="right" w:leader="dot" w:pos="8212"/>
        </w:tabs>
        <w:rPr>
          <w:rFonts w:asciiTheme="minorHAnsi" w:hAnsiTheme="minorHAnsi"/>
          <w:noProof/>
          <w:sz w:val="22"/>
          <w:szCs w:val="22"/>
          <w:lang w:val="en-AU" w:eastAsia="en-AU"/>
        </w:rPr>
      </w:pPr>
      <w:hyperlink w:anchor="_Toc53585947" w:history="1">
        <w:r w:rsidR="00A0537F" w:rsidRPr="001B052D">
          <w:rPr>
            <w:rStyle w:val="Hyperlink"/>
            <w:noProof/>
          </w:rPr>
          <w:t>Figure 17: Number of first specialist assessments delivered nationally from March to June 2018–2020</w:t>
        </w:r>
        <w:r w:rsidR="00A0537F">
          <w:rPr>
            <w:noProof/>
            <w:webHidden/>
          </w:rPr>
          <w:tab/>
        </w:r>
        <w:r w:rsidR="00A0537F">
          <w:rPr>
            <w:noProof/>
            <w:webHidden/>
          </w:rPr>
          <w:fldChar w:fldCharType="begin"/>
        </w:r>
        <w:r w:rsidR="00A0537F">
          <w:rPr>
            <w:noProof/>
            <w:webHidden/>
          </w:rPr>
          <w:instrText xml:space="preserve"> PAGEREF _Toc53585947 \h </w:instrText>
        </w:r>
        <w:r w:rsidR="00A0537F">
          <w:rPr>
            <w:noProof/>
            <w:webHidden/>
          </w:rPr>
        </w:r>
        <w:r w:rsidR="00A0537F">
          <w:rPr>
            <w:noProof/>
            <w:webHidden/>
          </w:rPr>
          <w:fldChar w:fldCharType="separate"/>
        </w:r>
        <w:r w:rsidR="00CF2713">
          <w:rPr>
            <w:noProof/>
            <w:webHidden/>
          </w:rPr>
          <w:t>23</w:t>
        </w:r>
        <w:r w:rsidR="00A0537F">
          <w:rPr>
            <w:noProof/>
            <w:webHidden/>
          </w:rPr>
          <w:fldChar w:fldCharType="end"/>
        </w:r>
      </w:hyperlink>
    </w:p>
    <w:p w14:paraId="2327EE38" w14:textId="2524C511" w:rsidR="00A0537F" w:rsidRDefault="00F11A59">
      <w:pPr>
        <w:pStyle w:val="TableofFigures"/>
        <w:tabs>
          <w:tab w:val="right" w:leader="dot" w:pos="8212"/>
        </w:tabs>
        <w:rPr>
          <w:rFonts w:asciiTheme="minorHAnsi" w:hAnsiTheme="minorHAnsi"/>
          <w:noProof/>
          <w:sz w:val="22"/>
          <w:szCs w:val="22"/>
          <w:lang w:val="en-AU" w:eastAsia="en-AU"/>
        </w:rPr>
      </w:pPr>
      <w:hyperlink w:anchor="_Toc53585948" w:history="1">
        <w:r w:rsidR="00A0537F" w:rsidRPr="001B052D">
          <w:rPr>
            <w:rStyle w:val="Hyperlink"/>
            <w:noProof/>
          </w:rPr>
          <w:t>Figure 18: Number of first specialist assessments delivered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_Toc53585948 \h </w:instrText>
        </w:r>
        <w:r w:rsidR="00A0537F">
          <w:rPr>
            <w:noProof/>
            <w:webHidden/>
          </w:rPr>
        </w:r>
        <w:r w:rsidR="00A0537F">
          <w:rPr>
            <w:noProof/>
            <w:webHidden/>
          </w:rPr>
          <w:fldChar w:fldCharType="separate"/>
        </w:r>
        <w:r w:rsidR="00CF2713">
          <w:rPr>
            <w:noProof/>
            <w:webHidden/>
          </w:rPr>
          <w:t>24</w:t>
        </w:r>
        <w:r w:rsidR="00A0537F">
          <w:rPr>
            <w:noProof/>
            <w:webHidden/>
          </w:rPr>
          <w:fldChar w:fldCharType="end"/>
        </w:r>
      </w:hyperlink>
    </w:p>
    <w:p w14:paraId="4DEAA6EC" w14:textId="0158BA4E" w:rsidR="00A0537F" w:rsidRDefault="00F11A59">
      <w:pPr>
        <w:pStyle w:val="TableofFigures"/>
        <w:tabs>
          <w:tab w:val="right" w:leader="dot" w:pos="8212"/>
        </w:tabs>
        <w:rPr>
          <w:rFonts w:asciiTheme="minorHAnsi" w:hAnsiTheme="minorHAnsi"/>
          <w:noProof/>
          <w:sz w:val="22"/>
          <w:szCs w:val="22"/>
          <w:lang w:val="en-AU" w:eastAsia="en-AU"/>
        </w:rPr>
      </w:pPr>
      <w:hyperlink w:anchor="_Toc53585949" w:history="1">
        <w:r w:rsidR="00A0537F" w:rsidRPr="001B052D">
          <w:rPr>
            <w:rStyle w:val="Hyperlink"/>
            <w:noProof/>
          </w:rPr>
          <w:t>Figure 19: Number of follow-up appointments delivered nationally from March to June 2018–2020</w:t>
        </w:r>
        <w:r w:rsidR="00A0537F">
          <w:rPr>
            <w:noProof/>
            <w:webHidden/>
          </w:rPr>
          <w:tab/>
        </w:r>
        <w:r w:rsidR="00A0537F">
          <w:rPr>
            <w:noProof/>
            <w:webHidden/>
          </w:rPr>
          <w:fldChar w:fldCharType="begin"/>
        </w:r>
        <w:r w:rsidR="00A0537F">
          <w:rPr>
            <w:noProof/>
            <w:webHidden/>
          </w:rPr>
          <w:instrText xml:space="preserve"> PAGEREF _Toc53585949 \h </w:instrText>
        </w:r>
        <w:r w:rsidR="00A0537F">
          <w:rPr>
            <w:noProof/>
            <w:webHidden/>
          </w:rPr>
        </w:r>
        <w:r w:rsidR="00A0537F">
          <w:rPr>
            <w:noProof/>
            <w:webHidden/>
          </w:rPr>
          <w:fldChar w:fldCharType="separate"/>
        </w:r>
        <w:r w:rsidR="00CF2713">
          <w:rPr>
            <w:noProof/>
            <w:webHidden/>
          </w:rPr>
          <w:t>25</w:t>
        </w:r>
        <w:r w:rsidR="00A0537F">
          <w:rPr>
            <w:noProof/>
            <w:webHidden/>
          </w:rPr>
          <w:fldChar w:fldCharType="end"/>
        </w:r>
      </w:hyperlink>
    </w:p>
    <w:p w14:paraId="3E1277A3" w14:textId="66404F0C" w:rsidR="00A0537F" w:rsidRDefault="00F11A59">
      <w:pPr>
        <w:pStyle w:val="TableofFigures"/>
        <w:tabs>
          <w:tab w:val="right" w:leader="dot" w:pos="8212"/>
        </w:tabs>
        <w:rPr>
          <w:rFonts w:asciiTheme="minorHAnsi" w:hAnsiTheme="minorHAnsi"/>
          <w:noProof/>
          <w:sz w:val="22"/>
          <w:szCs w:val="22"/>
          <w:lang w:val="en-AU" w:eastAsia="en-AU"/>
        </w:rPr>
      </w:pPr>
      <w:hyperlink w:anchor="_Toc53585950" w:history="1">
        <w:r w:rsidR="00A0537F" w:rsidRPr="001B052D">
          <w:rPr>
            <w:rStyle w:val="Hyperlink"/>
            <w:noProof/>
          </w:rPr>
          <w:t>Figure 20: Number of follow-up appointments delivered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_Toc53585950 \h </w:instrText>
        </w:r>
        <w:r w:rsidR="00A0537F">
          <w:rPr>
            <w:noProof/>
            <w:webHidden/>
          </w:rPr>
        </w:r>
        <w:r w:rsidR="00A0537F">
          <w:rPr>
            <w:noProof/>
            <w:webHidden/>
          </w:rPr>
          <w:fldChar w:fldCharType="separate"/>
        </w:r>
        <w:r w:rsidR="00CF2713">
          <w:rPr>
            <w:noProof/>
            <w:webHidden/>
          </w:rPr>
          <w:t>26</w:t>
        </w:r>
        <w:r w:rsidR="00A0537F">
          <w:rPr>
            <w:noProof/>
            <w:webHidden/>
          </w:rPr>
          <w:fldChar w:fldCharType="end"/>
        </w:r>
      </w:hyperlink>
    </w:p>
    <w:p w14:paraId="65848220" w14:textId="514E9A84" w:rsidR="00A0537F" w:rsidRDefault="00F11A59">
      <w:pPr>
        <w:pStyle w:val="TableofFigures"/>
        <w:tabs>
          <w:tab w:val="right" w:leader="dot" w:pos="8212"/>
        </w:tabs>
        <w:rPr>
          <w:rFonts w:asciiTheme="minorHAnsi" w:hAnsiTheme="minorHAnsi"/>
          <w:noProof/>
          <w:sz w:val="22"/>
          <w:szCs w:val="22"/>
          <w:lang w:val="en-AU" w:eastAsia="en-AU"/>
        </w:rPr>
      </w:pPr>
      <w:hyperlink w:anchor="_Toc53585951" w:history="1">
        <w:r w:rsidR="00A0537F" w:rsidRPr="001B052D">
          <w:rPr>
            <w:rStyle w:val="Hyperlink"/>
            <w:noProof/>
          </w:rPr>
          <w:t>Figure 21: Elective Services Patient Flow Indicator 2 (ESPI 2) nationally, July 2019–June 2020</w:t>
        </w:r>
        <w:r w:rsidR="00A0537F">
          <w:rPr>
            <w:noProof/>
            <w:webHidden/>
          </w:rPr>
          <w:tab/>
        </w:r>
        <w:r w:rsidR="00A0537F">
          <w:rPr>
            <w:noProof/>
            <w:webHidden/>
          </w:rPr>
          <w:fldChar w:fldCharType="begin"/>
        </w:r>
        <w:r w:rsidR="00A0537F">
          <w:rPr>
            <w:noProof/>
            <w:webHidden/>
          </w:rPr>
          <w:instrText xml:space="preserve"> PAGEREF _Toc53585951 \h </w:instrText>
        </w:r>
        <w:r w:rsidR="00A0537F">
          <w:rPr>
            <w:noProof/>
            <w:webHidden/>
          </w:rPr>
        </w:r>
        <w:r w:rsidR="00A0537F">
          <w:rPr>
            <w:noProof/>
            <w:webHidden/>
          </w:rPr>
          <w:fldChar w:fldCharType="separate"/>
        </w:r>
        <w:r w:rsidR="00CF2713">
          <w:rPr>
            <w:noProof/>
            <w:webHidden/>
          </w:rPr>
          <w:t>27</w:t>
        </w:r>
        <w:r w:rsidR="00A0537F">
          <w:rPr>
            <w:noProof/>
            <w:webHidden/>
          </w:rPr>
          <w:fldChar w:fldCharType="end"/>
        </w:r>
      </w:hyperlink>
    </w:p>
    <w:p w14:paraId="278104A1" w14:textId="13153BC2" w:rsidR="00A0537F" w:rsidRDefault="00F11A59">
      <w:pPr>
        <w:pStyle w:val="TableofFigures"/>
        <w:tabs>
          <w:tab w:val="right" w:leader="dot" w:pos="8212"/>
        </w:tabs>
        <w:rPr>
          <w:rFonts w:asciiTheme="minorHAnsi" w:hAnsiTheme="minorHAnsi"/>
          <w:noProof/>
          <w:sz w:val="22"/>
          <w:szCs w:val="22"/>
          <w:lang w:val="en-AU" w:eastAsia="en-AU"/>
        </w:rPr>
      </w:pPr>
      <w:hyperlink w:anchor="_Toc53585952" w:history="1">
        <w:r w:rsidR="00A0537F" w:rsidRPr="001B052D">
          <w:rPr>
            <w:rStyle w:val="Hyperlink"/>
            <w:noProof/>
          </w:rPr>
          <w:t>Figure 22: Elective Services Patient Flow Indicator 5 (ESPI 5) nationally, July 2019–June 2020</w:t>
        </w:r>
        <w:r w:rsidR="00A0537F">
          <w:rPr>
            <w:noProof/>
            <w:webHidden/>
          </w:rPr>
          <w:tab/>
        </w:r>
        <w:r w:rsidR="00A0537F">
          <w:rPr>
            <w:noProof/>
            <w:webHidden/>
          </w:rPr>
          <w:fldChar w:fldCharType="begin"/>
        </w:r>
        <w:r w:rsidR="00A0537F">
          <w:rPr>
            <w:noProof/>
            <w:webHidden/>
          </w:rPr>
          <w:instrText xml:space="preserve"> PAGEREF _Toc53585952 \h </w:instrText>
        </w:r>
        <w:r w:rsidR="00A0537F">
          <w:rPr>
            <w:noProof/>
            <w:webHidden/>
          </w:rPr>
        </w:r>
        <w:r w:rsidR="00A0537F">
          <w:rPr>
            <w:noProof/>
            <w:webHidden/>
          </w:rPr>
          <w:fldChar w:fldCharType="separate"/>
        </w:r>
        <w:r w:rsidR="00CF2713">
          <w:rPr>
            <w:noProof/>
            <w:webHidden/>
          </w:rPr>
          <w:t>28</w:t>
        </w:r>
        <w:r w:rsidR="00A0537F">
          <w:rPr>
            <w:noProof/>
            <w:webHidden/>
          </w:rPr>
          <w:fldChar w:fldCharType="end"/>
        </w:r>
      </w:hyperlink>
    </w:p>
    <w:p w14:paraId="1B9B69C2" w14:textId="58A2B426" w:rsidR="00A0537F" w:rsidRDefault="00F11A59">
      <w:pPr>
        <w:pStyle w:val="TableofFigures"/>
        <w:tabs>
          <w:tab w:val="right" w:leader="dot" w:pos="8212"/>
        </w:tabs>
        <w:rPr>
          <w:rFonts w:asciiTheme="minorHAnsi" w:hAnsiTheme="minorHAnsi"/>
          <w:noProof/>
          <w:sz w:val="22"/>
          <w:szCs w:val="22"/>
          <w:lang w:val="en-AU" w:eastAsia="en-AU"/>
        </w:rPr>
      </w:pPr>
      <w:hyperlink w:anchor="_Toc53585953" w:history="1">
        <w:r w:rsidR="00A0537F" w:rsidRPr="001B052D">
          <w:rPr>
            <w:rStyle w:val="Hyperlink"/>
            <w:noProof/>
          </w:rPr>
          <w:t>Figure 23: Elective Services Patient Flow Indicator 5 (ESPI 5) for Māori nationally, July 2019–June 2020</w:t>
        </w:r>
        <w:r w:rsidR="00A0537F">
          <w:rPr>
            <w:noProof/>
            <w:webHidden/>
          </w:rPr>
          <w:tab/>
        </w:r>
        <w:r w:rsidR="00A0537F">
          <w:rPr>
            <w:noProof/>
            <w:webHidden/>
          </w:rPr>
          <w:fldChar w:fldCharType="begin"/>
        </w:r>
        <w:r w:rsidR="00A0537F">
          <w:rPr>
            <w:noProof/>
            <w:webHidden/>
          </w:rPr>
          <w:instrText xml:space="preserve"> PAGEREF _Toc53585953 \h </w:instrText>
        </w:r>
        <w:r w:rsidR="00A0537F">
          <w:rPr>
            <w:noProof/>
            <w:webHidden/>
          </w:rPr>
        </w:r>
        <w:r w:rsidR="00A0537F">
          <w:rPr>
            <w:noProof/>
            <w:webHidden/>
          </w:rPr>
          <w:fldChar w:fldCharType="separate"/>
        </w:r>
        <w:r w:rsidR="00CF2713">
          <w:rPr>
            <w:noProof/>
            <w:webHidden/>
          </w:rPr>
          <w:t>29</w:t>
        </w:r>
        <w:r w:rsidR="00A0537F">
          <w:rPr>
            <w:noProof/>
            <w:webHidden/>
          </w:rPr>
          <w:fldChar w:fldCharType="end"/>
        </w:r>
      </w:hyperlink>
    </w:p>
    <w:p w14:paraId="34350614" w14:textId="36ED5EAC" w:rsidR="00A0537F" w:rsidRDefault="00F11A59">
      <w:pPr>
        <w:pStyle w:val="TableofFigures"/>
        <w:tabs>
          <w:tab w:val="right" w:leader="dot" w:pos="8212"/>
        </w:tabs>
        <w:rPr>
          <w:rFonts w:asciiTheme="minorHAnsi" w:hAnsiTheme="minorHAnsi"/>
          <w:noProof/>
          <w:sz w:val="22"/>
          <w:szCs w:val="22"/>
          <w:lang w:val="en-AU" w:eastAsia="en-AU"/>
        </w:rPr>
      </w:pPr>
      <w:hyperlink w:anchor="_Toc53585954" w:history="1">
        <w:r w:rsidR="00A0537F" w:rsidRPr="001B052D">
          <w:rPr>
            <w:rStyle w:val="Hyperlink"/>
            <w:noProof/>
          </w:rPr>
          <w:t>Figure 24: Elective Services Patient Flow Indicator 5 (ESPI 5) for Pacific peoples nationally, July 2019–June 2020</w:t>
        </w:r>
        <w:r w:rsidR="00A0537F">
          <w:rPr>
            <w:noProof/>
            <w:webHidden/>
          </w:rPr>
          <w:tab/>
        </w:r>
        <w:r w:rsidR="00A0537F">
          <w:rPr>
            <w:noProof/>
            <w:webHidden/>
          </w:rPr>
          <w:fldChar w:fldCharType="begin"/>
        </w:r>
        <w:r w:rsidR="00A0537F">
          <w:rPr>
            <w:noProof/>
            <w:webHidden/>
          </w:rPr>
          <w:instrText xml:space="preserve"> PAGEREF _Toc53585954 \h </w:instrText>
        </w:r>
        <w:r w:rsidR="00A0537F">
          <w:rPr>
            <w:noProof/>
            <w:webHidden/>
          </w:rPr>
        </w:r>
        <w:r w:rsidR="00A0537F">
          <w:rPr>
            <w:noProof/>
            <w:webHidden/>
          </w:rPr>
          <w:fldChar w:fldCharType="separate"/>
        </w:r>
        <w:r w:rsidR="00CF2713">
          <w:rPr>
            <w:noProof/>
            <w:webHidden/>
          </w:rPr>
          <w:t>29</w:t>
        </w:r>
        <w:r w:rsidR="00A0537F">
          <w:rPr>
            <w:noProof/>
            <w:webHidden/>
          </w:rPr>
          <w:fldChar w:fldCharType="end"/>
        </w:r>
      </w:hyperlink>
    </w:p>
    <w:p w14:paraId="7136F57E" w14:textId="318713C7" w:rsidR="00A0537F" w:rsidRDefault="00F11A59">
      <w:pPr>
        <w:pStyle w:val="TableofFigures"/>
        <w:tabs>
          <w:tab w:val="right" w:leader="dot" w:pos="8212"/>
        </w:tabs>
        <w:rPr>
          <w:rFonts w:asciiTheme="minorHAnsi" w:hAnsiTheme="minorHAnsi"/>
          <w:noProof/>
          <w:sz w:val="22"/>
          <w:szCs w:val="22"/>
          <w:lang w:val="en-AU" w:eastAsia="en-AU"/>
        </w:rPr>
      </w:pPr>
      <w:hyperlink w:anchor="_Toc53585955" w:history="1">
        <w:r w:rsidR="00A0537F" w:rsidRPr="001B052D">
          <w:rPr>
            <w:rStyle w:val="Hyperlink"/>
            <w:noProof/>
          </w:rPr>
          <w:t>Figure 25: Elective Services Patient Flow Indicator 5 (ESPI 5) for non-Māori, non-Pacific nationally, July 2019–June 2020</w:t>
        </w:r>
        <w:r w:rsidR="00A0537F">
          <w:rPr>
            <w:noProof/>
            <w:webHidden/>
          </w:rPr>
          <w:tab/>
        </w:r>
        <w:r w:rsidR="00A0537F">
          <w:rPr>
            <w:noProof/>
            <w:webHidden/>
          </w:rPr>
          <w:fldChar w:fldCharType="begin"/>
        </w:r>
        <w:r w:rsidR="00A0537F">
          <w:rPr>
            <w:noProof/>
            <w:webHidden/>
          </w:rPr>
          <w:instrText xml:space="preserve"> PAGEREF _Toc53585955 \h </w:instrText>
        </w:r>
        <w:r w:rsidR="00A0537F">
          <w:rPr>
            <w:noProof/>
            <w:webHidden/>
          </w:rPr>
        </w:r>
        <w:r w:rsidR="00A0537F">
          <w:rPr>
            <w:noProof/>
            <w:webHidden/>
          </w:rPr>
          <w:fldChar w:fldCharType="separate"/>
        </w:r>
        <w:r w:rsidR="00CF2713">
          <w:rPr>
            <w:noProof/>
            <w:webHidden/>
          </w:rPr>
          <w:t>30</w:t>
        </w:r>
        <w:r w:rsidR="00A0537F">
          <w:rPr>
            <w:noProof/>
            <w:webHidden/>
          </w:rPr>
          <w:fldChar w:fldCharType="end"/>
        </w:r>
      </w:hyperlink>
    </w:p>
    <w:p w14:paraId="6474E6DF" w14:textId="1754DADB" w:rsidR="00A0537F" w:rsidRDefault="00F11A59">
      <w:pPr>
        <w:pStyle w:val="TableofFigures"/>
        <w:tabs>
          <w:tab w:val="right" w:leader="dot" w:pos="8212"/>
        </w:tabs>
        <w:rPr>
          <w:rFonts w:asciiTheme="minorHAnsi" w:hAnsiTheme="minorHAnsi"/>
          <w:noProof/>
          <w:sz w:val="22"/>
          <w:szCs w:val="22"/>
          <w:lang w:val="en-AU" w:eastAsia="en-AU"/>
        </w:rPr>
      </w:pPr>
      <w:hyperlink w:anchor="_Toc53585956" w:history="1">
        <w:r w:rsidR="00A0537F" w:rsidRPr="001B052D">
          <w:rPr>
            <w:rStyle w:val="Hyperlink"/>
            <w:noProof/>
          </w:rPr>
          <w:t>Figure 26: Number of acute discharges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_Toc53585956 \h </w:instrText>
        </w:r>
        <w:r w:rsidR="00A0537F">
          <w:rPr>
            <w:noProof/>
            <w:webHidden/>
          </w:rPr>
        </w:r>
        <w:r w:rsidR="00A0537F">
          <w:rPr>
            <w:noProof/>
            <w:webHidden/>
          </w:rPr>
          <w:fldChar w:fldCharType="separate"/>
        </w:r>
        <w:r w:rsidR="00CF2713">
          <w:rPr>
            <w:noProof/>
            <w:webHidden/>
          </w:rPr>
          <w:t>34</w:t>
        </w:r>
        <w:r w:rsidR="00A0537F">
          <w:rPr>
            <w:noProof/>
            <w:webHidden/>
          </w:rPr>
          <w:fldChar w:fldCharType="end"/>
        </w:r>
      </w:hyperlink>
    </w:p>
    <w:p w14:paraId="73C9DBD7" w14:textId="59C6DBDA" w:rsidR="00A0537F" w:rsidRDefault="00F11A59">
      <w:pPr>
        <w:pStyle w:val="TableofFigures"/>
        <w:tabs>
          <w:tab w:val="right" w:leader="dot" w:pos="8212"/>
        </w:tabs>
        <w:rPr>
          <w:rFonts w:asciiTheme="minorHAnsi" w:hAnsiTheme="minorHAnsi"/>
          <w:noProof/>
          <w:sz w:val="22"/>
          <w:szCs w:val="22"/>
          <w:lang w:val="en-AU" w:eastAsia="en-AU"/>
        </w:rPr>
      </w:pPr>
      <w:hyperlink w:anchor="_Toc53585957" w:history="1">
        <w:r w:rsidR="00A0537F" w:rsidRPr="001B052D">
          <w:rPr>
            <w:rStyle w:val="Hyperlink"/>
            <w:noProof/>
          </w:rPr>
          <w:t>Figure 27: Number of emergency department (ED) attendances nationally from March to June 2018–2020</w:t>
        </w:r>
        <w:r w:rsidR="00A0537F">
          <w:rPr>
            <w:noProof/>
            <w:webHidden/>
          </w:rPr>
          <w:tab/>
        </w:r>
        <w:r w:rsidR="00A0537F">
          <w:rPr>
            <w:noProof/>
            <w:webHidden/>
          </w:rPr>
          <w:fldChar w:fldCharType="begin"/>
        </w:r>
        <w:r w:rsidR="00A0537F">
          <w:rPr>
            <w:noProof/>
            <w:webHidden/>
          </w:rPr>
          <w:instrText xml:space="preserve"> PAGEREF _Toc53585957 \h </w:instrText>
        </w:r>
        <w:r w:rsidR="00A0537F">
          <w:rPr>
            <w:noProof/>
            <w:webHidden/>
          </w:rPr>
        </w:r>
        <w:r w:rsidR="00A0537F">
          <w:rPr>
            <w:noProof/>
            <w:webHidden/>
          </w:rPr>
          <w:fldChar w:fldCharType="separate"/>
        </w:r>
        <w:r w:rsidR="00CF2713">
          <w:rPr>
            <w:noProof/>
            <w:webHidden/>
          </w:rPr>
          <w:t>35</w:t>
        </w:r>
        <w:r w:rsidR="00A0537F">
          <w:rPr>
            <w:noProof/>
            <w:webHidden/>
          </w:rPr>
          <w:fldChar w:fldCharType="end"/>
        </w:r>
      </w:hyperlink>
    </w:p>
    <w:p w14:paraId="2203B75A" w14:textId="71A74697" w:rsidR="00A0537F" w:rsidRDefault="00F11A59">
      <w:pPr>
        <w:pStyle w:val="TableofFigures"/>
        <w:tabs>
          <w:tab w:val="right" w:leader="dot" w:pos="8212"/>
        </w:tabs>
        <w:rPr>
          <w:rFonts w:asciiTheme="minorHAnsi" w:hAnsiTheme="minorHAnsi"/>
          <w:noProof/>
          <w:sz w:val="22"/>
          <w:szCs w:val="22"/>
          <w:lang w:val="en-AU" w:eastAsia="en-AU"/>
        </w:rPr>
      </w:pPr>
      <w:hyperlink w:anchor="_Toc53585958" w:history="1">
        <w:r w:rsidR="00A0537F" w:rsidRPr="001B052D">
          <w:rPr>
            <w:rStyle w:val="Hyperlink"/>
            <w:noProof/>
          </w:rPr>
          <w:t>Figure 28: Average number of minutes spent in emergency departments (ED) nationally from March to June 2018–2020</w:t>
        </w:r>
        <w:r w:rsidR="00A0537F">
          <w:rPr>
            <w:noProof/>
            <w:webHidden/>
          </w:rPr>
          <w:tab/>
        </w:r>
        <w:r w:rsidR="00A0537F">
          <w:rPr>
            <w:noProof/>
            <w:webHidden/>
          </w:rPr>
          <w:fldChar w:fldCharType="begin"/>
        </w:r>
        <w:r w:rsidR="00A0537F">
          <w:rPr>
            <w:noProof/>
            <w:webHidden/>
          </w:rPr>
          <w:instrText xml:space="preserve"> PAGEREF _Toc53585958 \h </w:instrText>
        </w:r>
        <w:r w:rsidR="00A0537F">
          <w:rPr>
            <w:noProof/>
            <w:webHidden/>
          </w:rPr>
        </w:r>
        <w:r w:rsidR="00A0537F">
          <w:rPr>
            <w:noProof/>
            <w:webHidden/>
          </w:rPr>
          <w:fldChar w:fldCharType="separate"/>
        </w:r>
        <w:r w:rsidR="00CF2713">
          <w:rPr>
            <w:noProof/>
            <w:webHidden/>
          </w:rPr>
          <w:t>35</w:t>
        </w:r>
        <w:r w:rsidR="00A0537F">
          <w:rPr>
            <w:noProof/>
            <w:webHidden/>
          </w:rPr>
          <w:fldChar w:fldCharType="end"/>
        </w:r>
      </w:hyperlink>
    </w:p>
    <w:p w14:paraId="039DAF12" w14:textId="32E2671D" w:rsidR="00A0537F" w:rsidRDefault="00F11A59">
      <w:pPr>
        <w:pStyle w:val="TableofFigures"/>
        <w:tabs>
          <w:tab w:val="right" w:leader="dot" w:pos="8212"/>
        </w:tabs>
        <w:rPr>
          <w:rFonts w:asciiTheme="minorHAnsi" w:hAnsiTheme="minorHAnsi"/>
          <w:noProof/>
          <w:sz w:val="22"/>
          <w:szCs w:val="22"/>
          <w:lang w:val="en-AU" w:eastAsia="en-AU"/>
        </w:rPr>
      </w:pPr>
      <w:hyperlink w:anchor="_Toc53585959" w:history="1">
        <w:r w:rsidR="00A0537F" w:rsidRPr="001B052D">
          <w:rPr>
            <w:rStyle w:val="Hyperlink"/>
            <w:noProof/>
          </w:rPr>
          <w:t>Figure 29: Number of emergency department (ED) attendances nationally from March to June 2018–2020, by ethnicity</w:t>
        </w:r>
        <w:r w:rsidR="00A0537F">
          <w:rPr>
            <w:noProof/>
            <w:webHidden/>
          </w:rPr>
          <w:tab/>
        </w:r>
        <w:r w:rsidR="00A0537F">
          <w:rPr>
            <w:noProof/>
            <w:webHidden/>
          </w:rPr>
          <w:fldChar w:fldCharType="begin"/>
        </w:r>
        <w:r w:rsidR="00A0537F">
          <w:rPr>
            <w:noProof/>
            <w:webHidden/>
          </w:rPr>
          <w:instrText xml:space="preserve"> PAGEREF _Toc53585959 \h </w:instrText>
        </w:r>
        <w:r w:rsidR="00A0537F">
          <w:rPr>
            <w:noProof/>
            <w:webHidden/>
          </w:rPr>
        </w:r>
        <w:r w:rsidR="00A0537F">
          <w:rPr>
            <w:noProof/>
            <w:webHidden/>
          </w:rPr>
          <w:fldChar w:fldCharType="separate"/>
        </w:r>
        <w:r w:rsidR="00CF2713">
          <w:rPr>
            <w:noProof/>
            <w:webHidden/>
          </w:rPr>
          <w:t>36</w:t>
        </w:r>
        <w:r w:rsidR="00A0537F">
          <w:rPr>
            <w:noProof/>
            <w:webHidden/>
          </w:rPr>
          <w:fldChar w:fldCharType="end"/>
        </w:r>
      </w:hyperlink>
    </w:p>
    <w:p w14:paraId="6D52DB01" w14:textId="0757F6E6" w:rsidR="00CE69D3" w:rsidRPr="00CE69D3" w:rsidRDefault="00A0537F" w:rsidP="00CE69D3">
      <w:pPr>
        <w:sectPr w:rsidR="00CE69D3" w:rsidRPr="00CE69D3" w:rsidSect="00A0537F">
          <w:type w:val="continuous"/>
          <w:pgSz w:w="11907" w:h="16834" w:code="9"/>
          <w:pgMar w:top="1418" w:right="1558" w:bottom="1418" w:left="1843" w:header="284" w:footer="709" w:gutter="284"/>
          <w:pgNumType w:fmt="lowerRoman"/>
          <w:cols w:space="720"/>
          <w:docGrid w:linePitch="286"/>
        </w:sectPr>
      </w:pPr>
      <w:r>
        <w:rPr>
          <w:rFonts w:eastAsiaTheme="minorEastAsia" w:cstheme="minorBidi"/>
          <w:sz w:val="20"/>
          <w:szCs w:val="21"/>
          <w:lang w:eastAsia="en-US"/>
        </w:rPr>
        <w:fldChar w:fldCharType="end"/>
      </w:r>
    </w:p>
    <w:p w14:paraId="184D55E6" w14:textId="522B9729" w:rsidR="00F94B71" w:rsidRDefault="001E0455" w:rsidP="00615DC1">
      <w:pPr>
        <w:pStyle w:val="Heading1"/>
      </w:pPr>
      <w:r>
        <w:lastRenderedPageBreak/>
        <w:t>Summary</w:t>
      </w:r>
      <w:bookmarkEnd w:id="3"/>
      <w:r w:rsidR="00A737C2">
        <w:t xml:space="preserve"> </w:t>
      </w:r>
    </w:p>
    <w:p w14:paraId="7C2995CB" w14:textId="77777777" w:rsidR="001E0455" w:rsidRPr="001E0455" w:rsidRDefault="001E0455" w:rsidP="001E0455">
      <w:pPr>
        <w:pStyle w:val="Box"/>
        <w:rPr>
          <w:b/>
          <w:sz w:val="24"/>
        </w:rPr>
      </w:pPr>
      <w:bookmarkStart w:id="4" w:name="_Toc52430149"/>
      <w:bookmarkStart w:id="5" w:name="_Toc51862851"/>
      <w:r w:rsidRPr="001E0455">
        <w:rPr>
          <w:b/>
          <w:sz w:val="24"/>
        </w:rPr>
        <w:t>Overview of the impact of COVID-19 lockdown on health outcomes and health service use</w:t>
      </w:r>
    </w:p>
    <w:p w14:paraId="33FD06AB" w14:textId="62649557" w:rsidR="001E0455" w:rsidRDefault="001E0455" w:rsidP="001E0455">
      <w:pPr>
        <w:pStyle w:val="Box"/>
      </w:pPr>
      <w:r>
        <w:t>Overall, health service use decreased during the COVID-19 lockdown period across planned, unplanned and primary care. Despite this reduction, early data indicates mortality did not increase over this period compared with the same time in 2019. The data also indicates that while overall activity levels in hospitals were similar across ethnic groups, some differences occurred in relation to specific services in the health system, such as delivery of Planned Care Interventions and acute activity.</w:t>
      </w:r>
    </w:p>
    <w:p w14:paraId="3B193E0E" w14:textId="301B79A7" w:rsidR="001E0455" w:rsidRPr="001E0455" w:rsidRDefault="001E0455" w:rsidP="00C46B46">
      <w:pPr>
        <w:pStyle w:val="Heading2"/>
        <w:spacing w:before="340"/>
      </w:pPr>
      <w:bookmarkStart w:id="6" w:name="_Toc53471208"/>
      <w:r w:rsidRPr="001E0455">
        <w:t>Background and data</w:t>
      </w:r>
      <w:bookmarkEnd w:id="4"/>
      <w:bookmarkEnd w:id="6"/>
    </w:p>
    <w:p w14:paraId="526E6764" w14:textId="77777777" w:rsidR="001E0455" w:rsidRPr="00E35305" w:rsidRDefault="001E0455" w:rsidP="001E0455">
      <w:pPr>
        <w:pStyle w:val="Bullet"/>
      </w:pPr>
      <w:r w:rsidRPr="00E35305">
        <w:t xml:space="preserve">The purpose of this analysis was to provide an overview of the impact of COVID-19 and the lockdown period on </w:t>
      </w:r>
      <w:r>
        <w:t>hospital and general practice activity</w:t>
      </w:r>
      <w:r w:rsidRPr="00E35305">
        <w:t>.</w:t>
      </w:r>
    </w:p>
    <w:p w14:paraId="70814C07" w14:textId="77777777" w:rsidR="001E0455" w:rsidRDefault="001E0455" w:rsidP="001E0455">
      <w:pPr>
        <w:pStyle w:val="Bullet"/>
      </w:pPr>
      <w:r w:rsidRPr="00E35305">
        <w:t>The report, particularly in making comparisons between 2020 and previous years, does not consider other variables that may have affected health</w:t>
      </w:r>
      <w:r>
        <w:t>-</w:t>
      </w:r>
      <w:r w:rsidRPr="00E35305">
        <w:t>seeking behaviour or service delivery in any given period.</w:t>
      </w:r>
    </w:p>
    <w:p w14:paraId="2B4EAD8B" w14:textId="77777777" w:rsidR="001E0455" w:rsidRPr="00E35305" w:rsidRDefault="001E0455" w:rsidP="001E0455">
      <w:pPr>
        <w:pStyle w:val="Bullet"/>
      </w:pPr>
      <w:r>
        <w:t>The report does not include analysis of disruption caused by the re-emergence of COVID-19 in August 2020 in the Auckland region.</w:t>
      </w:r>
    </w:p>
    <w:p w14:paraId="046470DC" w14:textId="77777777" w:rsidR="001E0455" w:rsidRPr="00E35305" w:rsidRDefault="001E0455" w:rsidP="001E0455">
      <w:pPr>
        <w:pStyle w:val="Bullet"/>
      </w:pPr>
      <w:r w:rsidRPr="00E35305">
        <w:t xml:space="preserve">This is a working report to </w:t>
      </w:r>
      <w:r>
        <w:t>help</w:t>
      </w:r>
      <w:r w:rsidRPr="00E35305">
        <w:t xml:space="preserve"> with recovery planning. </w:t>
      </w:r>
      <w:r>
        <w:t>We will undertake f</w:t>
      </w:r>
      <w:r w:rsidRPr="00E35305">
        <w:t>urther analysis as more data becomes available.</w:t>
      </w:r>
    </w:p>
    <w:p w14:paraId="1C4A66B7" w14:textId="77777777" w:rsidR="001E0455" w:rsidRPr="00E35305" w:rsidRDefault="001E0455" w:rsidP="00C46B46">
      <w:pPr>
        <w:pStyle w:val="Heading2"/>
        <w:spacing w:before="340"/>
      </w:pPr>
      <w:bookmarkStart w:id="7" w:name="_Toc52430150"/>
      <w:bookmarkStart w:id="8" w:name="_Toc53471209"/>
      <w:r w:rsidRPr="00E35305">
        <w:t>Summary of results</w:t>
      </w:r>
      <w:bookmarkEnd w:id="7"/>
      <w:bookmarkEnd w:id="8"/>
    </w:p>
    <w:p w14:paraId="6D533632" w14:textId="77777777" w:rsidR="001E0455" w:rsidRPr="00E35305" w:rsidRDefault="001E0455" w:rsidP="00C46B46">
      <w:pPr>
        <w:pStyle w:val="Heading3"/>
        <w:spacing w:before="320" w:after="160"/>
      </w:pPr>
      <w:bookmarkStart w:id="9" w:name="_Toc52430151"/>
      <w:r w:rsidRPr="00E35305">
        <w:t>Mortality</w:t>
      </w:r>
      <w:bookmarkEnd w:id="9"/>
    </w:p>
    <w:p w14:paraId="2C531374" w14:textId="77777777" w:rsidR="001E0455" w:rsidRDefault="001E0455" w:rsidP="001E0455">
      <w:pPr>
        <w:pStyle w:val="Bullet"/>
      </w:pPr>
      <w:r w:rsidRPr="00E35305">
        <w:t>Early data suggest</w:t>
      </w:r>
      <w:r>
        <w:t>s</w:t>
      </w:r>
      <w:r w:rsidRPr="00E35305">
        <w:t xml:space="preserve"> mortality </w:t>
      </w:r>
      <w:r>
        <w:t xml:space="preserve">decreased </w:t>
      </w:r>
      <w:r w:rsidRPr="00E35305">
        <w:t>over the lockdown period</w:t>
      </w:r>
      <w:r>
        <w:t>,</w:t>
      </w:r>
      <w:r w:rsidRPr="00E35305">
        <w:t xml:space="preserve"> compared with the past five years.</w:t>
      </w:r>
    </w:p>
    <w:p w14:paraId="0A1E0337" w14:textId="77777777" w:rsidR="001E0455" w:rsidRPr="00E35305" w:rsidRDefault="001E0455" w:rsidP="00C46B46">
      <w:pPr>
        <w:pStyle w:val="Heading3"/>
        <w:spacing w:before="320" w:after="160"/>
      </w:pPr>
      <w:bookmarkStart w:id="10" w:name="_Toc52430152"/>
      <w:r w:rsidRPr="00E35305">
        <w:t xml:space="preserve">Primary </w:t>
      </w:r>
      <w:r>
        <w:t>c</w:t>
      </w:r>
      <w:r w:rsidRPr="00E35305">
        <w:t>are</w:t>
      </w:r>
      <w:bookmarkEnd w:id="10"/>
    </w:p>
    <w:p w14:paraId="3C6DFFB1" w14:textId="77777777" w:rsidR="001E0455" w:rsidRPr="00E35305" w:rsidRDefault="001E0455" w:rsidP="001E0455">
      <w:pPr>
        <w:pStyle w:val="Bullet"/>
      </w:pPr>
      <w:r w:rsidRPr="00E35305">
        <w:t>The COVID-19 lockdown had a</w:t>
      </w:r>
      <w:r>
        <w:t>n</w:t>
      </w:r>
      <w:r w:rsidRPr="00E35305">
        <w:t xml:space="preserve"> impact on the number of </w:t>
      </w:r>
      <w:r>
        <w:t>q</w:t>
      </w:r>
      <w:r w:rsidRPr="00E35305">
        <w:t xml:space="preserve">ualifying </w:t>
      </w:r>
      <w:r>
        <w:t>e</w:t>
      </w:r>
      <w:r w:rsidRPr="00E35305">
        <w:t>ncounters</w:t>
      </w:r>
      <w:r>
        <w:t xml:space="preserve"> patients have with a general practice.</w:t>
      </w:r>
      <w:r w:rsidRPr="00E35305">
        <w:t xml:space="preserve"> </w:t>
      </w:r>
      <w:r>
        <w:t>A</w:t>
      </w:r>
      <w:r w:rsidRPr="00E35305">
        <w:t>s at 1</w:t>
      </w:r>
      <w:r>
        <w:t>2 July</w:t>
      </w:r>
      <w:r w:rsidRPr="00E35305">
        <w:t xml:space="preserve"> 2020</w:t>
      </w:r>
      <w:r>
        <w:t>,</w:t>
      </w:r>
      <w:r w:rsidRPr="00E35305">
        <w:t xml:space="preserve"> this</w:t>
      </w:r>
      <w:r>
        <w:t xml:space="preserve"> number</w:t>
      </w:r>
      <w:r w:rsidRPr="00E35305">
        <w:t xml:space="preserve"> continue</w:t>
      </w:r>
      <w:r>
        <w:t>d</w:t>
      </w:r>
      <w:r w:rsidRPr="00E35305">
        <w:t xml:space="preserve"> to be low compared with 2019.</w:t>
      </w:r>
    </w:p>
    <w:p w14:paraId="62F6F14E" w14:textId="77777777" w:rsidR="001E0455" w:rsidRPr="00E35305" w:rsidRDefault="001E0455" w:rsidP="001E0455">
      <w:pPr>
        <w:pStyle w:val="Bullet"/>
      </w:pPr>
      <w:r w:rsidRPr="007E6A37">
        <w:t xml:space="preserve">Qualifying </w:t>
      </w:r>
      <w:r>
        <w:t>e</w:t>
      </w:r>
      <w:r w:rsidRPr="007E6A37">
        <w:t>ncounters include a range of interactions between a patient and the general practice they are enrolled with. They include, but are not limited to: doctor and nurse consultations (face-to-face and remote) and follow-up communications, prescription requests,</w:t>
      </w:r>
      <w:r>
        <w:t xml:space="preserve"> and</w:t>
      </w:r>
      <w:r w:rsidRPr="007E6A37">
        <w:t xml:space="preserve"> immunisations.</w:t>
      </w:r>
    </w:p>
    <w:p w14:paraId="36942C88" w14:textId="77777777" w:rsidR="001E0455" w:rsidRPr="00E35305" w:rsidRDefault="001E0455" w:rsidP="00C46B46">
      <w:pPr>
        <w:pStyle w:val="Heading3"/>
        <w:spacing w:before="320" w:after="160"/>
      </w:pPr>
      <w:bookmarkStart w:id="11" w:name="_Toc52430153"/>
      <w:r w:rsidRPr="00E35305">
        <w:lastRenderedPageBreak/>
        <w:t xml:space="preserve">Overall </w:t>
      </w:r>
      <w:r>
        <w:t>hospital a</w:t>
      </w:r>
      <w:r w:rsidRPr="00E35305">
        <w:t>ctivity</w:t>
      </w:r>
      <w:bookmarkEnd w:id="11"/>
    </w:p>
    <w:p w14:paraId="6D7D2629" w14:textId="77777777" w:rsidR="001E0455" w:rsidRPr="00A00665" w:rsidRDefault="001E0455" w:rsidP="001E0455">
      <w:pPr>
        <w:pStyle w:val="Bullet"/>
      </w:pPr>
      <w:r w:rsidRPr="00A00665">
        <w:t xml:space="preserve">Overall, hospital activity was lower in March </w:t>
      </w:r>
      <w:r>
        <w:t>to</w:t>
      </w:r>
      <w:r w:rsidRPr="00A00665">
        <w:t xml:space="preserve"> June 2020 compared with the same months in 2018 and 2019. The relative decrease was greatest in April.</w:t>
      </w:r>
    </w:p>
    <w:p w14:paraId="752DDB0B" w14:textId="77777777" w:rsidR="001E0455" w:rsidRPr="00A00665" w:rsidRDefault="001E0455" w:rsidP="001E0455">
      <w:pPr>
        <w:pStyle w:val="Bullet"/>
      </w:pPr>
      <w:r w:rsidRPr="00A00665">
        <w:t>Available data indicate</w:t>
      </w:r>
      <w:r>
        <w:t>s</w:t>
      </w:r>
      <w:r w:rsidRPr="00A00665">
        <w:t xml:space="preserve"> that, overall, ethnic groups</w:t>
      </w:r>
      <w:r w:rsidRPr="00A00665" w:rsidDel="00872D74">
        <w:t xml:space="preserve"> </w:t>
      </w:r>
      <w:r>
        <w:t xml:space="preserve">differed slightly in </w:t>
      </w:r>
      <w:r w:rsidRPr="00A00665">
        <w:t xml:space="preserve">the level of activity disruption </w:t>
      </w:r>
      <w:r>
        <w:t>they experienced. T</w:t>
      </w:r>
      <w:r w:rsidRPr="00A00665">
        <w:t>he discharge numbers of Māori, Pacific and non-Māori</w:t>
      </w:r>
      <w:r>
        <w:t>,</w:t>
      </w:r>
      <w:r w:rsidRPr="00A00665">
        <w:t xml:space="preserve"> non-Pacific </w:t>
      </w:r>
      <w:r>
        <w:t xml:space="preserve">groups </w:t>
      </w:r>
      <w:r w:rsidRPr="00A00665">
        <w:t>all decreas</w:t>
      </w:r>
      <w:r>
        <w:t>ed</w:t>
      </w:r>
      <w:r w:rsidRPr="00A00665">
        <w:t xml:space="preserve"> by between 37.7% and 40.5% in April 2020 compared with April 2019.</w:t>
      </w:r>
    </w:p>
    <w:p w14:paraId="7B39216A" w14:textId="77777777" w:rsidR="001E0455" w:rsidRPr="00E35305" w:rsidRDefault="001E0455" w:rsidP="00C46B46">
      <w:pPr>
        <w:pStyle w:val="Heading3"/>
        <w:spacing w:before="320" w:after="160"/>
      </w:pPr>
      <w:bookmarkStart w:id="12" w:name="_Toc52430154"/>
      <w:r w:rsidRPr="00E35305">
        <w:t xml:space="preserve">Planned </w:t>
      </w:r>
      <w:r>
        <w:t>c</w:t>
      </w:r>
      <w:r w:rsidRPr="00E35305">
        <w:t>are</w:t>
      </w:r>
      <w:bookmarkEnd w:id="12"/>
    </w:p>
    <w:p w14:paraId="59C3D96A" w14:textId="77777777" w:rsidR="001E0455" w:rsidRPr="00E40E69" w:rsidRDefault="001E0455" w:rsidP="001E0455">
      <w:pPr>
        <w:pStyle w:val="Bullet"/>
        <w:rPr>
          <w:color w:val="000000"/>
        </w:rPr>
      </w:pPr>
      <w:r>
        <w:t xml:space="preserve">Among the ethnic groups, </w:t>
      </w:r>
      <w:r w:rsidRPr="00E35305">
        <w:t xml:space="preserve">Māori experienced the </w:t>
      </w:r>
      <w:r>
        <w:t>greatest</w:t>
      </w:r>
      <w:r w:rsidRPr="00E35305">
        <w:t xml:space="preserve"> disruption in the delivery of Planned Care Interventions (PCIs) in April 2020 compared </w:t>
      </w:r>
      <w:r>
        <w:t>with</w:t>
      </w:r>
      <w:r w:rsidRPr="00E35305">
        <w:t xml:space="preserve"> April 2019.</w:t>
      </w:r>
    </w:p>
    <w:p w14:paraId="4978A5BA" w14:textId="77777777" w:rsidR="001E0455" w:rsidRPr="00E40E69" w:rsidRDefault="001E0455" w:rsidP="001E0455">
      <w:pPr>
        <w:pStyle w:val="Bullet"/>
        <w:rPr>
          <w:color w:val="000000"/>
        </w:rPr>
      </w:pPr>
      <w:r>
        <w:t>The impact of the lockdown was greater on i</w:t>
      </w:r>
      <w:r w:rsidRPr="00E35305">
        <w:t>npatient treatment</w:t>
      </w:r>
      <w:r>
        <w:t>, which</w:t>
      </w:r>
      <w:r w:rsidRPr="00E35305">
        <w:t xml:space="preserve"> </w:t>
      </w:r>
      <w:r>
        <w:t>reduced</w:t>
      </w:r>
      <w:r w:rsidRPr="00E35305">
        <w:t xml:space="preserve"> by 6</w:t>
      </w:r>
      <w:r>
        <w:t>3.8</w:t>
      </w:r>
      <w:r w:rsidRPr="00E35305">
        <w:t>% in April 2020 compared with April 2019, than</w:t>
      </w:r>
      <w:r>
        <w:t xml:space="preserve"> on</w:t>
      </w:r>
      <w:r w:rsidRPr="00E35305">
        <w:t xml:space="preserve"> minor procedures</w:t>
      </w:r>
      <w:r>
        <w:t>, which</w:t>
      </w:r>
      <w:r w:rsidRPr="00E35305">
        <w:t xml:space="preserve"> decreased by 2</w:t>
      </w:r>
      <w:r>
        <w:t>5.5</w:t>
      </w:r>
      <w:r w:rsidRPr="00E35305">
        <w:t>%.</w:t>
      </w:r>
    </w:p>
    <w:p w14:paraId="347AB1D4" w14:textId="77777777" w:rsidR="001E0455" w:rsidRPr="00E40E69" w:rsidRDefault="001E0455" w:rsidP="001E0455">
      <w:pPr>
        <w:pStyle w:val="Bullet"/>
        <w:rPr>
          <w:color w:val="000000"/>
        </w:rPr>
      </w:pPr>
      <w:r>
        <w:t>Delivery of f</w:t>
      </w:r>
      <w:r w:rsidRPr="00E35305">
        <w:t xml:space="preserve">irst </w:t>
      </w:r>
      <w:r>
        <w:t>s</w:t>
      </w:r>
      <w:r w:rsidRPr="00E35305">
        <w:t xml:space="preserve">pecialist </w:t>
      </w:r>
      <w:r>
        <w:t>a</w:t>
      </w:r>
      <w:r w:rsidRPr="00E35305">
        <w:t xml:space="preserve">ssessments (FSAs) </w:t>
      </w:r>
      <w:r>
        <w:t>was</w:t>
      </w:r>
      <w:r w:rsidRPr="00E35305">
        <w:t xml:space="preserve"> impacted more than follow</w:t>
      </w:r>
      <w:r>
        <w:t>-</w:t>
      </w:r>
      <w:r w:rsidRPr="00E35305">
        <w:t xml:space="preserve">up delivery, </w:t>
      </w:r>
      <w:r>
        <w:t>although the extent of the impact also differed by</w:t>
      </w:r>
      <w:r w:rsidRPr="00E35305">
        <w:t xml:space="preserve"> region.</w:t>
      </w:r>
      <w:r>
        <w:t xml:space="preserve"> Among ethnic groups,</w:t>
      </w:r>
      <w:r w:rsidRPr="00E35305">
        <w:t xml:space="preserve"> </w:t>
      </w:r>
      <w:r>
        <w:t>n</w:t>
      </w:r>
      <w:r w:rsidRPr="00E35305">
        <w:t>on-Māori</w:t>
      </w:r>
      <w:r>
        <w:t>,</w:t>
      </w:r>
      <w:r w:rsidRPr="00E35305">
        <w:t xml:space="preserve"> </w:t>
      </w:r>
      <w:r>
        <w:t>n</w:t>
      </w:r>
      <w:r w:rsidRPr="00E35305">
        <w:t xml:space="preserve">on-Pacific </w:t>
      </w:r>
      <w:r>
        <w:t xml:space="preserve">populations experienced </w:t>
      </w:r>
      <w:r w:rsidRPr="00E35305">
        <w:t>the greatest decrease</w:t>
      </w:r>
      <w:r>
        <w:t xml:space="preserve"> in the delivery of FSAs</w:t>
      </w:r>
      <w:r w:rsidRPr="00E35305">
        <w:t xml:space="preserve"> (by percentage), while Pacific </w:t>
      </w:r>
      <w:r>
        <w:t xml:space="preserve">peoples experienced </w:t>
      </w:r>
      <w:r w:rsidRPr="00E35305">
        <w:t xml:space="preserve">the </w:t>
      </w:r>
      <w:r>
        <w:t>smallest decrease</w:t>
      </w:r>
      <w:r w:rsidRPr="00E35305">
        <w:t>.</w:t>
      </w:r>
    </w:p>
    <w:p w14:paraId="6204E303" w14:textId="77777777" w:rsidR="001E0455" w:rsidRPr="007E6A37" w:rsidRDefault="001E0455" w:rsidP="001E0455">
      <w:pPr>
        <w:pStyle w:val="Bullet"/>
        <w:rPr>
          <w:color w:val="000000"/>
        </w:rPr>
      </w:pPr>
      <w:r w:rsidRPr="00A00665">
        <w:rPr>
          <w:color w:val="000000" w:themeColor="text1"/>
        </w:rPr>
        <w:t>The percentage of patients waiting more than four months for treatment (</w:t>
      </w:r>
      <w:r w:rsidRPr="00E35305">
        <w:t xml:space="preserve">Elective </w:t>
      </w:r>
      <w:r>
        <w:t>Services Patient Flow Indicator</w:t>
      </w:r>
      <w:r w:rsidRPr="00A00665" w:rsidDel="00D44D18">
        <w:rPr>
          <w:color w:val="000000" w:themeColor="text1"/>
        </w:rPr>
        <w:t xml:space="preserve"> </w:t>
      </w:r>
      <w:r w:rsidRPr="00A00665">
        <w:rPr>
          <w:color w:val="000000" w:themeColor="text1"/>
        </w:rPr>
        <w:t xml:space="preserve">5) increased during the lockdown for all ethnic groups. </w:t>
      </w:r>
      <w:r>
        <w:rPr>
          <w:color w:val="000000" w:themeColor="text1"/>
        </w:rPr>
        <w:t>In an analysis of how many patients were waiting for more than four months</w:t>
      </w:r>
      <w:r w:rsidRPr="009A0E53">
        <w:rPr>
          <w:color w:val="000000" w:themeColor="text1"/>
        </w:rPr>
        <w:t xml:space="preserve"> </w:t>
      </w:r>
      <w:r>
        <w:rPr>
          <w:color w:val="000000" w:themeColor="text1"/>
        </w:rPr>
        <w:t>as a percentage of</w:t>
      </w:r>
      <w:r w:rsidRPr="00A00665">
        <w:rPr>
          <w:color w:val="000000" w:themeColor="text1"/>
        </w:rPr>
        <w:t xml:space="preserve"> the total number waiting for treatment in each ethnic group, Māori had the </w:t>
      </w:r>
      <w:r w:rsidRPr="007E6A37">
        <w:rPr>
          <w:color w:val="000000"/>
        </w:rPr>
        <w:t>highest percentage followed by Pacific people</w:t>
      </w:r>
      <w:r>
        <w:rPr>
          <w:color w:val="000000"/>
        </w:rPr>
        <w:t>s</w:t>
      </w:r>
      <w:r w:rsidRPr="007E6A37">
        <w:rPr>
          <w:color w:val="000000"/>
        </w:rPr>
        <w:t>.</w:t>
      </w:r>
    </w:p>
    <w:p w14:paraId="7085D17D" w14:textId="77777777" w:rsidR="001E0455" w:rsidRPr="00E35305" w:rsidRDefault="001E0455" w:rsidP="00C46B46">
      <w:pPr>
        <w:pStyle w:val="Heading3"/>
        <w:spacing w:before="320" w:after="160"/>
      </w:pPr>
      <w:bookmarkStart w:id="13" w:name="_Toc52430155"/>
      <w:r w:rsidRPr="00E35305">
        <w:t xml:space="preserve">Unplanned </w:t>
      </w:r>
      <w:r>
        <w:t>c</w:t>
      </w:r>
      <w:r w:rsidRPr="00E35305">
        <w:t>are</w:t>
      </w:r>
      <w:bookmarkEnd w:id="13"/>
    </w:p>
    <w:p w14:paraId="58C29BB9" w14:textId="77777777" w:rsidR="001E0455" w:rsidRPr="00B17C35" w:rsidRDefault="001E0455" w:rsidP="001E0455">
      <w:pPr>
        <w:pStyle w:val="Bullet"/>
      </w:pPr>
      <w:r w:rsidRPr="00B17C35">
        <w:t xml:space="preserve">Acute </w:t>
      </w:r>
      <w:r>
        <w:t>activity</w:t>
      </w:r>
      <w:r w:rsidRPr="00B17C35">
        <w:t xml:space="preserve"> was lower in March </w:t>
      </w:r>
      <w:r>
        <w:t>to</w:t>
      </w:r>
      <w:r w:rsidRPr="00B17C35">
        <w:t xml:space="preserve"> June 2020 compared with the same months in 2019.</w:t>
      </w:r>
    </w:p>
    <w:p w14:paraId="3CDCF707" w14:textId="77777777" w:rsidR="001E0455" w:rsidRPr="00B17C35" w:rsidRDefault="001E0455" w:rsidP="001E0455">
      <w:pPr>
        <w:pStyle w:val="Bullet"/>
      </w:pPr>
      <w:r w:rsidRPr="00B17C35">
        <w:t xml:space="preserve">From April </w:t>
      </w:r>
      <w:r>
        <w:t>to</w:t>
      </w:r>
      <w:r w:rsidRPr="00B17C35">
        <w:t xml:space="preserve"> June 2020, </w:t>
      </w:r>
      <w:r>
        <w:t>the decrease</w:t>
      </w:r>
      <w:r w:rsidRPr="00B17C35">
        <w:t xml:space="preserve"> in acute presentation nationally</w:t>
      </w:r>
      <w:r>
        <w:t xml:space="preserve"> was greatest for</w:t>
      </w:r>
      <w:r w:rsidRPr="00B17C35">
        <w:t xml:space="preserve"> Pacific people</w:t>
      </w:r>
      <w:r>
        <w:t>s</w:t>
      </w:r>
      <w:r w:rsidRPr="00B17C35">
        <w:t xml:space="preserve"> compared </w:t>
      </w:r>
      <w:r>
        <w:t>with</w:t>
      </w:r>
      <w:r w:rsidRPr="00B17C35">
        <w:t xml:space="preserve"> the same months in 2019.</w:t>
      </w:r>
    </w:p>
    <w:p w14:paraId="03FD93D3" w14:textId="77777777" w:rsidR="001E0455" w:rsidRPr="00E35305" w:rsidRDefault="001E0455" w:rsidP="00C46B46">
      <w:pPr>
        <w:pStyle w:val="Heading3"/>
        <w:spacing w:before="320" w:after="160"/>
      </w:pPr>
      <w:bookmarkStart w:id="14" w:name="_Toc52430156"/>
      <w:r w:rsidRPr="00E35305">
        <w:t xml:space="preserve">Unmet </w:t>
      </w:r>
      <w:r>
        <w:t>n</w:t>
      </w:r>
      <w:r w:rsidRPr="00E35305">
        <w:t>eed</w:t>
      </w:r>
      <w:bookmarkEnd w:id="14"/>
    </w:p>
    <w:p w14:paraId="321CB5AF" w14:textId="77777777" w:rsidR="001E0455" w:rsidRPr="007E6A37" w:rsidRDefault="001E0455" w:rsidP="001E0455">
      <w:pPr>
        <w:pStyle w:val="Bullet"/>
        <w:rPr>
          <w:b/>
        </w:rPr>
      </w:pPr>
      <w:r>
        <w:t>From 27 April to 28 June 2020, t</w:t>
      </w:r>
      <w:r w:rsidRPr="00E35305">
        <w:t xml:space="preserve">he amount of self-reported unmet need remained </w:t>
      </w:r>
      <w:r>
        <w:t>steady, with about</w:t>
      </w:r>
      <w:r w:rsidRPr="00E35305">
        <w:t xml:space="preserve"> 9% </w:t>
      </w:r>
      <w:r>
        <w:t xml:space="preserve">of the adult population agreeing with the statement that ‘Since the beginning of COVID-19 Alert Level 4 until now there had been a time when you </w:t>
      </w:r>
      <w:r>
        <w:rPr>
          <w:b/>
          <w:bCs/>
        </w:rPr>
        <w:t>needed</w:t>
      </w:r>
      <w:r>
        <w:t xml:space="preserve"> health care but could</w:t>
      </w:r>
      <w:r>
        <w:rPr>
          <w:b/>
          <w:bCs/>
        </w:rPr>
        <w:t xml:space="preserve"> not</w:t>
      </w:r>
      <w:r>
        <w:t xml:space="preserve"> get it’</w:t>
      </w:r>
      <w:r w:rsidRPr="00E35305">
        <w:t xml:space="preserve">. </w:t>
      </w:r>
      <w:r>
        <w:t>This is lower than the amount reported through a similar indicator measured in the New Zealand Health Survey in 2018/2019. In that survey, approximately 30% of adults reported that in the last year they’d been unable to access health care, either at a general practitioner (GP) clinic or an after-hours service, due to cost or transport requirements, or were unable to access a GP within 24 hours when they wanted to.</w:t>
      </w:r>
    </w:p>
    <w:p w14:paraId="57BAC39C" w14:textId="07AA0A43" w:rsidR="00A737C2" w:rsidRPr="00A737C2" w:rsidRDefault="001E0455" w:rsidP="00A737C2">
      <w:pPr>
        <w:pStyle w:val="Heading1"/>
      </w:pPr>
      <w:bookmarkStart w:id="15" w:name="_Toc53471210"/>
      <w:r>
        <w:lastRenderedPageBreak/>
        <w:t>Introduction</w:t>
      </w:r>
      <w:bookmarkEnd w:id="15"/>
      <w:r w:rsidR="00A737C2" w:rsidRPr="00A737C2">
        <w:t xml:space="preserve"> </w:t>
      </w:r>
      <w:bookmarkEnd w:id="5"/>
    </w:p>
    <w:p w14:paraId="7A63FC45" w14:textId="77777777" w:rsidR="001E0455" w:rsidRPr="00E35305" w:rsidRDefault="001E0455" w:rsidP="001E0455">
      <w:pPr>
        <w:pStyle w:val="Heading2"/>
      </w:pPr>
      <w:bookmarkStart w:id="16" w:name="_Toc52430158"/>
      <w:bookmarkStart w:id="17" w:name="_Toc53471211"/>
      <w:r w:rsidRPr="00E35305">
        <w:t>Background</w:t>
      </w:r>
      <w:bookmarkEnd w:id="16"/>
      <w:bookmarkEnd w:id="17"/>
      <w:r w:rsidRPr="00E35305">
        <w:t xml:space="preserve"> </w:t>
      </w:r>
    </w:p>
    <w:p w14:paraId="68D1EEF5" w14:textId="632657E8" w:rsidR="001E0455" w:rsidRDefault="001E0455" w:rsidP="001E0455">
      <w:r>
        <w:t xml:space="preserve">In the global context, </w:t>
      </w:r>
      <w:r w:rsidRPr="00E35305">
        <w:t xml:space="preserve">New Zealand has, so far, fared </w:t>
      </w:r>
      <w:r>
        <w:t>relatively</w:t>
      </w:r>
      <w:r w:rsidRPr="00E35305">
        <w:t xml:space="preserve"> well against COVID-19. </w:t>
      </w:r>
      <w:r>
        <w:t xml:space="preserve">Our approach of closing the </w:t>
      </w:r>
      <w:r w:rsidRPr="00E35305">
        <w:t xml:space="preserve">border </w:t>
      </w:r>
      <w:r>
        <w:t xml:space="preserve">early </w:t>
      </w:r>
      <w:r w:rsidRPr="00E35305">
        <w:t xml:space="preserve">and </w:t>
      </w:r>
      <w:r>
        <w:t xml:space="preserve">following </w:t>
      </w:r>
      <w:r w:rsidRPr="00E35305">
        <w:t xml:space="preserve">a COVID-19 elimination strategy prevented our health system from being overrun. Many </w:t>
      </w:r>
      <w:r>
        <w:t xml:space="preserve">of the usual </w:t>
      </w:r>
      <w:r w:rsidRPr="00E35305">
        <w:t>health</w:t>
      </w:r>
      <w:r>
        <w:t xml:space="preserve"> </w:t>
      </w:r>
      <w:r w:rsidRPr="00E35305">
        <w:t xml:space="preserve">care services were reduced </w:t>
      </w:r>
      <w:r>
        <w:t xml:space="preserve">so that they had </w:t>
      </w:r>
      <w:r w:rsidRPr="00E35305">
        <w:t xml:space="preserve">capacity to respond to the unpredictable COVID-19 situation, and measures were put in place to </w:t>
      </w:r>
      <w:r>
        <w:t>protect</w:t>
      </w:r>
      <w:r w:rsidRPr="00E35305">
        <w:t xml:space="preserve"> those who are immunocompromised from the spread of COVID-19. </w:t>
      </w:r>
    </w:p>
    <w:p w14:paraId="5107481B" w14:textId="77777777" w:rsidR="001E0455" w:rsidRPr="00E35305" w:rsidRDefault="001E0455" w:rsidP="001E0455"/>
    <w:p w14:paraId="58C90BA3" w14:textId="1F661212" w:rsidR="001E0455" w:rsidRDefault="001E0455" w:rsidP="001E0455">
      <w:r w:rsidRPr="00E35305">
        <w:t>During</w:t>
      </w:r>
      <w:r>
        <w:t xml:space="preserve"> the</w:t>
      </w:r>
      <w:r w:rsidRPr="00E35305">
        <w:t xml:space="preserve"> </w:t>
      </w:r>
      <w:r>
        <w:t xml:space="preserve">first months of the response to </w:t>
      </w:r>
      <w:r w:rsidRPr="00E35305">
        <w:t>the COVID-19 pandemic</w:t>
      </w:r>
      <w:r>
        <w:t>,</w:t>
      </w:r>
      <w:r w:rsidRPr="00E35305">
        <w:t xml:space="preserve"> the Ministry worked closely with </w:t>
      </w:r>
      <w:r>
        <w:t>district health boards (</w:t>
      </w:r>
      <w:r w:rsidRPr="00E35305">
        <w:t>DHBs</w:t>
      </w:r>
      <w:r>
        <w:t>)</w:t>
      </w:r>
      <w:r w:rsidRPr="00E35305">
        <w:t xml:space="preserve"> to support the ongoing delivery of health</w:t>
      </w:r>
      <w:r>
        <w:t xml:space="preserve"> </w:t>
      </w:r>
      <w:r w:rsidRPr="00E35305">
        <w:t xml:space="preserve">care services. This included identifying and addressing barriers to the provision of services during the lockdown. However, we don’t </w:t>
      </w:r>
      <w:r>
        <w:t xml:space="preserve">yet </w:t>
      </w:r>
      <w:r w:rsidRPr="00E35305">
        <w:t xml:space="preserve">fully understand the impact of the lockdown on health outcomes including mortality rates and the </w:t>
      </w:r>
      <w:r>
        <w:t>use</w:t>
      </w:r>
      <w:r w:rsidRPr="00E35305">
        <w:t xml:space="preserve"> of planned</w:t>
      </w:r>
      <w:r>
        <w:t>,</w:t>
      </w:r>
      <w:r w:rsidRPr="00E35305">
        <w:t xml:space="preserve"> unplanned </w:t>
      </w:r>
      <w:r>
        <w:t xml:space="preserve">and primary </w:t>
      </w:r>
      <w:r w:rsidRPr="00E35305">
        <w:t xml:space="preserve">care. The sudden disruption in usual care </w:t>
      </w:r>
      <w:r>
        <w:t>could</w:t>
      </w:r>
      <w:r w:rsidRPr="00E35305">
        <w:t xml:space="preserve"> lead to a backlog of unmet need, and may have a disproportionate impact on those who already experience greater barriers to accessing care, particularly Māori and Pacific peoples. </w:t>
      </w:r>
    </w:p>
    <w:p w14:paraId="29D00359" w14:textId="77777777" w:rsidR="001E0455" w:rsidRPr="00E35305" w:rsidRDefault="001E0455" w:rsidP="001E0455"/>
    <w:p w14:paraId="33D055DD" w14:textId="77777777" w:rsidR="001E0455" w:rsidRPr="00E35305" w:rsidRDefault="001E0455" w:rsidP="001E0455">
      <w:r w:rsidRPr="00E35305">
        <w:t>Understanding</w:t>
      </w:r>
      <w:r>
        <w:t xml:space="preserve"> how</w:t>
      </w:r>
      <w:r w:rsidRPr="00E35305">
        <w:t xml:space="preserve"> health service delivery and </w:t>
      </w:r>
      <w:r>
        <w:t>use</w:t>
      </w:r>
      <w:r w:rsidRPr="00E35305">
        <w:t xml:space="preserve"> </w:t>
      </w:r>
      <w:r>
        <w:t>changed</w:t>
      </w:r>
      <w:r w:rsidRPr="00E35305">
        <w:t xml:space="preserve"> national</w:t>
      </w:r>
      <w:r>
        <w:t>ly</w:t>
      </w:r>
      <w:r w:rsidRPr="00E35305">
        <w:t xml:space="preserve"> and regional</w:t>
      </w:r>
      <w:r>
        <w:t>ly</w:t>
      </w:r>
      <w:r w:rsidRPr="00E35305">
        <w:t xml:space="preserve"> during the lockdown period</w:t>
      </w:r>
      <w:r>
        <w:t xml:space="preserve"> and in the months following</w:t>
      </w:r>
      <w:r w:rsidRPr="00E35305">
        <w:t xml:space="preserve">, including the impact on existing inequities, will help with recovery planning and inform future pandemic planning. </w:t>
      </w:r>
    </w:p>
    <w:p w14:paraId="5A7ADD78" w14:textId="77777777" w:rsidR="001E0455" w:rsidRPr="001E0455" w:rsidRDefault="001E0455" w:rsidP="001E0455">
      <w:pPr>
        <w:pStyle w:val="Heading2"/>
      </w:pPr>
      <w:bookmarkStart w:id="18" w:name="_Toc52430159"/>
      <w:bookmarkStart w:id="19" w:name="_Toc53471212"/>
      <w:r w:rsidRPr="001E0455">
        <w:t>Purpose of report</w:t>
      </w:r>
      <w:bookmarkEnd w:id="18"/>
      <w:bookmarkEnd w:id="19"/>
      <w:r w:rsidRPr="001E0455">
        <w:t xml:space="preserve"> </w:t>
      </w:r>
    </w:p>
    <w:p w14:paraId="368F2ACC" w14:textId="77777777" w:rsidR="001E0455" w:rsidRPr="00E35305" w:rsidRDefault="001E0455" w:rsidP="001E0455">
      <w:r w:rsidRPr="00E35305">
        <w:t>This report collate</w:t>
      </w:r>
      <w:r>
        <w:t>s</w:t>
      </w:r>
      <w:r w:rsidRPr="00E35305">
        <w:t xml:space="preserve"> evidence on the impact of COVID-19 and</w:t>
      </w:r>
      <w:r>
        <w:t xml:space="preserve"> the</w:t>
      </w:r>
      <w:r w:rsidRPr="00E35305">
        <w:t xml:space="preserve"> lockdown on </w:t>
      </w:r>
      <w:r>
        <w:t>hospital and general practice</w:t>
      </w:r>
      <w:r w:rsidRPr="00E35305">
        <w:t xml:space="preserve"> service delivery, outcomes and people</w:t>
      </w:r>
      <w:r>
        <w:t>’</w:t>
      </w:r>
      <w:r w:rsidRPr="00E35305">
        <w:t>s health</w:t>
      </w:r>
      <w:r>
        <w:t>-</w:t>
      </w:r>
      <w:r w:rsidRPr="00E35305">
        <w:t xml:space="preserve">seeking behaviours. As well as helping with recovery planning, this evidence will support informed decision-making in relation to the relative benefits and harms of future policy decisions. This report expands on the reports released </w:t>
      </w:r>
      <w:r>
        <w:t>since</w:t>
      </w:r>
      <w:r w:rsidRPr="00E35305">
        <w:t xml:space="preserve"> May 2020 by Te Aho o Te Kahu, the Cancer Control Agency</w:t>
      </w:r>
      <w:r>
        <w:t>,</w:t>
      </w:r>
      <w:r w:rsidRPr="00E35305">
        <w:t xml:space="preserve"> which describe the impact of COVID-19 on cancer diagnosis and treatment.</w:t>
      </w:r>
    </w:p>
    <w:p w14:paraId="2D69A4A9" w14:textId="77777777" w:rsidR="001E0455" w:rsidRPr="00E35305" w:rsidRDefault="001E0455" w:rsidP="001E0455">
      <w:pPr>
        <w:pStyle w:val="Heading2"/>
      </w:pPr>
      <w:bookmarkStart w:id="20" w:name="_Toc52430160"/>
      <w:bookmarkStart w:id="21" w:name="_Toc53471213"/>
      <w:r w:rsidRPr="00E35305">
        <w:t>Data and analysis</w:t>
      </w:r>
      <w:bookmarkEnd w:id="20"/>
      <w:bookmarkEnd w:id="21"/>
      <w:r w:rsidRPr="00E35305">
        <w:t xml:space="preserve"> </w:t>
      </w:r>
    </w:p>
    <w:p w14:paraId="48DEA4FC" w14:textId="77777777" w:rsidR="001E0455" w:rsidRPr="00E35305" w:rsidRDefault="001E0455" w:rsidP="001E0455">
      <w:r w:rsidRPr="00E35305">
        <w:t>The majority of data in this report come</w:t>
      </w:r>
      <w:r>
        <w:t>s</w:t>
      </w:r>
      <w:r w:rsidRPr="00E35305">
        <w:t xml:space="preserve"> from Ministry of Health </w:t>
      </w:r>
      <w:r>
        <w:t>n</w:t>
      </w:r>
      <w:r w:rsidRPr="00E35305">
        <w:t xml:space="preserve">ational </w:t>
      </w:r>
      <w:r>
        <w:t>c</w:t>
      </w:r>
      <w:r w:rsidRPr="00E35305">
        <w:t xml:space="preserve">ollections, </w:t>
      </w:r>
      <w:r>
        <w:t>while</w:t>
      </w:r>
      <w:r w:rsidRPr="00E35305">
        <w:t xml:space="preserve"> a small amount </w:t>
      </w:r>
      <w:r>
        <w:t>is from</w:t>
      </w:r>
      <w:r w:rsidRPr="00E35305">
        <w:t xml:space="preserve"> other sources. Each section of the report </w:t>
      </w:r>
      <w:r>
        <w:t>begins with</w:t>
      </w:r>
      <w:r w:rsidRPr="00E35305">
        <w:t xml:space="preserve"> information on </w:t>
      </w:r>
      <w:r>
        <w:t>the source</w:t>
      </w:r>
      <w:r w:rsidRPr="00E35305">
        <w:t xml:space="preserve"> and any limitations of the data. </w:t>
      </w:r>
    </w:p>
    <w:p w14:paraId="206C3D3A" w14:textId="2C1D39C3" w:rsidR="001E0455" w:rsidRDefault="001E0455" w:rsidP="001E0455">
      <w:r w:rsidRPr="00E35305">
        <w:lastRenderedPageBreak/>
        <w:t xml:space="preserve">DHB and regional data used in this report </w:t>
      </w:r>
      <w:r>
        <w:t>relates to</w:t>
      </w:r>
      <w:r w:rsidRPr="00E35305">
        <w:t xml:space="preserve"> DHB</w:t>
      </w:r>
      <w:r>
        <w:t xml:space="preserve"> </w:t>
      </w:r>
      <w:r w:rsidRPr="00E35305">
        <w:t>region of service</w:t>
      </w:r>
      <w:r>
        <w:t xml:space="preserve"> (the DHB region where the patient received the service)</w:t>
      </w:r>
      <w:r w:rsidRPr="00E35305">
        <w:t xml:space="preserve">, rather than DHB </w:t>
      </w:r>
      <w:r>
        <w:t xml:space="preserve">region </w:t>
      </w:r>
      <w:r w:rsidRPr="00E35305">
        <w:t>of domicile/population</w:t>
      </w:r>
      <w:r>
        <w:t xml:space="preserve"> (the DHB region where the patient lives)</w:t>
      </w:r>
      <w:r w:rsidRPr="00E35305">
        <w:t>.</w:t>
      </w:r>
    </w:p>
    <w:p w14:paraId="783DABCD" w14:textId="77777777" w:rsidR="001E0455" w:rsidRPr="00E35305" w:rsidRDefault="001E0455" w:rsidP="001E0455"/>
    <w:p w14:paraId="7375A033" w14:textId="77777777" w:rsidR="001E0455" w:rsidRPr="00E35305" w:rsidRDefault="001E0455" w:rsidP="001E0455">
      <w:r>
        <w:t>We have used n</w:t>
      </w:r>
      <w:r w:rsidRPr="00E35305">
        <w:t xml:space="preserve">ational, regional, ethnicity and disability data to </w:t>
      </w:r>
      <w:r>
        <w:t>identify</w:t>
      </w:r>
      <w:r w:rsidRPr="00E35305">
        <w:t xml:space="preserve"> the extent to which COVID-19 and the lockdown had a disproportionate impact on certain communities in relation to health outcomes and access to health</w:t>
      </w:r>
      <w:r>
        <w:t xml:space="preserve"> </w:t>
      </w:r>
      <w:r w:rsidRPr="00E35305">
        <w:t>care services.</w:t>
      </w:r>
    </w:p>
    <w:p w14:paraId="028FC555" w14:textId="70F4DFFD" w:rsidR="001E0455" w:rsidRDefault="001E0455" w:rsidP="001E0455">
      <w:r w:rsidRPr="00E35305">
        <w:t>The report makes direct comparisons between years</w:t>
      </w:r>
      <w:r>
        <w:t>. It</w:t>
      </w:r>
      <w:r w:rsidRPr="00E35305">
        <w:t xml:space="preserve"> does not consider pre-existing need, predicted increase in need over time or variables outside of COVID-19 and the lockdown. </w:t>
      </w:r>
    </w:p>
    <w:p w14:paraId="7D41EB50" w14:textId="77777777" w:rsidR="001E0455" w:rsidRDefault="001E0455" w:rsidP="001E0455"/>
    <w:p w14:paraId="60920AA5" w14:textId="64ED4662" w:rsidR="001E0455" w:rsidRDefault="001E0455" w:rsidP="001E0455">
      <w:r>
        <w:t>The report does not include analysis of disruption caused by the re-emergence of COVID-19 in August 2020 in the Auckland region.</w:t>
      </w:r>
    </w:p>
    <w:p w14:paraId="7DB21436" w14:textId="77777777" w:rsidR="001E0455" w:rsidRPr="00E35305" w:rsidRDefault="001E0455" w:rsidP="001E0455"/>
    <w:p w14:paraId="5DAF41B2" w14:textId="77777777" w:rsidR="001E0455" w:rsidRPr="006C7810" w:rsidRDefault="001E0455" w:rsidP="001E0455">
      <w:r w:rsidRPr="006C7810">
        <w:t xml:space="preserve">This is a working report, developed to </w:t>
      </w:r>
      <w:r>
        <w:t>help</w:t>
      </w:r>
      <w:r w:rsidRPr="006C7810">
        <w:t xml:space="preserve"> with recovery planning. </w:t>
      </w:r>
      <w:r>
        <w:t>We will undertake f</w:t>
      </w:r>
      <w:r w:rsidRPr="006C7810">
        <w:t>urther analysis as more data become</w:t>
      </w:r>
      <w:r>
        <w:t>s</w:t>
      </w:r>
      <w:r w:rsidRPr="006C7810">
        <w:t xml:space="preserve"> available. </w:t>
      </w:r>
    </w:p>
    <w:p w14:paraId="27782DC5" w14:textId="77777777" w:rsidR="001E0455" w:rsidRPr="00E35305" w:rsidRDefault="001E0455" w:rsidP="001E0455">
      <w:pPr>
        <w:pStyle w:val="Heading2"/>
      </w:pPr>
      <w:bookmarkStart w:id="22" w:name="_Toc52430161"/>
      <w:bookmarkStart w:id="23" w:name="_Toc53471214"/>
      <w:r w:rsidRPr="00E35305">
        <w:t>Key dates</w:t>
      </w:r>
      <w:bookmarkEnd w:id="22"/>
      <w:bookmarkEnd w:id="23"/>
      <w:r w:rsidRPr="00E35305">
        <w:t xml:space="preserve"> </w:t>
      </w:r>
    </w:p>
    <w:p w14:paraId="4880ABD1" w14:textId="33BE4A10" w:rsidR="001E0455" w:rsidRDefault="001E0455" w:rsidP="001E0455">
      <w:r w:rsidRPr="00E35305">
        <w:t xml:space="preserve">This report focuses primarily on data from March to </w:t>
      </w:r>
      <w:r>
        <w:t>June</w:t>
      </w:r>
      <w:r w:rsidRPr="00E35305">
        <w:t xml:space="preserve"> in the years 2018, 2019 and 2020. The key dates over the lockdown period in </w:t>
      </w:r>
      <w:r>
        <w:t xml:space="preserve">the first half of </w:t>
      </w:r>
      <w:r w:rsidRPr="00E35305">
        <w:t xml:space="preserve">2020 </w:t>
      </w:r>
      <w:r>
        <w:t>were</w:t>
      </w:r>
      <w:r w:rsidRPr="00E35305">
        <w:t xml:space="preserve">: </w:t>
      </w:r>
    </w:p>
    <w:p w14:paraId="0B4C552F" w14:textId="77777777" w:rsidR="001E0455" w:rsidRDefault="001E0455" w:rsidP="001E0455">
      <w:pPr>
        <w:pStyle w:val="Bullet"/>
      </w:pPr>
      <w:r>
        <w:t>21 March: Alert system introduced, Alert Level 2 announced</w:t>
      </w:r>
    </w:p>
    <w:p w14:paraId="0A6CA0E7" w14:textId="77777777" w:rsidR="001E0455" w:rsidRDefault="001E0455" w:rsidP="001E0455">
      <w:pPr>
        <w:pStyle w:val="Bullet"/>
      </w:pPr>
      <w:r>
        <w:t>22 March: COVID-19 National Hospital Response Framework released</w:t>
      </w:r>
    </w:p>
    <w:p w14:paraId="04657392" w14:textId="77777777" w:rsidR="001E0455" w:rsidRPr="00E35305" w:rsidRDefault="001E0455" w:rsidP="001E0455">
      <w:pPr>
        <w:pStyle w:val="Bullet"/>
      </w:pPr>
      <w:r w:rsidRPr="00E35305">
        <w:t>2</w:t>
      </w:r>
      <w:r>
        <w:t>3</w:t>
      </w:r>
      <w:r w:rsidRPr="00E35305">
        <w:t xml:space="preserve"> March: Alert Level 3</w:t>
      </w:r>
    </w:p>
    <w:p w14:paraId="430F5D9D" w14:textId="77777777" w:rsidR="001E0455" w:rsidRPr="00E35305" w:rsidRDefault="001E0455" w:rsidP="001E0455">
      <w:pPr>
        <w:pStyle w:val="Bullet"/>
      </w:pPr>
      <w:r w:rsidRPr="00E35305">
        <w:t>26 March: Alert Level 4</w:t>
      </w:r>
    </w:p>
    <w:p w14:paraId="3F872501" w14:textId="77777777" w:rsidR="001E0455" w:rsidRPr="00E35305" w:rsidRDefault="001E0455" w:rsidP="001E0455">
      <w:pPr>
        <w:pStyle w:val="Bullet"/>
      </w:pPr>
      <w:r w:rsidRPr="00E35305">
        <w:t xml:space="preserve">28 April: Alert Level 3 </w:t>
      </w:r>
    </w:p>
    <w:p w14:paraId="3EA37074" w14:textId="77777777" w:rsidR="001E0455" w:rsidRPr="00E35305" w:rsidRDefault="001E0455" w:rsidP="001E0455">
      <w:pPr>
        <w:pStyle w:val="Bullet"/>
      </w:pPr>
      <w:r w:rsidRPr="00E35305">
        <w:t xml:space="preserve">14 May: Alert Level 2 </w:t>
      </w:r>
    </w:p>
    <w:p w14:paraId="1F1DEADC" w14:textId="77777777" w:rsidR="001E0455" w:rsidRDefault="001E0455" w:rsidP="001E0455">
      <w:pPr>
        <w:pStyle w:val="Bullet"/>
      </w:pPr>
      <w:r w:rsidRPr="00E35305">
        <w:t>8 June: Alert Level 1</w:t>
      </w:r>
      <w:r>
        <w:t>.</w:t>
      </w:r>
    </w:p>
    <w:p w14:paraId="59C7AFCB" w14:textId="77777777" w:rsidR="001E0455" w:rsidRPr="00E35305" w:rsidRDefault="001E0455" w:rsidP="001E0455"/>
    <w:p w14:paraId="5CAFEF96" w14:textId="77777777" w:rsidR="001E0455" w:rsidRPr="00E35305" w:rsidRDefault="001E0455" w:rsidP="001E0455">
      <w:pPr>
        <w:pStyle w:val="Heading1"/>
      </w:pPr>
      <w:bookmarkStart w:id="24" w:name="_Toc52430162"/>
      <w:bookmarkStart w:id="25" w:name="_Toc53471215"/>
      <w:r w:rsidRPr="00E35305">
        <w:lastRenderedPageBreak/>
        <w:t>Mortality</w:t>
      </w:r>
      <w:bookmarkEnd w:id="24"/>
      <w:bookmarkEnd w:id="25"/>
    </w:p>
    <w:p w14:paraId="64873C76" w14:textId="77777777" w:rsidR="001E0455" w:rsidRPr="00E35305" w:rsidRDefault="001E0455" w:rsidP="00334CBF">
      <w:pPr>
        <w:pStyle w:val="Heading2"/>
        <w:spacing w:before="240"/>
      </w:pPr>
      <w:bookmarkStart w:id="26" w:name="_Toc52430163"/>
      <w:bookmarkStart w:id="27" w:name="_Toc53471216"/>
      <w:r w:rsidRPr="00E35305">
        <w:t>Notes on data</w:t>
      </w:r>
      <w:bookmarkEnd w:id="26"/>
      <w:bookmarkEnd w:id="27"/>
    </w:p>
    <w:p w14:paraId="33275515" w14:textId="77777777" w:rsidR="001E0455" w:rsidRPr="00E35305" w:rsidRDefault="001E0455" w:rsidP="001E0455">
      <w:pPr>
        <w:pStyle w:val="Bullet"/>
      </w:pPr>
      <w:r w:rsidRPr="007E6A37">
        <w:t>The Health Quality &amp; Safety Commission (HQSC)</w:t>
      </w:r>
      <w:r>
        <w:t xml:space="preserve"> </w:t>
      </w:r>
      <w:r w:rsidRPr="00E35305">
        <w:t xml:space="preserve">provided </w:t>
      </w:r>
      <w:r>
        <w:t>g</w:t>
      </w:r>
      <w:r w:rsidRPr="00E35305">
        <w:t xml:space="preserve">eneral mortality data </w:t>
      </w:r>
      <w:r>
        <w:t>on 22 June 2020</w:t>
      </w:r>
      <w:r w:rsidRPr="007E6A37">
        <w:t>,</w:t>
      </w:r>
      <w:r w:rsidRPr="00E35305">
        <w:t xml:space="preserve"> based on publicly available data from Statistics New Zealand. </w:t>
      </w:r>
    </w:p>
    <w:p w14:paraId="06F7D4C8" w14:textId="77777777" w:rsidR="001E0455" w:rsidRDefault="001E0455" w:rsidP="001E0455">
      <w:pPr>
        <w:pStyle w:val="Bullet"/>
      </w:pPr>
      <w:r>
        <w:t>We collected d</w:t>
      </w:r>
      <w:r w:rsidRPr="00E35305">
        <w:t xml:space="preserve">isability data through the Ministry of Health’s </w:t>
      </w:r>
      <w:r>
        <w:t>Disability Support Services client database, and identified client deaths from national mortality collections.</w:t>
      </w:r>
    </w:p>
    <w:p w14:paraId="6CAAC170" w14:textId="77777777" w:rsidR="001E0455" w:rsidRPr="00E35305" w:rsidRDefault="001E0455" w:rsidP="001E0455">
      <w:pPr>
        <w:pStyle w:val="Bullet"/>
      </w:pPr>
      <w:r>
        <w:t>Disability death data is provisional due to potential late submissions.</w:t>
      </w:r>
    </w:p>
    <w:p w14:paraId="6DCBDC26" w14:textId="77777777" w:rsidR="001E0455" w:rsidRPr="00E35305" w:rsidRDefault="001E0455" w:rsidP="001E0455">
      <w:pPr>
        <w:pStyle w:val="Bullet"/>
      </w:pPr>
      <w:r w:rsidRPr="00E35305">
        <w:t>Data provided by HQSC include</w:t>
      </w:r>
      <w:r>
        <w:t>s</w:t>
      </w:r>
      <w:r w:rsidRPr="00E35305">
        <w:t xml:space="preserve"> information from the beginning of January to the end of May. The Ministry of Health’s data covers the months of March and April.</w:t>
      </w:r>
    </w:p>
    <w:p w14:paraId="40C97E63" w14:textId="77777777" w:rsidR="001E0455" w:rsidRPr="00E35305" w:rsidRDefault="001E0455" w:rsidP="00334CBF">
      <w:pPr>
        <w:pStyle w:val="Heading2"/>
        <w:spacing w:before="240"/>
      </w:pPr>
      <w:bookmarkStart w:id="28" w:name="_Toc52430164"/>
      <w:bookmarkStart w:id="29" w:name="_Toc53471217"/>
      <w:r w:rsidRPr="00E35305">
        <w:t>Results</w:t>
      </w:r>
      <w:bookmarkEnd w:id="28"/>
      <w:bookmarkEnd w:id="29"/>
    </w:p>
    <w:p w14:paraId="0D027B0D" w14:textId="77777777" w:rsidR="001E0455" w:rsidRPr="00A26095" w:rsidRDefault="001E0455" w:rsidP="001E0455">
      <w:pPr>
        <w:pStyle w:val="Heading3"/>
      </w:pPr>
      <w:r w:rsidRPr="00A26095">
        <w:t xml:space="preserve">Overall </w:t>
      </w:r>
      <w:r>
        <w:t>mortality</w:t>
      </w:r>
    </w:p>
    <w:p w14:paraId="5933903B" w14:textId="6F054A7C" w:rsidR="00087C22" w:rsidRDefault="001E0455" w:rsidP="001E0455">
      <w:r w:rsidRPr="00FD296A">
        <w:t>HQSC’s early analysis of mortality data</w:t>
      </w:r>
      <w:r w:rsidRPr="00E04A77">
        <w:rPr>
          <w:b/>
        </w:rPr>
        <w:t xml:space="preserve"> </w:t>
      </w:r>
      <w:r>
        <w:t xml:space="preserve">in June 2020 </w:t>
      </w:r>
      <w:r w:rsidRPr="00E35305">
        <w:t>indicate</w:t>
      </w:r>
      <w:r>
        <w:t>d</w:t>
      </w:r>
      <w:r w:rsidRPr="00E35305">
        <w:t xml:space="preserve"> that the total number of deaths between the last week of March and the last week of May is lower in 2020 than</w:t>
      </w:r>
      <w:r>
        <w:t xml:space="preserve"> in</w:t>
      </w:r>
      <w:r w:rsidRPr="00E35305">
        <w:t xml:space="preserve"> 2019 and the average number across the last five </w:t>
      </w:r>
      <w:r w:rsidRPr="005907BD">
        <w:t>years (</w:t>
      </w:r>
      <w:r w:rsidR="00B65BC8" w:rsidRPr="005907BD">
        <w:fldChar w:fldCharType="begin"/>
      </w:r>
      <w:r w:rsidR="00B65BC8" w:rsidRPr="005907BD">
        <w:instrText xml:space="preserve"> REF _Ref53470614 \h </w:instrText>
      </w:r>
      <w:r w:rsidR="005907BD">
        <w:instrText xml:space="preserve"> \* MERGEFORMAT </w:instrText>
      </w:r>
      <w:r w:rsidR="00B65BC8" w:rsidRPr="005907BD">
        <w:fldChar w:fldCharType="separate"/>
      </w:r>
      <w:r w:rsidR="00CF2713" w:rsidRPr="00C01D9B">
        <w:t xml:space="preserve">Figure </w:t>
      </w:r>
      <w:r w:rsidR="00CF2713">
        <w:t>1</w:t>
      </w:r>
      <w:r w:rsidR="00B65BC8" w:rsidRPr="005907BD">
        <w:fldChar w:fldCharType="end"/>
      </w:r>
      <w:r w:rsidRPr="005907BD">
        <w:t xml:space="preserve">). </w:t>
      </w:r>
    </w:p>
    <w:p w14:paraId="78E09AB9" w14:textId="77777777" w:rsidR="00334CBF" w:rsidRDefault="00334CBF" w:rsidP="001E0455"/>
    <w:p w14:paraId="6FAF15F6" w14:textId="3353D911" w:rsidR="001E0455" w:rsidRPr="00E35305" w:rsidRDefault="001E0455" w:rsidP="001E0455">
      <w:r w:rsidRPr="00E35305">
        <w:t>The data suggest</w:t>
      </w:r>
      <w:r>
        <w:t>s</w:t>
      </w:r>
      <w:r w:rsidRPr="00E35305">
        <w:t xml:space="preserve"> that from the last week of March (Week 13) to the last week of May (Week 22)</w:t>
      </w:r>
      <w:r>
        <w:t>,</w:t>
      </w:r>
      <w:r w:rsidRPr="00E35305">
        <w:t xml:space="preserve"> just under 300 fewer deaths</w:t>
      </w:r>
      <w:r>
        <w:t xml:space="preserve"> occurred</w:t>
      </w:r>
      <w:r w:rsidRPr="00E35305">
        <w:t xml:space="preserve"> than would be expected </w:t>
      </w:r>
      <w:r>
        <w:t>based on</w:t>
      </w:r>
      <w:r w:rsidRPr="00E35305">
        <w:t xml:space="preserve"> the five</w:t>
      </w:r>
      <w:r>
        <w:t>-</w:t>
      </w:r>
      <w:r w:rsidRPr="00E35305">
        <w:t>year average.</w:t>
      </w:r>
    </w:p>
    <w:p w14:paraId="6CA00118" w14:textId="77777777" w:rsidR="000358F8" w:rsidRDefault="000358F8" w:rsidP="000358F8"/>
    <w:p w14:paraId="5156EC54" w14:textId="1C21C807" w:rsidR="001E0455" w:rsidRDefault="001E0455" w:rsidP="001E0455">
      <w:pPr>
        <w:pStyle w:val="Caption"/>
      </w:pPr>
      <w:bookmarkStart w:id="30" w:name="_Ref53470614"/>
      <w:bookmarkStart w:id="31" w:name="_Toc52420589"/>
      <w:bookmarkStart w:id="32" w:name="_Toc53585931"/>
      <w:r w:rsidRPr="00C01D9B">
        <w:t xml:space="preserve">Figure </w:t>
      </w:r>
      <w:r>
        <w:rPr>
          <w:noProof/>
        </w:rPr>
        <w:fldChar w:fldCharType="begin"/>
      </w:r>
      <w:r>
        <w:rPr>
          <w:noProof/>
        </w:rPr>
        <w:instrText xml:space="preserve"> SEQ Figure \* ARABIC </w:instrText>
      </w:r>
      <w:r>
        <w:rPr>
          <w:noProof/>
        </w:rPr>
        <w:fldChar w:fldCharType="separate"/>
      </w:r>
      <w:r w:rsidR="00CF2713">
        <w:rPr>
          <w:noProof/>
        </w:rPr>
        <w:t>1</w:t>
      </w:r>
      <w:r>
        <w:rPr>
          <w:noProof/>
        </w:rPr>
        <w:fldChar w:fldCharType="end"/>
      </w:r>
      <w:bookmarkEnd w:id="30"/>
      <w:r w:rsidRPr="00C01D9B">
        <w:t>: Number of deaths by week in the first 22 weeks (beginning of January to end of May) of 2020, 2019 and 2015</w:t>
      </w:r>
      <w:r>
        <w:t>–</w:t>
      </w:r>
      <w:r w:rsidRPr="00C01D9B">
        <w:t>2019 average for the total population</w:t>
      </w:r>
      <w:bookmarkEnd w:id="31"/>
      <w:bookmarkEnd w:id="32"/>
    </w:p>
    <w:p w14:paraId="5983D919" w14:textId="34845A1A" w:rsidR="007F7493" w:rsidRPr="007F7493" w:rsidRDefault="00782350" w:rsidP="007F7493">
      <w:r>
        <w:rPr>
          <w:noProof/>
        </w:rPr>
        <w:drawing>
          <wp:inline distT="0" distB="0" distL="0" distR="0" wp14:anchorId="548163F3" wp14:editId="5C8A219F">
            <wp:extent cx="4846504" cy="2794958"/>
            <wp:effectExtent l="0" t="0" r="0" b="5715"/>
            <wp:docPr id="89" name="Picture 89" descr="This line graph shows that there were fewer deaths after week 13 in 2020 than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016" t="15087" r="1564" b="1493"/>
                    <a:stretch/>
                  </pic:blipFill>
                  <pic:spPr bwMode="auto">
                    <a:xfrm>
                      <a:off x="0" y="0"/>
                      <a:ext cx="4928869" cy="2842457"/>
                    </a:xfrm>
                    <a:prstGeom prst="rect">
                      <a:avLst/>
                    </a:prstGeom>
                    <a:noFill/>
                    <a:ln>
                      <a:noFill/>
                    </a:ln>
                    <a:extLst>
                      <a:ext uri="{53640926-AAD7-44D8-BBD7-CCE9431645EC}">
                        <a14:shadowObscured xmlns:a14="http://schemas.microsoft.com/office/drawing/2010/main"/>
                      </a:ext>
                    </a:extLst>
                  </pic:spPr>
                </pic:pic>
              </a:graphicData>
            </a:graphic>
          </wp:inline>
        </w:drawing>
      </w:r>
    </w:p>
    <w:p w14:paraId="2E6A75B3" w14:textId="02ACA6B7" w:rsidR="001E0455" w:rsidRPr="00A26095" w:rsidRDefault="001E0455" w:rsidP="001E0455">
      <w:pPr>
        <w:pStyle w:val="Heading3"/>
      </w:pPr>
      <w:r>
        <w:lastRenderedPageBreak/>
        <w:t>Disability Support Services (DSS) client</w:t>
      </w:r>
      <w:r w:rsidRPr="00A26095">
        <w:t xml:space="preserve"> </w:t>
      </w:r>
      <w:r>
        <w:t>mortality</w:t>
      </w:r>
    </w:p>
    <w:p w14:paraId="45322673" w14:textId="35629A9B" w:rsidR="001E0455" w:rsidRDefault="00B65BC8" w:rsidP="001E0455">
      <w:r>
        <w:fldChar w:fldCharType="begin"/>
      </w:r>
      <w:r>
        <w:instrText xml:space="preserve"> REF _Ref53470621 \h </w:instrText>
      </w:r>
      <w:r>
        <w:fldChar w:fldCharType="separate"/>
      </w:r>
      <w:r w:rsidR="00CF2713">
        <w:t xml:space="preserve">Figure </w:t>
      </w:r>
      <w:r w:rsidR="00CF2713">
        <w:rPr>
          <w:noProof/>
        </w:rPr>
        <w:t>2</w:t>
      </w:r>
      <w:r>
        <w:fldChar w:fldCharType="end"/>
      </w:r>
      <w:r w:rsidR="001E0455" w:rsidRPr="00227201">
        <w:t xml:space="preserve"> shows the total number of deaths of DSS clients in March, April and May </w:t>
      </w:r>
      <w:r w:rsidR="001E0455">
        <w:t>of</w:t>
      </w:r>
      <w:r w:rsidR="001E0455" w:rsidRPr="00227201">
        <w:t xml:space="preserve"> 2019 and 2020. According to provisional data, 52 DSS client deaths</w:t>
      </w:r>
      <w:r w:rsidR="001E0455">
        <w:t xml:space="preserve"> occurred</w:t>
      </w:r>
      <w:r w:rsidR="001E0455" w:rsidRPr="00227201">
        <w:t xml:space="preserve"> in March 2020, 45 in April 2020 and 37 in May. </w:t>
      </w:r>
      <w:r w:rsidR="001E0455">
        <w:t>By comparison,</w:t>
      </w:r>
      <w:r w:rsidR="001E0455" w:rsidRPr="00227201">
        <w:t xml:space="preserve"> 38 DSS client deaths </w:t>
      </w:r>
      <w:r w:rsidR="001E0455">
        <w:t xml:space="preserve">occurred </w:t>
      </w:r>
      <w:r w:rsidR="001E0455" w:rsidRPr="00227201">
        <w:t>in March 2019, 39 in April 2019 and 55 in May 2019.</w:t>
      </w:r>
    </w:p>
    <w:p w14:paraId="2FF9DC20" w14:textId="77777777" w:rsidR="001E0455" w:rsidRPr="00917E16" w:rsidRDefault="001E0455" w:rsidP="001E0455"/>
    <w:p w14:paraId="1F7E8301" w14:textId="4B039F9A" w:rsidR="001E0455" w:rsidRPr="00800487" w:rsidRDefault="001E0455" w:rsidP="001E0455">
      <w:pPr>
        <w:pStyle w:val="Caption"/>
      </w:pPr>
      <w:bookmarkStart w:id="33" w:name="_Ref53470621"/>
      <w:bookmarkStart w:id="34" w:name="_Toc52420590"/>
      <w:bookmarkStart w:id="35" w:name="_Toc53585932"/>
      <w:r>
        <w:t xml:space="preserve">Figure </w:t>
      </w:r>
      <w:r>
        <w:rPr>
          <w:noProof/>
        </w:rPr>
        <w:fldChar w:fldCharType="begin"/>
      </w:r>
      <w:r>
        <w:rPr>
          <w:noProof/>
        </w:rPr>
        <w:instrText xml:space="preserve"> SEQ Figure \* ARABIC </w:instrText>
      </w:r>
      <w:r>
        <w:rPr>
          <w:noProof/>
        </w:rPr>
        <w:fldChar w:fldCharType="separate"/>
      </w:r>
      <w:r w:rsidR="00CF2713">
        <w:rPr>
          <w:noProof/>
        </w:rPr>
        <w:t>2</w:t>
      </w:r>
      <w:r>
        <w:rPr>
          <w:noProof/>
        </w:rPr>
        <w:fldChar w:fldCharType="end"/>
      </w:r>
      <w:bookmarkEnd w:id="33"/>
      <w:r>
        <w:t>: Total n</w:t>
      </w:r>
      <w:r w:rsidRPr="002E7E8D">
        <w:t xml:space="preserve">umber of </w:t>
      </w:r>
      <w:r>
        <w:t>Disability Support Services client deaths by month from March to May</w:t>
      </w:r>
      <w:r w:rsidRPr="002E7E8D">
        <w:t xml:space="preserve"> 2019 and 2020</w:t>
      </w:r>
      <w:r>
        <w:t xml:space="preserve"> (provisional)</w:t>
      </w:r>
      <w:bookmarkStart w:id="36" w:name="_Toc51862868"/>
      <w:bookmarkEnd w:id="34"/>
      <w:r w:rsidR="007F7493" w:rsidRPr="007F7493">
        <w:rPr>
          <w:noProof/>
        </w:rPr>
        <w:t xml:space="preserve"> </w:t>
      </w:r>
      <w:r w:rsidR="007F7493">
        <w:rPr>
          <w:noProof/>
        </w:rPr>
        <w:drawing>
          <wp:inline distT="0" distB="0" distL="0" distR="0" wp14:anchorId="3D2DFF4C" wp14:editId="7FCE56C2">
            <wp:extent cx="5011885" cy="2717321"/>
            <wp:effectExtent l="0" t="0" r="0" b="6985"/>
            <wp:docPr id="86" name="Picture 86" descr="This graph shows that the number of disability support services client deaths were lower in March and April of 2019 than in March and April of 2020, but much lower in May 2020 than M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6" t="10391" r="1671" b="1908"/>
                    <a:stretch/>
                  </pic:blipFill>
                  <pic:spPr bwMode="auto">
                    <a:xfrm>
                      <a:off x="0" y="0"/>
                      <a:ext cx="5043243" cy="2734322"/>
                    </a:xfrm>
                    <a:prstGeom prst="rect">
                      <a:avLst/>
                    </a:prstGeom>
                    <a:noFill/>
                    <a:ln>
                      <a:noFill/>
                    </a:ln>
                    <a:extLst>
                      <a:ext uri="{53640926-AAD7-44D8-BBD7-CCE9431645EC}">
                        <a14:shadowObscured xmlns:a14="http://schemas.microsoft.com/office/drawing/2010/main"/>
                      </a:ext>
                    </a:extLst>
                  </pic:spPr>
                </pic:pic>
              </a:graphicData>
            </a:graphic>
          </wp:inline>
        </w:drawing>
      </w:r>
      <w:bookmarkEnd w:id="35"/>
      <w:bookmarkEnd w:id="36"/>
    </w:p>
    <w:p w14:paraId="2ED9EDCB" w14:textId="4B2436E9" w:rsidR="001E0455" w:rsidRDefault="00B65BC8" w:rsidP="007F7493">
      <w:r>
        <w:fldChar w:fldCharType="begin"/>
      </w:r>
      <w:r>
        <w:instrText xml:space="preserve"> REF _Ref53470843 \h </w:instrText>
      </w:r>
      <w:r>
        <w:fldChar w:fldCharType="separate"/>
      </w:r>
      <w:r w:rsidR="00CF2713">
        <w:t xml:space="preserve">Table </w:t>
      </w:r>
      <w:r w:rsidR="00CF2713">
        <w:rPr>
          <w:noProof/>
        </w:rPr>
        <w:t>1</w:t>
      </w:r>
      <w:r>
        <w:fldChar w:fldCharType="end"/>
      </w:r>
      <w:r w:rsidR="001E0455" w:rsidRPr="00BD6921">
        <w:t xml:space="preserve"> shows the total number of deaths of DSS clients in the period of March </w:t>
      </w:r>
      <w:r w:rsidR="001E0455">
        <w:t xml:space="preserve">to </w:t>
      </w:r>
      <w:r w:rsidR="001E0455" w:rsidRPr="00BD6921">
        <w:t>May in 2019 and 2020, along with the total number of DSS clients and the death rate per 1</w:t>
      </w:r>
      <w:r w:rsidR="001E0455">
        <w:t>,</w:t>
      </w:r>
      <w:r w:rsidR="001E0455" w:rsidRPr="00BD6921">
        <w:t>000 clients</w:t>
      </w:r>
      <w:r w:rsidR="001E0455">
        <w:t>, according to provisional data</w:t>
      </w:r>
      <w:r w:rsidR="001E0455" w:rsidRPr="00BD6921">
        <w:t xml:space="preserve">. The table indicates that, </w:t>
      </w:r>
      <w:r w:rsidR="001E0455">
        <w:t>although</w:t>
      </w:r>
      <w:r w:rsidR="001E0455" w:rsidRPr="00BD6921">
        <w:t xml:space="preserve"> the number of deaths increas</w:t>
      </w:r>
      <w:r w:rsidR="001E0455">
        <w:t>ed</w:t>
      </w:r>
      <w:r w:rsidR="001E0455" w:rsidRPr="00BD6921">
        <w:t xml:space="preserve"> from 132 in 2019 to 134 in 2020, the number of DSS clients</w:t>
      </w:r>
      <w:r w:rsidR="001E0455">
        <w:t xml:space="preserve"> also</w:t>
      </w:r>
      <w:r w:rsidR="001E0455" w:rsidRPr="00BD6921">
        <w:t xml:space="preserve"> increased by 1,812. </w:t>
      </w:r>
      <w:r w:rsidR="001E0455" w:rsidRPr="002D6776">
        <w:rPr>
          <w:iCs/>
        </w:rPr>
        <w:t xml:space="preserve">The DSS client death rate </w:t>
      </w:r>
      <w:r w:rsidR="001E0455">
        <w:rPr>
          <w:iCs/>
        </w:rPr>
        <w:t xml:space="preserve">of </w:t>
      </w:r>
      <w:r w:rsidR="001E0455" w:rsidRPr="002D6776">
        <w:rPr>
          <w:iCs/>
        </w:rPr>
        <w:t>3.4 per 1</w:t>
      </w:r>
      <w:r w:rsidR="001E0455">
        <w:rPr>
          <w:iCs/>
        </w:rPr>
        <w:t>,</w:t>
      </w:r>
      <w:r w:rsidR="001E0455" w:rsidRPr="002D6776">
        <w:rPr>
          <w:iCs/>
        </w:rPr>
        <w:t>000 in 2020 is not significantly different from</w:t>
      </w:r>
      <w:r w:rsidR="001E0455">
        <w:rPr>
          <w:iCs/>
        </w:rPr>
        <w:t xml:space="preserve"> the rate of</w:t>
      </w:r>
      <w:r w:rsidR="001E0455" w:rsidRPr="002D6776">
        <w:rPr>
          <w:iCs/>
        </w:rPr>
        <w:t xml:space="preserve"> 3.5 per 1</w:t>
      </w:r>
      <w:r w:rsidR="001E0455">
        <w:rPr>
          <w:iCs/>
        </w:rPr>
        <w:t>,</w:t>
      </w:r>
      <w:r w:rsidR="001E0455" w:rsidRPr="002D6776">
        <w:rPr>
          <w:iCs/>
        </w:rPr>
        <w:t>000 in 2019</w:t>
      </w:r>
      <w:r w:rsidR="001E0455" w:rsidRPr="002D6776">
        <w:t xml:space="preserve">. </w:t>
      </w:r>
    </w:p>
    <w:p w14:paraId="79845571" w14:textId="77777777" w:rsidR="001E0455" w:rsidRPr="00917E16" w:rsidRDefault="001E0455" w:rsidP="001E0455"/>
    <w:p w14:paraId="64CEC1F1" w14:textId="362AF488" w:rsidR="001E0455" w:rsidRDefault="001E0455" w:rsidP="001E0455">
      <w:pPr>
        <w:pStyle w:val="Caption"/>
      </w:pPr>
      <w:bookmarkStart w:id="37" w:name="_Ref53470843"/>
      <w:bookmarkStart w:id="38" w:name="_Toc52420665"/>
      <w:bookmarkStart w:id="39" w:name="_Ref53470736"/>
      <w:bookmarkStart w:id="40" w:name="_Toc53585965"/>
      <w:r>
        <w:t xml:space="preserve">Table </w:t>
      </w:r>
      <w:r>
        <w:rPr>
          <w:noProof/>
        </w:rPr>
        <w:fldChar w:fldCharType="begin"/>
      </w:r>
      <w:r>
        <w:rPr>
          <w:noProof/>
        </w:rPr>
        <w:instrText xml:space="preserve"> SEQ Table \* ARABIC </w:instrText>
      </w:r>
      <w:r>
        <w:rPr>
          <w:noProof/>
        </w:rPr>
        <w:fldChar w:fldCharType="separate"/>
      </w:r>
      <w:r w:rsidR="00CF2713">
        <w:rPr>
          <w:noProof/>
        </w:rPr>
        <w:t>1</w:t>
      </w:r>
      <w:r>
        <w:rPr>
          <w:noProof/>
        </w:rPr>
        <w:fldChar w:fldCharType="end"/>
      </w:r>
      <w:bookmarkEnd w:id="37"/>
      <w:r w:rsidRPr="00FF56BB">
        <w:t xml:space="preserve">: </w:t>
      </w:r>
      <w:r w:rsidRPr="006167DA">
        <w:t>Death rate per 1</w:t>
      </w:r>
      <w:r>
        <w:t>,</w:t>
      </w:r>
      <w:r w:rsidRPr="006167DA">
        <w:t>000 Disability Support Services clients across the period of March</w:t>
      </w:r>
      <w:r>
        <w:t xml:space="preserve"> to </w:t>
      </w:r>
      <w:r w:rsidRPr="006167DA">
        <w:t>May 2019 and 2020</w:t>
      </w:r>
      <w:r>
        <w:t xml:space="preserve"> (provisional)</w:t>
      </w:r>
      <w:bookmarkEnd w:id="38"/>
      <w:bookmarkEnd w:id="39"/>
      <w:bookmarkEnd w:id="40"/>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
        <w:gridCol w:w="2764"/>
        <w:gridCol w:w="2764"/>
        <w:gridCol w:w="1553"/>
      </w:tblGrid>
      <w:tr w:rsidR="001E0455" w14:paraId="7311D70B" w14:textId="77777777" w:rsidTr="00C46B46">
        <w:tc>
          <w:tcPr>
            <w:tcW w:w="988" w:type="dxa"/>
            <w:shd w:val="clear" w:color="auto" w:fill="D9D9D9" w:themeFill="background1" w:themeFillShade="D9"/>
            <w:vAlign w:val="center"/>
          </w:tcPr>
          <w:p w14:paraId="35A6BDA4" w14:textId="63791368" w:rsidR="001E0455" w:rsidRDefault="001E0455" w:rsidP="00C46B46">
            <w:pPr>
              <w:pStyle w:val="Table"/>
              <w:jc w:val="center"/>
            </w:pPr>
            <w:r>
              <w:t>Year</w:t>
            </w:r>
          </w:p>
        </w:tc>
        <w:tc>
          <w:tcPr>
            <w:tcW w:w="2764" w:type="dxa"/>
            <w:shd w:val="clear" w:color="auto" w:fill="D9D9D9" w:themeFill="background1" w:themeFillShade="D9"/>
            <w:vAlign w:val="center"/>
          </w:tcPr>
          <w:p w14:paraId="58C5FA18" w14:textId="770F7B77" w:rsidR="001E0455" w:rsidRDefault="00EA64A0" w:rsidP="00C46B46">
            <w:pPr>
              <w:pStyle w:val="Table"/>
              <w:jc w:val="center"/>
            </w:pPr>
            <w:r>
              <w:t>Total DSS deaths from March - May</w:t>
            </w:r>
          </w:p>
        </w:tc>
        <w:tc>
          <w:tcPr>
            <w:tcW w:w="2764" w:type="dxa"/>
            <w:shd w:val="clear" w:color="auto" w:fill="D9D9D9" w:themeFill="background1" w:themeFillShade="D9"/>
            <w:vAlign w:val="center"/>
          </w:tcPr>
          <w:p w14:paraId="3E18496E" w14:textId="197E2BB7" w:rsidR="001E0455" w:rsidRDefault="00EA64A0" w:rsidP="00C46B46">
            <w:pPr>
              <w:pStyle w:val="Table"/>
              <w:jc w:val="center"/>
            </w:pPr>
            <w:r>
              <w:t>Number DSS clients from March – May</w:t>
            </w:r>
          </w:p>
        </w:tc>
        <w:tc>
          <w:tcPr>
            <w:tcW w:w="1553" w:type="dxa"/>
            <w:shd w:val="clear" w:color="auto" w:fill="D9D9D9" w:themeFill="background1" w:themeFillShade="D9"/>
            <w:vAlign w:val="center"/>
          </w:tcPr>
          <w:p w14:paraId="44C5CB37" w14:textId="5A064FBC" w:rsidR="001E0455" w:rsidRDefault="00EA64A0" w:rsidP="00C46B46">
            <w:pPr>
              <w:pStyle w:val="Table"/>
              <w:jc w:val="center"/>
            </w:pPr>
            <w:r>
              <w:t>Death rate per 1,000</w:t>
            </w:r>
          </w:p>
        </w:tc>
      </w:tr>
      <w:tr w:rsidR="001E0455" w:rsidRPr="00EA64A0" w14:paraId="2FDD266B" w14:textId="77777777" w:rsidTr="00C46B46">
        <w:tc>
          <w:tcPr>
            <w:tcW w:w="988" w:type="dxa"/>
            <w:vAlign w:val="center"/>
          </w:tcPr>
          <w:p w14:paraId="0E73A794" w14:textId="185A6741" w:rsidR="001E0455" w:rsidRPr="00EA64A0" w:rsidRDefault="001E0455" w:rsidP="00C46B46">
            <w:pPr>
              <w:pStyle w:val="TableText"/>
              <w:jc w:val="center"/>
              <w:rPr>
                <w:sz w:val="20"/>
              </w:rPr>
            </w:pPr>
            <w:r w:rsidRPr="00EA64A0">
              <w:rPr>
                <w:sz w:val="20"/>
              </w:rPr>
              <w:t>2019</w:t>
            </w:r>
          </w:p>
        </w:tc>
        <w:tc>
          <w:tcPr>
            <w:tcW w:w="2764" w:type="dxa"/>
            <w:vAlign w:val="center"/>
          </w:tcPr>
          <w:p w14:paraId="05F07F82" w14:textId="01CFE42D" w:rsidR="001E0455" w:rsidRPr="00EA64A0" w:rsidRDefault="00EA64A0" w:rsidP="00C46B46">
            <w:pPr>
              <w:pStyle w:val="TableText"/>
              <w:jc w:val="center"/>
              <w:rPr>
                <w:sz w:val="20"/>
              </w:rPr>
            </w:pPr>
            <w:r w:rsidRPr="00EA64A0">
              <w:rPr>
                <w:sz w:val="20"/>
              </w:rPr>
              <w:t>132</w:t>
            </w:r>
          </w:p>
        </w:tc>
        <w:tc>
          <w:tcPr>
            <w:tcW w:w="2764" w:type="dxa"/>
            <w:vAlign w:val="center"/>
          </w:tcPr>
          <w:p w14:paraId="76584E2D" w14:textId="0FB339BA" w:rsidR="001E0455" w:rsidRPr="00EA64A0" w:rsidRDefault="00EA64A0" w:rsidP="00C46B46">
            <w:pPr>
              <w:pStyle w:val="TableText"/>
              <w:jc w:val="center"/>
              <w:rPr>
                <w:sz w:val="20"/>
              </w:rPr>
            </w:pPr>
            <w:r w:rsidRPr="00EA64A0">
              <w:rPr>
                <w:sz w:val="20"/>
              </w:rPr>
              <w:t>37,669</w:t>
            </w:r>
          </w:p>
        </w:tc>
        <w:tc>
          <w:tcPr>
            <w:tcW w:w="1553" w:type="dxa"/>
            <w:vAlign w:val="center"/>
          </w:tcPr>
          <w:p w14:paraId="34BC1E24" w14:textId="6F6037E0" w:rsidR="001E0455" w:rsidRPr="00EA64A0" w:rsidRDefault="00EA64A0" w:rsidP="00C46B46">
            <w:pPr>
              <w:pStyle w:val="TableText"/>
              <w:jc w:val="center"/>
              <w:rPr>
                <w:sz w:val="20"/>
              </w:rPr>
            </w:pPr>
            <w:r w:rsidRPr="00EA64A0">
              <w:rPr>
                <w:sz w:val="20"/>
              </w:rPr>
              <w:t>3.5</w:t>
            </w:r>
          </w:p>
        </w:tc>
      </w:tr>
      <w:tr w:rsidR="001E0455" w:rsidRPr="00EA64A0" w14:paraId="7EEAF0B0" w14:textId="77777777" w:rsidTr="00C46B46">
        <w:tc>
          <w:tcPr>
            <w:tcW w:w="988" w:type="dxa"/>
            <w:vAlign w:val="center"/>
          </w:tcPr>
          <w:p w14:paraId="52179A75" w14:textId="7226A226" w:rsidR="001E0455" w:rsidRPr="00EA64A0" w:rsidRDefault="001E0455" w:rsidP="00C46B46">
            <w:pPr>
              <w:pStyle w:val="TableText"/>
              <w:jc w:val="center"/>
              <w:rPr>
                <w:sz w:val="20"/>
              </w:rPr>
            </w:pPr>
            <w:r w:rsidRPr="00EA64A0">
              <w:rPr>
                <w:sz w:val="20"/>
              </w:rPr>
              <w:t>2020</w:t>
            </w:r>
          </w:p>
        </w:tc>
        <w:tc>
          <w:tcPr>
            <w:tcW w:w="2764" w:type="dxa"/>
            <w:vAlign w:val="center"/>
          </w:tcPr>
          <w:p w14:paraId="6E8D4E32" w14:textId="3E37F690" w:rsidR="001E0455" w:rsidRPr="00EA64A0" w:rsidRDefault="00EA64A0" w:rsidP="00C46B46">
            <w:pPr>
              <w:pStyle w:val="TableText"/>
              <w:jc w:val="center"/>
              <w:rPr>
                <w:sz w:val="20"/>
              </w:rPr>
            </w:pPr>
            <w:r w:rsidRPr="00EA64A0">
              <w:rPr>
                <w:sz w:val="20"/>
              </w:rPr>
              <w:t>134</w:t>
            </w:r>
          </w:p>
        </w:tc>
        <w:tc>
          <w:tcPr>
            <w:tcW w:w="2764" w:type="dxa"/>
            <w:vAlign w:val="center"/>
          </w:tcPr>
          <w:p w14:paraId="3DFDD03F" w14:textId="344EA9B3" w:rsidR="001E0455" w:rsidRPr="00EA64A0" w:rsidRDefault="00EA64A0" w:rsidP="00C46B46">
            <w:pPr>
              <w:pStyle w:val="TableText"/>
              <w:jc w:val="center"/>
              <w:rPr>
                <w:sz w:val="20"/>
              </w:rPr>
            </w:pPr>
            <w:r w:rsidRPr="00EA64A0">
              <w:rPr>
                <w:sz w:val="20"/>
              </w:rPr>
              <w:t>39,481</w:t>
            </w:r>
          </w:p>
        </w:tc>
        <w:tc>
          <w:tcPr>
            <w:tcW w:w="1553" w:type="dxa"/>
            <w:vAlign w:val="center"/>
          </w:tcPr>
          <w:p w14:paraId="4D2AD2EF" w14:textId="1031706A" w:rsidR="001E0455" w:rsidRPr="00EA64A0" w:rsidRDefault="00EA64A0" w:rsidP="00C46B46">
            <w:pPr>
              <w:pStyle w:val="TableText"/>
              <w:jc w:val="center"/>
              <w:rPr>
                <w:sz w:val="20"/>
              </w:rPr>
            </w:pPr>
            <w:r w:rsidRPr="00EA64A0">
              <w:rPr>
                <w:sz w:val="20"/>
              </w:rPr>
              <w:t>3.4</w:t>
            </w:r>
          </w:p>
        </w:tc>
      </w:tr>
    </w:tbl>
    <w:p w14:paraId="7C1B4E9F" w14:textId="56602CBF" w:rsidR="001E0455" w:rsidRDefault="001E0455" w:rsidP="001E0455"/>
    <w:p w14:paraId="46DEA675" w14:textId="35D44649" w:rsidR="00EA64A0" w:rsidRDefault="00EA64A0" w:rsidP="00EA64A0">
      <w:r w:rsidRPr="00E35305">
        <w:rPr>
          <w:bCs/>
        </w:rPr>
        <w:t xml:space="preserve">The total number of deaths of disabled people living in community residential services </w:t>
      </w:r>
      <w:r>
        <w:rPr>
          <w:bCs/>
        </w:rPr>
        <w:t xml:space="preserve">was 20 </w:t>
      </w:r>
      <w:r w:rsidRPr="00E35305">
        <w:rPr>
          <w:bCs/>
        </w:rPr>
        <w:t>in March</w:t>
      </w:r>
      <w:r>
        <w:rPr>
          <w:bCs/>
        </w:rPr>
        <w:t xml:space="preserve"> 2020, 2</w:t>
      </w:r>
      <w:r w:rsidRPr="00E35305">
        <w:rPr>
          <w:bCs/>
        </w:rPr>
        <w:t>1</w:t>
      </w:r>
      <w:r>
        <w:rPr>
          <w:bCs/>
        </w:rPr>
        <w:t xml:space="preserve"> in</w:t>
      </w:r>
      <w:r w:rsidRPr="00E35305">
        <w:rPr>
          <w:bCs/>
        </w:rPr>
        <w:t xml:space="preserve"> April </w:t>
      </w:r>
      <w:r>
        <w:rPr>
          <w:bCs/>
        </w:rPr>
        <w:t>and 8 in May</w:t>
      </w:r>
      <w:r w:rsidRPr="00E35305">
        <w:rPr>
          <w:bCs/>
        </w:rPr>
        <w:t xml:space="preserve">. This </w:t>
      </w:r>
      <w:r>
        <w:rPr>
          <w:bCs/>
        </w:rPr>
        <w:t>compares with 12 deaths in March 2019, 11 in April 2019 and 20 in May 2019. T</w:t>
      </w:r>
      <w:r w:rsidRPr="00E35305">
        <w:rPr>
          <w:bCs/>
        </w:rPr>
        <w:t xml:space="preserve">he </w:t>
      </w:r>
      <w:r>
        <w:rPr>
          <w:bCs/>
        </w:rPr>
        <w:t>totals</w:t>
      </w:r>
      <w:r w:rsidRPr="00E35305">
        <w:rPr>
          <w:bCs/>
        </w:rPr>
        <w:t xml:space="preserve"> are within with the usual monthly range</w:t>
      </w:r>
      <w:r w:rsidRPr="00B17C35">
        <w:rPr>
          <w:bCs/>
          <w:color w:val="000000" w:themeColor="text1"/>
        </w:rPr>
        <w:t>.</w:t>
      </w:r>
      <w:r w:rsidRPr="00B17C35">
        <w:rPr>
          <w:b/>
          <w:color w:val="000000" w:themeColor="text1"/>
          <w:sz w:val="24"/>
          <w:szCs w:val="24"/>
        </w:rPr>
        <w:t xml:space="preserve"> </w:t>
      </w:r>
      <w:r w:rsidR="00B65BC8">
        <w:rPr>
          <w:color w:val="000000" w:themeColor="text1"/>
        </w:rPr>
        <w:fldChar w:fldCharType="begin"/>
      </w:r>
      <w:r w:rsidR="00B65BC8">
        <w:rPr>
          <w:b/>
          <w:color w:val="000000" w:themeColor="text1"/>
          <w:sz w:val="24"/>
          <w:szCs w:val="24"/>
        </w:rPr>
        <w:instrText xml:space="preserve"> REF _Ref53470627 \h </w:instrText>
      </w:r>
      <w:r w:rsidR="00B65BC8">
        <w:rPr>
          <w:color w:val="000000" w:themeColor="text1"/>
        </w:rPr>
      </w:r>
      <w:r w:rsidR="00B65BC8">
        <w:rPr>
          <w:color w:val="000000" w:themeColor="text1"/>
        </w:rPr>
        <w:fldChar w:fldCharType="separate"/>
      </w:r>
      <w:r w:rsidR="00CF2713">
        <w:t xml:space="preserve">Figure </w:t>
      </w:r>
      <w:r w:rsidR="00CF2713">
        <w:rPr>
          <w:noProof/>
        </w:rPr>
        <w:t>3</w:t>
      </w:r>
      <w:r w:rsidR="00B65BC8">
        <w:rPr>
          <w:color w:val="000000" w:themeColor="text1"/>
        </w:rPr>
        <w:fldChar w:fldCharType="end"/>
      </w:r>
      <w:r w:rsidRPr="00B17C35">
        <w:rPr>
          <w:color w:val="000000" w:themeColor="text1"/>
        </w:rPr>
        <w:t xml:space="preserve"> show</w:t>
      </w:r>
      <w:r>
        <w:rPr>
          <w:color w:val="000000" w:themeColor="text1"/>
        </w:rPr>
        <w:t>s</w:t>
      </w:r>
      <w:r w:rsidRPr="00B17C35">
        <w:rPr>
          <w:color w:val="000000" w:themeColor="text1"/>
        </w:rPr>
        <w:t xml:space="preserve"> </w:t>
      </w:r>
      <w:r w:rsidRPr="00E35305">
        <w:t>the number of deaths of disabled people living in community residential services</w:t>
      </w:r>
      <w:r>
        <w:t xml:space="preserve"> for these three months</w:t>
      </w:r>
      <w:r w:rsidRPr="00E35305">
        <w:t xml:space="preserve"> in 2020 compared with 2019</w:t>
      </w:r>
      <w:r>
        <w:t>, according to provisional data</w:t>
      </w:r>
      <w:r w:rsidRPr="00E35305">
        <w:t>.</w:t>
      </w:r>
      <w:r>
        <w:t xml:space="preserve"> </w:t>
      </w:r>
      <w:r w:rsidR="00B65BC8">
        <w:fldChar w:fldCharType="begin"/>
      </w:r>
      <w:r w:rsidR="00B65BC8">
        <w:instrText xml:space="preserve"> REF _Ref53470807 \h </w:instrText>
      </w:r>
      <w:r w:rsidR="00B65BC8">
        <w:fldChar w:fldCharType="separate"/>
      </w:r>
      <w:r w:rsidR="00CF2713" w:rsidRPr="00C8353F">
        <w:t>Table</w:t>
      </w:r>
      <w:r w:rsidR="00CF2713">
        <w:t xml:space="preserve"> </w:t>
      </w:r>
      <w:r w:rsidR="00CF2713">
        <w:rPr>
          <w:noProof/>
        </w:rPr>
        <w:t>2</w:t>
      </w:r>
      <w:r w:rsidR="00B65BC8">
        <w:fldChar w:fldCharType="end"/>
      </w:r>
      <w:r>
        <w:t xml:space="preserve"> gives the death rate per 1,000 for the total deaths in this period for each year.</w:t>
      </w:r>
    </w:p>
    <w:p w14:paraId="42A173A7" w14:textId="15F496AB" w:rsidR="00EA64A0" w:rsidRDefault="00EA64A0" w:rsidP="001E0455"/>
    <w:p w14:paraId="631281C7" w14:textId="27401FEA" w:rsidR="00EA64A0" w:rsidRDefault="00EA64A0" w:rsidP="00EA64A0">
      <w:pPr>
        <w:pStyle w:val="Caption"/>
      </w:pPr>
      <w:bookmarkStart w:id="41" w:name="_Ref53470627"/>
      <w:bookmarkStart w:id="42" w:name="_Toc52420591"/>
      <w:bookmarkStart w:id="43" w:name="_Toc53585933"/>
      <w:r>
        <w:lastRenderedPageBreak/>
        <w:t xml:space="preserve">Figure </w:t>
      </w:r>
      <w:r>
        <w:rPr>
          <w:noProof/>
        </w:rPr>
        <w:fldChar w:fldCharType="begin"/>
      </w:r>
      <w:r>
        <w:rPr>
          <w:noProof/>
        </w:rPr>
        <w:instrText xml:space="preserve"> SEQ Figure \* ARABIC </w:instrText>
      </w:r>
      <w:r>
        <w:rPr>
          <w:noProof/>
        </w:rPr>
        <w:fldChar w:fldCharType="separate"/>
      </w:r>
      <w:r w:rsidR="00CF2713">
        <w:rPr>
          <w:noProof/>
        </w:rPr>
        <w:t>3</w:t>
      </w:r>
      <w:r>
        <w:rPr>
          <w:noProof/>
        </w:rPr>
        <w:fldChar w:fldCharType="end"/>
      </w:r>
      <w:bookmarkEnd w:id="41"/>
      <w:r>
        <w:t xml:space="preserve">: </w:t>
      </w:r>
      <w:r w:rsidRPr="002E7E8D">
        <w:t>Number of</w:t>
      </w:r>
      <w:r w:rsidRPr="00860885">
        <w:t xml:space="preserve"> </w:t>
      </w:r>
      <w:r>
        <w:t>deaths of</w:t>
      </w:r>
      <w:r w:rsidRPr="002E7E8D">
        <w:t xml:space="preserve"> </w:t>
      </w:r>
      <w:r>
        <w:t>Disability Support Services</w:t>
      </w:r>
      <w:r w:rsidRPr="00860885">
        <w:t xml:space="preserve"> </w:t>
      </w:r>
      <w:r>
        <w:t>clients living in</w:t>
      </w:r>
      <w:r w:rsidRPr="002E7E8D">
        <w:t xml:space="preserve"> </w:t>
      </w:r>
      <w:r>
        <w:t>c</w:t>
      </w:r>
      <w:r w:rsidRPr="002E7E8D">
        <w:t xml:space="preserve">ommunity </w:t>
      </w:r>
      <w:r>
        <w:t>r</w:t>
      </w:r>
      <w:r w:rsidRPr="002E7E8D">
        <w:t xml:space="preserve">esidential </w:t>
      </w:r>
      <w:r>
        <w:t>services from March to May</w:t>
      </w:r>
      <w:r w:rsidRPr="002E7E8D">
        <w:t xml:space="preserve"> 2019 and 2020</w:t>
      </w:r>
      <w:r>
        <w:t xml:space="preserve"> (provisional)</w:t>
      </w:r>
      <w:bookmarkEnd w:id="42"/>
      <w:bookmarkEnd w:id="43"/>
    </w:p>
    <w:p w14:paraId="09E5B3B4" w14:textId="69E7969E" w:rsidR="00EA64A0" w:rsidRDefault="007F7493" w:rsidP="001E0455">
      <w:r>
        <w:rPr>
          <w:noProof/>
        </w:rPr>
        <w:drawing>
          <wp:inline distT="0" distB="0" distL="0" distR="0" wp14:anchorId="64FAC04E" wp14:editId="294EB29E">
            <wp:extent cx="5118235" cy="2708694"/>
            <wp:effectExtent l="0" t="0" r="6350" b="0"/>
            <wp:docPr id="84" name="Picture 84" descr="This graph shows that the number of deaths in disability support services clients living in community residential services was higher in March and April of 2020 than in March and April of 2019, but lower in May of 2020 than in May of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44" t="11751" r="1412" b="2183"/>
                    <a:stretch/>
                  </pic:blipFill>
                  <pic:spPr bwMode="auto">
                    <a:xfrm>
                      <a:off x="0" y="0"/>
                      <a:ext cx="5159118" cy="2730330"/>
                    </a:xfrm>
                    <a:prstGeom prst="rect">
                      <a:avLst/>
                    </a:prstGeom>
                    <a:noFill/>
                    <a:ln>
                      <a:noFill/>
                    </a:ln>
                    <a:extLst>
                      <a:ext uri="{53640926-AAD7-44D8-BBD7-CCE9431645EC}">
                        <a14:shadowObscured xmlns:a14="http://schemas.microsoft.com/office/drawing/2010/main"/>
                      </a:ext>
                    </a:extLst>
                  </pic:spPr>
                </pic:pic>
              </a:graphicData>
            </a:graphic>
          </wp:inline>
        </w:drawing>
      </w:r>
    </w:p>
    <w:p w14:paraId="158E6525" w14:textId="53C5B46A" w:rsidR="00EA64A0" w:rsidRDefault="00EA64A0" w:rsidP="00EA64A0">
      <w:pPr>
        <w:pStyle w:val="Caption"/>
      </w:pPr>
      <w:bookmarkStart w:id="44" w:name="_Ref53470807"/>
      <w:bookmarkStart w:id="45" w:name="_Toc52420666"/>
      <w:bookmarkStart w:id="46" w:name="_Toc53585966"/>
      <w:r w:rsidRPr="00C8353F">
        <w:t>Table</w:t>
      </w:r>
      <w:r>
        <w:t xml:space="preserve"> </w:t>
      </w:r>
      <w:r>
        <w:rPr>
          <w:noProof/>
        </w:rPr>
        <w:fldChar w:fldCharType="begin"/>
      </w:r>
      <w:r>
        <w:rPr>
          <w:noProof/>
        </w:rPr>
        <w:instrText xml:space="preserve"> SEQ Table \* ARABIC </w:instrText>
      </w:r>
      <w:r>
        <w:rPr>
          <w:noProof/>
        </w:rPr>
        <w:fldChar w:fldCharType="separate"/>
      </w:r>
      <w:r w:rsidR="00CF2713">
        <w:rPr>
          <w:noProof/>
        </w:rPr>
        <w:t>2</w:t>
      </w:r>
      <w:r>
        <w:rPr>
          <w:noProof/>
        </w:rPr>
        <w:fldChar w:fldCharType="end"/>
      </w:r>
      <w:bookmarkEnd w:id="44"/>
      <w:r w:rsidRPr="00C8353F">
        <w:t xml:space="preserve">: Death </w:t>
      </w:r>
      <w:r w:rsidRPr="00227201">
        <w:t>rate per 1</w:t>
      </w:r>
      <w:r>
        <w:t>,</w:t>
      </w:r>
      <w:r w:rsidRPr="00227201">
        <w:t>000 Disability Support Services clients</w:t>
      </w:r>
      <w:r>
        <w:t xml:space="preserve"> living in community residential services</w:t>
      </w:r>
      <w:r w:rsidRPr="00227201">
        <w:t xml:space="preserve"> across the period of March</w:t>
      </w:r>
      <w:r>
        <w:t xml:space="preserve"> to </w:t>
      </w:r>
      <w:r w:rsidRPr="00227201">
        <w:t>May 2019 and 2020</w:t>
      </w:r>
      <w:r>
        <w:t xml:space="preserve"> (provisional)</w:t>
      </w:r>
      <w:bookmarkEnd w:id="45"/>
      <w:bookmarkEnd w:id="46"/>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
        <w:gridCol w:w="2764"/>
        <w:gridCol w:w="2764"/>
        <w:gridCol w:w="1553"/>
      </w:tblGrid>
      <w:tr w:rsidR="00EA64A0" w14:paraId="1B87782E" w14:textId="77777777" w:rsidTr="00C46B46">
        <w:tc>
          <w:tcPr>
            <w:tcW w:w="988" w:type="dxa"/>
            <w:shd w:val="clear" w:color="auto" w:fill="D9D9D9" w:themeFill="background1" w:themeFillShade="D9"/>
            <w:vAlign w:val="center"/>
          </w:tcPr>
          <w:p w14:paraId="32750ADA" w14:textId="77777777" w:rsidR="00EA64A0" w:rsidRDefault="00EA64A0" w:rsidP="00C46B46">
            <w:pPr>
              <w:pStyle w:val="Table"/>
              <w:jc w:val="center"/>
            </w:pPr>
            <w:r>
              <w:t>Year</w:t>
            </w:r>
          </w:p>
        </w:tc>
        <w:tc>
          <w:tcPr>
            <w:tcW w:w="2764" w:type="dxa"/>
            <w:shd w:val="clear" w:color="auto" w:fill="D9D9D9" w:themeFill="background1" w:themeFillShade="D9"/>
            <w:vAlign w:val="center"/>
          </w:tcPr>
          <w:p w14:paraId="4F2E21A4" w14:textId="5311B683" w:rsidR="00EA64A0" w:rsidRDefault="00EA64A0" w:rsidP="00C46B46">
            <w:pPr>
              <w:pStyle w:val="Table"/>
              <w:jc w:val="center"/>
            </w:pPr>
            <w:r>
              <w:t xml:space="preserve">Total DSS </w:t>
            </w:r>
            <w:r w:rsidR="00F06D1C">
              <w:t xml:space="preserve">community residential </w:t>
            </w:r>
            <w:r>
              <w:t xml:space="preserve">deaths from March </w:t>
            </w:r>
            <w:r w:rsidR="00F06D1C">
              <w:t>–</w:t>
            </w:r>
            <w:r>
              <w:t xml:space="preserve"> May</w:t>
            </w:r>
          </w:p>
        </w:tc>
        <w:tc>
          <w:tcPr>
            <w:tcW w:w="2764" w:type="dxa"/>
            <w:shd w:val="clear" w:color="auto" w:fill="D9D9D9" w:themeFill="background1" w:themeFillShade="D9"/>
            <w:vAlign w:val="center"/>
          </w:tcPr>
          <w:p w14:paraId="37CD5F41" w14:textId="47F0872A" w:rsidR="00EA64A0" w:rsidRDefault="00EA64A0" w:rsidP="00C46B46">
            <w:pPr>
              <w:pStyle w:val="Table"/>
              <w:jc w:val="center"/>
            </w:pPr>
            <w:r>
              <w:t xml:space="preserve">Number DSS </w:t>
            </w:r>
            <w:r w:rsidR="00F06D1C">
              <w:t xml:space="preserve">community residential </w:t>
            </w:r>
            <w:r>
              <w:t>clients from March – May</w:t>
            </w:r>
          </w:p>
        </w:tc>
        <w:tc>
          <w:tcPr>
            <w:tcW w:w="1553" w:type="dxa"/>
            <w:shd w:val="clear" w:color="auto" w:fill="D9D9D9" w:themeFill="background1" w:themeFillShade="D9"/>
            <w:vAlign w:val="center"/>
          </w:tcPr>
          <w:p w14:paraId="5CCC0FD0" w14:textId="77777777" w:rsidR="00EA64A0" w:rsidRDefault="00EA64A0" w:rsidP="00C46B46">
            <w:pPr>
              <w:pStyle w:val="Table"/>
              <w:jc w:val="center"/>
            </w:pPr>
            <w:r>
              <w:t>Death rate per 1,000</w:t>
            </w:r>
          </w:p>
        </w:tc>
      </w:tr>
      <w:tr w:rsidR="00EA64A0" w:rsidRPr="00EA64A0" w14:paraId="7A0147A3" w14:textId="77777777" w:rsidTr="00C46B46">
        <w:tc>
          <w:tcPr>
            <w:tcW w:w="988" w:type="dxa"/>
            <w:vAlign w:val="center"/>
          </w:tcPr>
          <w:p w14:paraId="371A397B" w14:textId="77777777" w:rsidR="00EA64A0" w:rsidRPr="00EA64A0" w:rsidRDefault="00EA64A0" w:rsidP="00C46B46">
            <w:pPr>
              <w:pStyle w:val="TableText"/>
              <w:jc w:val="center"/>
              <w:rPr>
                <w:sz w:val="20"/>
              </w:rPr>
            </w:pPr>
            <w:r w:rsidRPr="00EA64A0">
              <w:rPr>
                <w:sz w:val="20"/>
              </w:rPr>
              <w:t>2019</w:t>
            </w:r>
          </w:p>
        </w:tc>
        <w:tc>
          <w:tcPr>
            <w:tcW w:w="2764" w:type="dxa"/>
            <w:vAlign w:val="center"/>
          </w:tcPr>
          <w:p w14:paraId="041BE314" w14:textId="4A07F793" w:rsidR="00EA64A0" w:rsidRPr="00EA64A0" w:rsidRDefault="00F06D1C" w:rsidP="00C46B46">
            <w:pPr>
              <w:pStyle w:val="TableText"/>
              <w:jc w:val="center"/>
              <w:rPr>
                <w:sz w:val="20"/>
              </w:rPr>
            </w:pPr>
            <w:r>
              <w:rPr>
                <w:sz w:val="20"/>
              </w:rPr>
              <w:t>43</w:t>
            </w:r>
          </w:p>
        </w:tc>
        <w:tc>
          <w:tcPr>
            <w:tcW w:w="2764" w:type="dxa"/>
            <w:vAlign w:val="center"/>
          </w:tcPr>
          <w:p w14:paraId="3CE31D01" w14:textId="4C11DE34" w:rsidR="00EA64A0" w:rsidRPr="00EA64A0" w:rsidRDefault="00F06D1C" w:rsidP="00C46B46">
            <w:pPr>
              <w:pStyle w:val="TableText"/>
              <w:jc w:val="center"/>
              <w:rPr>
                <w:sz w:val="20"/>
              </w:rPr>
            </w:pPr>
            <w:r>
              <w:rPr>
                <w:sz w:val="20"/>
              </w:rPr>
              <w:t>7,125</w:t>
            </w:r>
          </w:p>
        </w:tc>
        <w:tc>
          <w:tcPr>
            <w:tcW w:w="1553" w:type="dxa"/>
            <w:vAlign w:val="center"/>
          </w:tcPr>
          <w:p w14:paraId="6FDC85AE" w14:textId="0312B529" w:rsidR="00EA64A0" w:rsidRPr="00EA64A0" w:rsidRDefault="00F06D1C" w:rsidP="00C46B46">
            <w:pPr>
              <w:pStyle w:val="TableText"/>
              <w:jc w:val="center"/>
              <w:rPr>
                <w:sz w:val="20"/>
              </w:rPr>
            </w:pPr>
            <w:r>
              <w:rPr>
                <w:sz w:val="20"/>
              </w:rPr>
              <w:t>6.0</w:t>
            </w:r>
          </w:p>
        </w:tc>
      </w:tr>
      <w:tr w:rsidR="00EA64A0" w:rsidRPr="00EA64A0" w14:paraId="70F88EA2" w14:textId="77777777" w:rsidTr="00C46B46">
        <w:tc>
          <w:tcPr>
            <w:tcW w:w="988" w:type="dxa"/>
            <w:vAlign w:val="center"/>
          </w:tcPr>
          <w:p w14:paraId="1E2639EB" w14:textId="77777777" w:rsidR="00EA64A0" w:rsidRPr="00EA64A0" w:rsidRDefault="00EA64A0" w:rsidP="00C46B46">
            <w:pPr>
              <w:pStyle w:val="TableText"/>
              <w:jc w:val="center"/>
              <w:rPr>
                <w:sz w:val="20"/>
              </w:rPr>
            </w:pPr>
            <w:r w:rsidRPr="00EA64A0">
              <w:rPr>
                <w:sz w:val="20"/>
              </w:rPr>
              <w:t>2020</w:t>
            </w:r>
          </w:p>
        </w:tc>
        <w:tc>
          <w:tcPr>
            <w:tcW w:w="2764" w:type="dxa"/>
            <w:vAlign w:val="center"/>
          </w:tcPr>
          <w:p w14:paraId="3B88B008" w14:textId="58421715" w:rsidR="00EA64A0" w:rsidRPr="00EA64A0" w:rsidRDefault="00F06D1C" w:rsidP="00C46B46">
            <w:pPr>
              <w:pStyle w:val="TableText"/>
              <w:jc w:val="center"/>
              <w:rPr>
                <w:sz w:val="20"/>
              </w:rPr>
            </w:pPr>
            <w:r>
              <w:rPr>
                <w:sz w:val="20"/>
              </w:rPr>
              <w:t>49</w:t>
            </w:r>
          </w:p>
        </w:tc>
        <w:tc>
          <w:tcPr>
            <w:tcW w:w="2764" w:type="dxa"/>
            <w:vAlign w:val="center"/>
          </w:tcPr>
          <w:p w14:paraId="05D5FD93" w14:textId="677B26BE" w:rsidR="00EA64A0" w:rsidRPr="00EA64A0" w:rsidRDefault="00F06D1C" w:rsidP="00C46B46">
            <w:pPr>
              <w:pStyle w:val="TableText"/>
              <w:jc w:val="center"/>
              <w:rPr>
                <w:sz w:val="20"/>
              </w:rPr>
            </w:pPr>
            <w:r>
              <w:rPr>
                <w:sz w:val="20"/>
              </w:rPr>
              <w:t>7,119</w:t>
            </w:r>
          </w:p>
        </w:tc>
        <w:tc>
          <w:tcPr>
            <w:tcW w:w="1553" w:type="dxa"/>
            <w:vAlign w:val="center"/>
          </w:tcPr>
          <w:p w14:paraId="7D6D9BA2" w14:textId="46C2FDDA" w:rsidR="00EA64A0" w:rsidRPr="00EA64A0" w:rsidRDefault="00F06D1C" w:rsidP="00C46B46">
            <w:pPr>
              <w:pStyle w:val="TableText"/>
              <w:jc w:val="center"/>
              <w:rPr>
                <w:sz w:val="20"/>
              </w:rPr>
            </w:pPr>
            <w:r>
              <w:rPr>
                <w:sz w:val="20"/>
              </w:rPr>
              <w:t>6.9</w:t>
            </w:r>
          </w:p>
        </w:tc>
      </w:tr>
    </w:tbl>
    <w:p w14:paraId="10F5986F" w14:textId="77777777" w:rsidR="00EA64A0" w:rsidRPr="00EA64A0" w:rsidRDefault="00EA64A0" w:rsidP="00EA64A0">
      <w:pPr>
        <w:pStyle w:val="Heading2"/>
      </w:pPr>
      <w:bookmarkStart w:id="47" w:name="_Toc52430165"/>
      <w:bookmarkStart w:id="48" w:name="_Toc53471218"/>
      <w:r w:rsidRPr="00EA64A0">
        <w:t>Key points</w:t>
      </w:r>
      <w:bookmarkEnd w:id="47"/>
      <w:bookmarkEnd w:id="48"/>
    </w:p>
    <w:p w14:paraId="38E597B1" w14:textId="77777777" w:rsidR="00EA64A0" w:rsidRDefault="00EA64A0" w:rsidP="00EA64A0">
      <w:pPr>
        <w:pStyle w:val="Bullet"/>
      </w:pPr>
      <w:r w:rsidRPr="00FD296A">
        <w:t>HQSC’s early analysis of mortality data</w:t>
      </w:r>
      <w:r w:rsidRPr="00E35305" w:rsidDel="00860885">
        <w:t xml:space="preserve"> </w:t>
      </w:r>
      <w:r w:rsidRPr="00E35305">
        <w:t xml:space="preserve">indicates that mortality rates in 2020 are lower </w:t>
      </w:r>
      <w:r>
        <w:t>than those in</w:t>
      </w:r>
      <w:r w:rsidRPr="00E35305">
        <w:t xml:space="preserve"> 2019 and the average of the past five years.</w:t>
      </w:r>
    </w:p>
    <w:p w14:paraId="5AF93212" w14:textId="77777777" w:rsidR="00EA64A0" w:rsidRPr="00E35305" w:rsidRDefault="00EA64A0" w:rsidP="00EA64A0">
      <w:pPr>
        <w:pStyle w:val="Bullet"/>
      </w:pPr>
      <w:r>
        <w:t>Provisional DSS client data indicates that DSS client mortality rates</w:t>
      </w:r>
      <w:r w:rsidRPr="00E04A77">
        <w:t xml:space="preserve"> </w:t>
      </w:r>
      <w:r>
        <w:t xml:space="preserve">in 2020 are similar to those in 2019. </w:t>
      </w:r>
    </w:p>
    <w:p w14:paraId="2502D566" w14:textId="77777777" w:rsidR="00EA64A0" w:rsidRDefault="00EA64A0" w:rsidP="00EA64A0">
      <w:pPr>
        <w:pStyle w:val="Bullet"/>
      </w:pPr>
      <w:r w:rsidRPr="00E35305">
        <w:t>Further analysis of mortality rates is needed to better understand how mortality may have been impacted by COVID-19 and the lockdown period.</w:t>
      </w:r>
    </w:p>
    <w:p w14:paraId="6A2E6C90" w14:textId="77777777" w:rsidR="00EA64A0" w:rsidRPr="00E35305" w:rsidRDefault="00EA64A0" w:rsidP="00EA64A0">
      <w:pPr>
        <w:pStyle w:val="Heading1"/>
      </w:pPr>
      <w:bookmarkStart w:id="49" w:name="_Toc52430166"/>
      <w:bookmarkStart w:id="50" w:name="_Toc53471219"/>
      <w:r w:rsidRPr="00E35305">
        <w:lastRenderedPageBreak/>
        <w:t xml:space="preserve">Primary </w:t>
      </w:r>
      <w:r>
        <w:t>c</w:t>
      </w:r>
      <w:r w:rsidRPr="00E35305">
        <w:t>are</w:t>
      </w:r>
      <w:bookmarkEnd w:id="49"/>
      <w:bookmarkEnd w:id="50"/>
    </w:p>
    <w:p w14:paraId="1207BD09" w14:textId="77777777" w:rsidR="00EA64A0" w:rsidRPr="00E35305" w:rsidRDefault="00EA64A0" w:rsidP="00EA64A0">
      <w:pPr>
        <w:pStyle w:val="Heading2"/>
      </w:pPr>
      <w:bookmarkStart w:id="51" w:name="_Toc52430167"/>
      <w:bookmarkStart w:id="52" w:name="_Toc53471220"/>
      <w:r w:rsidRPr="00E35305">
        <w:t>Notes on data</w:t>
      </w:r>
      <w:bookmarkEnd w:id="51"/>
      <w:bookmarkEnd w:id="52"/>
    </w:p>
    <w:p w14:paraId="4DEBCB40" w14:textId="77777777" w:rsidR="00EA64A0" w:rsidRPr="0051330B" w:rsidRDefault="00EA64A0" w:rsidP="00EA64A0">
      <w:pPr>
        <w:pStyle w:val="Bullet"/>
        <w:rPr>
          <w:color w:val="000000"/>
        </w:rPr>
      </w:pPr>
      <w:r w:rsidRPr="0051330B">
        <w:rPr>
          <w:color w:val="000000"/>
        </w:rPr>
        <w:t xml:space="preserve">Data </w:t>
      </w:r>
      <w:r w:rsidRPr="00E35305">
        <w:t>come</w:t>
      </w:r>
      <w:r>
        <w:t>s</w:t>
      </w:r>
      <w:r w:rsidRPr="00E35305">
        <w:t xml:space="preserve"> from </w:t>
      </w:r>
      <w:r>
        <w:t>the National Enrolment Service (NES).</w:t>
      </w:r>
    </w:p>
    <w:p w14:paraId="69E12CF1" w14:textId="77777777" w:rsidR="00EA64A0" w:rsidRPr="00E35305" w:rsidRDefault="00EA64A0" w:rsidP="00EA64A0">
      <w:pPr>
        <w:pStyle w:val="Heading2"/>
      </w:pPr>
      <w:bookmarkStart w:id="53" w:name="_Toc52430168"/>
      <w:bookmarkStart w:id="54" w:name="_Toc53471221"/>
      <w:r w:rsidRPr="00E35305">
        <w:t>Results</w:t>
      </w:r>
      <w:bookmarkEnd w:id="53"/>
      <w:bookmarkEnd w:id="54"/>
    </w:p>
    <w:p w14:paraId="7E85F975" w14:textId="77777777" w:rsidR="00EA64A0" w:rsidRPr="00E35305" w:rsidRDefault="00EA64A0" w:rsidP="00EA64A0">
      <w:pPr>
        <w:pStyle w:val="Heading3"/>
      </w:pPr>
      <w:bookmarkStart w:id="55" w:name="_Toc52430169"/>
      <w:r>
        <w:t>Number and rates of q</w:t>
      </w:r>
      <w:r w:rsidRPr="00E35305">
        <w:t xml:space="preserve">ualifying </w:t>
      </w:r>
      <w:r>
        <w:t>e</w:t>
      </w:r>
      <w:r w:rsidRPr="00E35305">
        <w:t>ncounters</w:t>
      </w:r>
      <w:r>
        <w:t xml:space="preserve"> overall</w:t>
      </w:r>
      <w:bookmarkEnd w:id="55"/>
    </w:p>
    <w:p w14:paraId="74BFEA86" w14:textId="00690962" w:rsidR="00EA64A0" w:rsidRDefault="00EA64A0" w:rsidP="00EA64A0">
      <w:r>
        <w:t>The data on q</w:t>
      </w:r>
      <w:r w:rsidRPr="00E35305">
        <w:t xml:space="preserve">ualifying </w:t>
      </w:r>
      <w:r>
        <w:t>e</w:t>
      </w:r>
      <w:r w:rsidRPr="00E35305">
        <w:t>ncounters show</w:t>
      </w:r>
      <w:r>
        <w:t>s</w:t>
      </w:r>
      <w:r w:rsidRPr="00E35305">
        <w:t xml:space="preserve"> the impact of the COVID-19 lockdown on general practice</w:t>
      </w:r>
      <w:r>
        <w:t xml:space="preserve"> activity</w:t>
      </w:r>
      <w:r w:rsidRPr="00E35305">
        <w:t xml:space="preserve">. Qualifying </w:t>
      </w:r>
      <w:r>
        <w:t>e</w:t>
      </w:r>
      <w:r w:rsidRPr="00E35305">
        <w:t>ncounters include a range of interactions between a patient and the general practice they are enrolled with. They include, but are not limited to: doctor and nurse consultations (face-to-face and remote) and follow-up communications, prescription requests,</w:t>
      </w:r>
      <w:r>
        <w:t xml:space="preserve"> and</w:t>
      </w:r>
      <w:r w:rsidRPr="00E35305">
        <w:t xml:space="preserve"> immunisations.</w:t>
      </w:r>
    </w:p>
    <w:p w14:paraId="5899A022" w14:textId="77777777" w:rsidR="00EA64A0" w:rsidRPr="00E35305" w:rsidRDefault="00EA64A0" w:rsidP="00EA64A0"/>
    <w:p w14:paraId="0194FB9D" w14:textId="17659114" w:rsidR="00EA64A0" w:rsidRDefault="00B65BC8" w:rsidP="00EA64A0">
      <w:pPr>
        <w:rPr>
          <w:color w:val="000000" w:themeColor="text1"/>
        </w:rPr>
      </w:pPr>
      <w:r>
        <w:rPr>
          <w:color w:val="000000" w:themeColor="text1"/>
        </w:rPr>
        <w:fldChar w:fldCharType="begin"/>
      </w:r>
      <w:r>
        <w:rPr>
          <w:color w:val="000000" w:themeColor="text1"/>
        </w:rPr>
        <w:instrText xml:space="preserve"> REF _Ref53470633 \h </w:instrText>
      </w:r>
      <w:r>
        <w:rPr>
          <w:color w:val="000000" w:themeColor="text1"/>
        </w:rPr>
      </w:r>
      <w:r>
        <w:rPr>
          <w:color w:val="000000" w:themeColor="text1"/>
        </w:rPr>
        <w:fldChar w:fldCharType="separate"/>
      </w:r>
      <w:r w:rsidR="00CF2713" w:rsidRPr="00B17C35">
        <w:t xml:space="preserve">Figure </w:t>
      </w:r>
      <w:r w:rsidR="00CF2713">
        <w:rPr>
          <w:noProof/>
        </w:rPr>
        <w:t>4</w:t>
      </w:r>
      <w:r>
        <w:rPr>
          <w:color w:val="000000" w:themeColor="text1"/>
        </w:rPr>
        <w:fldChar w:fldCharType="end"/>
      </w:r>
      <w:r w:rsidR="00EA64A0" w:rsidRPr="00B17C35">
        <w:rPr>
          <w:color w:val="000000" w:themeColor="text1"/>
        </w:rPr>
        <w:t xml:space="preserve"> shows the total number of </w:t>
      </w:r>
      <w:r w:rsidR="00EA64A0">
        <w:rPr>
          <w:color w:val="000000" w:themeColor="text1"/>
        </w:rPr>
        <w:t>q</w:t>
      </w:r>
      <w:r w:rsidR="00EA64A0" w:rsidRPr="00B17C35">
        <w:rPr>
          <w:color w:val="000000" w:themeColor="text1"/>
        </w:rPr>
        <w:t xml:space="preserve">ualifying </w:t>
      </w:r>
      <w:r w:rsidR="00EA64A0">
        <w:rPr>
          <w:color w:val="000000" w:themeColor="text1"/>
        </w:rPr>
        <w:t>e</w:t>
      </w:r>
      <w:r w:rsidR="00EA64A0" w:rsidRPr="00B17C35">
        <w:rPr>
          <w:color w:val="000000" w:themeColor="text1"/>
        </w:rPr>
        <w:t>ncounters from 7 March to 12 July in 2020 and 2019. The graph shows a pe</w:t>
      </w:r>
      <w:r w:rsidR="00EA64A0">
        <w:rPr>
          <w:color w:val="000000" w:themeColor="text1"/>
        </w:rPr>
        <w:t>a</w:t>
      </w:r>
      <w:r w:rsidR="00EA64A0" w:rsidRPr="00B17C35">
        <w:rPr>
          <w:color w:val="000000" w:themeColor="text1"/>
        </w:rPr>
        <w:t xml:space="preserve">k in encounters leading up to </w:t>
      </w:r>
      <w:r w:rsidR="00EA64A0">
        <w:rPr>
          <w:color w:val="000000" w:themeColor="text1"/>
        </w:rPr>
        <w:t>Alert Level 4</w:t>
      </w:r>
      <w:r w:rsidR="00EA64A0" w:rsidRPr="00B17C35">
        <w:rPr>
          <w:color w:val="000000" w:themeColor="text1"/>
        </w:rPr>
        <w:t>,</w:t>
      </w:r>
      <w:r w:rsidR="00EA64A0">
        <w:rPr>
          <w:color w:val="000000" w:themeColor="text1"/>
        </w:rPr>
        <w:t xml:space="preserve"> </w:t>
      </w:r>
      <w:r w:rsidR="00EA64A0" w:rsidRPr="00B17C35">
        <w:rPr>
          <w:color w:val="000000" w:themeColor="text1"/>
        </w:rPr>
        <w:t xml:space="preserve">followed by a rapid decrease </w:t>
      </w:r>
      <w:r w:rsidR="00EA64A0">
        <w:rPr>
          <w:color w:val="000000" w:themeColor="text1"/>
        </w:rPr>
        <w:t>and</w:t>
      </w:r>
      <w:r w:rsidR="00EA64A0" w:rsidRPr="00B17C35">
        <w:rPr>
          <w:color w:val="000000" w:themeColor="text1"/>
        </w:rPr>
        <w:t xml:space="preserve"> numbers largely remain</w:t>
      </w:r>
      <w:r w:rsidR="00EA64A0">
        <w:rPr>
          <w:color w:val="000000" w:themeColor="text1"/>
        </w:rPr>
        <w:t>ed</w:t>
      </w:r>
      <w:r w:rsidR="00EA64A0" w:rsidRPr="00B17C35">
        <w:rPr>
          <w:color w:val="000000" w:themeColor="text1"/>
        </w:rPr>
        <w:t xml:space="preserve"> below the same dates in 2019. Following Queen’s Birthday weekend, the number of </w:t>
      </w:r>
      <w:r w:rsidR="00EA64A0">
        <w:rPr>
          <w:color w:val="000000" w:themeColor="text1"/>
        </w:rPr>
        <w:t>q</w:t>
      </w:r>
      <w:r w:rsidR="00EA64A0" w:rsidRPr="00B17C35">
        <w:rPr>
          <w:color w:val="000000" w:themeColor="text1"/>
        </w:rPr>
        <w:t xml:space="preserve">ualifying </w:t>
      </w:r>
      <w:r w:rsidR="00EA64A0">
        <w:rPr>
          <w:color w:val="000000" w:themeColor="text1"/>
        </w:rPr>
        <w:t>e</w:t>
      </w:r>
      <w:r w:rsidR="00EA64A0" w:rsidRPr="00B17C35">
        <w:rPr>
          <w:color w:val="000000" w:themeColor="text1"/>
        </w:rPr>
        <w:t xml:space="preserve">ncounters in 2020 has risen and the difference between 2020 and 2019 is less pronounced than in May. </w:t>
      </w:r>
    </w:p>
    <w:p w14:paraId="79547E8D" w14:textId="77777777" w:rsidR="00EA64A0" w:rsidRDefault="00EA64A0" w:rsidP="00EA64A0">
      <w:pPr>
        <w:rPr>
          <w:color w:val="000000" w:themeColor="text1"/>
        </w:rPr>
      </w:pPr>
    </w:p>
    <w:p w14:paraId="4B855CEC" w14:textId="3987D5AB" w:rsidR="00EA64A0" w:rsidRDefault="00EA64A0" w:rsidP="00EA64A0">
      <w:r>
        <w:t xml:space="preserve">The increase in qualifying encounters before the Government announced Alert Level 4 was impacted by the uptake of flu vaccinations, which were made available to high-risk groups on 18 March 2020. </w:t>
      </w:r>
    </w:p>
    <w:p w14:paraId="2B1CD112" w14:textId="77777777" w:rsidR="00EA64A0" w:rsidRDefault="00EA64A0" w:rsidP="00EA64A0"/>
    <w:p w14:paraId="564AADFD" w14:textId="0B8D721D" w:rsidR="00EA64A0" w:rsidRDefault="00EA64A0" w:rsidP="00EA64A0">
      <w:pPr>
        <w:rPr>
          <w:color w:val="000000" w:themeColor="text1"/>
        </w:rPr>
      </w:pPr>
      <w:r>
        <w:t>The main reason why qualifying encounters in 2020 have not recovered to the levels of 2019 by the end of this period is that levels for enrolees under 14 years of age remain lower than the levels of the same age group in 2019, in contrast to the older age groups. This may be in part because</w:t>
      </w:r>
      <w:r w:rsidRPr="00A124F3">
        <w:t xml:space="preserve"> </w:t>
      </w:r>
      <w:r>
        <w:t>the measles epidemic</w:t>
      </w:r>
      <w:r w:rsidRPr="00A124F3">
        <w:t xml:space="preserve"> </w:t>
      </w:r>
      <w:r>
        <w:t xml:space="preserve">in 2019 led to elevated levels of qualifying encounters for this age group in that year. Appendix 1 shows </w:t>
      </w:r>
      <w:r w:rsidRPr="00B17C35">
        <w:rPr>
          <w:color w:val="000000" w:themeColor="text1"/>
        </w:rPr>
        <w:t xml:space="preserve">the number of </w:t>
      </w:r>
      <w:r>
        <w:rPr>
          <w:color w:val="000000" w:themeColor="text1"/>
        </w:rPr>
        <w:t>q</w:t>
      </w:r>
      <w:r w:rsidRPr="00B17C35">
        <w:rPr>
          <w:color w:val="000000" w:themeColor="text1"/>
        </w:rPr>
        <w:t xml:space="preserve">ualifying </w:t>
      </w:r>
      <w:r>
        <w:rPr>
          <w:color w:val="000000" w:themeColor="text1"/>
        </w:rPr>
        <w:t>e</w:t>
      </w:r>
      <w:r w:rsidRPr="00B17C35">
        <w:rPr>
          <w:color w:val="000000" w:themeColor="text1"/>
        </w:rPr>
        <w:t xml:space="preserve">ncounters per </w:t>
      </w:r>
      <w:r>
        <w:rPr>
          <w:color w:val="000000" w:themeColor="text1"/>
        </w:rPr>
        <w:t>1,</w:t>
      </w:r>
      <w:r w:rsidRPr="00B17C35">
        <w:rPr>
          <w:color w:val="000000" w:themeColor="text1"/>
        </w:rPr>
        <w:t xml:space="preserve">000 enrolees from 7 March to 12 July </w:t>
      </w:r>
      <w:r>
        <w:rPr>
          <w:color w:val="000000" w:themeColor="text1"/>
        </w:rPr>
        <w:t>in 2019 and 2020 by age group.</w:t>
      </w:r>
    </w:p>
    <w:p w14:paraId="6DCCFED3" w14:textId="77777777" w:rsidR="00EA64A0" w:rsidRDefault="00EA64A0" w:rsidP="00EA64A0">
      <w:pPr>
        <w:rPr>
          <w:color w:val="000000" w:themeColor="text1"/>
        </w:rPr>
        <w:sectPr w:rsidR="00EA64A0" w:rsidSect="00C46B46">
          <w:pgSz w:w="11907" w:h="16834" w:code="9"/>
          <w:pgMar w:top="1418" w:right="1558" w:bottom="1418" w:left="1843" w:header="284" w:footer="709" w:gutter="284"/>
          <w:pgNumType w:start="1"/>
          <w:cols w:space="720"/>
          <w:docGrid w:linePitch="286"/>
        </w:sectPr>
      </w:pPr>
    </w:p>
    <w:p w14:paraId="0A01A991" w14:textId="26D63082" w:rsidR="00EA64A0" w:rsidRPr="00E35305" w:rsidRDefault="00EA64A0" w:rsidP="00EA64A0">
      <w:pPr>
        <w:pStyle w:val="Caption"/>
        <w:rPr>
          <w:sz w:val="22"/>
        </w:rPr>
      </w:pPr>
      <w:bookmarkStart w:id="56" w:name="_Ref53470633"/>
      <w:bookmarkStart w:id="57" w:name="_Toc52420592"/>
      <w:bookmarkStart w:id="58" w:name="_Toc53585934"/>
      <w:r w:rsidRPr="00B17C35">
        <w:lastRenderedPageBreak/>
        <w:t xml:space="preserve">Figure </w:t>
      </w:r>
      <w:r>
        <w:rPr>
          <w:noProof/>
        </w:rPr>
        <w:fldChar w:fldCharType="begin"/>
      </w:r>
      <w:r>
        <w:rPr>
          <w:noProof/>
        </w:rPr>
        <w:instrText xml:space="preserve"> SEQ Figure \* ARABIC </w:instrText>
      </w:r>
      <w:r>
        <w:rPr>
          <w:noProof/>
        </w:rPr>
        <w:fldChar w:fldCharType="separate"/>
      </w:r>
      <w:r w:rsidR="00CF2713">
        <w:rPr>
          <w:noProof/>
        </w:rPr>
        <w:t>4</w:t>
      </w:r>
      <w:r>
        <w:rPr>
          <w:noProof/>
        </w:rPr>
        <w:fldChar w:fldCharType="end"/>
      </w:r>
      <w:bookmarkEnd w:id="56"/>
      <w:r w:rsidRPr="00B17C35">
        <w:t xml:space="preserve">: Number </w:t>
      </w:r>
      <w:r w:rsidRPr="0068228E">
        <w:t xml:space="preserve">of </w:t>
      </w:r>
      <w:r>
        <w:t>q</w:t>
      </w:r>
      <w:r w:rsidRPr="0068228E">
        <w:t xml:space="preserve">ualifying </w:t>
      </w:r>
      <w:r>
        <w:t>e</w:t>
      </w:r>
      <w:r w:rsidRPr="0068228E">
        <w:t xml:space="preserve">ncounters in 2019 and 2020 – </w:t>
      </w:r>
      <w:r>
        <w:t>seven-</w:t>
      </w:r>
      <w:r w:rsidRPr="0068228E">
        <w:t xml:space="preserve">day running total (7 March to </w:t>
      </w:r>
      <w:r>
        <w:t>12 July</w:t>
      </w:r>
      <w:r w:rsidRPr="0068228E">
        <w:t>)</w:t>
      </w:r>
      <w:bookmarkEnd w:id="57"/>
      <w:bookmarkEnd w:id="58"/>
    </w:p>
    <w:p w14:paraId="3E1B1AED" w14:textId="5C9EE9B7" w:rsidR="00EA64A0" w:rsidRPr="00820ABB" w:rsidRDefault="001E5A14" w:rsidP="00EA64A0">
      <w:pPr>
        <w:spacing w:before="120"/>
        <w:rPr>
          <w:rFonts w:cs="Segoe UI"/>
          <w:b/>
          <w:sz w:val="24"/>
          <w:szCs w:val="24"/>
        </w:rPr>
      </w:pPr>
      <w:r>
        <w:rPr>
          <w:rFonts w:cs="Segoe UI"/>
          <w:b/>
          <w:noProof/>
          <w:sz w:val="24"/>
          <w:szCs w:val="24"/>
        </w:rPr>
        <w:drawing>
          <wp:inline distT="0" distB="0" distL="0" distR="0" wp14:anchorId="752B466E" wp14:editId="767FB71E">
            <wp:extent cx="5589270" cy="3375525"/>
            <wp:effectExtent l="0" t="0" r="0" b="0"/>
            <wp:docPr id="100" name="Picture 100" descr="This graph shows that while qualifying encounters dipped toward the end of March in 2019, they spiked in March of 2020. There was a comparable dip in both years for Easter weekend and ANZAC day as well as the Queen's birthday, but in general, there were many fewer qualifying encounters outside of holiday periods in 2020 than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2" t="7943" r="709" b="788"/>
                    <a:stretch/>
                  </pic:blipFill>
                  <pic:spPr bwMode="auto">
                    <a:xfrm>
                      <a:off x="0" y="0"/>
                      <a:ext cx="5608864" cy="3387358"/>
                    </a:xfrm>
                    <a:prstGeom prst="rect">
                      <a:avLst/>
                    </a:prstGeom>
                    <a:noFill/>
                    <a:ln>
                      <a:noFill/>
                    </a:ln>
                    <a:extLst>
                      <a:ext uri="{53640926-AAD7-44D8-BBD7-CCE9431645EC}">
                        <a14:shadowObscured xmlns:a14="http://schemas.microsoft.com/office/drawing/2010/main"/>
                      </a:ext>
                    </a:extLst>
                  </pic:spPr>
                </pic:pic>
              </a:graphicData>
            </a:graphic>
          </wp:inline>
        </w:drawing>
      </w:r>
    </w:p>
    <w:p w14:paraId="30E4DE06" w14:textId="05AC794A" w:rsidR="00EA64A0" w:rsidRPr="00E35305" w:rsidRDefault="00EA64A0" w:rsidP="00EA64A0">
      <w:pPr>
        <w:pStyle w:val="Heading3"/>
      </w:pPr>
      <w:bookmarkStart w:id="59" w:name="_Toc52430170"/>
      <w:r w:rsidRPr="00E35305">
        <w:t xml:space="preserve">Qualifying </w:t>
      </w:r>
      <w:r>
        <w:t>e</w:t>
      </w:r>
      <w:r w:rsidRPr="00E35305">
        <w:t>ncounters</w:t>
      </w:r>
      <w:r>
        <w:t xml:space="preserve"> per 1,000 enrolees by ethnicity</w:t>
      </w:r>
      <w:bookmarkEnd w:id="59"/>
    </w:p>
    <w:p w14:paraId="5726638C" w14:textId="3E5F2507" w:rsidR="00EA64A0" w:rsidRDefault="00627116" w:rsidP="00EA64A0">
      <w:r>
        <w:rPr>
          <w:color w:val="000000" w:themeColor="text1"/>
        </w:rPr>
        <w:t xml:space="preserve">Figure 5 </w:t>
      </w:r>
      <w:r w:rsidR="00EA64A0" w:rsidRPr="00B17C35">
        <w:rPr>
          <w:color w:val="000000" w:themeColor="text1"/>
        </w:rPr>
        <w:t xml:space="preserve">shows the number of </w:t>
      </w:r>
      <w:r w:rsidR="00EA64A0">
        <w:rPr>
          <w:color w:val="000000" w:themeColor="text1"/>
        </w:rPr>
        <w:t>q</w:t>
      </w:r>
      <w:r w:rsidR="00EA64A0" w:rsidRPr="00B17C35">
        <w:rPr>
          <w:color w:val="000000" w:themeColor="text1"/>
        </w:rPr>
        <w:t xml:space="preserve">ualifying </w:t>
      </w:r>
      <w:r w:rsidR="00EA64A0">
        <w:rPr>
          <w:color w:val="000000" w:themeColor="text1"/>
        </w:rPr>
        <w:t>e</w:t>
      </w:r>
      <w:r w:rsidR="00EA64A0" w:rsidRPr="00B17C35">
        <w:rPr>
          <w:color w:val="000000" w:themeColor="text1"/>
        </w:rPr>
        <w:t xml:space="preserve">ncounters per </w:t>
      </w:r>
      <w:r w:rsidR="00EA64A0">
        <w:rPr>
          <w:color w:val="000000" w:themeColor="text1"/>
        </w:rPr>
        <w:t>1,</w:t>
      </w:r>
      <w:r w:rsidR="00EA64A0" w:rsidRPr="00B17C35">
        <w:rPr>
          <w:color w:val="000000" w:themeColor="text1"/>
        </w:rPr>
        <w:t>000 enrolees</w:t>
      </w:r>
      <w:r w:rsidR="00EA64A0">
        <w:rPr>
          <w:color w:val="000000" w:themeColor="text1"/>
        </w:rPr>
        <w:t xml:space="preserve"> for each ethnic group</w:t>
      </w:r>
      <w:r w:rsidR="00EA64A0" w:rsidRPr="00B17C35">
        <w:rPr>
          <w:color w:val="000000" w:themeColor="text1"/>
        </w:rPr>
        <w:t xml:space="preserve"> from </w:t>
      </w:r>
      <w:r w:rsidR="005D11B7">
        <w:rPr>
          <w:color w:val="000000" w:themeColor="text1"/>
        </w:rPr>
        <w:t>1 March 2020</w:t>
      </w:r>
      <w:r w:rsidR="00EA64A0" w:rsidRPr="00B17C35">
        <w:rPr>
          <w:color w:val="000000" w:themeColor="text1"/>
        </w:rPr>
        <w:t xml:space="preserve"> to 12 July 2020. </w:t>
      </w:r>
      <w:r w:rsidR="00EA64A0">
        <w:rPr>
          <w:color w:val="000000" w:themeColor="text1"/>
        </w:rPr>
        <w:t>The ethnic groups in this analysis are</w:t>
      </w:r>
      <w:r w:rsidR="00EA64A0" w:rsidRPr="00B17C35">
        <w:rPr>
          <w:color w:val="000000" w:themeColor="text1"/>
        </w:rPr>
        <w:t>: Māori, Pacific</w:t>
      </w:r>
      <w:r w:rsidR="00EA64A0">
        <w:rPr>
          <w:color w:val="000000" w:themeColor="text1"/>
        </w:rPr>
        <w:t xml:space="preserve"> peoples</w:t>
      </w:r>
      <w:r w:rsidR="00EA64A0" w:rsidRPr="00B17C35">
        <w:rPr>
          <w:color w:val="000000" w:themeColor="text1"/>
        </w:rPr>
        <w:t xml:space="preserve">, Asian, MELAA </w:t>
      </w:r>
      <w:r w:rsidR="00EA64A0">
        <w:t>(Middle Eastern, Latin American and African)</w:t>
      </w:r>
      <w:r w:rsidR="00EA64A0" w:rsidRPr="00E35305">
        <w:t xml:space="preserve"> and Other</w:t>
      </w:r>
      <w:r w:rsidR="00EA64A0">
        <w:t xml:space="preserve"> (</w:t>
      </w:r>
      <w:r w:rsidR="00EA64A0" w:rsidRPr="00E35305">
        <w:t>all people who do not identify as Māori</w:t>
      </w:r>
      <w:r w:rsidR="00EA64A0">
        <w:t>,</w:t>
      </w:r>
      <w:r w:rsidR="00EA64A0" w:rsidRPr="00E35305">
        <w:t xml:space="preserve"> Pacific</w:t>
      </w:r>
      <w:r w:rsidR="00EA64A0">
        <w:t>, Asian or MELAA)</w:t>
      </w:r>
      <w:r w:rsidR="00EA64A0" w:rsidRPr="00E35305">
        <w:t>.</w:t>
      </w:r>
    </w:p>
    <w:p w14:paraId="26A73608" w14:textId="77777777" w:rsidR="00EA64A0" w:rsidRDefault="00EA64A0" w:rsidP="00EA64A0"/>
    <w:p w14:paraId="76C5C3C1" w14:textId="77777777" w:rsidR="00EA64A0" w:rsidRDefault="00EA64A0" w:rsidP="00EA64A0">
      <w:r>
        <w:t>The Asian group had the lowest number of qualifying encounters per 1,000 enrolees, including during Alert Level 4, while the Other group had the highest.</w:t>
      </w:r>
    </w:p>
    <w:p w14:paraId="7A4A7773" w14:textId="77777777" w:rsidR="000436C6" w:rsidRDefault="000436C6" w:rsidP="001E0455">
      <w:pPr>
        <w:sectPr w:rsidR="000436C6" w:rsidSect="00D124C0">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9" w:gutter="0"/>
          <w:cols w:space="708"/>
          <w:docGrid w:linePitch="360"/>
        </w:sectPr>
      </w:pPr>
    </w:p>
    <w:p w14:paraId="38A384CF" w14:textId="4A02717B" w:rsidR="00EA64A0" w:rsidRDefault="00EA64A0" w:rsidP="00EA64A0">
      <w:pPr>
        <w:pStyle w:val="Caption"/>
      </w:pPr>
      <w:bookmarkStart w:id="60" w:name="_Ref53470639"/>
      <w:bookmarkStart w:id="61" w:name="_Toc52420593"/>
      <w:bookmarkStart w:id="62" w:name="_Toc53585935"/>
      <w:r>
        <w:lastRenderedPageBreak/>
        <w:t xml:space="preserve">Figure </w:t>
      </w:r>
      <w:r>
        <w:rPr>
          <w:noProof/>
        </w:rPr>
        <w:fldChar w:fldCharType="begin"/>
      </w:r>
      <w:r>
        <w:rPr>
          <w:noProof/>
        </w:rPr>
        <w:instrText xml:space="preserve"> SEQ Figure \* ARABIC </w:instrText>
      </w:r>
      <w:r>
        <w:rPr>
          <w:noProof/>
        </w:rPr>
        <w:fldChar w:fldCharType="separate"/>
      </w:r>
      <w:r w:rsidR="00CF2713">
        <w:rPr>
          <w:noProof/>
        </w:rPr>
        <w:t>5</w:t>
      </w:r>
      <w:r>
        <w:rPr>
          <w:noProof/>
        </w:rPr>
        <w:fldChar w:fldCharType="end"/>
      </w:r>
      <w:bookmarkEnd w:id="60"/>
      <w:r>
        <w:t xml:space="preserve">: </w:t>
      </w:r>
      <w:r w:rsidRPr="008B5CCF">
        <w:t xml:space="preserve">Number of </w:t>
      </w:r>
      <w:r>
        <w:t>q</w:t>
      </w:r>
      <w:r w:rsidRPr="008B5CCF">
        <w:t xml:space="preserve">ualifying </w:t>
      </w:r>
      <w:r>
        <w:t>e</w:t>
      </w:r>
      <w:r w:rsidRPr="008B5CCF">
        <w:t>ncounters</w:t>
      </w:r>
      <w:r>
        <w:t xml:space="preserve"> </w:t>
      </w:r>
      <w:r w:rsidRPr="008B5CCF">
        <w:t xml:space="preserve">per </w:t>
      </w:r>
      <w:r>
        <w:t>1,</w:t>
      </w:r>
      <w:r w:rsidRPr="008B5CCF">
        <w:t xml:space="preserve">000 enrolees from </w:t>
      </w:r>
      <w:r>
        <w:t>1</w:t>
      </w:r>
      <w:r w:rsidRPr="008B5CCF">
        <w:t xml:space="preserve"> March 20</w:t>
      </w:r>
      <w:r>
        <w:t>20</w:t>
      </w:r>
      <w:r w:rsidRPr="008B5CCF">
        <w:t xml:space="preserve"> to 12 July 2020 by ethnicity – </w:t>
      </w:r>
      <w:r>
        <w:t>seven-</w:t>
      </w:r>
      <w:r w:rsidRPr="008B5CCF">
        <w:t>day running total</w:t>
      </w:r>
      <w:bookmarkEnd w:id="61"/>
      <w:bookmarkEnd w:id="62"/>
    </w:p>
    <w:p w14:paraId="742ACD57" w14:textId="53626E4B" w:rsidR="00EA64A0" w:rsidRDefault="00EA64A0" w:rsidP="00EA64A0">
      <w:pPr>
        <w:jc w:val="center"/>
      </w:pPr>
    </w:p>
    <w:p w14:paraId="73FFD537" w14:textId="65D6BFFD" w:rsidR="00EA64A0" w:rsidRDefault="001E5A14" w:rsidP="001E0455">
      <w:r>
        <w:rPr>
          <w:noProof/>
        </w:rPr>
        <w:drawing>
          <wp:inline distT="0" distB="0" distL="0" distR="0" wp14:anchorId="31114C18" wp14:editId="322C2027">
            <wp:extent cx="5080947" cy="3166281"/>
            <wp:effectExtent l="0" t="0" r="5715" b="0"/>
            <wp:docPr id="102" name="Picture 102" descr="This graph shows that people in the other ethnicity group were more likely to have a qualifying encounter, followed by Maori and Pacific, then MELAA. Asians were least likely to have had a qualifying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86" t="6752" r="786" b="1599"/>
                    <a:stretch/>
                  </pic:blipFill>
                  <pic:spPr bwMode="auto">
                    <a:xfrm>
                      <a:off x="0" y="0"/>
                      <a:ext cx="5122978" cy="3192473"/>
                    </a:xfrm>
                    <a:prstGeom prst="rect">
                      <a:avLst/>
                    </a:prstGeom>
                    <a:noFill/>
                    <a:ln>
                      <a:noFill/>
                    </a:ln>
                    <a:extLst>
                      <a:ext uri="{53640926-AAD7-44D8-BBD7-CCE9431645EC}">
                        <a14:shadowObscured xmlns:a14="http://schemas.microsoft.com/office/drawing/2010/main"/>
                      </a:ext>
                    </a:extLst>
                  </pic:spPr>
                </pic:pic>
              </a:graphicData>
            </a:graphic>
          </wp:inline>
        </w:drawing>
      </w:r>
    </w:p>
    <w:p w14:paraId="6CB57F50" w14:textId="77777777" w:rsidR="00EA64A0" w:rsidRPr="00E35305" w:rsidRDefault="00EA64A0" w:rsidP="00EA64A0">
      <w:pPr>
        <w:pStyle w:val="Heading2"/>
      </w:pPr>
      <w:bookmarkStart w:id="63" w:name="_Toc52430171"/>
      <w:bookmarkStart w:id="64" w:name="_Toc53471222"/>
      <w:r w:rsidRPr="00E35305">
        <w:t xml:space="preserve">Key </w:t>
      </w:r>
      <w:r>
        <w:t>p</w:t>
      </w:r>
      <w:r w:rsidRPr="00E35305">
        <w:t>oints</w:t>
      </w:r>
      <w:bookmarkEnd w:id="63"/>
      <w:bookmarkEnd w:id="64"/>
    </w:p>
    <w:p w14:paraId="09E222AB" w14:textId="77777777" w:rsidR="00EA64A0" w:rsidRPr="00E35305" w:rsidRDefault="00EA64A0" w:rsidP="00EA64A0">
      <w:pPr>
        <w:pStyle w:val="Bullet"/>
      </w:pPr>
      <w:r>
        <w:t>Alert Level 4</w:t>
      </w:r>
      <w:r w:rsidRPr="00E35305">
        <w:t xml:space="preserve"> had a</w:t>
      </w:r>
      <w:r>
        <w:t xml:space="preserve">n </w:t>
      </w:r>
      <w:r w:rsidRPr="00E35305">
        <w:t xml:space="preserve">impact on the number of </w:t>
      </w:r>
      <w:r>
        <w:t>q</w:t>
      </w:r>
      <w:r w:rsidRPr="00E35305">
        <w:t xml:space="preserve">ualifying </w:t>
      </w:r>
      <w:r>
        <w:t>e</w:t>
      </w:r>
      <w:r w:rsidRPr="00E35305">
        <w:t>ncounters</w:t>
      </w:r>
      <w:r>
        <w:t>.</w:t>
      </w:r>
    </w:p>
    <w:p w14:paraId="43589E50" w14:textId="77777777" w:rsidR="00EA64A0" w:rsidRDefault="00EA64A0" w:rsidP="00EA64A0">
      <w:pPr>
        <w:pStyle w:val="Bullet"/>
      </w:pPr>
      <w:r w:rsidRPr="00E35305">
        <w:t xml:space="preserve">The number of </w:t>
      </w:r>
      <w:r>
        <w:t>q</w:t>
      </w:r>
      <w:r w:rsidRPr="00E35305">
        <w:t xml:space="preserve">ualifying </w:t>
      </w:r>
      <w:r>
        <w:t>e</w:t>
      </w:r>
      <w:r w:rsidRPr="00E35305">
        <w:t xml:space="preserve">ncounters increased sharply </w:t>
      </w:r>
      <w:r>
        <w:t>before Alert Level 4</w:t>
      </w:r>
      <w:r w:rsidRPr="00E35305">
        <w:t>,</w:t>
      </w:r>
      <w:r>
        <w:t xml:space="preserve"> and</w:t>
      </w:r>
      <w:r w:rsidRPr="00E35305">
        <w:t xml:space="preserve"> then decreased quickly when </w:t>
      </w:r>
      <w:r>
        <w:t>it</w:t>
      </w:r>
      <w:r w:rsidRPr="00E35305">
        <w:t xml:space="preserve"> </w:t>
      </w:r>
      <w:r>
        <w:t>began</w:t>
      </w:r>
      <w:r w:rsidRPr="00E35305">
        <w:t xml:space="preserve">. </w:t>
      </w:r>
    </w:p>
    <w:p w14:paraId="39BE32A3" w14:textId="77777777" w:rsidR="00EA64A0" w:rsidRDefault="00EA64A0" w:rsidP="00EA64A0">
      <w:pPr>
        <w:pStyle w:val="Bullet"/>
      </w:pPr>
      <w:r w:rsidRPr="00E35305">
        <w:t xml:space="preserve">As at </w:t>
      </w:r>
      <w:r>
        <w:t>12</w:t>
      </w:r>
      <w:r w:rsidRPr="00E35305">
        <w:t xml:space="preserve"> Ju</w:t>
      </w:r>
      <w:r>
        <w:t>ly</w:t>
      </w:r>
      <w:r w:rsidRPr="00E35305">
        <w:t xml:space="preserve"> 2020, the number of </w:t>
      </w:r>
      <w:r>
        <w:t>q</w:t>
      </w:r>
      <w:r w:rsidRPr="00E35305">
        <w:t xml:space="preserve">ualifying </w:t>
      </w:r>
      <w:r>
        <w:t>e</w:t>
      </w:r>
      <w:r w:rsidRPr="00E35305">
        <w:t xml:space="preserve">ncounters remains lower than </w:t>
      </w:r>
      <w:r>
        <w:t xml:space="preserve">at </w:t>
      </w:r>
      <w:r w:rsidRPr="00E35305">
        <w:t>the same time in 2019.</w:t>
      </w:r>
    </w:p>
    <w:p w14:paraId="50A96D4F" w14:textId="77777777" w:rsidR="00EA64A0" w:rsidRDefault="00EA64A0" w:rsidP="00EA64A0">
      <w:pPr>
        <w:pStyle w:val="Bullet"/>
      </w:pPr>
      <w:r>
        <w:t xml:space="preserve">The main reason why qualifying encounters in 2020 have not recovered to the levels of 2019 is that the qualifying encounter levels for enrolees under 14 years of age remain below 2019 levels. </w:t>
      </w:r>
    </w:p>
    <w:p w14:paraId="0ED33E3A" w14:textId="631C4852" w:rsidR="00EA64A0" w:rsidRDefault="00EA64A0" w:rsidP="00EA64A0">
      <w:pPr>
        <w:pStyle w:val="Bullet"/>
      </w:pPr>
      <w:r>
        <w:t xml:space="preserve">From </w:t>
      </w:r>
      <w:bookmarkStart w:id="65" w:name="_GoBack"/>
      <w:r w:rsidR="005D11B7">
        <w:t>1 March 2020</w:t>
      </w:r>
      <w:bookmarkEnd w:id="65"/>
      <w:r>
        <w:t xml:space="preserve"> to 12 July 2020, the Asian ethnic group had the lowest number of qualifying Encounters per 1,000 enrolees, while the Other group had the highest. All ethnic groups followed the overall finding of a sharp increase in qualifying e</w:t>
      </w:r>
      <w:r w:rsidRPr="00E35305">
        <w:t>ncounters</w:t>
      </w:r>
      <w:r w:rsidDel="00ED075B">
        <w:t xml:space="preserve"> </w:t>
      </w:r>
      <w:r>
        <w:t xml:space="preserve">before Alert Level 4, followed by a steep drop when it began. </w:t>
      </w:r>
    </w:p>
    <w:p w14:paraId="766A7272" w14:textId="77777777" w:rsidR="00EA64A0" w:rsidRPr="001E0455" w:rsidRDefault="00EA64A0" w:rsidP="001E0455"/>
    <w:p w14:paraId="76445812" w14:textId="77777777" w:rsidR="00EA64A0" w:rsidRPr="00E35305" w:rsidRDefault="00EA64A0" w:rsidP="00EA64A0">
      <w:pPr>
        <w:pStyle w:val="Heading1"/>
      </w:pPr>
      <w:bookmarkStart w:id="66" w:name="_Toc52430172"/>
      <w:bookmarkStart w:id="67" w:name="_Toc53471223"/>
      <w:r w:rsidRPr="00E35305">
        <w:lastRenderedPageBreak/>
        <w:t xml:space="preserve">Overall </w:t>
      </w:r>
      <w:r>
        <w:t>hospital a</w:t>
      </w:r>
      <w:r w:rsidRPr="00E35305">
        <w:t>ctivity</w:t>
      </w:r>
      <w:bookmarkEnd w:id="66"/>
      <w:bookmarkEnd w:id="67"/>
    </w:p>
    <w:p w14:paraId="36F3B2AF" w14:textId="77777777" w:rsidR="00EA64A0" w:rsidRPr="00E35305" w:rsidRDefault="00EA64A0" w:rsidP="00EA64A0">
      <w:pPr>
        <w:pStyle w:val="Heading2"/>
      </w:pPr>
      <w:bookmarkStart w:id="68" w:name="_Toc52430173"/>
      <w:bookmarkStart w:id="69" w:name="_Toc53471224"/>
      <w:r w:rsidRPr="00E35305">
        <w:t>Notes on data</w:t>
      </w:r>
      <w:bookmarkEnd w:id="68"/>
      <w:bookmarkEnd w:id="69"/>
    </w:p>
    <w:p w14:paraId="3E1ABF10" w14:textId="77777777" w:rsidR="00EA64A0" w:rsidRPr="00E35305" w:rsidRDefault="00EA64A0" w:rsidP="00EA64A0">
      <w:pPr>
        <w:pStyle w:val="Bullet"/>
      </w:pPr>
      <w:r w:rsidRPr="00E35305">
        <w:t xml:space="preserve">Data </w:t>
      </w:r>
      <w:r>
        <w:t>comes</w:t>
      </w:r>
      <w:r w:rsidRPr="00E35305">
        <w:t xml:space="preserve"> from National Minimum Data Set (NMDS). </w:t>
      </w:r>
    </w:p>
    <w:p w14:paraId="23209A56" w14:textId="77777777" w:rsidR="00EA64A0" w:rsidRPr="00E35305" w:rsidRDefault="00EA64A0" w:rsidP="00EA64A0">
      <w:pPr>
        <w:pStyle w:val="Bullet"/>
      </w:pPr>
      <w:r w:rsidRPr="00E35305">
        <w:t>The data reflects publicly funded services only</w:t>
      </w:r>
      <w:r>
        <w:t xml:space="preserve"> and covers both casemix-included and casemix-excluded discharges. For further details on casemix please refer to this website (</w:t>
      </w:r>
      <w:r w:rsidRPr="00C5635E">
        <w:t>https://www.health.govt.nz/publication/new-zealand-casemix-system-overview-0</w:t>
      </w:r>
      <w:r>
        <w:t xml:space="preserve"> ).</w:t>
      </w:r>
    </w:p>
    <w:p w14:paraId="34CDA0B2" w14:textId="77777777" w:rsidR="00EA64A0" w:rsidRPr="00DF0078" w:rsidRDefault="00EA64A0" w:rsidP="00EA64A0">
      <w:pPr>
        <w:pStyle w:val="Bullet"/>
      </w:pPr>
      <w:r w:rsidRPr="00E35305">
        <w:t xml:space="preserve">Data </w:t>
      </w:r>
      <w:r>
        <w:t xml:space="preserve">is </w:t>
      </w:r>
      <w:r w:rsidRPr="00DF0078">
        <w:t>based on the patient’s DHB of service.</w:t>
      </w:r>
    </w:p>
    <w:p w14:paraId="4F9AA321" w14:textId="77777777" w:rsidR="00EA64A0" w:rsidRPr="00DF0078" w:rsidRDefault="00EA64A0" w:rsidP="00EA64A0">
      <w:pPr>
        <w:pStyle w:val="Bullet"/>
      </w:pPr>
      <w:r w:rsidRPr="00DF0078">
        <w:t>Numbers have been rounded to one decimal place.</w:t>
      </w:r>
    </w:p>
    <w:p w14:paraId="7A711A5A" w14:textId="77777777" w:rsidR="00EA64A0" w:rsidRPr="00DF0078" w:rsidRDefault="00EA64A0" w:rsidP="00EA64A0">
      <w:pPr>
        <w:pStyle w:val="Bullet"/>
        <w:rPr>
          <w:rFonts w:cs="Segoe UI"/>
        </w:rPr>
      </w:pPr>
      <w:r w:rsidRPr="00DF0078">
        <w:rPr>
          <w:rFonts w:cs="Segoe UI"/>
          <w:shd w:val="clear" w:color="auto" w:fill="FFFFFF"/>
        </w:rPr>
        <w:t>Case weights measure the relative complexity of the treatment given to each patient. For example, a cataract operation will receive a case weight of approximately 0.5, while a hip replacement will receive 4 case weights. This difference reflects the resources needed for each operation, in terms of theatre time, number of days in hospital, etc.</w:t>
      </w:r>
    </w:p>
    <w:p w14:paraId="600CE814" w14:textId="77777777" w:rsidR="00EA64A0" w:rsidRPr="00DF0078" w:rsidRDefault="00EA64A0" w:rsidP="00EA64A0">
      <w:pPr>
        <w:pStyle w:val="Bullet"/>
      </w:pPr>
      <w:r w:rsidRPr="00DF0078">
        <w:t>Elective activity is a planned admission where the admission date is seven or more days after the date when the specialist decided that the admission was necessary.</w:t>
      </w:r>
    </w:p>
    <w:p w14:paraId="6A302AFE" w14:textId="77777777" w:rsidR="00EA64A0" w:rsidRDefault="00EA64A0" w:rsidP="00EA64A0">
      <w:pPr>
        <w:pStyle w:val="Bullet"/>
      </w:pPr>
      <w:r w:rsidRPr="00DF0078">
        <w:t xml:space="preserve">Arranged activity is a planned admission where the admission is less than </w:t>
      </w:r>
      <w:r w:rsidRPr="00E35305">
        <w:t xml:space="preserve">seven days after the date </w:t>
      </w:r>
      <w:r>
        <w:t xml:space="preserve">when </w:t>
      </w:r>
      <w:r w:rsidRPr="00E35305">
        <w:t>the specialist deci</w:t>
      </w:r>
      <w:r>
        <w:t>ded</w:t>
      </w:r>
      <w:r w:rsidRPr="00E35305">
        <w:t xml:space="preserve"> that the admission was necessary.</w:t>
      </w:r>
    </w:p>
    <w:p w14:paraId="54EE4969" w14:textId="77777777" w:rsidR="00EA64A0" w:rsidRPr="00E52D6E" w:rsidRDefault="00EA64A0" w:rsidP="00EA64A0">
      <w:pPr>
        <w:pStyle w:val="Bullet"/>
      </w:pPr>
      <w:r w:rsidRPr="00916F0F">
        <w:rPr>
          <w:color w:val="000000" w:themeColor="text1"/>
        </w:rPr>
        <w:t xml:space="preserve">Acute activity is an unplanned admission on the day </w:t>
      </w:r>
      <w:r>
        <w:rPr>
          <w:color w:val="000000" w:themeColor="text1"/>
        </w:rPr>
        <w:t>that the patient</w:t>
      </w:r>
      <w:r w:rsidRPr="00916F0F">
        <w:rPr>
          <w:color w:val="000000" w:themeColor="text1"/>
        </w:rPr>
        <w:t xml:space="preserve"> present</w:t>
      </w:r>
      <w:r>
        <w:rPr>
          <w:color w:val="000000" w:themeColor="text1"/>
        </w:rPr>
        <w:t>s</w:t>
      </w:r>
      <w:r w:rsidRPr="00916F0F">
        <w:rPr>
          <w:color w:val="000000" w:themeColor="text1"/>
        </w:rPr>
        <w:t xml:space="preserve"> at the admitting health</w:t>
      </w:r>
      <w:r>
        <w:rPr>
          <w:color w:val="000000" w:themeColor="text1"/>
        </w:rPr>
        <w:t xml:space="preserve"> </w:t>
      </w:r>
      <w:r w:rsidRPr="00916F0F">
        <w:rPr>
          <w:color w:val="000000" w:themeColor="text1"/>
        </w:rPr>
        <w:t>care facility.</w:t>
      </w:r>
    </w:p>
    <w:p w14:paraId="548313A4" w14:textId="77777777" w:rsidR="00EA64A0" w:rsidRPr="00716753" w:rsidRDefault="00EA64A0" w:rsidP="00EA64A0">
      <w:pPr>
        <w:pStyle w:val="Bullet"/>
      </w:pPr>
      <w:r w:rsidRPr="00E35305">
        <w:t>National data includes all four DHB regions along with an ‘Other’ group. Th</w:t>
      </w:r>
      <w:r>
        <w:t>e ‘Other’</w:t>
      </w:r>
      <w:r w:rsidRPr="00E35305">
        <w:t xml:space="preserve"> group refers to services provided in a non-DHB agency. </w:t>
      </w:r>
      <w:r>
        <w:t>We have</w:t>
      </w:r>
      <w:r w:rsidRPr="00E35305">
        <w:t xml:space="preserve"> included</w:t>
      </w:r>
      <w:r>
        <w:t xml:space="preserve"> it</w:t>
      </w:r>
      <w:r w:rsidRPr="00D65CD6">
        <w:t xml:space="preserve"> </w:t>
      </w:r>
      <w:r w:rsidRPr="00E35305">
        <w:t>in this report to maintain consistency across reporting</w:t>
      </w:r>
      <w:r>
        <w:t>, as it is also part of</w:t>
      </w:r>
      <w:r w:rsidRPr="00E35305">
        <w:t xml:space="preserve"> the total population data in the </w:t>
      </w:r>
      <w:r w:rsidRPr="00E35305">
        <w:rPr>
          <w:i/>
        </w:rPr>
        <w:t>National COVID-19 Recovery Dashboard</w:t>
      </w:r>
      <w:r w:rsidRPr="00E35305">
        <w:t>.</w:t>
      </w:r>
      <w:r>
        <w:t xml:space="preserve"> The following analysis does not show </w:t>
      </w:r>
      <w:r w:rsidRPr="00716753">
        <w:t>‘Other’</w:t>
      </w:r>
      <w:r>
        <w:t xml:space="preserve"> group</w:t>
      </w:r>
      <w:r w:rsidRPr="00716753">
        <w:t xml:space="preserve"> data separately.</w:t>
      </w:r>
    </w:p>
    <w:p w14:paraId="439553E5" w14:textId="77777777" w:rsidR="00EA64A0" w:rsidRPr="00E35305" w:rsidRDefault="00EA64A0" w:rsidP="00EA64A0">
      <w:pPr>
        <w:pStyle w:val="Heading2"/>
      </w:pPr>
      <w:bookmarkStart w:id="70" w:name="_Toc52430174"/>
      <w:bookmarkStart w:id="71" w:name="_Toc53471225"/>
      <w:r w:rsidRPr="00E35305">
        <w:t>Results</w:t>
      </w:r>
      <w:bookmarkEnd w:id="70"/>
      <w:bookmarkEnd w:id="71"/>
    </w:p>
    <w:p w14:paraId="52C03F73" w14:textId="77777777" w:rsidR="00EA64A0" w:rsidRPr="00E35305" w:rsidRDefault="00EA64A0" w:rsidP="00EA64A0">
      <w:pPr>
        <w:pStyle w:val="Heading3"/>
      </w:pPr>
      <w:bookmarkStart w:id="72" w:name="_Toc52430175"/>
      <w:r>
        <w:t>Number of d</w:t>
      </w:r>
      <w:r w:rsidRPr="00E35305">
        <w:t>ischarges</w:t>
      </w:r>
      <w:r>
        <w:t xml:space="preserve"> overall</w:t>
      </w:r>
      <w:bookmarkEnd w:id="72"/>
    </w:p>
    <w:p w14:paraId="344EEEA7" w14:textId="43F8751B" w:rsidR="00EA64A0" w:rsidRDefault="00EA64A0" w:rsidP="00EA64A0">
      <w:pPr>
        <w:rPr>
          <w:color w:val="000000" w:themeColor="text1"/>
        </w:rPr>
      </w:pPr>
      <w:r>
        <w:t>T</w:t>
      </w:r>
      <w:r w:rsidRPr="00E35305">
        <w:t>his report</w:t>
      </w:r>
      <w:r>
        <w:t xml:space="preserve"> measures hospital</w:t>
      </w:r>
      <w:r w:rsidRPr="00E35305">
        <w:t xml:space="preserve"> activity by </w:t>
      </w:r>
      <w:r>
        <w:t xml:space="preserve">the </w:t>
      </w:r>
      <w:r w:rsidRPr="00E35305">
        <w:t xml:space="preserve">number of discharges. </w:t>
      </w:r>
      <w:r>
        <w:t>If</w:t>
      </w:r>
      <w:r w:rsidRPr="00E35305">
        <w:t xml:space="preserve"> the number of discharges </w:t>
      </w:r>
      <w:r>
        <w:t>changes, we interpret that as</w:t>
      </w:r>
      <w:r w:rsidRPr="00E35305">
        <w:t xml:space="preserve"> indicat</w:t>
      </w:r>
      <w:r>
        <w:t>ing</w:t>
      </w:r>
      <w:r w:rsidRPr="00E35305">
        <w:t xml:space="preserve"> a </w:t>
      </w:r>
      <w:r>
        <w:t>change in</w:t>
      </w:r>
      <w:r w:rsidRPr="00E35305">
        <w:t xml:space="preserve"> activity</w:t>
      </w:r>
      <w:r>
        <w:t xml:space="preserve"> levels</w:t>
      </w:r>
      <w:r w:rsidRPr="00E35305">
        <w:t>.</w:t>
      </w:r>
      <w:r>
        <w:t xml:space="preserve"> </w:t>
      </w:r>
      <w:r w:rsidR="00B65BC8">
        <w:rPr>
          <w:color w:val="000000" w:themeColor="text1"/>
        </w:rPr>
        <w:fldChar w:fldCharType="begin"/>
      </w:r>
      <w:r w:rsidR="00B65BC8">
        <w:instrText xml:space="preserve"> REF _Ref53470647 \h </w:instrText>
      </w:r>
      <w:r w:rsidR="00B65BC8">
        <w:rPr>
          <w:color w:val="000000" w:themeColor="text1"/>
        </w:rPr>
      </w:r>
      <w:r w:rsidR="00B65BC8">
        <w:rPr>
          <w:color w:val="000000" w:themeColor="text1"/>
        </w:rPr>
        <w:fldChar w:fldCharType="separate"/>
      </w:r>
      <w:r w:rsidR="00CF2713" w:rsidRPr="009E0AA4">
        <w:t xml:space="preserve">Figure </w:t>
      </w:r>
      <w:r w:rsidR="00CF2713">
        <w:rPr>
          <w:noProof/>
        </w:rPr>
        <w:t>6</w:t>
      </w:r>
      <w:r w:rsidR="00B65BC8">
        <w:rPr>
          <w:color w:val="000000" w:themeColor="text1"/>
        </w:rPr>
        <w:fldChar w:fldCharType="end"/>
      </w:r>
      <w:r w:rsidRPr="00BD6921">
        <w:rPr>
          <w:color w:val="000000" w:themeColor="text1"/>
        </w:rPr>
        <w:t xml:space="preserve"> shows number of discharges nationally </w:t>
      </w:r>
      <w:r>
        <w:rPr>
          <w:color w:val="000000" w:themeColor="text1"/>
        </w:rPr>
        <w:t>from</w:t>
      </w:r>
      <w:r w:rsidRPr="00BD6921">
        <w:rPr>
          <w:color w:val="000000" w:themeColor="text1"/>
        </w:rPr>
        <w:t xml:space="preserve"> March</w:t>
      </w:r>
      <w:r>
        <w:rPr>
          <w:color w:val="000000" w:themeColor="text1"/>
        </w:rPr>
        <w:t xml:space="preserve"> to </w:t>
      </w:r>
      <w:r w:rsidRPr="00BD6921">
        <w:rPr>
          <w:color w:val="000000" w:themeColor="text1"/>
        </w:rPr>
        <w:t>June</w:t>
      </w:r>
      <w:r>
        <w:rPr>
          <w:color w:val="000000" w:themeColor="text1"/>
        </w:rPr>
        <w:t xml:space="preserve"> </w:t>
      </w:r>
      <w:r w:rsidRPr="00BD6921">
        <w:rPr>
          <w:color w:val="000000" w:themeColor="text1"/>
        </w:rPr>
        <w:t>2018</w:t>
      </w:r>
      <w:r>
        <w:rPr>
          <w:color w:val="000000" w:themeColor="text1"/>
        </w:rPr>
        <w:t>–</w:t>
      </w:r>
      <w:r w:rsidRPr="00BD6921">
        <w:rPr>
          <w:color w:val="000000" w:themeColor="text1"/>
        </w:rPr>
        <w:t xml:space="preserve">2020. </w:t>
      </w:r>
    </w:p>
    <w:p w14:paraId="5D3DCB64" w14:textId="77777777" w:rsidR="00EA64A0" w:rsidRPr="00BD6921" w:rsidRDefault="00EA64A0" w:rsidP="00EA64A0">
      <w:pPr>
        <w:rPr>
          <w:color w:val="000000" w:themeColor="text1"/>
        </w:rPr>
      </w:pPr>
    </w:p>
    <w:p w14:paraId="53264845" w14:textId="26B098B1" w:rsidR="00EA64A0" w:rsidRDefault="00EA64A0" w:rsidP="00EA64A0">
      <w:pPr>
        <w:rPr>
          <w:color w:val="000000" w:themeColor="text1"/>
        </w:rPr>
      </w:pPr>
      <w:r w:rsidRPr="00BD6921">
        <w:rPr>
          <w:color w:val="000000" w:themeColor="text1"/>
        </w:rPr>
        <w:t xml:space="preserve">Data from year to date (YTD) February 2020 indicates the number of discharges nationally was 0.6% </w:t>
      </w:r>
      <w:r>
        <w:rPr>
          <w:color w:val="000000" w:themeColor="text1"/>
        </w:rPr>
        <w:t>lower</w:t>
      </w:r>
      <w:r w:rsidRPr="00BD6921">
        <w:rPr>
          <w:color w:val="000000" w:themeColor="text1"/>
        </w:rPr>
        <w:t xml:space="preserve"> than</w:t>
      </w:r>
      <w:r>
        <w:rPr>
          <w:color w:val="000000" w:themeColor="text1"/>
        </w:rPr>
        <w:t xml:space="preserve"> the total for</w:t>
      </w:r>
      <w:r w:rsidRPr="00BD6921">
        <w:rPr>
          <w:color w:val="000000" w:themeColor="text1"/>
        </w:rPr>
        <w:t xml:space="preserve"> YTD February 2019. Following the </w:t>
      </w:r>
      <w:r>
        <w:rPr>
          <w:color w:val="000000" w:themeColor="text1"/>
        </w:rPr>
        <w:t>arrival</w:t>
      </w:r>
      <w:r w:rsidRPr="00BD6921">
        <w:rPr>
          <w:color w:val="000000" w:themeColor="text1"/>
        </w:rPr>
        <w:t xml:space="preserve"> of COVID-19 in New Zealand, </w:t>
      </w:r>
      <w:r>
        <w:rPr>
          <w:color w:val="000000" w:themeColor="text1"/>
        </w:rPr>
        <w:t xml:space="preserve">the number of discharges </w:t>
      </w:r>
      <w:r w:rsidRPr="00BD6921">
        <w:rPr>
          <w:color w:val="000000" w:themeColor="text1"/>
        </w:rPr>
        <w:t xml:space="preserve">nationally </w:t>
      </w:r>
      <w:r>
        <w:rPr>
          <w:color w:val="000000" w:themeColor="text1"/>
        </w:rPr>
        <w:t>fell by</w:t>
      </w:r>
      <w:r w:rsidRPr="00BD6921">
        <w:rPr>
          <w:color w:val="000000" w:themeColor="text1"/>
        </w:rPr>
        <w:t xml:space="preserve"> 14.1% in March 2020, 38.6% in April 2020, 21.3% in May 2020 and 5.3% in June 2020 compared</w:t>
      </w:r>
      <w:r>
        <w:rPr>
          <w:color w:val="000000" w:themeColor="text1"/>
        </w:rPr>
        <w:t xml:space="preserve"> with</w:t>
      </w:r>
      <w:r w:rsidRPr="00BD6921">
        <w:rPr>
          <w:color w:val="000000" w:themeColor="text1"/>
        </w:rPr>
        <w:t xml:space="preserve"> </w:t>
      </w:r>
      <w:r>
        <w:rPr>
          <w:color w:val="000000" w:themeColor="text1"/>
        </w:rPr>
        <w:t>the same month in</w:t>
      </w:r>
      <w:r w:rsidRPr="00BD6921">
        <w:rPr>
          <w:color w:val="000000" w:themeColor="text1"/>
        </w:rPr>
        <w:t xml:space="preserve"> 2019 (Appendix </w:t>
      </w:r>
      <w:r>
        <w:rPr>
          <w:color w:val="000000" w:themeColor="text1"/>
        </w:rPr>
        <w:t>2</w:t>
      </w:r>
      <w:r w:rsidRPr="00BD6921">
        <w:rPr>
          <w:color w:val="000000" w:themeColor="text1"/>
        </w:rPr>
        <w:t xml:space="preserve">). </w:t>
      </w:r>
    </w:p>
    <w:p w14:paraId="5FDE7E37" w14:textId="77777777" w:rsidR="00EA64A0" w:rsidRPr="00BD6921" w:rsidRDefault="00EA64A0" w:rsidP="00EA64A0">
      <w:pPr>
        <w:rPr>
          <w:color w:val="000000" w:themeColor="text1"/>
        </w:rPr>
      </w:pPr>
    </w:p>
    <w:p w14:paraId="7EAF6378" w14:textId="77777777" w:rsidR="00EA64A0" w:rsidRDefault="00EA64A0" w:rsidP="00EA64A0">
      <w:r>
        <w:lastRenderedPageBreak/>
        <w:t>The greatest disruption occurred in April 2020, which had 37,959 fewer discharges than in April 2019. The smaller reduction in June indicates some return to activity levels observed in previous years; however, the number of discharges still remained lower than the levels in June for the previous two years.</w:t>
      </w:r>
    </w:p>
    <w:p w14:paraId="2987DBB8" w14:textId="77777777" w:rsidR="00EA64A0" w:rsidRPr="00FF66E7" w:rsidRDefault="00EA64A0" w:rsidP="00EA64A0"/>
    <w:p w14:paraId="5C04F5B0" w14:textId="16029BF4" w:rsidR="00EA64A0" w:rsidRPr="002F661C" w:rsidRDefault="00EA64A0" w:rsidP="00EA64A0">
      <w:pPr>
        <w:pStyle w:val="Caption"/>
      </w:pPr>
      <w:bookmarkStart w:id="73" w:name="_Ref53470647"/>
      <w:bookmarkStart w:id="74" w:name="_Toc52420594"/>
      <w:bookmarkStart w:id="75" w:name="_Toc53585936"/>
      <w:r w:rsidRPr="009E0AA4">
        <w:t xml:space="preserve">Figure </w:t>
      </w:r>
      <w:r w:rsidRPr="009E0AA4">
        <w:rPr>
          <w:noProof/>
        </w:rPr>
        <w:fldChar w:fldCharType="begin"/>
      </w:r>
      <w:r w:rsidRPr="009E0AA4">
        <w:rPr>
          <w:noProof/>
        </w:rPr>
        <w:instrText xml:space="preserve"> SEQ Figure \* ARABIC </w:instrText>
      </w:r>
      <w:r w:rsidRPr="009E0AA4">
        <w:rPr>
          <w:noProof/>
        </w:rPr>
        <w:fldChar w:fldCharType="separate"/>
      </w:r>
      <w:r w:rsidR="00CF2713">
        <w:rPr>
          <w:noProof/>
        </w:rPr>
        <w:t>6</w:t>
      </w:r>
      <w:r w:rsidRPr="009E0AA4">
        <w:rPr>
          <w:noProof/>
        </w:rPr>
        <w:fldChar w:fldCharType="end"/>
      </w:r>
      <w:bookmarkEnd w:id="73"/>
      <w:r w:rsidRPr="009E0AA4">
        <w:t>: Number of discharges nationally from March to June 2018–2020</w:t>
      </w:r>
      <w:bookmarkEnd w:id="74"/>
      <w:bookmarkEnd w:id="75"/>
    </w:p>
    <w:p w14:paraId="45524498" w14:textId="47100DBC" w:rsidR="00EA64A0" w:rsidRPr="003D1736" w:rsidRDefault="00FA2F0A" w:rsidP="00FA2F0A">
      <w:pPr>
        <w:rPr>
          <w:rFonts w:cs="Segoe UI"/>
          <w:b/>
          <w:sz w:val="24"/>
          <w:szCs w:val="24"/>
        </w:rPr>
      </w:pPr>
      <w:r>
        <w:rPr>
          <w:rFonts w:cs="Segoe UI"/>
          <w:b/>
          <w:noProof/>
          <w:sz w:val="24"/>
          <w:szCs w:val="24"/>
        </w:rPr>
        <w:drawing>
          <wp:inline distT="0" distB="0" distL="0" distR="0" wp14:anchorId="7C8FF072" wp14:editId="7A02F61B">
            <wp:extent cx="5678115" cy="2968388"/>
            <wp:effectExtent l="0" t="0" r="0" b="3810"/>
            <wp:docPr id="112" name="Picture 112" descr="This bar graph shows that discharges were fairly steady in 2018 and 2019 by month, but there were far fewer in 2020. The smallest discrepancy was in June, with about 5,000 fewer, and the largest was in April, with more than 35,000 f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03" t="8124" r="3996" b="6040"/>
                    <a:stretch/>
                  </pic:blipFill>
                  <pic:spPr bwMode="auto">
                    <a:xfrm>
                      <a:off x="0" y="0"/>
                      <a:ext cx="5698543" cy="2979067"/>
                    </a:xfrm>
                    <a:prstGeom prst="rect">
                      <a:avLst/>
                    </a:prstGeom>
                    <a:noFill/>
                    <a:ln>
                      <a:noFill/>
                    </a:ln>
                    <a:extLst>
                      <a:ext uri="{53640926-AAD7-44D8-BBD7-CCE9431645EC}">
                        <a14:shadowObscured xmlns:a14="http://schemas.microsoft.com/office/drawing/2010/main"/>
                      </a:ext>
                    </a:extLst>
                  </pic:spPr>
                </pic:pic>
              </a:graphicData>
            </a:graphic>
          </wp:inline>
        </w:drawing>
      </w:r>
    </w:p>
    <w:p w14:paraId="001E4507" w14:textId="77777777" w:rsidR="00EA64A0" w:rsidRDefault="00EA64A0" w:rsidP="00EA64A0">
      <w:pPr>
        <w:rPr>
          <w:color w:val="000000" w:themeColor="text1"/>
        </w:rPr>
      </w:pPr>
    </w:p>
    <w:p w14:paraId="244ACDCC" w14:textId="77777777" w:rsidR="00EA64A0" w:rsidRDefault="00EA64A0" w:rsidP="00EA64A0">
      <w:pPr>
        <w:rPr>
          <w:color w:val="000000" w:themeColor="text1"/>
        </w:rPr>
      </w:pPr>
      <w:r w:rsidRPr="00BD6921">
        <w:rPr>
          <w:color w:val="000000" w:themeColor="text1"/>
        </w:rPr>
        <w:t xml:space="preserve">Appendix </w:t>
      </w:r>
      <w:r>
        <w:rPr>
          <w:color w:val="000000" w:themeColor="text1"/>
        </w:rPr>
        <w:t>3</w:t>
      </w:r>
      <w:r w:rsidRPr="00BD6921">
        <w:rPr>
          <w:color w:val="000000" w:themeColor="text1"/>
        </w:rPr>
        <w:t xml:space="preserve"> shows the number of discharges by region</w:t>
      </w:r>
      <w:r>
        <w:rPr>
          <w:color w:val="000000" w:themeColor="text1"/>
        </w:rPr>
        <w:t>, comparing</w:t>
      </w:r>
      <w:r w:rsidRPr="00BD6921">
        <w:rPr>
          <w:color w:val="000000" w:themeColor="text1"/>
        </w:rPr>
        <w:t xml:space="preserve"> March </w:t>
      </w:r>
      <w:r>
        <w:rPr>
          <w:color w:val="000000" w:themeColor="text1"/>
        </w:rPr>
        <w:t>to</w:t>
      </w:r>
      <w:r w:rsidRPr="00BD6921">
        <w:rPr>
          <w:color w:val="000000" w:themeColor="text1"/>
        </w:rPr>
        <w:t xml:space="preserve"> June 2020 with the same months in 2018 and 2019. Midland Region had the largest reduction in number of discharges (down by 39.9%)</w:t>
      </w:r>
      <w:r w:rsidRPr="00916F0F">
        <w:rPr>
          <w:color w:val="000000" w:themeColor="text1"/>
        </w:rPr>
        <w:t xml:space="preserve">, </w:t>
      </w:r>
      <w:r>
        <w:rPr>
          <w:color w:val="000000" w:themeColor="text1"/>
        </w:rPr>
        <w:t>while</w:t>
      </w:r>
      <w:r w:rsidRPr="00916F0F">
        <w:rPr>
          <w:color w:val="000000" w:themeColor="text1"/>
        </w:rPr>
        <w:t xml:space="preserve"> Central Region had the smallest reduction in number of discharges (</w:t>
      </w:r>
      <w:r w:rsidRPr="00BD6921">
        <w:rPr>
          <w:color w:val="000000" w:themeColor="text1"/>
        </w:rPr>
        <w:t>down by 33.6%)</w:t>
      </w:r>
      <w:r>
        <w:rPr>
          <w:color w:val="000000" w:themeColor="text1"/>
        </w:rPr>
        <w:t>,</w:t>
      </w:r>
      <w:r w:rsidRPr="00BD6921">
        <w:rPr>
          <w:color w:val="000000" w:themeColor="text1"/>
        </w:rPr>
        <w:t xml:space="preserve"> in </w:t>
      </w:r>
      <w:r w:rsidRPr="00916F0F">
        <w:rPr>
          <w:color w:val="000000" w:themeColor="text1"/>
        </w:rPr>
        <w:t xml:space="preserve">April 2020 compared </w:t>
      </w:r>
      <w:r>
        <w:rPr>
          <w:color w:val="000000" w:themeColor="text1"/>
        </w:rPr>
        <w:t>with</w:t>
      </w:r>
      <w:r w:rsidRPr="00916F0F">
        <w:rPr>
          <w:color w:val="000000" w:themeColor="text1"/>
        </w:rPr>
        <w:t xml:space="preserve"> April 2019</w:t>
      </w:r>
      <w:r w:rsidRPr="00BD6921">
        <w:rPr>
          <w:color w:val="000000" w:themeColor="text1"/>
        </w:rPr>
        <w:t xml:space="preserve">. By the end of June 2020, Central Region had the greatest reduction in discharges compared with June 2019 (down by 5.6%) and Midland Region had the smallest reduction (down by 2.5%). </w:t>
      </w:r>
    </w:p>
    <w:p w14:paraId="16CA9FE4" w14:textId="77777777" w:rsidR="00EA64A0" w:rsidRPr="00E35305" w:rsidRDefault="00EA64A0" w:rsidP="00EA64A0">
      <w:pPr>
        <w:pStyle w:val="Heading3"/>
      </w:pPr>
      <w:bookmarkStart w:id="76" w:name="_Toc52430176"/>
      <w:r w:rsidRPr="00E35305">
        <w:t>Case</w:t>
      </w:r>
      <w:r>
        <w:t>-</w:t>
      </w:r>
      <w:r w:rsidRPr="00E35305">
        <w:t>weighted discharges</w:t>
      </w:r>
      <w:bookmarkEnd w:id="76"/>
    </w:p>
    <w:p w14:paraId="7664A725" w14:textId="60D64472" w:rsidR="00EA64A0" w:rsidRDefault="00B65BC8" w:rsidP="00EA64A0">
      <w:r>
        <w:rPr>
          <w:color w:val="000000" w:themeColor="text1"/>
        </w:rPr>
        <w:fldChar w:fldCharType="begin"/>
      </w:r>
      <w:r>
        <w:rPr>
          <w:color w:val="000000" w:themeColor="text1"/>
        </w:rPr>
        <w:instrText xml:space="preserve"> REF _Ref53470653 \h </w:instrText>
      </w:r>
      <w:r>
        <w:rPr>
          <w:color w:val="000000" w:themeColor="text1"/>
        </w:rPr>
      </w:r>
      <w:r>
        <w:rPr>
          <w:color w:val="000000" w:themeColor="text1"/>
        </w:rPr>
        <w:fldChar w:fldCharType="separate"/>
      </w:r>
      <w:r w:rsidR="00CF2713">
        <w:t xml:space="preserve">Figure </w:t>
      </w:r>
      <w:r w:rsidR="00CF2713">
        <w:rPr>
          <w:noProof/>
        </w:rPr>
        <w:t>7</w:t>
      </w:r>
      <w:r>
        <w:rPr>
          <w:color w:val="000000" w:themeColor="text1"/>
        </w:rPr>
        <w:fldChar w:fldCharType="end"/>
      </w:r>
      <w:r w:rsidR="00EA64A0">
        <w:rPr>
          <w:color w:val="000000" w:themeColor="text1"/>
        </w:rPr>
        <w:t xml:space="preserve"> shows the number of case-weighted discharges (CWDs) nationally in each month from March to June 2018–2020. </w:t>
      </w:r>
      <w:r w:rsidR="00EA64A0" w:rsidRPr="00227201">
        <w:rPr>
          <w:color w:val="000000" w:themeColor="text1"/>
        </w:rPr>
        <w:t>The number of CWDs was 6.8% lower in YTD February 2020 than YTD February 2019</w:t>
      </w:r>
      <w:r w:rsidR="00EA64A0">
        <w:rPr>
          <w:color w:val="000000" w:themeColor="text1"/>
        </w:rPr>
        <w:t>, while the decrease was</w:t>
      </w:r>
      <w:r w:rsidR="00EA64A0" w:rsidRPr="00227201">
        <w:rPr>
          <w:color w:val="000000" w:themeColor="text1"/>
        </w:rPr>
        <w:t xml:space="preserve"> </w:t>
      </w:r>
      <w:r w:rsidR="00EA64A0">
        <w:rPr>
          <w:color w:val="000000" w:themeColor="text1"/>
        </w:rPr>
        <w:t xml:space="preserve">by </w:t>
      </w:r>
      <w:r w:rsidR="00EA64A0" w:rsidRPr="00227201">
        <w:rPr>
          <w:color w:val="000000" w:themeColor="text1"/>
        </w:rPr>
        <w:t xml:space="preserve">10.1% </w:t>
      </w:r>
      <w:r w:rsidR="00EA64A0">
        <w:rPr>
          <w:color w:val="000000" w:themeColor="text1"/>
        </w:rPr>
        <w:t xml:space="preserve">in </w:t>
      </w:r>
      <w:r w:rsidR="00EA64A0" w:rsidRPr="00227201">
        <w:rPr>
          <w:color w:val="000000" w:themeColor="text1"/>
        </w:rPr>
        <w:t>March 2020</w:t>
      </w:r>
      <w:r w:rsidR="00EA64A0">
        <w:rPr>
          <w:color w:val="000000" w:themeColor="text1"/>
        </w:rPr>
        <w:t>,</w:t>
      </w:r>
      <w:r w:rsidR="00EA64A0" w:rsidRPr="00227201">
        <w:rPr>
          <w:color w:val="000000" w:themeColor="text1"/>
        </w:rPr>
        <w:t xml:space="preserve"> 39.1% </w:t>
      </w:r>
      <w:r w:rsidR="00EA64A0">
        <w:rPr>
          <w:color w:val="000000" w:themeColor="text1"/>
        </w:rPr>
        <w:t>in</w:t>
      </w:r>
      <w:r w:rsidR="00EA64A0" w:rsidRPr="00227201">
        <w:rPr>
          <w:color w:val="000000" w:themeColor="text1"/>
        </w:rPr>
        <w:t xml:space="preserve"> April</w:t>
      </w:r>
      <w:r w:rsidR="00EA64A0">
        <w:rPr>
          <w:color w:val="000000" w:themeColor="text1"/>
        </w:rPr>
        <w:t xml:space="preserve"> 2020,</w:t>
      </w:r>
      <w:r w:rsidR="00EA64A0" w:rsidRPr="00227201">
        <w:rPr>
          <w:color w:val="000000" w:themeColor="text1"/>
        </w:rPr>
        <w:t xml:space="preserve"> 21.1% </w:t>
      </w:r>
      <w:r w:rsidR="00EA64A0">
        <w:rPr>
          <w:color w:val="000000" w:themeColor="text1"/>
        </w:rPr>
        <w:t xml:space="preserve">in </w:t>
      </w:r>
      <w:r w:rsidR="00EA64A0" w:rsidRPr="00227201">
        <w:rPr>
          <w:color w:val="000000" w:themeColor="text1"/>
        </w:rPr>
        <w:t>May 20</w:t>
      </w:r>
      <w:r w:rsidR="00EA64A0">
        <w:rPr>
          <w:color w:val="000000" w:themeColor="text1"/>
        </w:rPr>
        <w:t>20</w:t>
      </w:r>
      <w:r w:rsidR="00EA64A0" w:rsidRPr="00227201">
        <w:rPr>
          <w:color w:val="000000" w:themeColor="text1"/>
        </w:rPr>
        <w:t xml:space="preserve"> and 7.4% </w:t>
      </w:r>
      <w:r w:rsidR="00EA64A0">
        <w:rPr>
          <w:color w:val="000000" w:themeColor="text1"/>
        </w:rPr>
        <w:t>in</w:t>
      </w:r>
      <w:r w:rsidR="00EA64A0" w:rsidRPr="00227201">
        <w:rPr>
          <w:color w:val="000000" w:themeColor="text1"/>
        </w:rPr>
        <w:t xml:space="preserve"> June 20</w:t>
      </w:r>
      <w:r w:rsidR="00EA64A0">
        <w:rPr>
          <w:color w:val="000000" w:themeColor="text1"/>
        </w:rPr>
        <w:t>20</w:t>
      </w:r>
      <w:r w:rsidR="00EA64A0" w:rsidRPr="00227201">
        <w:rPr>
          <w:color w:val="000000" w:themeColor="text1"/>
        </w:rPr>
        <w:t xml:space="preserve"> </w:t>
      </w:r>
      <w:r w:rsidR="00EA64A0">
        <w:rPr>
          <w:color w:val="000000" w:themeColor="text1"/>
        </w:rPr>
        <w:t>compared with the same month in</w:t>
      </w:r>
      <w:r w:rsidR="00EA64A0" w:rsidRPr="00227201">
        <w:rPr>
          <w:color w:val="000000" w:themeColor="text1"/>
        </w:rPr>
        <w:t xml:space="preserve"> 2019</w:t>
      </w:r>
      <w:r w:rsidR="00EA64A0" w:rsidRPr="00E35305">
        <w:t xml:space="preserve"> (</w:t>
      </w:r>
      <w:r w:rsidR="00EA64A0">
        <w:t>Appendix 4</w:t>
      </w:r>
      <w:r w:rsidR="00EA64A0" w:rsidRPr="00E35305">
        <w:t>).</w:t>
      </w:r>
    </w:p>
    <w:p w14:paraId="1D9D76F9" w14:textId="77777777" w:rsidR="00EA64A0" w:rsidRDefault="00EA64A0" w:rsidP="00EA64A0"/>
    <w:p w14:paraId="0E6D34EC" w14:textId="77777777" w:rsidR="00EA64A0" w:rsidRDefault="00EA64A0" w:rsidP="00EA64A0">
      <w:bookmarkStart w:id="77" w:name="_Hlk44329617"/>
      <w:r w:rsidRPr="00227201">
        <w:rPr>
          <w:color w:val="000000" w:themeColor="text1"/>
        </w:rPr>
        <w:t xml:space="preserve">In April 2020 compared </w:t>
      </w:r>
      <w:r>
        <w:rPr>
          <w:color w:val="000000" w:themeColor="text1"/>
        </w:rPr>
        <w:t>with</w:t>
      </w:r>
      <w:r w:rsidRPr="00227201">
        <w:rPr>
          <w:color w:val="000000" w:themeColor="text1"/>
        </w:rPr>
        <w:t xml:space="preserve"> April 2019</w:t>
      </w:r>
      <w:r>
        <w:rPr>
          <w:color w:val="000000" w:themeColor="text1"/>
        </w:rPr>
        <w:t xml:space="preserve">, </w:t>
      </w:r>
      <w:r w:rsidRPr="00227201">
        <w:rPr>
          <w:color w:val="000000" w:themeColor="text1"/>
        </w:rPr>
        <w:t xml:space="preserve">South Region </w:t>
      </w:r>
      <w:r>
        <w:rPr>
          <w:color w:val="000000" w:themeColor="text1"/>
        </w:rPr>
        <w:t>had</w:t>
      </w:r>
      <w:r w:rsidRPr="00227201">
        <w:rPr>
          <w:color w:val="000000" w:themeColor="text1"/>
        </w:rPr>
        <w:t xml:space="preserve"> the </w:t>
      </w:r>
      <w:r>
        <w:rPr>
          <w:color w:val="000000" w:themeColor="text1"/>
        </w:rPr>
        <w:t>largest</w:t>
      </w:r>
      <w:r w:rsidRPr="00227201">
        <w:rPr>
          <w:color w:val="000000" w:themeColor="text1"/>
        </w:rPr>
        <w:t xml:space="preserve"> reduction in CWDs</w:t>
      </w:r>
      <w:r>
        <w:rPr>
          <w:color w:val="000000" w:themeColor="text1"/>
        </w:rPr>
        <w:t xml:space="preserve"> at </w:t>
      </w:r>
      <w:r w:rsidRPr="00227201">
        <w:rPr>
          <w:color w:val="000000" w:themeColor="text1"/>
        </w:rPr>
        <w:t xml:space="preserve">38.7%, and Central Region </w:t>
      </w:r>
      <w:r>
        <w:rPr>
          <w:color w:val="000000" w:themeColor="text1"/>
        </w:rPr>
        <w:t>had</w:t>
      </w:r>
      <w:r w:rsidRPr="00227201">
        <w:rPr>
          <w:color w:val="000000" w:themeColor="text1"/>
        </w:rPr>
        <w:t xml:space="preserve"> the smallest </w:t>
      </w:r>
      <w:r>
        <w:rPr>
          <w:color w:val="000000" w:themeColor="text1"/>
        </w:rPr>
        <w:t xml:space="preserve">at </w:t>
      </w:r>
      <w:r w:rsidRPr="00227201">
        <w:rPr>
          <w:color w:val="000000" w:themeColor="text1"/>
        </w:rPr>
        <w:t>33.1%.</w:t>
      </w:r>
      <w:bookmarkEnd w:id="77"/>
      <w:r w:rsidRPr="00227201">
        <w:rPr>
          <w:color w:val="000000" w:themeColor="text1"/>
        </w:rPr>
        <w:t xml:space="preserve"> At the end of June 2020, Central Region</w:t>
      </w:r>
      <w:r>
        <w:rPr>
          <w:color w:val="000000" w:themeColor="text1"/>
        </w:rPr>
        <w:t xml:space="preserve"> had the greatest reduction of </w:t>
      </w:r>
      <w:r w:rsidRPr="00227201">
        <w:rPr>
          <w:color w:val="000000" w:themeColor="text1"/>
        </w:rPr>
        <w:t>7.2% and Northern Region ha</w:t>
      </w:r>
      <w:r>
        <w:rPr>
          <w:color w:val="000000" w:themeColor="text1"/>
        </w:rPr>
        <w:t>d</w:t>
      </w:r>
      <w:r w:rsidRPr="00227201">
        <w:rPr>
          <w:color w:val="000000" w:themeColor="text1"/>
        </w:rPr>
        <w:t xml:space="preserve"> the </w:t>
      </w:r>
      <w:r>
        <w:rPr>
          <w:color w:val="000000" w:themeColor="text1"/>
        </w:rPr>
        <w:t>smallest</w:t>
      </w:r>
      <w:r w:rsidRPr="00227201">
        <w:rPr>
          <w:color w:val="000000" w:themeColor="text1"/>
        </w:rPr>
        <w:t xml:space="preserve"> (</w:t>
      </w:r>
      <w:r>
        <w:rPr>
          <w:color w:val="000000" w:themeColor="text1"/>
        </w:rPr>
        <w:t xml:space="preserve">down by </w:t>
      </w:r>
      <w:r w:rsidRPr="00227201">
        <w:rPr>
          <w:color w:val="000000" w:themeColor="text1"/>
        </w:rPr>
        <w:t>1.1%).</w:t>
      </w:r>
      <w:r>
        <w:rPr>
          <w:color w:val="F79646" w:themeColor="accent6"/>
        </w:rPr>
        <w:t xml:space="preserve"> </w:t>
      </w:r>
      <w:r w:rsidRPr="00B17C35">
        <w:rPr>
          <w:color w:val="000000" w:themeColor="text1"/>
        </w:rPr>
        <w:t xml:space="preserve">Appendix </w:t>
      </w:r>
      <w:r>
        <w:rPr>
          <w:color w:val="000000" w:themeColor="text1"/>
        </w:rPr>
        <w:t>5</w:t>
      </w:r>
      <w:r w:rsidRPr="00B17C35">
        <w:rPr>
          <w:color w:val="000000" w:themeColor="text1"/>
        </w:rPr>
        <w:t xml:space="preserve"> shows </w:t>
      </w:r>
      <w:r w:rsidRPr="00E35305">
        <w:t xml:space="preserve">the number of CWDs by region, </w:t>
      </w:r>
      <w:r>
        <w:t>from March to June</w:t>
      </w:r>
      <w:r w:rsidRPr="00E35305">
        <w:t xml:space="preserve"> 2018</w:t>
      </w:r>
      <w:r>
        <w:t>–</w:t>
      </w:r>
      <w:r w:rsidRPr="00E35305">
        <w:t>2020.</w:t>
      </w:r>
    </w:p>
    <w:p w14:paraId="0E940C97" w14:textId="77777777" w:rsidR="00EA64A0" w:rsidRDefault="00EA64A0" w:rsidP="00EA64A0">
      <w:pPr>
        <w:rPr>
          <w:b/>
          <w:sz w:val="24"/>
          <w:szCs w:val="24"/>
        </w:rPr>
      </w:pPr>
    </w:p>
    <w:p w14:paraId="2FFE3582" w14:textId="77777777" w:rsidR="00A473BF" w:rsidRDefault="00A473BF" w:rsidP="00EA64A0">
      <w:pPr>
        <w:pStyle w:val="Caption"/>
      </w:pPr>
      <w:bookmarkStart w:id="78" w:name="_Toc52420595"/>
    </w:p>
    <w:p w14:paraId="288F6293" w14:textId="77777777" w:rsidR="00A473BF" w:rsidRDefault="00A473BF" w:rsidP="00EA64A0">
      <w:pPr>
        <w:pStyle w:val="Caption"/>
      </w:pPr>
    </w:p>
    <w:p w14:paraId="10E43CF8" w14:textId="77777777" w:rsidR="009E0AA4" w:rsidRDefault="009E0AA4" w:rsidP="00EA64A0">
      <w:pPr>
        <w:pStyle w:val="Caption"/>
      </w:pPr>
    </w:p>
    <w:p w14:paraId="6A1A1CE2" w14:textId="77777777" w:rsidR="009E0AA4" w:rsidRDefault="009E0AA4" w:rsidP="00EA64A0">
      <w:pPr>
        <w:pStyle w:val="Caption"/>
      </w:pPr>
    </w:p>
    <w:p w14:paraId="3DDA0ADC" w14:textId="1919DF4C" w:rsidR="00EA64A0" w:rsidRPr="00DF0078" w:rsidRDefault="00EA64A0" w:rsidP="00EA64A0">
      <w:pPr>
        <w:pStyle w:val="Caption"/>
      </w:pPr>
      <w:bookmarkStart w:id="79" w:name="_Ref53470653"/>
      <w:bookmarkStart w:id="80" w:name="_Toc53585937"/>
      <w:r>
        <w:lastRenderedPageBreak/>
        <w:t xml:space="preserve">Figure </w:t>
      </w:r>
      <w:r>
        <w:rPr>
          <w:noProof/>
        </w:rPr>
        <w:fldChar w:fldCharType="begin"/>
      </w:r>
      <w:r>
        <w:rPr>
          <w:noProof/>
        </w:rPr>
        <w:instrText xml:space="preserve"> SEQ Figure \* ARABIC </w:instrText>
      </w:r>
      <w:r>
        <w:rPr>
          <w:noProof/>
        </w:rPr>
        <w:fldChar w:fldCharType="separate"/>
      </w:r>
      <w:r w:rsidR="00CF2713">
        <w:rPr>
          <w:noProof/>
        </w:rPr>
        <w:t>7</w:t>
      </w:r>
      <w:r>
        <w:rPr>
          <w:noProof/>
        </w:rPr>
        <w:fldChar w:fldCharType="end"/>
      </w:r>
      <w:bookmarkEnd w:id="79"/>
      <w:r>
        <w:t xml:space="preserve">: </w:t>
      </w:r>
      <w:r w:rsidRPr="00542336">
        <w:t>Number</w:t>
      </w:r>
      <w:r w:rsidRPr="00E35305">
        <w:t xml:space="preserve"> of </w:t>
      </w:r>
      <w:r>
        <w:t>case-weighted discharges</w:t>
      </w:r>
      <w:r w:rsidRPr="00E35305">
        <w:t xml:space="preserve"> nationally </w:t>
      </w:r>
      <w:r>
        <w:t>from</w:t>
      </w:r>
      <w:r w:rsidRPr="00E35305">
        <w:t xml:space="preserve"> </w:t>
      </w:r>
      <w:r w:rsidRPr="002F661C">
        <w:t>March to June 2018</w:t>
      </w:r>
      <w:r>
        <w:t>–</w:t>
      </w:r>
      <w:r w:rsidRPr="002F661C">
        <w:t>2020</w:t>
      </w:r>
      <w:bookmarkEnd w:id="78"/>
      <w:bookmarkEnd w:id="80"/>
    </w:p>
    <w:p w14:paraId="1ECADB72" w14:textId="6CF79161" w:rsidR="007B3557" w:rsidRDefault="007B3557" w:rsidP="00A473BF">
      <w:r>
        <w:rPr>
          <w:noProof/>
        </w:rPr>
        <w:drawing>
          <wp:inline distT="0" distB="0" distL="0" distR="0" wp14:anchorId="70911C37" wp14:editId="3562EDD2">
            <wp:extent cx="5646906" cy="3086100"/>
            <wp:effectExtent l="0" t="0" r="0" b="0"/>
            <wp:docPr id="1" name="Picture 1" descr="This bar graph shows that case-weighted discharges were highest in 2018, slightly lower in 2019 and lowest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2105" t="8486" r="7358" b="6032"/>
                    <a:stretch/>
                  </pic:blipFill>
                  <pic:spPr bwMode="auto">
                    <a:xfrm>
                      <a:off x="0" y="0"/>
                      <a:ext cx="5659616" cy="3093046"/>
                    </a:xfrm>
                    <a:prstGeom prst="rect">
                      <a:avLst/>
                    </a:prstGeom>
                    <a:noFill/>
                    <a:ln>
                      <a:noFill/>
                    </a:ln>
                    <a:extLst>
                      <a:ext uri="{53640926-AAD7-44D8-BBD7-CCE9431645EC}">
                        <a14:shadowObscured xmlns:a14="http://schemas.microsoft.com/office/drawing/2010/main"/>
                      </a:ext>
                    </a:extLst>
                  </pic:spPr>
                </pic:pic>
              </a:graphicData>
            </a:graphic>
          </wp:inline>
        </w:drawing>
      </w:r>
    </w:p>
    <w:p w14:paraId="5840F4DA" w14:textId="4DC3D60D" w:rsidR="00EA64A0" w:rsidRPr="00E35305" w:rsidRDefault="00EA64A0" w:rsidP="00EA64A0">
      <w:pPr>
        <w:pStyle w:val="Heading3"/>
        <w:rPr>
          <w:sz w:val="22"/>
          <w:szCs w:val="22"/>
        </w:rPr>
      </w:pPr>
      <w:bookmarkStart w:id="81" w:name="_Toc52430177"/>
      <w:r>
        <w:t>Percentage of d</w:t>
      </w:r>
      <w:r w:rsidRPr="00E35305">
        <w:t>ischarges by ethnicity</w:t>
      </w:r>
      <w:bookmarkEnd w:id="81"/>
    </w:p>
    <w:p w14:paraId="4EFE2882" w14:textId="3CE9EE39" w:rsidR="00EA64A0" w:rsidRDefault="00EA64A0" w:rsidP="00EA64A0">
      <w:r>
        <w:t>This analysis presents e</w:t>
      </w:r>
      <w:r w:rsidRPr="00E35305">
        <w:t xml:space="preserve">thnicity data </w:t>
      </w:r>
      <w:r>
        <w:t xml:space="preserve">in </w:t>
      </w:r>
      <w:r w:rsidRPr="00E35305">
        <w:t>the following</w:t>
      </w:r>
      <w:r>
        <w:t xml:space="preserve"> groups</w:t>
      </w:r>
      <w:r w:rsidRPr="00E35305">
        <w:t xml:space="preserve">: Māori, Pacific </w:t>
      </w:r>
      <w:r>
        <w:t xml:space="preserve">peoples </w:t>
      </w:r>
      <w:r w:rsidRPr="00E35305">
        <w:t xml:space="preserve">and </w:t>
      </w:r>
      <w:r>
        <w:t>n</w:t>
      </w:r>
      <w:r w:rsidRPr="00E56A6A">
        <w:t>on-Māori</w:t>
      </w:r>
      <w:r>
        <w:t>,</w:t>
      </w:r>
      <w:r w:rsidRPr="00E56A6A">
        <w:t xml:space="preserve"> non-Pacific</w:t>
      </w:r>
      <w:r w:rsidRPr="00E35305">
        <w:t xml:space="preserve">. </w:t>
      </w:r>
      <w:r>
        <w:t>N</w:t>
      </w:r>
      <w:r w:rsidRPr="00E56A6A">
        <w:t>on-Māori</w:t>
      </w:r>
      <w:r>
        <w:t xml:space="preserve">, </w:t>
      </w:r>
      <w:r w:rsidRPr="00E56A6A">
        <w:t>non-Pacific</w:t>
      </w:r>
      <w:r>
        <w:t xml:space="preserve"> </w:t>
      </w:r>
      <w:r w:rsidRPr="00E35305">
        <w:t xml:space="preserve">refers to all people who do not identify as Māori or Pacific. </w:t>
      </w:r>
    </w:p>
    <w:p w14:paraId="7564CA49" w14:textId="77777777" w:rsidR="00EA64A0" w:rsidRDefault="00EA64A0" w:rsidP="00EA64A0"/>
    <w:p w14:paraId="0764F0DA" w14:textId="766F8822" w:rsidR="00EA64A0" w:rsidRDefault="00627116" w:rsidP="00EA64A0">
      <w:r>
        <w:t xml:space="preserve">Figure 8 </w:t>
      </w:r>
      <w:r w:rsidR="00EA64A0">
        <w:t>shows the ethnic breakdown as a percentage of the total number of discharges. In March 2020, Māori made up 17.7% of discharges nationally. This decreased to 17.5% in April 2020 and 17.1% in May 2020, before increasing to 17.8% in June 2020. Pacific peoples made up 7.7% of national discharges in March 2020, 7.5% in April 2020, 7.2% in May 2020 and 7.4% in June 2020. Non-Māori, non-Pacific made up 74.6% of discharges nationally in March 2020, 75.0% in April 2020, 75.6% in May 2020 and 74.9% in June 2020.</w:t>
      </w:r>
    </w:p>
    <w:p w14:paraId="467884B5" w14:textId="77777777" w:rsidR="00EA64A0" w:rsidRDefault="00EA64A0" w:rsidP="00EA64A0"/>
    <w:p w14:paraId="1887DF5C" w14:textId="277C30F7" w:rsidR="00EA64A0" w:rsidRPr="00734361" w:rsidRDefault="00EA64A0" w:rsidP="00EA64A0">
      <w:pPr>
        <w:pStyle w:val="Caption"/>
      </w:pPr>
      <w:bookmarkStart w:id="82" w:name="_Ref53470660"/>
      <w:bookmarkStart w:id="83" w:name="_Toc52420596"/>
      <w:bookmarkStart w:id="84" w:name="_Toc53585938"/>
      <w:r w:rsidRPr="007930BF">
        <w:t xml:space="preserve">Figure </w:t>
      </w:r>
      <w:r w:rsidRPr="007930BF">
        <w:rPr>
          <w:noProof/>
        </w:rPr>
        <w:fldChar w:fldCharType="begin"/>
      </w:r>
      <w:r w:rsidRPr="007930BF">
        <w:rPr>
          <w:noProof/>
        </w:rPr>
        <w:instrText xml:space="preserve"> SEQ Figure \* ARABIC </w:instrText>
      </w:r>
      <w:r w:rsidRPr="007930BF">
        <w:rPr>
          <w:noProof/>
        </w:rPr>
        <w:fldChar w:fldCharType="separate"/>
      </w:r>
      <w:r w:rsidR="00CF2713">
        <w:rPr>
          <w:noProof/>
        </w:rPr>
        <w:t>8</w:t>
      </w:r>
      <w:r w:rsidRPr="007930BF">
        <w:rPr>
          <w:noProof/>
        </w:rPr>
        <w:fldChar w:fldCharType="end"/>
      </w:r>
      <w:bookmarkEnd w:id="82"/>
      <w:r w:rsidRPr="007930BF">
        <w:t>: Number of discharges nationally from March to June 2018–2020, by ethnicity</w:t>
      </w:r>
      <w:bookmarkEnd w:id="83"/>
      <w:bookmarkEnd w:id="84"/>
    </w:p>
    <w:p w14:paraId="5F137524" w14:textId="04201D87" w:rsidR="009471FA" w:rsidRDefault="005E6C9D" w:rsidP="00EA64A0">
      <w:pPr>
        <w:rPr>
          <w:rFonts w:cs="Segoe UI"/>
          <w:color w:val="000000" w:themeColor="text1"/>
        </w:rPr>
      </w:pPr>
      <w:r>
        <w:rPr>
          <w:noProof/>
        </w:rPr>
        <w:drawing>
          <wp:anchor distT="0" distB="0" distL="114300" distR="114300" simplePos="0" relativeHeight="251670528" behindDoc="0" locked="0" layoutInCell="1" allowOverlap="1" wp14:anchorId="6B2706F4" wp14:editId="7AC178C7">
            <wp:simplePos x="0" y="0"/>
            <wp:positionH relativeFrom="column">
              <wp:posOffset>1005205</wp:posOffset>
            </wp:positionH>
            <wp:positionV relativeFrom="paragraph">
              <wp:posOffset>109855</wp:posOffset>
            </wp:positionV>
            <wp:extent cx="2722193" cy="115288"/>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25" t="7353" r="43234" b="89775"/>
                    <a:stretch/>
                  </pic:blipFill>
                  <pic:spPr bwMode="auto">
                    <a:xfrm>
                      <a:off x="0" y="0"/>
                      <a:ext cx="2722193" cy="115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D54">
        <w:rPr>
          <w:rFonts w:cs="Segoe UI"/>
          <w:noProof/>
          <w:color w:val="000000" w:themeColor="text1"/>
        </w:rPr>
        <w:drawing>
          <wp:inline distT="0" distB="0" distL="0" distR="0" wp14:anchorId="09A12DB9" wp14:editId="648511F8">
            <wp:extent cx="5637450" cy="2595204"/>
            <wp:effectExtent l="0" t="0" r="1905" b="0"/>
            <wp:docPr id="8" name="Picture 8" descr="This bar graph shows that non-Māori, non-Pacific people were consistently about 75% of discharges in each year and month, while Māori made up between 17 and 18% and Pacific made up between 7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291" t="7222" r="11075" b="5908"/>
                    <a:stretch/>
                  </pic:blipFill>
                  <pic:spPr bwMode="auto">
                    <a:xfrm>
                      <a:off x="0" y="0"/>
                      <a:ext cx="5674602" cy="2612307"/>
                    </a:xfrm>
                    <a:prstGeom prst="rect">
                      <a:avLst/>
                    </a:prstGeom>
                    <a:noFill/>
                    <a:ln>
                      <a:noFill/>
                    </a:ln>
                    <a:extLst>
                      <a:ext uri="{53640926-AAD7-44D8-BBD7-CCE9431645EC}">
                        <a14:shadowObscured xmlns:a14="http://schemas.microsoft.com/office/drawing/2010/main"/>
                      </a:ext>
                    </a:extLst>
                  </pic:spPr>
                </pic:pic>
              </a:graphicData>
            </a:graphic>
          </wp:inline>
        </w:drawing>
      </w:r>
    </w:p>
    <w:p w14:paraId="1FD4AE96" w14:textId="77777777" w:rsidR="00E03D54" w:rsidRDefault="00E03D54" w:rsidP="00EA64A0">
      <w:pPr>
        <w:rPr>
          <w:rFonts w:cs="Segoe UI"/>
          <w:color w:val="000000" w:themeColor="text1"/>
        </w:rPr>
      </w:pPr>
    </w:p>
    <w:p w14:paraId="316011F5" w14:textId="77777777" w:rsidR="00627116" w:rsidRDefault="00EA64A0" w:rsidP="00627116">
      <w:pPr>
        <w:rPr>
          <w:rFonts w:cs="Segoe UI"/>
        </w:rPr>
      </w:pPr>
      <w:r w:rsidRPr="00252179">
        <w:rPr>
          <w:rFonts w:cs="Segoe UI"/>
          <w:color w:val="000000" w:themeColor="text1"/>
        </w:rPr>
        <w:t xml:space="preserve">Appendix </w:t>
      </w:r>
      <w:r>
        <w:rPr>
          <w:rFonts w:cs="Segoe UI"/>
          <w:color w:val="000000" w:themeColor="text1"/>
        </w:rPr>
        <w:t xml:space="preserve">2 </w:t>
      </w:r>
      <w:r w:rsidRPr="00252179">
        <w:rPr>
          <w:rFonts w:cs="Segoe UI"/>
          <w:color w:val="000000" w:themeColor="text1"/>
        </w:rPr>
        <w:t>shows</w:t>
      </w:r>
      <w:r>
        <w:rPr>
          <w:rFonts w:cs="Segoe UI"/>
          <w:color w:val="000000" w:themeColor="text1"/>
        </w:rPr>
        <w:t xml:space="preserve"> the </w:t>
      </w:r>
      <w:r w:rsidRPr="00252179">
        <w:rPr>
          <w:rFonts w:cs="Segoe UI"/>
          <w:color w:val="000000" w:themeColor="text1"/>
        </w:rPr>
        <w:t>percentage changes in number of discharges between these three ethnic groups</w:t>
      </w:r>
      <w:r>
        <w:rPr>
          <w:rFonts w:cs="Segoe UI"/>
          <w:color w:val="000000" w:themeColor="text1"/>
        </w:rPr>
        <w:t xml:space="preserve"> over March to June in 2019 and 2020</w:t>
      </w:r>
      <w:r w:rsidRPr="00252179">
        <w:rPr>
          <w:rFonts w:cs="Segoe UI"/>
          <w:color w:val="000000" w:themeColor="text1"/>
        </w:rPr>
        <w:t xml:space="preserve">. Comparing </w:t>
      </w:r>
      <w:r w:rsidRPr="00FA743B">
        <w:rPr>
          <w:rFonts w:cs="Segoe UI"/>
        </w:rPr>
        <w:t xml:space="preserve">the number of discharges in 2020 with 2019, for YTD February and March </w:t>
      </w:r>
      <w:r>
        <w:rPr>
          <w:rFonts w:cs="Segoe UI"/>
        </w:rPr>
        <w:t xml:space="preserve">the percentage of </w:t>
      </w:r>
      <w:r w:rsidRPr="00FA743B">
        <w:t>non-Māori</w:t>
      </w:r>
      <w:r>
        <w:t xml:space="preserve">, </w:t>
      </w:r>
      <w:r w:rsidRPr="00FA743B">
        <w:t>non-Pacific</w:t>
      </w:r>
      <w:r w:rsidRPr="00FA743B">
        <w:rPr>
          <w:rFonts w:cs="Segoe UI"/>
        </w:rPr>
        <w:t xml:space="preserve"> </w:t>
      </w:r>
      <w:r>
        <w:rPr>
          <w:rFonts w:cs="Segoe UI"/>
        </w:rPr>
        <w:t>fell by</w:t>
      </w:r>
      <w:r w:rsidRPr="00FA743B">
        <w:rPr>
          <w:rFonts w:cs="Segoe UI"/>
        </w:rPr>
        <w:t xml:space="preserve"> the greatest </w:t>
      </w:r>
      <w:r>
        <w:rPr>
          <w:rFonts w:cs="Segoe UI"/>
        </w:rPr>
        <w:t>amount</w:t>
      </w:r>
      <w:r w:rsidRPr="00FA743B">
        <w:rPr>
          <w:rFonts w:cs="Segoe UI"/>
        </w:rPr>
        <w:t>, wh</w:t>
      </w:r>
      <w:r>
        <w:rPr>
          <w:rFonts w:cs="Segoe UI"/>
        </w:rPr>
        <w:t>ereas</w:t>
      </w:r>
      <w:r w:rsidRPr="00FA743B">
        <w:rPr>
          <w:rFonts w:cs="Segoe UI"/>
        </w:rPr>
        <w:t xml:space="preserve"> in April, May and June Pacific people experienced the greatest percentage reduction.</w:t>
      </w:r>
      <w:bookmarkStart w:id="85" w:name="_Toc52430178"/>
    </w:p>
    <w:p w14:paraId="3F18E280" w14:textId="6E4A3F02" w:rsidR="00EA64A0" w:rsidRPr="000F18A3" w:rsidRDefault="00EA64A0" w:rsidP="00627116">
      <w:pPr>
        <w:pStyle w:val="Heading3"/>
      </w:pPr>
      <w:r w:rsidRPr="000F18A3">
        <w:t>Case-weighted discharges by ethnicity</w:t>
      </w:r>
      <w:bookmarkEnd w:id="85"/>
    </w:p>
    <w:p w14:paraId="38B61EBE" w14:textId="2E0DA6C4" w:rsidR="00EA64A0" w:rsidRDefault="00627116" w:rsidP="00EA64A0">
      <w:r>
        <w:rPr>
          <w:color w:val="000000" w:themeColor="text1"/>
        </w:rPr>
        <w:t xml:space="preserve">Figure 9 </w:t>
      </w:r>
      <w:r w:rsidR="00EA64A0" w:rsidRPr="00FA743B">
        <w:rPr>
          <w:color w:val="000000" w:themeColor="text1"/>
        </w:rPr>
        <w:t xml:space="preserve">shows the percentage </w:t>
      </w:r>
      <w:r w:rsidR="00EA64A0">
        <w:rPr>
          <w:color w:val="000000" w:themeColor="text1"/>
        </w:rPr>
        <w:t xml:space="preserve">of the total </w:t>
      </w:r>
      <w:r w:rsidR="00EA64A0" w:rsidRPr="00FA743B">
        <w:rPr>
          <w:color w:val="000000" w:themeColor="text1"/>
        </w:rPr>
        <w:t xml:space="preserve">number of CWDs </w:t>
      </w:r>
      <w:r w:rsidR="00EA64A0">
        <w:rPr>
          <w:color w:val="000000" w:themeColor="text1"/>
        </w:rPr>
        <w:t xml:space="preserve">that each of the </w:t>
      </w:r>
      <w:r w:rsidR="00EA64A0" w:rsidRPr="00FA743B">
        <w:rPr>
          <w:color w:val="000000" w:themeColor="text1"/>
        </w:rPr>
        <w:t xml:space="preserve">three ethnic groups </w:t>
      </w:r>
      <w:r w:rsidR="00EA64A0">
        <w:rPr>
          <w:color w:val="000000" w:themeColor="text1"/>
        </w:rPr>
        <w:t>contributed</w:t>
      </w:r>
      <w:r w:rsidR="00EA64A0" w:rsidRPr="00FA743B">
        <w:rPr>
          <w:color w:val="000000" w:themeColor="text1"/>
        </w:rPr>
        <w:t xml:space="preserve">. </w:t>
      </w:r>
      <w:r w:rsidR="00EA64A0">
        <w:t>Māori made up 17.6% of discharges nationally in March 2020, 16.5% in April 2020, 17.2% in May 2020 and 17.8% in June 2020. Pacific peoples made up 7.1% of national discharges in March 2020, 7.4% in April 2020, 7.0% in May 2020 and 7.1% in June 2020. Non-Māori, non-Pacific made up 75.3% of discharges nationally in March 2020, 76.1% in April 2020, 75.8% in May 2020 and 75.1% in June 2020.</w:t>
      </w:r>
    </w:p>
    <w:p w14:paraId="4821BE99" w14:textId="77777777" w:rsidR="00EA64A0" w:rsidRDefault="00EA64A0" w:rsidP="00EA64A0">
      <w:pPr>
        <w:rPr>
          <w:color w:val="000000" w:themeColor="text1"/>
        </w:rPr>
      </w:pPr>
    </w:p>
    <w:p w14:paraId="3DC63B7C" w14:textId="77777777" w:rsidR="00EA64A0" w:rsidRDefault="00EA64A0" w:rsidP="00EA64A0">
      <w:r w:rsidRPr="00FA743B">
        <w:rPr>
          <w:rFonts w:cs="Segoe UI"/>
          <w:color w:val="000000" w:themeColor="text1"/>
        </w:rPr>
        <w:t xml:space="preserve">Comparing the </w:t>
      </w:r>
      <w:r>
        <w:rPr>
          <w:rFonts w:cs="Segoe UI"/>
          <w:color w:val="000000" w:themeColor="text1"/>
        </w:rPr>
        <w:t>percentages</w:t>
      </w:r>
      <w:r w:rsidRPr="00FA743B">
        <w:rPr>
          <w:rFonts w:cs="Segoe UI"/>
          <w:color w:val="000000" w:themeColor="text1"/>
        </w:rPr>
        <w:t xml:space="preserve"> of CWDs</w:t>
      </w:r>
      <w:r>
        <w:rPr>
          <w:rFonts w:cs="Segoe UI"/>
          <w:color w:val="000000" w:themeColor="text1"/>
        </w:rPr>
        <w:t xml:space="preserve"> for the three ethnic groups</w:t>
      </w:r>
      <w:r w:rsidRPr="00FA743B">
        <w:rPr>
          <w:rFonts w:cs="Segoe UI"/>
          <w:color w:val="000000" w:themeColor="text1"/>
        </w:rPr>
        <w:t xml:space="preserve"> in 2020 with those in 2019, in June </w:t>
      </w:r>
      <w:r w:rsidRPr="00FA743B">
        <w:rPr>
          <w:color w:val="000000" w:themeColor="text1"/>
        </w:rPr>
        <w:t>non-Māori</w:t>
      </w:r>
      <w:r>
        <w:rPr>
          <w:color w:val="000000" w:themeColor="text1"/>
        </w:rPr>
        <w:t>,</w:t>
      </w:r>
      <w:r w:rsidRPr="00FA743B">
        <w:rPr>
          <w:color w:val="000000" w:themeColor="text1"/>
        </w:rPr>
        <w:t xml:space="preserve"> non-Pacific people experienced the greatest reduction </w:t>
      </w:r>
      <w:r>
        <w:rPr>
          <w:color w:val="000000" w:themeColor="text1"/>
        </w:rPr>
        <w:t>in CWDs</w:t>
      </w:r>
      <w:r w:rsidRPr="00FA743B">
        <w:rPr>
          <w:color w:val="000000" w:themeColor="text1"/>
        </w:rPr>
        <w:t>, in March and May Pacific people</w:t>
      </w:r>
      <w:r>
        <w:rPr>
          <w:color w:val="000000" w:themeColor="text1"/>
        </w:rPr>
        <w:t>s</w:t>
      </w:r>
      <w:r w:rsidRPr="00FA743B">
        <w:rPr>
          <w:color w:val="000000" w:themeColor="text1"/>
        </w:rPr>
        <w:t xml:space="preserve"> experienced the greatest reduction in CWDs and Māori experienced the greatest reduction in CWDs in April.</w:t>
      </w:r>
      <w:r>
        <w:rPr>
          <w:color w:val="000000" w:themeColor="text1"/>
        </w:rPr>
        <w:t xml:space="preserve"> </w:t>
      </w:r>
      <w:r w:rsidRPr="00FA743B">
        <w:rPr>
          <w:color w:val="000000" w:themeColor="text1"/>
        </w:rPr>
        <w:t xml:space="preserve">Appendix </w:t>
      </w:r>
      <w:r>
        <w:rPr>
          <w:color w:val="000000" w:themeColor="text1"/>
        </w:rPr>
        <w:t>4</w:t>
      </w:r>
      <w:r w:rsidRPr="00FA743B">
        <w:rPr>
          <w:color w:val="000000" w:themeColor="text1"/>
        </w:rPr>
        <w:t xml:space="preserve"> </w:t>
      </w:r>
      <w:r w:rsidRPr="00FA743B">
        <w:rPr>
          <w:rFonts w:cs="Segoe UI"/>
          <w:color w:val="000000" w:themeColor="text1"/>
        </w:rPr>
        <w:t>shows the percentage changes in</w:t>
      </w:r>
      <w:r>
        <w:rPr>
          <w:rFonts w:cs="Segoe UI"/>
          <w:color w:val="000000" w:themeColor="text1"/>
        </w:rPr>
        <w:t xml:space="preserve"> the</w:t>
      </w:r>
      <w:r w:rsidRPr="00FA743B">
        <w:rPr>
          <w:rFonts w:cs="Segoe UI"/>
          <w:color w:val="000000" w:themeColor="text1"/>
        </w:rPr>
        <w:t xml:space="preserve"> number of </w:t>
      </w:r>
      <w:r>
        <w:rPr>
          <w:rFonts w:cs="Segoe UI"/>
          <w:color w:val="000000" w:themeColor="text1"/>
        </w:rPr>
        <w:t>CWDs</w:t>
      </w:r>
      <w:r w:rsidRPr="00FA743B">
        <w:rPr>
          <w:rFonts w:cs="Segoe UI"/>
          <w:color w:val="000000" w:themeColor="text1"/>
        </w:rPr>
        <w:t xml:space="preserve"> </w:t>
      </w:r>
      <w:r>
        <w:rPr>
          <w:rFonts w:cs="Segoe UI"/>
          <w:color w:val="000000" w:themeColor="text1"/>
        </w:rPr>
        <w:t>within</w:t>
      </w:r>
      <w:r w:rsidRPr="00FA743B">
        <w:rPr>
          <w:rFonts w:cs="Segoe UI"/>
          <w:color w:val="000000" w:themeColor="text1"/>
        </w:rPr>
        <w:t xml:space="preserve"> </w:t>
      </w:r>
      <w:r>
        <w:rPr>
          <w:rFonts w:cs="Segoe UI"/>
          <w:color w:val="000000" w:themeColor="text1"/>
        </w:rPr>
        <w:t xml:space="preserve">each of </w:t>
      </w:r>
      <w:r w:rsidRPr="00FA743B">
        <w:rPr>
          <w:rFonts w:cs="Segoe UI"/>
          <w:color w:val="000000" w:themeColor="text1"/>
        </w:rPr>
        <w:t>these ethnic groups</w:t>
      </w:r>
      <w:r>
        <w:rPr>
          <w:rFonts w:cs="Segoe UI"/>
          <w:color w:val="000000" w:themeColor="text1"/>
        </w:rPr>
        <w:t xml:space="preserve"> for YTD February and each month from March to June 2018–2020</w:t>
      </w:r>
      <w:r w:rsidRPr="00FA743B">
        <w:rPr>
          <w:rFonts w:cs="Segoe UI"/>
          <w:color w:val="000000" w:themeColor="text1"/>
        </w:rPr>
        <w:t>.</w:t>
      </w:r>
    </w:p>
    <w:p w14:paraId="65231357" w14:textId="77777777" w:rsidR="009E0AA4" w:rsidRDefault="009E0AA4" w:rsidP="00EA64A0">
      <w:pPr>
        <w:pStyle w:val="Caption"/>
      </w:pPr>
      <w:bookmarkStart w:id="86" w:name="_Toc52420597"/>
    </w:p>
    <w:p w14:paraId="7FF5D590" w14:textId="31CB026E" w:rsidR="00EA64A0" w:rsidRPr="00E35305" w:rsidRDefault="00EA64A0" w:rsidP="00EA64A0">
      <w:pPr>
        <w:pStyle w:val="Caption"/>
      </w:pPr>
      <w:bookmarkStart w:id="87" w:name="_Ref53470666"/>
      <w:bookmarkStart w:id="88" w:name="_Toc53585939"/>
      <w:r>
        <w:t xml:space="preserve">Figure </w:t>
      </w:r>
      <w:r>
        <w:rPr>
          <w:noProof/>
        </w:rPr>
        <w:fldChar w:fldCharType="begin"/>
      </w:r>
      <w:r>
        <w:rPr>
          <w:noProof/>
        </w:rPr>
        <w:instrText xml:space="preserve"> SEQ Figure \* ARABIC </w:instrText>
      </w:r>
      <w:r>
        <w:rPr>
          <w:noProof/>
        </w:rPr>
        <w:fldChar w:fldCharType="separate"/>
      </w:r>
      <w:r w:rsidR="00CF2713">
        <w:rPr>
          <w:noProof/>
        </w:rPr>
        <w:t>9</w:t>
      </w:r>
      <w:r>
        <w:rPr>
          <w:noProof/>
        </w:rPr>
        <w:fldChar w:fldCharType="end"/>
      </w:r>
      <w:bookmarkEnd w:id="87"/>
      <w:r>
        <w:t xml:space="preserve">: </w:t>
      </w:r>
      <w:r w:rsidRPr="0025399F">
        <w:t xml:space="preserve">Number of </w:t>
      </w:r>
      <w:r>
        <w:t>case-weighted discharges</w:t>
      </w:r>
      <w:r w:rsidRPr="0025399F">
        <w:t xml:space="preserve"> nationally </w:t>
      </w:r>
      <w:r>
        <w:t>from</w:t>
      </w:r>
      <w:r w:rsidRPr="0025399F">
        <w:t xml:space="preserve"> March </w:t>
      </w:r>
      <w:r>
        <w:t>to June</w:t>
      </w:r>
      <w:r w:rsidRPr="0025399F">
        <w:t xml:space="preserve"> 2018</w:t>
      </w:r>
      <w:r>
        <w:t>–</w:t>
      </w:r>
      <w:r w:rsidRPr="0025399F">
        <w:t>2020</w:t>
      </w:r>
      <w:r>
        <w:t>, by ethnicity</w:t>
      </w:r>
      <w:bookmarkEnd w:id="86"/>
      <w:bookmarkEnd w:id="88"/>
    </w:p>
    <w:p w14:paraId="4D054368" w14:textId="1137CEA4" w:rsidR="00E03D54" w:rsidRDefault="005E6C9D" w:rsidP="00FA2F0A">
      <w:r>
        <w:rPr>
          <w:noProof/>
        </w:rPr>
        <w:drawing>
          <wp:anchor distT="0" distB="0" distL="114300" distR="114300" simplePos="0" relativeHeight="251668480" behindDoc="0" locked="0" layoutInCell="1" allowOverlap="1" wp14:anchorId="5780AC3D" wp14:editId="6B4363D3">
            <wp:simplePos x="0" y="0"/>
            <wp:positionH relativeFrom="column">
              <wp:posOffset>1373227</wp:posOffset>
            </wp:positionH>
            <wp:positionV relativeFrom="paragraph">
              <wp:posOffset>9583</wp:posOffset>
            </wp:positionV>
            <wp:extent cx="2722193" cy="115288"/>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25" t="7353" r="43234" b="89775"/>
                    <a:stretch/>
                  </pic:blipFill>
                  <pic:spPr bwMode="auto">
                    <a:xfrm>
                      <a:off x="0" y="0"/>
                      <a:ext cx="2722193" cy="115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D54">
        <w:rPr>
          <w:noProof/>
        </w:rPr>
        <w:drawing>
          <wp:inline distT="0" distB="0" distL="0" distR="0" wp14:anchorId="2B958A8D" wp14:editId="3472A05D">
            <wp:extent cx="5703108" cy="2619720"/>
            <wp:effectExtent l="0" t="0" r="0" b="9525"/>
            <wp:docPr id="11" name="Picture 11" descr="This graph shows that non-Māori, non-Pacific people made up about 75% of case-weighted discharges in each year and month, while Māori made up about 17% and Pacific people made u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425" t="5916" r="10183" b="4631"/>
                    <a:stretch/>
                  </pic:blipFill>
                  <pic:spPr bwMode="auto">
                    <a:xfrm>
                      <a:off x="0" y="0"/>
                      <a:ext cx="5741753" cy="2637471"/>
                    </a:xfrm>
                    <a:prstGeom prst="rect">
                      <a:avLst/>
                    </a:prstGeom>
                    <a:noFill/>
                    <a:ln>
                      <a:noFill/>
                    </a:ln>
                    <a:extLst>
                      <a:ext uri="{53640926-AAD7-44D8-BBD7-CCE9431645EC}">
                        <a14:shadowObscured xmlns:a14="http://schemas.microsoft.com/office/drawing/2010/main"/>
                      </a:ext>
                    </a:extLst>
                  </pic:spPr>
                </pic:pic>
              </a:graphicData>
            </a:graphic>
          </wp:inline>
        </w:drawing>
      </w:r>
    </w:p>
    <w:p w14:paraId="50241094" w14:textId="77777777" w:rsidR="00627116" w:rsidRDefault="00627116" w:rsidP="00EA64A0">
      <w:pPr>
        <w:pStyle w:val="Heading3"/>
        <w:sectPr w:rsidR="00627116" w:rsidSect="00D124C0">
          <w:pgSz w:w="11906" w:h="16838"/>
          <w:pgMar w:top="1440" w:right="1440" w:bottom="1440" w:left="1440" w:header="708" w:footer="709" w:gutter="0"/>
          <w:cols w:space="708"/>
          <w:docGrid w:linePitch="360"/>
        </w:sectPr>
      </w:pPr>
      <w:bookmarkStart w:id="89" w:name="_Toc52430179"/>
    </w:p>
    <w:p w14:paraId="2B4FD547" w14:textId="5CC36C71" w:rsidR="00EA64A0" w:rsidRPr="00F934E0" w:rsidRDefault="00EA64A0" w:rsidP="00EA64A0">
      <w:pPr>
        <w:pStyle w:val="Heading3"/>
      </w:pPr>
      <w:r w:rsidRPr="004E56E5">
        <w:lastRenderedPageBreak/>
        <w:t xml:space="preserve">Elective activity </w:t>
      </w:r>
      <w:r w:rsidRPr="00161A2F">
        <w:t>by ethnicity</w:t>
      </w:r>
      <w:bookmarkEnd w:id="89"/>
    </w:p>
    <w:p w14:paraId="30B5BECA" w14:textId="5D32967F" w:rsidR="00EA64A0" w:rsidRDefault="00627116" w:rsidP="00EA64A0">
      <w:r>
        <w:rPr>
          <w:color w:val="000000" w:themeColor="text1"/>
        </w:rPr>
        <w:t xml:space="preserve">Figure 10 </w:t>
      </w:r>
      <w:r w:rsidR="00EA64A0" w:rsidRPr="0010795E">
        <w:rPr>
          <w:color w:val="000000" w:themeColor="text1"/>
        </w:rPr>
        <w:t xml:space="preserve">shows </w:t>
      </w:r>
      <w:r w:rsidR="00EA64A0">
        <w:t xml:space="preserve">the total </w:t>
      </w:r>
      <w:r w:rsidR="00EA64A0" w:rsidRPr="00E35305">
        <w:t>number of elective discharges in March</w:t>
      </w:r>
      <w:r w:rsidR="00EA64A0">
        <w:t xml:space="preserve"> to June </w:t>
      </w:r>
      <w:r w:rsidR="00EA64A0" w:rsidRPr="00E35305">
        <w:t>2018</w:t>
      </w:r>
      <w:r w:rsidR="00EA64A0">
        <w:t>–</w:t>
      </w:r>
      <w:r w:rsidR="00EA64A0" w:rsidRPr="00E35305">
        <w:t>2020</w:t>
      </w:r>
      <w:r w:rsidR="00EA64A0">
        <w:t>, along with the percentage that each of the three</w:t>
      </w:r>
      <w:r w:rsidR="00EA64A0" w:rsidRPr="00E35305">
        <w:t xml:space="preserve"> ethnic</w:t>
      </w:r>
      <w:r w:rsidR="00EA64A0">
        <w:t xml:space="preserve"> groups contributed to these monthly totals</w:t>
      </w:r>
      <w:r w:rsidR="00EA64A0" w:rsidRPr="00E35305">
        <w:t>.</w:t>
      </w:r>
      <w:r w:rsidR="00EA64A0">
        <w:t xml:space="preserve"> </w:t>
      </w:r>
    </w:p>
    <w:p w14:paraId="74C3FD7B" w14:textId="5ADD693F" w:rsidR="00EA64A0" w:rsidRDefault="00EA64A0" w:rsidP="00EA64A0"/>
    <w:p w14:paraId="4765157D" w14:textId="02FE4F67" w:rsidR="00EA64A0" w:rsidRDefault="00EA64A0" w:rsidP="00EA64A0">
      <w:pPr>
        <w:rPr>
          <w:color w:val="000000" w:themeColor="text1"/>
        </w:rPr>
      </w:pPr>
      <w:r w:rsidRPr="00227201">
        <w:rPr>
          <w:color w:val="000000" w:themeColor="text1"/>
        </w:rPr>
        <w:t xml:space="preserve">Nationally, the level of elective activity disruption in March 2020 </w:t>
      </w:r>
      <w:r>
        <w:rPr>
          <w:color w:val="000000" w:themeColor="text1"/>
        </w:rPr>
        <w:t>was similar for each ethnic group: elective activity reduced by</w:t>
      </w:r>
      <w:r w:rsidRPr="00227201">
        <w:rPr>
          <w:color w:val="000000" w:themeColor="text1"/>
        </w:rPr>
        <w:t xml:space="preserve"> 25.9%</w:t>
      </w:r>
      <w:r>
        <w:rPr>
          <w:color w:val="000000" w:themeColor="text1"/>
        </w:rPr>
        <w:t xml:space="preserve"> for Māori</w:t>
      </w:r>
      <w:r w:rsidRPr="00227201">
        <w:rPr>
          <w:color w:val="000000" w:themeColor="text1"/>
        </w:rPr>
        <w:t xml:space="preserve">, 22.2% </w:t>
      </w:r>
      <w:r>
        <w:rPr>
          <w:color w:val="000000" w:themeColor="text1"/>
        </w:rPr>
        <w:t xml:space="preserve">for </w:t>
      </w:r>
      <w:r w:rsidRPr="00227201">
        <w:rPr>
          <w:color w:val="000000" w:themeColor="text1"/>
        </w:rPr>
        <w:t xml:space="preserve">Pacific </w:t>
      </w:r>
      <w:r>
        <w:rPr>
          <w:color w:val="000000" w:themeColor="text1"/>
        </w:rPr>
        <w:t xml:space="preserve">peoples </w:t>
      </w:r>
      <w:r w:rsidRPr="00227201">
        <w:rPr>
          <w:color w:val="000000" w:themeColor="text1"/>
        </w:rPr>
        <w:t xml:space="preserve">and 22.0% </w:t>
      </w:r>
      <w:r>
        <w:rPr>
          <w:color w:val="000000" w:themeColor="text1"/>
        </w:rPr>
        <w:t xml:space="preserve">for </w:t>
      </w:r>
      <w:r w:rsidRPr="00227201">
        <w:rPr>
          <w:color w:val="000000" w:themeColor="text1"/>
        </w:rPr>
        <w:t>non-</w:t>
      </w:r>
      <w:r>
        <w:rPr>
          <w:color w:val="000000" w:themeColor="text1"/>
        </w:rPr>
        <w:t>Māori,</w:t>
      </w:r>
      <w:r w:rsidRPr="00227201">
        <w:rPr>
          <w:color w:val="000000" w:themeColor="text1"/>
        </w:rPr>
        <w:t xml:space="preserve"> non-Pacific</w:t>
      </w:r>
      <w:r>
        <w:rPr>
          <w:color w:val="000000" w:themeColor="text1"/>
        </w:rPr>
        <w:t>,</w:t>
      </w:r>
      <w:r w:rsidRPr="00227201">
        <w:rPr>
          <w:color w:val="000000" w:themeColor="text1"/>
        </w:rPr>
        <w:t xml:space="preserve"> compared with March 2019. In April 2020 all groups experienced larger reductions in elective activity</w:t>
      </w:r>
      <w:r>
        <w:rPr>
          <w:color w:val="000000" w:themeColor="text1"/>
        </w:rPr>
        <w:t>, which fell</w:t>
      </w:r>
      <w:r w:rsidRPr="00227201">
        <w:rPr>
          <w:color w:val="000000" w:themeColor="text1"/>
        </w:rPr>
        <w:t xml:space="preserve"> by 73.0%</w:t>
      </w:r>
      <w:r>
        <w:rPr>
          <w:color w:val="000000" w:themeColor="text1"/>
        </w:rPr>
        <w:t xml:space="preserve"> for Māori</w:t>
      </w:r>
      <w:r w:rsidRPr="00227201">
        <w:rPr>
          <w:color w:val="000000" w:themeColor="text1"/>
        </w:rPr>
        <w:t>, 70.8%</w:t>
      </w:r>
      <w:r>
        <w:rPr>
          <w:color w:val="000000" w:themeColor="text1"/>
        </w:rPr>
        <w:t xml:space="preserve"> for </w:t>
      </w:r>
      <w:r w:rsidRPr="00227201">
        <w:rPr>
          <w:color w:val="000000" w:themeColor="text1"/>
        </w:rPr>
        <w:t xml:space="preserve">Pacific </w:t>
      </w:r>
      <w:r>
        <w:rPr>
          <w:color w:val="000000" w:themeColor="text1"/>
        </w:rPr>
        <w:t>peoples</w:t>
      </w:r>
      <w:r w:rsidRPr="00227201">
        <w:rPr>
          <w:color w:val="000000" w:themeColor="text1"/>
        </w:rPr>
        <w:t xml:space="preserve"> and</w:t>
      </w:r>
      <w:r>
        <w:rPr>
          <w:color w:val="000000" w:themeColor="text1"/>
        </w:rPr>
        <w:t xml:space="preserve"> </w:t>
      </w:r>
      <w:r w:rsidRPr="00227201">
        <w:rPr>
          <w:color w:val="000000" w:themeColor="text1"/>
        </w:rPr>
        <w:t>68.5%</w:t>
      </w:r>
      <w:r>
        <w:rPr>
          <w:color w:val="000000" w:themeColor="text1"/>
        </w:rPr>
        <w:t xml:space="preserve"> for</w:t>
      </w:r>
      <w:r w:rsidRPr="00227201">
        <w:rPr>
          <w:color w:val="000000" w:themeColor="text1"/>
        </w:rPr>
        <w:t xml:space="preserve"> non-</w:t>
      </w:r>
      <w:r>
        <w:rPr>
          <w:color w:val="000000" w:themeColor="text1"/>
        </w:rPr>
        <w:t>Māori,</w:t>
      </w:r>
      <w:r w:rsidRPr="00227201">
        <w:rPr>
          <w:color w:val="000000" w:themeColor="text1"/>
        </w:rPr>
        <w:t xml:space="preserve"> non-Pacific </w:t>
      </w:r>
      <w:r>
        <w:rPr>
          <w:color w:val="000000" w:themeColor="text1"/>
        </w:rPr>
        <w:t xml:space="preserve">peoples, </w:t>
      </w:r>
      <w:r w:rsidRPr="00227201">
        <w:rPr>
          <w:color w:val="000000" w:themeColor="text1"/>
        </w:rPr>
        <w:t xml:space="preserve">compared </w:t>
      </w:r>
      <w:r>
        <w:rPr>
          <w:color w:val="000000" w:themeColor="text1"/>
        </w:rPr>
        <w:t>with</w:t>
      </w:r>
      <w:r w:rsidRPr="00227201">
        <w:rPr>
          <w:color w:val="000000" w:themeColor="text1"/>
        </w:rPr>
        <w:t xml:space="preserve"> elective activity </w:t>
      </w:r>
      <w:r>
        <w:rPr>
          <w:color w:val="000000" w:themeColor="text1"/>
        </w:rPr>
        <w:t xml:space="preserve">levels </w:t>
      </w:r>
      <w:r w:rsidRPr="00227201">
        <w:rPr>
          <w:color w:val="000000" w:themeColor="text1"/>
        </w:rPr>
        <w:t xml:space="preserve">in April 2019. </w:t>
      </w:r>
    </w:p>
    <w:p w14:paraId="40E384DF" w14:textId="5852CAD7" w:rsidR="00EA64A0" w:rsidRPr="00087C7C" w:rsidRDefault="00EA64A0" w:rsidP="00EA64A0"/>
    <w:p w14:paraId="0BF6288A" w14:textId="06922DCA" w:rsidR="00EA64A0" w:rsidRDefault="00EA64A0" w:rsidP="00EA64A0">
      <w:pPr>
        <w:rPr>
          <w:color w:val="000000" w:themeColor="text1"/>
        </w:rPr>
      </w:pPr>
      <w:r>
        <w:rPr>
          <w:color w:val="000000" w:themeColor="text1"/>
        </w:rPr>
        <w:t xml:space="preserve">Elective activity </w:t>
      </w:r>
      <w:r w:rsidRPr="00227201">
        <w:rPr>
          <w:color w:val="000000" w:themeColor="text1"/>
        </w:rPr>
        <w:t>was less disrupt</w:t>
      </w:r>
      <w:r>
        <w:rPr>
          <w:color w:val="000000" w:themeColor="text1"/>
        </w:rPr>
        <w:t>ed</w:t>
      </w:r>
      <w:r w:rsidRPr="00227201">
        <w:rPr>
          <w:color w:val="000000" w:themeColor="text1"/>
        </w:rPr>
        <w:t xml:space="preserve"> in May 2020 </w:t>
      </w:r>
      <w:r>
        <w:rPr>
          <w:color w:val="000000" w:themeColor="text1"/>
        </w:rPr>
        <w:t>than in</w:t>
      </w:r>
      <w:r w:rsidRPr="00227201">
        <w:rPr>
          <w:color w:val="000000" w:themeColor="text1"/>
        </w:rPr>
        <w:t xml:space="preserve"> April 2020. Pacific populations had the smallest </w:t>
      </w:r>
      <w:r>
        <w:rPr>
          <w:color w:val="000000" w:themeColor="text1"/>
        </w:rPr>
        <w:t xml:space="preserve">decrease of 19.4% in May 2020 compared with May 2019, while the decrease was </w:t>
      </w:r>
      <w:r w:rsidRPr="00227201">
        <w:rPr>
          <w:color w:val="000000" w:themeColor="text1"/>
        </w:rPr>
        <w:t>25.2% for non-</w:t>
      </w:r>
      <w:r>
        <w:rPr>
          <w:color w:val="000000" w:themeColor="text1"/>
        </w:rPr>
        <w:t>Māori,</w:t>
      </w:r>
      <w:r w:rsidRPr="00227201">
        <w:rPr>
          <w:color w:val="000000" w:themeColor="text1"/>
        </w:rPr>
        <w:t xml:space="preserve"> non-Pacific and 28.7%</w:t>
      </w:r>
      <w:r>
        <w:rPr>
          <w:color w:val="000000" w:themeColor="text1"/>
        </w:rPr>
        <w:t xml:space="preserve"> for Māori</w:t>
      </w:r>
      <w:r w:rsidRPr="00227201">
        <w:rPr>
          <w:color w:val="000000" w:themeColor="text1"/>
        </w:rPr>
        <w:t xml:space="preserve">. </w:t>
      </w:r>
      <w:r>
        <w:rPr>
          <w:color w:val="000000" w:themeColor="text1"/>
        </w:rPr>
        <w:t>In June 2020,</w:t>
      </w:r>
      <w:r w:rsidRPr="00227201">
        <w:rPr>
          <w:color w:val="000000" w:themeColor="text1"/>
        </w:rPr>
        <w:t xml:space="preserve"> elective activity </w:t>
      </w:r>
      <w:r>
        <w:rPr>
          <w:color w:val="000000" w:themeColor="text1"/>
        </w:rPr>
        <w:t>levels increased compared with</w:t>
      </w:r>
      <w:r w:rsidRPr="00227201">
        <w:rPr>
          <w:color w:val="000000" w:themeColor="text1"/>
        </w:rPr>
        <w:t xml:space="preserve"> June 2019</w:t>
      </w:r>
      <w:r>
        <w:rPr>
          <w:color w:val="000000" w:themeColor="text1"/>
        </w:rPr>
        <w:t>: by 3.0%</w:t>
      </w:r>
      <w:r w:rsidRPr="00227201">
        <w:rPr>
          <w:color w:val="000000" w:themeColor="text1"/>
        </w:rPr>
        <w:t xml:space="preserve"> </w:t>
      </w:r>
      <w:r>
        <w:rPr>
          <w:color w:val="000000" w:themeColor="text1"/>
        </w:rPr>
        <w:t>f</w:t>
      </w:r>
      <w:r w:rsidRPr="00227201">
        <w:rPr>
          <w:color w:val="000000" w:themeColor="text1"/>
        </w:rPr>
        <w:t>or non-</w:t>
      </w:r>
      <w:r>
        <w:rPr>
          <w:color w:val="000000" w:themeColor="text1"/>
        </w:rPr>
        <w:t>Māori,</w:t>
      </w:r>
      <w:r w:rsidRPr="00227201">
        <w:rPr>
          <w:color w:val="000000" w:themeColor="text1"/>
        </w:rPr>
        <w:t xml:space="preserve"> non-Pacific</w:t>
      </w:r>
      <w:r>
        <w:rPr>
          <w:color w:val="000000" w:themeColor="text1"/>
        </w:rPr>
        <w:t>,</w:t>
      </w:r>
      <w:r w:rsidRPr="00227201">
        <w:rPr>
          <w:color w:val="000000" w:themeColor="text1"/>
        </w:rPr>
        <w:t xml:space="preserve"> 8.5% for </w:t>
      </w:r>
      <w:r>
        <w:rPr>
          <w:color w:val="000000" w:themeColor="text1"/>
        </w:rPr>
        <w:t>Māori</w:t>
      </w:r>
      <w:r w:rsidRPr="00227201">
        <w:rPr>
          <w:color w:val="000000" w:themeColor="text1"/>
        </w:rPr>
        <w:t xml:space="preserve"> and 10.0% for Pacific </w:t>
      </w:r>
      <w:r>
        <w:rPr>
          <w:color w:val="000000" w:themeColor="text1"/>
        </w:rPr>
        <w:t>peoples.</w:t>
      </w:r>
    </w:p>
    <w:p w14:paraId="246045A0" w14:textId="1A1E0F32" w:rsidR="00C46B46" w:rsidRPr="00A91D99" w:rsidRDefault="00C46B46" w:rsidP="00EA64A0"/>
    <w:p w14:paraId="7D7DFE96" w14:textId="64EAFFE7" w:rsidR="00EA64A0" w:rsidRPr="007206AC" w:rsidRDefault="00EA64A0" w:rsidP="00EA64A0">
      <w:pPr>
        <w:pStyle w:val="Caption"/>
        <w:rPr>
          <w:sz w:val="22"/>
        </w:rPr>
      </w:pPr>
      <w:bookmarkStart w:id="90" w:name="_Ref53470671"/>
      <w:bookmarkStart w:id="91" w:name="_Toc52420598"/>
      <w:bookmarkStart w:id="92" w:name="_Toc53585940"/>
      <w:r w:rsidRPr="004C59A1">
        <w:t xml:space="preserve">Figure </w:t>
      </w:r>
      <w:r w:rsidRPr="004C59A1">
        <w:rPr>
          <w:noProof/>
        </w:rPr>
        <w:fldChar w:fldCharType="begin"/>
      </w:r>
      <w:r w:rsidRPr="004C59A1">
        <w:rPr>
          <w:noProof/>
        </w:rPr>
        <w:instrText xml:space="preserve"> SEQ Figure \* ARABIC </w:instrText>
      </w:r>
      <w:r w:rsidRPr="004C59A1">
        <w:rPr>
          <w:noProof/>
        </w:rPr>
        <w:fldChar w:fldCharType="separate"/>
      </w:r>
      <w:r w:rsidR="00CF2713">
        <w:rPr>
          <w:noProof/>
        </w:rPr>
        <w:t>10</w:t>
      </w:r>
      <w:r w:rsidRPr="004C59A1">
        <w:rPr>
          <w:noProof/>
        </w:rPr>
        <w:fldChar w:fldCharType="end"/>
      </w:r>
      <w:bookmarkEnd w:id="90"/>
      <w:r w:rsidRPr="004C59A1">
        <w:t>: Number of elective discharges nationally from March to June 2018–2020, by ethnicity</w:t>
      </w:r>
      <w:bookmarkEnd w:id="91"/>
      <w:bookmarkEnd w:id="92"/>
    </w:p>
    <w:p w14:paraId="659CB321" w14:textId="04049D37" w:rsidR="00EA64A0" w:rsidRDefault="00426D1E" w:rsidP="004C59A1">
      <w:pPr>
        <w:spacing w:before="120"/>
        <w:rPr>
          <w:rFonts w:cs="Segoe UI"/>
          <w:sz w:val="22"/>
          <w:szCs w:val="22"/>
        </w:rPr>
      </w:pPr>
      <w:r>
        <w:rPr>
          <w:rFonts w:cs="Segoe UI"/>
          <w:noProof/>
          <w:sz w:val="22"/>
          <w:szCs w:val="22"/>
        </w:rPr>
        <w:drawing>
          <wp:inline distT="0" distB="0" distL="0" distR="0" wp14:anchorId="624A37DA" wp14:editId="750E4C05">
            <wp:extent cx="5597397" cy="3729807"/>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95" t="5411" r="12369" b="3383"/>
                    <a:stretch/>
                  </pic:blipFill>
                  <pic:spPr bwMode="auto">
                    <a:xfrm>
                      <a:off x="0" y="0"/>
                      <a:ext cx="5604132" cy="3734295"/>
                    </a:xfrm>
                    <a:prstGeom prst="rect">
                      <a:avLst/>
                    </a:prstGeom>
                    <a:noFill/>
                    <a:ln>
                      <a:noFill/>
                    </a:ln>
                    <a:extLst>
                      <a:ext uri="{53640926-AAD7-44D8-BBD7-CCE9431645EC}">
                        <a14:shadowObscured xmlns:a14="http://schemas.microsoft.com/office/drawing/2010/main"/>
                      </a:ext>
                    </a:extLst>
                  </pic:spPr>
                </pic:pic>
              </a:graphicData>
            </a:graphic>
          </wp:inline>
        </w:drawing>
      </w:r>
    </w:p>
    <w:p w14:paraId="1F36242A" w14:textId="77777777" w:rsidR="00EA64A0" w:rsidRPr="00E35305" w:rsidRDefault="00EA64A0" w:rsidP="00EA64A0">
      <w:pPr>
        <w:pStyle w:val="Heading3"/>
      </w:pPr>
      <w:bookmarkStart w:id="93" w:name="_Toc52430180"/>
      <w:r w:rsidRPr="00E35305">
        <w:t xml:space="preserve">Arranged </w:t>
      </w:r>
      <w:r>
        <w:t>a</w:t>
      </w:r>
      <w:r w:rsidRPr="00E35305">
        <w:t>ctivity by ethnicity</w:t>
      </w:r>
      <w:bookmarkEnd w:id="93"/>
    </w:p>
    <w:p w14:paraId="7B162E27" w14:textId="00932AE5" w:rsidR="00EA64A0" w:rsidRDefault="00627116" w:rsidP="00EA64A0">
      <w:r>
        <w:rPr>
          <w:color w:val="000000" w:themeColor="text1"/>
        </w:rPr>
        <w:t xml:space="preserve">Figure 11 </w:t>
      </w:r>
      <w:r w:rsidR="00EA64A0" w:rsidRPr="0010795E">
        <w:rPr>
          <w:color w:val="000000" w:themeColor="text1"/>
        </w:rPr>
        <w:t xml:space="preserve">shows </w:t>
      </w:r>
      <w:r w:rsidR="00EA64A0" w:rsidRPr="00E35305">
        <w:t xml:space="preserve">the </w:t>
      </w:r>
      <w:r w:rsidR="00EA64A0">
        <w:t xml:space="preserve">total </w:t>
      </w:r>
      <w:r w:rsidR="00EA64A0" w:rsidRPr="00E35305">
        <w:t xml:space="preserve">number of discharges </w:t>
      </w:r>
      <w:r w:rsidR="00EA64A0">
        <w:t>for arranged activity from</w:t>
      </w:r>
      <w:r w:rsidR="00EA64A0" w:rsidRPr="00E35305">
        <w:t xml:space="preserve"> March</w:t>
      </w:r>
      <w:r w:rsidR="00EA64A0">
        <w:t xml:space="preserve"> to June </w:t>
      </w:r>
      <w:r w:rsidR="00EA64A0" w:rsidRPr="00E35305">
        <w:t>2018</w:t>
      </w:r>
      <w:r w:rsidR="00EA64A0">
        <w:t>–</w:t>
      </w:r>
      <w:r w:rsidR="00EA64A0" w:rsidRPr="00E35305">
        <w:t xml:space="preserve">2020, </w:t>
      </w:r>
      <w:r w:rsidR="00EA64A0">
        <w:t>along with the percentage that each of the three</w:t>
      </w:r>
      <w:r w:rsidR="00EA64A0" w:rsidRPr="00E35305">
        <w:t xml:space="preserve"> ethnic</w:t>
      </w:r>
      <w:r w:rsidR="00EA64A0">
        <w:t xml:space="preserve"> groups contributed to these monthly totals</w:t>
      </w:r>
      <w:r w:rsidR="00EA64A0" w:rsidRPr="00E35305">
        <w:t>.</w:t>
      </w:r>
    </w:p>
    <w:p w14:paraId="3D48161B" w14:textId="77777777" w:rsidR="00EA64A0" w:rsidRDefault="00EA64A0" w:rsidP="00EA64A0"/>
    <w:p w14:paraId="1CF598A3" w14:textId="1184D437" w:rsidR="00EA64A0" w:rsidRDefault="00EA64A0" w:rsidP="00EA64A0">
      <w:pPr>
        <w:rPr>
          <w:color w:val="000000" w:themeColor="text1"/>
        </w:rPr>
      </w:pPr>
      <w:r w:rsidRPr="00957D5B">
        <w:rPr>
          <w:color w:val="000000" w:themeColor="text1"/>
        </w:rPr>
        <w:lastRenderedPageBreak/>
        <w:t>Nationally, in March 2020</w:t>
      </w:r>
      <w:r>
        <w:rPr>
          <w:color w:val="000000" w:themeColor="text1"/>
        </w:rPr>
        <w:t xml:space="preserve"> </w:t>
      </w:r>
      <w:r w:rsidRPr="00957D5B">
        <w:rPr>
          <w:color w:val="000000" w:themeColor="text1"/>
        </w:rPr>
        <w:t xml:space="preserve">the number of </w:t>
      </w:r>
      <w:r>
        <w:rPr>
          <w:color w:val="000000" w:themeColor="text1"/>
        </w:rPr>
        <w:t xml:space="preserve">arranged </w:t>
      </w:r>
      <w:r w:rsidRPr="00957D5B">
        <w:rPr>
          <w:color w:val="000000" w:themeColor="text1"/>
        </w:rPr>
        <w:t>discharges</w:t>
      </w:r>
      <w:r>
        <w:rPr>
          <w:color w:val="000000" w:themeColor="text1"/>
        </w:rPr>
        <w:t xml:space="preserve"> reduced</w:t>
      </w:r>
      <w:r w:rsidRPr="00957D5B">
        <w:rPr>
          <w:color w:val="000000" w:themeColor="text1"/>
        </w:rPr>
        <w:t xml:space="preserve"> across </w:t>
      </w:r>
      <w:r>
        <w:rPr>
          <w:color w:val="000000" w:themeColor="text1"/>
        </w:rPr>
        <w:t xml:space="preserve">all three </w:t>
      </w:r>
      <w:r w:rsidRPr="00957D5B">
        <w:rPr>
          <w:color w:val="000000" w:themeColor="text1"/>
        </w:rPr>
        <w:t>ethnic</w:t>
      </w:r>
      <w:r>
        <w:rPr>
          <w:color w:val="000000" w:themeColor="text1"/>
        </w:rPr>
        <w:t xml:space="preserve"> groups</w:t>
      </w:r>
      <w:r w:rsidRPr="002C57AB">
        <w:rPr>
          <w:color w:val="000000" w:themeColor="text1"/>
        </w:rPr>
        <w:t xml:space="preserve"> </w:t>
      </w:r>
      <w:r w:rsidRPr="00957D5B">
        <w:rPr>
          <w:color w:val="000000" w:themeColor="text1"/>
        </w:rPr>
        <w:t xml:space="preserve">compared </w:t>
      </w:r>
      <w:r>
        <w:rPr>
          <w:color w:val="000000" w:themeColor="text1"/>
        </w:rPr>
        <w:t>with</w:t>
      </w:r>
      <w:r w:rsidRPr="00957D5B">
        <w:rPr>
          <w:color w:val="000000" w:themeColor="text1"/>
        </w:rPr>
        <w:t xml:space="preserve"> March 2019</w:t>
      </w:r>
      <w:r>
        <w:rPr>
          <w:color w:val="000000" w:themeColor="text1"/>
        </w:rPr>
        <w:t>: by</w:t>
      </w:r>
      <w:r w:rsidRPr="00957D5B">
        <w:rPr>
          <w:color w:val="000000" w:themeColor="text1"/>
        </w:rPr>
        <w:t xml:space="preserve"> 11.7% </w:t>
      </w:r>
      <w:r>
        <w:rPr>
          <w:color w:val="000000" w:themeColor="text1"/>
        </w:rPr>
        <w:t xml:space="preserve">for </w:t>
      </w:r>
      <w:r w:rsidRPr="00227201">
        <w:rPr>
          <w:color w:val="000000" w:themeColor="text1"/>
        </w:rPr>
        <w:t>non-</w:t>
      </w:r>
      <w:r>
        <w:rPr>
          <w:color w:val="000000" w:themeColor="text1"/>
        </w:rPr>
        <w:t>Māori,</w:t>
      </w:r>
      <w:r w:rsidRPr="00227201">
        <w:rPr>
          <w:color w:val="000000" w:themeColor="text1"/>
        </w:rPr>
        <w:t xml:space="preserve"> non-Pacific</w:t>
      </w:r>
      <w:r w:rsidRPr="00957D5B">
        <w:rPr>
          <w:color w:val="000000" w:themeColor="text1"/>
        </w:rPr>
        <w:t xml:space="preserve">, </w:t>
      </w:r>
      <w:r>
        <w:rPr>
          <w:color w:val="000000" w:themeColor="text1"/>
        </w:rPr>
        <w:t xml:space="preserve">11.8% </w:t>
      </w:r>
      <w:r w:rsidRPr="00957D5B">
        <w:rPr>
          <w:color w:val="000000" w:themeColor="text1"/>
        </w:rPr>
        <w:t>for Māori and 13.4% for Pacific</w:t>
      </w:r>
      <w:r>
        <w:rPr>
          <w:color w:val="000000" w:themeColor="text1"/>
        </w:rPr>
        <w:t xml:space="preserve"> peoples</w:t>
      </w:r>
      <w:r w:rsidRPr="00957D5B">
        <w:rPr>
          <w:color w:val="000000" w:themeColor="text1"/>
        </w:rPr>
        <w:t>. In April 2020 the</w:t>
      </w:r>
      <w:r>
        <w:rPr>
          <w:color w:val="000000" w:themeColor="text1"/>
        </w:rPr>
        <w:t xml:space="preserve"> decrease</w:t>
      </w:r>
      <w:r w:rsidRPr="00957D5B">
        <w:rPr>
          <w:color w:val="000000" w:themeColor="text1"/>
        </w:rPr>
        <w:t xml:space="preserve"> was larger and </w:t>
      </w:r>
      <w:r>
        <w:rPr>
          <w:color w:val="000000" w:themeColor="text1"/>
        </w:rPr>
        <w:t>differences</w:t>
      </w:r>
      <w:r w:rsidRPr="00957D5B">
        <w:rPr>
          <w:color w:val="000000" w:themeColor="text1"/>
        </w:rPr>
        <w:t xml:space="preserve"> </w:t>
      </w:r>
      <w:r>
        <w:rPr>
          <w:color w:val="000000" w:themeColor="text1"/>
        </w:rPr>
        <w:t>between the three ethnic groups</w:t>
      </w:r>
      <w:r w:rsidRPr="00957D5B">
        <w:rPr>
          <w:color w:val="000000" w:themeColor="text1"/>
        </w:rPr>
        <w:t xml:space="preserve"> </w:t>
      </w:r>
      <w:r>
        <w:rPr>
          <w:color w:val="000000" w:themeColor="text1"/>
        </w:rPr>
        <w:t>were clearer.</w:t>
      </w:r>
      <w:r w:rsidRPr="00957D5B">
        <w:rPr>
          <w:color w:val="000000" w:themeColor="text1"/>
        </w:rPr>
        <w:t xml:space="preserve"> </w:t>
      </w:r>
      <w:r>
        <w:rPr>
          <w:color w:val="000000" w:themeColor="text1"/>
        </w:rPr>
        <w:t>Compared with April 2019, the reduction was greatest for</w:t>
      </w:r>
      <w:r w:rsidRPr="00957D5B">
        <w:rPr>
          <w:color w:val="000000" w:themeColor="text1"/>
        </w:rPr>
        <w:t xml:space="preserve"> </w:t>
      </w:r>
      <w:r w:rsidRPr="00227201">
        <w:rPr>
          <w:color w:val="000000" w:themeColor="text1"/>
        </w:rPr>
        <w:t>non-</w:t>
      </w:r>
      <w:r>
        <w:rPr>
          <w:color w:val="000000" w:themeColor="text1"/>
        </w:rPr>
        <w:t>Māori,</w:t>
      </w:r>
      <w:r w:rsidRPr="00227201">
        <w:rPr>
          <w:color w:val="000000" w:themeColor="text1"/>
        </w:rPr>
        <w:t xml:space="preserve"> non-Pacific </w:t>
      </w:r>
      <w:r>
        <w:rPr>
          <w:color w:val="000000" w:themeColor="text1"/>
        </w:rPr>
        <w:t>at</w:t>
      </w:r>
      <w:r w:rsidRPr="00957D5B">
        <w:rPr>
          <w:color w:val="000000" w:themeColor="text1"/>
        </w:rPr>
        <w:t xml:space="preserve"> 31.0%, followed by Pacific</w:t>
      </w:r>
      <w:r>
        <w:rPr>
          <w:color w:val="000000" w:themeColor="text1"/>
        </w:rPr>
        <w:t xml:space="preserve"> peoples</w:t>
      </w:r>
      <w:r w:rsidRPr="00957D5B">
        <w:rPr>
          <w:color w:val="000000" w:themeColor="text1"/>
        </w:rPr>
        <w:t xml:space="preserve"> at 27.0% and Māori at 19.2%. </w:t>
      </w:r>
    </w:p>
    <w:p w14:paraId="2FCE039E" w14:textId="77777777" w:rsidR="00EA64A0" w:rsidRDefault="00EA64A0" w:rsidP="00EA64A0">
      <w:pPr>
        <w:rPr>
          <w:color w:val="000000" w:themeColor="text1"/>
        </w:rPr>
      </w:pPr>
    </w:p>
    <w:p w14:paraId="14ED7278" w14:textId="0D6DA2BD" w:rsidR="00EA64A0" w:rsidRDefault="00EA64A0" w:rsidP="00EA64A0">
      <w:pPr>
        <w:rPr>
          <w:color w:val="000000" w:themeColor="text1"/>
        </w:rPr>
      </w:pPr>
      <w:r w:rsidRPr="00957D5B">
        <w:rPr>
          <w:color w:val="000000" w:themeColor="text1"/>
        </w:rPr>
        <w:t>In May 2020</w:t>
      </w:r>
      <w:r>
        <w:rPr>
          <w:color w:val="000000" w:themeColor="text1"/>
        </w:rPr>
        <w:t>,</w:t>
      </w:r>
      <w:r w:rsidRPr="00957D5B">
        <w:rPr>
          <w:color w:val="000000" w:themeColor="text1"/>
        </w:rPr>
        <w:t xml:space="preserve"> the disruption to arranged activity</w:t>
      </w:r>
      <w:r>
        <w:rPr>
          <w:color w:val="000000" w:themeColor="text1"/>
        </w:rPr>
        <w:t xml:space="preserve"> was slightly lower, falling by</w:t>
      </w:r>
      <w:r w:rsidRPr="00957D5B">
        <w:rPr>
          <w:color w:val="000000" w:themeColor="text1"/>
        </w:rPr>
        <w:t xml:space="preserve"> 25.0% for </w:t>
      </w:r>
      <w:r w:rsidRPr="00227201">
        <w:rPr>
          <w:color w:val="000000" w:themeColor="text1"/>
        </w:rPr>
        <w:t>non-</w:t>
      </w:r>
      <w:r>
        <w:rPr>
          <w:color w:val="000000" w:themeColor="text1"/>
        </w:rPr>
        <w:t>Māori,</w:t>
      </w:r>
      <w:r w:rsidRPr="00227201">
        <w:rPr>
          <w:color w:val="000000" w:themeColor="text1"/>
        </w:rPr>
        <w:t xml:space="preserve"> non-Pacific</w:t>
      </w:r>
      <w:r w:rsidRPr="00957D5B">
        <w:rPr>
          <w:color w:val="000000" w:themeColor="text1"/>
        </w:rPr>
        <w:t xml:space="preserve">, 17.8% for Pacific </w:t>
      </w:r>
      <w:r>
        <w:rPr>
          <w:color w:val="000000" w:themeColor="text1"/>
        </w:rPr>
        <w:t xml:space="preserve">peoples </w:t>
      </w:r>
      <w:r w:rsidRPr="00957D5B">
        <w:rPr>
          <w:color w:val="000000" w:themeColor="text1"/>
        </w:rPr>
        <w:t xml:space="preserve">and 16.0% for Māori compared </w:t>
      </w:r>
      <w:r>
        <w:rPr>
          <w:color w:val="000000" w:themeColor="text1"/>
        </w:rPr>
        <w:t>with</w:t>
      </w:r>
      <w:r w:rsidRPr="00957D5B">
        <w:rPr>
          <w:color w:val="000000" w:themeColor="text1"/>
        </w:rPr>
        <w:t xml:space="preserve"> May 2019. </w:t>
      </w:r>
    </w:p>
    <w:p w14:paraId="744D237B" w14:textId="1067CB07" w:rsidR="00EA64A0" w:rsidRDefault="00EA64A0" w:rsidP="00EA64A0">
      <w:pPr>
        <w:rPr>
          <w:color w:val="000000" w:themeColor="text1"/>
        </w:rPr>
      </w:pPr>
      <w:r>
        <w:rPr>
          <w:color w:val="000000" w:themeColor="text1"/>
        </w:rPr>
        <w:t>Although discharges for a</w:t>
      </w:r>
      <w:r w:rsidRPr="00957D5B">
        <w:rPr>
          <w:color w:val="000000" w:themeColor="text1"/>
        </w:rPr>
        <w:t>rranged activity continued to increase</w:t>
      </w:r>
      <w:r w:rsidRPr="002C57AB">
        <w:rPr>
          <w:color w:val="000000" w:themeColor="text1"/>
        </w:rPr>
        <w:t xml:space="preserve"> </w:t>
      </w:r>
      <w:r w:rsidRPr="00957D5B">
        <w:rPr>
          <w:color w:val="000000" w:themeColor="text1"/>
        </w:rPr>
        <w:t>slowly in June 2020</w:t>
      </w:r>
      <w:r>
        <w:rPr>
          <w:color w:val="000000" w:themeColor="text1"/>
        </w:rPr>
        <w:t>, the activity level</w:t>
      </w:r>
      <w:r w:rsidRPr="00957D5B">
        <w:rPr>
          <w:color w:val="000000" w:themeColor="text1"/>
        </w:rPr>
        <w:t xml:space="preserve"> was still below the </w:t>
      </w:r>
      <w:r>
        <w:rPr>
          <w:color w:val="000000" w:themeColor="text1"/>
        </w:rPr>
        <w:t>levels</w:t>
      </w:r>
      <w:r w:rsidRPr="00957D5B">
        <w:rPr>
          <w:color w:val="000000" w:themeColor="text1"/>
        </w:rPr>
        <w:t xml:space="preserve"> in June 2018 and 2019. Compared </w:t>
      </w:r>
      <w:r>
        <w:rPr>
          <w:color w:val="000000" w:themeColor="text1"/>
        </w:rPr>
        <w:t>with</w:t>
      </w:r>
      <w:r w:rsidRPr="00957D5B">
        <w:rPr>
          <w:color w:val="000000" w:themeColor="text1"/>
        </w:rPr>
        <w:t xml:space="preserve"> June 2019, arranged activity</w:t>
      </w:r>
      <w:r>
        <w:rPr>
          <w:color w:val="000000" w:themeColor="text1"/>
        </w:rPr>
        <w:t xml:space="preserve"> discharges reduced by</w:t>
      </w:r>
      <w:r w:rsidRPr="00957D5B">
        <w:rPr>
          <w:color w:val="000000" w:themeColor="text1"/>
        </w:rPr>
        <w:t xml:space="preserve"> 12.7% for Pacific </w:t>
      </w:r>
      <w:r>
        <w:rPr>
          <w:color w:val="000000" w:themeColor="text1"/>
        </w:rPr>
        <w:t>peoples</w:t>
      </w:r>
      <w:r w:rsidRPr="00957D5B">
        <w:rPr>
          <w:color w:val="000000" w:themeColor="text1"/>
        </w:rPr>
        <w:t xml:space="preserve">, 12.2% </w:t>
      </w:r>
      <w:r>
        <w:rPr>
          <w:color w:val="000000" w:themeColor="text1"/>
        </w:rPr>
        <w:t xml:space="preserve">for </w:t>
      </w:r>
      <w:r w:rsidRPr="00227201">
        <w:rPr>
          <w:color w:val="000000" w:themeColor="text1"/>
        </w:rPr>
        <w:t>non-</w:t>
      </w:r>
      <w:r>
        <w:rPr>
          <w:color w:val="000000" w:themeColor="text1"/>
        </w:rPr>
        <w:t>Māori,</w:t>
      </w:r>
      <w:r w:rsidRPr="00227201">
        <w:rPr>
          <w:color w:val="000000" w:themeColor="text1"/>
        </w:rPr>
        <w:t xml:space="preserve"> non-Pacific </w:t>
      </w:r>
      <w:r w:rsidRPr="00957D5B">
        <w:rPr>
          <w:color w:val="000000" w:themeColor="text1"/>
        </w:rPr>
        <w:t>and 11.0%</w:t>
      </w:r>
      <w:r>
        <w:rPr>
          <w:color w:val="000000" w:themeColor="text1"/>
        </w:rPr>
        <w:t xml:space="preserve"> for</w:t>
      </w:r>
      <w:r w:rsidRPr="00957D5B">
        <w:rPr>
          <w:color w:val="000000" w:themeColor="text1"/>
        </w:rPr>
        <w:t xml:space="preserve"> Māori.</w:t>
      </w:r>
    </w:p>
    <w:p w14:paraId="78E47606" w14:textId="77777777" w:rsidR="00C46B46" w:rsidRPr="00992386" w:rsidRDefault="00C46B46" w:rsidP="00EA64A0"/>
    <w:p w14:paraId="4E57273C" w14:textId="39CE1568" w:rsidR="00EA64A0" w:rsidRPr="00A91D99" w:rsidRDefault="00EA64A0" w:rsidP="00EA64A0">
      <w:pPr>
        <w:pStyle w:val="Caption"/>
        <w:rPr>
          <w:sz w:val="22"/>
        </w:rPr>
      </w:pPr>
      <w:bookmarkStart w:id="94" w:name="_Ref53470677"/>
      <w:bookmarkStart w:id="95" w:name="_Toc52420599"/>
      <w:bookmarkStart w:id="96" w:name="_Toc53585941"/>
      <w:r w:rsidRPr="00B65BC8">
        <w:t xml:space="preserve">Figure </w:t>
      </w:r>
      <w:r w:rsidRPr="00B65BC8">
        <w:rPr>
          <w:noProof/>
        </w:rPr>
        <w:fldChar w:fldCharType="begin"/>
      </w:r>
      <w:r w:rsidRPr="00B65BC8">
        <w:rPr>
          <w:noProof/>
        </w:rPr>
        <w:instrText xml:space="preserve"> SEQ Figure \* ARABIC </w:instrText>
      </w:r>
      <w:r w:rsidRPr="00B65BC8">
        <w:rPr>
          <w:noProof/>
        </w:rPr>
        <w:fldChar w:fldCharType="separate"/>
      </w:r>
      <w:r w:rsidR="00CF2713">
        <w:rPr>
          <w:noProof/>
        </w:rPr>
        <w:t>11</w:t>
      </w:r>
      <w:r w:rsidRPr="00B65BC8">
        <w:rPr>
          <w:noProof/>
        </w:rPr>
        <w:fldChar w:fldCharType="end"/>
      </w:r>
      <w:bookmarkEnd w:id="94"/>
      <w:r w:rsidRPr="00B65BC8">
        <w:t>: Number of arranged discharges nationally from March to June 2018–2020, by ethnicity</w:t>
      </w:r>
      <w:bookmarkEnd w:id="95"/>
      <w:bookmarkEnd w:id="96"/>
    </w:p>
    <w:p w14:paraId="008904E3" w14:textId="388AB030" w:rsidR="00EA64A0" w:rsidRDefault="00CF3D75" w:rsidP="00B65BC8">
      <w:pPr>
        <w:spacing w:before="120"/>
        <w:rPr>
          <w:rFonts w:cs="Segoe UI"/>
          <w:noProof/>
        </w:rPr>
      </w:pPr>
      <w:r>
        <w:rPr>
          <w:rFonts w:cs="Segoe UI"/>
          <w:noProof/>
        </w:rPr>
        <w:drawing>
          <wp:inline distT="0" distB="0" distL="0" distR="0" wp14:anchorId="6A4AFB14" wp14:editId="26634B30">
            <wp:extent cx="5730949" cy="3698240"/>
            <wp:effectExtent l="0" t="0" r="3175" b="0"/>
            <wp:docPr id="45" name="Picture 45" descr="This bar graph shows that non-Māori, non-Pacific made up about 73% of arranged discharges, while Māori made up about 18% and Pacific made up about 8%. In April of 2020, non-Māori, non-Pacific made up 71.8%, Māori made up 20% and Pacific made u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39" t="5159" r="12323" b="1651"/>
                    <a:stretch/>
                  </pic:blipFill>
                  <pic:spPr bwMode="auto">
                    <a:xfrm>
                      <a:off x="0" y="0"/>
                      <a:ext cx="5747485" cy="3708911"/>
                    </a:xfrm>
                    <a:prstGeom prst="rect">
                      <a:avLst/>
                    </a:prstGeom>
                    <a:noFill/>
                    <a:ln>
                      <a:noFill/>
                    </a:ln>
                    <a:extLst>
                      <a:ext uri="{53640926-AAD7-44D8-BBD7-CCE9431645EC}">
                        <a14:shadowObscured xmlns:a14="http://schemas.microsoft.com/office/drawing/2010/main"/>
                      </a:ext>
                    </a:extLst>
                  </pic:spPr>
                </pic:pic>
              </a:graphicData>
            </a:graphic>
          </wp:inline>
        </w:drawing>
      </w:r>
    </w:p>
    <w:p w14:paraId="7B375E92" w14:textId="77777777" w:rsidR="00EA64A0" w:rsidRPr="00E35305" w:rsidRDefault="00EA64A0" w:rsidP="00EA64A0">
      <w:pPr>
        <w:pStyle w:val="Heading3"/>
      </w:pPr>
      <w:bookmarkStart w:id="97" w:name="_Toc52430181"/>
      <w:r>
        <w:t>Number of the different types of a</w:t>
      </w:r>
      <w:r w:rsidRPr="00E35305">
        <w:t>ctivity</w:t>
      </w:r>
      <w:bookmarkEnd w:id="97"/>
    </w:p>
    <w:p w14:paraId="1634125F" w14:textId="66E1FF5A" w:rsidR="00EA64A0" w:rsidRDefault="00B65BC8" w:rsidP="00EA64A0">
      <w:pPr>
        <w:rPr>
          <w:color w:val="000000" w:themeColor="text1"/>
        </w:rPr>
      </w:pPr>
      <w:r>
        <w:rPr>
          <w:color w:val="000000" w:themeColor="text1"/>
        </w:rPr>
        <w:fldChar w:fldCharType="begin"/>
      </w:r>
      <w:r>
        <w:rPr>
          <w:color w:val="000000" w:themeColor="text1"/>
        </w:rPr>
        <w:instrText xml:space="preserve"> REF _Ref53470473 \h </w:instrText>
      </w:r>
      <w:r>
        <w:rPr>
          <w:color w:val="000000" w:themeColor="text1"/>
        </w:rPr>
      </w:r>
      <w:r>
        <w:rPr>
          <w:color w:val="000000" w:themeColor="text1"/>
        </w:rPr>
        <w:fldChar w:fldCharType="separate"/>
      </w:r>
      <w:r w:rsidR="00CF2713" w:rsidRPr="003A6CC5">
        <w:t xml:space="preserve">Figure </w:t>
      </w:r>
      <w:r w:rsidR="00CF2713">
        <w:rPr>
          <w:noProof/>
        </w:rPr>
        <w:t>12</w:t>
      </w:r>
      <w:r>
        <w:rPr>
          <w:color w:val="000000" w:themeColor="text1"/>
        </w:rPr>
        <w:fldChar w:fldCharType="end"/>
      </w:r>
      <w:r w:rsidR="00EA64A0">
        <w:rPr>
          <w:color w:val="000000" w:themeColor="text1"/>
        </w:rPr>
        <w:t xml:space="preserve"> </w:t>
      </w:r>
      <w:r w:rsidR="00EA64A0" w:rsidRPr="00B00E9E">
        <w:rPr>
          <w:color w:val="000000" w:themeColor="text1"/>
        </w:rPr>
        <w:t>provides a national comparison of</w:t>
      </w:r>
      <w:r w:rsidR="00EA64A0">
        <w:rPr>
          <w:color w:val="000000" w:themeColor="text1"/>
        </w:rPr>
        <w:t xml:space="preserve"> the level of</w:t>
      </w:r>
      <w:r w:rsidR="00EA64A0" w:rsidRPr="00B00E9E">
        <w:rPr>
          <w:color w:val="000000" w:themeColor="text1"/>
        </w:rPr>
        <w:t xml:space="preserve"> acute, arranged and elective activity </w:t>
      </w:r>
      <w:r w:rsidR="00EA64A0">
        <w:rPr>
          <w:color w:val="000000" w:themeColor="text1"/>
        </w:rPr>
        <w:t>nationally from March to June 2018–2020</w:t>
      </w:r>
      <w:r w:rsidR="00EA64A0" w:rsidRPr="00B00E9E">
        <w:rPr>
          <w:color w:val="000000" w:themeColor="text1"/>
        </w:rPr>
        <w:t xml:space="preserve">, </w:t>
      </w:r>
      <w:r w:rsidR="00EA64A0">
        <w:rPr>
          <w:color w:val="000000" w:themeColor="text1"/>
        </w:rPr>
        <w:t xml:space="preserve">as </w:t>
      </w:r>
      <w:r w:rsidR="00EA64A0" w:rsidRPr="00B00E9E">
        <w:rPr>
          <w:color w:val="000000" w:themeColor="text1"/>
        </w:rPr>
        <w:t xml:space="preserve">measured by </w:t>
      </w:r>
      <w:r w:rsidR="00EA64A0">
        <w:rPr>
          <w:color w:val="000000" w:themeColor="text1"/>
        </w:rPr>
        <w:t xml:space="preserve">the </w:t>
      </w:r>
      <w:r w:rsidR="00EA64A0" w:rsidRPr="00B00E9E">
        <w:rPr>
          <w:color w:val="000000" w:themeColor="text1"/>
        </w:rPr>
        <w:t>number</w:t>
      </w:r>
      <w:r w:rsidR="00EA64A0" w:rsidRPr="00B4577C">
        <w:rPr>
          <w:color w:val="000000" w:themeColor="text1"/>
        </w:rPr>
        <w:t xml:space="preserve"> </w:t>
      </w:r>
      <w:r w:rsidR="00EA64A0">
        <w:rPr>
          <w:color w:val="000000" w:themeColor="text1"/>
        </w:rPr>
        <w:t xml:space="preserve">and </w:t>
      </w:r>
      <w:r w:rsidR="00EA64A0" w:rsidRPr="00B00E9E">
        <w:rPr>
          <w:color w:val="000000" w:themeColor="text1"/>
        </w:rPr>
        <w:t>percentage of discharges</w:t>
      </w:r>
      <w:r w:rsidR="00EA64A0">
        <w:rPr>
          <w:color w:val="000000" w:themeColor="text1"/>
        </w:rPr>
        <w:t xml:space="preserve">. </w:t>
      </w:r>
      <w:r w:rsidR="00EA64A0" w:rsidRPr="00B00E9E">
        <w:rPr>
          <w:color w:val="000000" w:themeColor="text1"/>
        </w:rPr>
        <w:t xml:space="preserve">Both nationally and regionally, </w:t>
      </w:r>
      <w:r w:rsidR="00EA64A0">
        <w:rPr>
          <w:color w:val="000000" w:themeColor="text1"/>
        </w:rPr>
        <w:t xml:space="preserve">the decrease in </w:t>
      </w:r>
      <w:r w:rsidR="00EA64A0" w:rsidRPr="00B00E9E">
        <w:rPr>
          <w:color w:val="000000" w:themeColor="text1"/>
        </w:rPr>
        <w:t xml:space="preserve">elective activity </w:t>
      </w:r>
      <w:r w:rsidR="00EA64A0">
        <w:rPr>
          <w:color w:val="000000" w:themeColor="text1"/>
        </w:rPr>
        <w:t xml:space="preserve">was </w:t>
      </w:r>
      <w:r w:rsidR="00EA64A0" w:rsidRPr="00B00E9E">
        <w:rPr>
          <w:color w:val="000000" w:themeColor="text1"/>
        </w:rPr>
        <w:t xml:space="preserve">greater than </w:t>
      </w:r>
      <w:r w:rsidR="00EA64A0">
        <w:rPr>
          <w:color w:val="000000" w:themeColor="text1"/>
        </w:rPr>
        <w:t xml:space="preserve">that for </w:t>
      </w:r>
      <w:r w:rsidR="00EA64A0" w:rsidRPr="00B00E9E">
        <w:rPr>
          <w:color w:val="000000" w:themeColor="text1"/>
        </w:rPr>
        <w:t xml:space="preserve">arranged and acute activity. By percentage, the </w:t>
      </w:r>
      <w:r w:rsidR="00EA64A0">
        <w:rPr>
          <w:color w:val="000000" w:themeColor="text1"/>
        </w:rPr>
        <w:t>greatest</w:t>
      </w:r>
      <w:r w:rsidR="00EA64A0" w:rsidRPr="00B00E9E">
        <w:rPr>
          <w:color w:val="000000" w:themeColor="text1"/>
        </w:rPr>
        <w:t xml:space="preserve"> disruption to </w:t>
      </w:r>
      <w:r w:rsidR="00EA64A0">
        <w:rPr>
          <w:color w:val="000000" w:themeColor="text1"/>
        </w:rPr>
        <w:t xml:space="preserve">all of </w:t>
      </w:r>
      <w:r w:rsidR="00EA64A0" w:rsidRPr="00B00E9E">
        <w:rPr>
          <w:color w:val="000000" w:themeColor="text1"/>
        </w:rPr>
        <w:t xml:space="preserve">these activity types </w:t>
      </w:r>
      <w:r w:rsidR="00EA64A0">
        <w:rPr>
          <w:color w:val="000000" w:themeColor="text1"/>
        </w:rPr>
        <w:t xml:space="preserve">occurred </w:t>
      </w:r>
      <w:r w:rsidR="00EA64A0" w:rsidRPr="00B00E9E">
        <w:rPr>
          <w:color w:val="000000" w:themeColor="text1"/>
        </w:rPr>
        <w:t>in April 2020.</w:t>
      </w:r>
    </w:p>
    <w:p w14:paraId="3A55DBB0" w14:textId="77777777" w:rsidR="00EA64A0" w:rsidRPr="00B00E9E" w:rsidRDefault="00EA64A0" w:rsidP="00EA64A0">
      <w:pPr>
        <w:rPr>
          <w:color w:val="000000" w:themeColor="text1"/>
        </w:rPr>
      </w:pPr>
    </w:p>
    <w:p w14:paraId="66B18407" w14:textId="77777777" w:rsidR="00EA64A0" w:rsidRPr="00860681" w:rsidRDefault="00EA64A0" w:rsidP="00EA64A0">
      <w:pPr>
        <w:rPr>
          <w:color w:val="000000" w:themeColor="text1"/>
        </w:rPr>
      </w:pPr>
      <w:r w:rsidRPr="00B00E9E">
        <w:rPr>
          <w:color w:val="000000" w:themeColor="text1"/>
        </w:rPr>
        <w:t xml:space="preserve">In March 2020, the number of elective discharges fell by 22.5% compared with March 2019, while acute </w:t>
      </w:r>
      <w:r>
        <w:rPr>
          <w:color w:val="000000" w:themeColor="text1"/>
        </w:rPr>
        <w:t xml:space="preserve">discharges </w:t>
      </w:r>
      <w:r w:rsidRPr="00B00E9E">
        <w:rPr>
          <w:color w:val="000000" w:themeColor="text1"/>
        </w:rPr>
        <w:t xml:space="preserve">fell by 11.5% and arranged </w:t>
      </w:r>
      <w:r>
        <w:rPr>
          <w:color w:val="000000" w:themeColor="text1"/>
        </w:rPr>
        <w:t xml:space="preserve">discharges by </w:t>
      </w:r>
      <w:r w:rsidRPr="00B00E9E">
        <w:rPr>
          <w:color w:val="000000" w:themeColor="text1"/>
        </w:rPr>
        <w:t>11.9%.</w:t>
      </w:r>
      <w:r>
        <w:rPr>
          <w:color w:val="000000" w:themeColor="text1"/>
        </w:rPr>
        <w:t xml:space="preserve"> In</w:t>
      </w:r>
      <w:r w:rsidRPr="00B00E9E">
        <w:rPr>
          <w:color w:val="000000" w:themeColor="text1"/>
        </w:rPr>
        <w:t xml:space="preserve"> </w:t>
      </w:r>
      <w:r>
        <w:t>April 2020 compared with April 2019, elective discharges were down by 69.2%, acute discharges by 31.1% and arranged discharges by 28.6%</w:t>
      </w:r>
      <w:r w:rsidRPr="00B00E9E">
        <w:rPr>
          <w:color w:val="000000" w:themeColor="text1"/>
        </w:rPr>
        <w:t>. In May 2020</w:t>
      </w:r>
      <w:r>
        <w:rPr>
          <w:color w:val="000000" w:themeColor="text1"/>
        </w:rPr>
        <w:t xml:space="preserve">, the level of activity for all activity types continued to be lower </w:t>
      </w:r>
      <w:r>
        <w:rPr>
          <w:color w:val="000000" w:themeColor="text1"/>
        </w:rPr>
        <w:lastRenderedPageBreak/>
        <w:t>than for May 2019 but by a smaller percentage:</w:t>
      </w:r>
      <w:r w:rsidRPr="00EB2CAB">
        <w:rPr>
          <w:color w:val="000000" w:themeColor="text1"/>
        </w:rPr>
        <w:t xml:space="preserve"> </w:t>
      </w:r>
      <w:r w:rsidRPr="00B00E9E">
        <w:rPr>
          <w:color w:val="000000" w:themeColor="text1"/>
        </w:rPr>
        <w:t>25.3%</w:t>
      </w:r>
      <w:r>
        <w:rPr>
          <w:color w:val="000000" w:themeColor="text1"/>
        </w:rPr>
        <w:t xml:space="preserve"> for</w:t>
      </w:r>
      <w:r w:rsidRPr="00B00E9E">
        <w:rPr>
          <w:color w:val="000000" w:themeColor="text1"/>
        </w:rPr>
        <w:t xml:space="preserve"> elective activity, 18.9% </w:t>
      </w:r>
      <w:r>
        <w:rPr>
          <w:color w:val="000000" w:themeColor="text1"/>
        </w:rPr>
        <w:t xml:space="preserve">for </w:t>
      </w:r>
      <w:r w:rsidRPr="00B00E9E">
        <w:rPr>
          <w:color w:val="000000" w:themeColor="text1"/>
        </w:rPr>
        <w:t>acute activity and 22.9%</w:t>
      </w:r>
      <w:r>
        <w:rPr>
          <w:color w:val="000000" w:themeColor="text1"/>
        </w:rPr>
        <w:t xml:space="preserve"> for</w:t>
      </w:r>
      <w:r w:rsidRPr="00B00E9E">
        <w:rPr>
          <w:color w:val="000000" w:themeColor="text1"/>
        </w:rPr>
        <w:t xml:space="preserve"> arranged activity. These</w:t>
      </w:r>
      <w:r w:rsidRPr="00D42DB7">
        <w:rPr>
          <w:color w:val="000000" w:themeColor="text1"/>
        </w:rPr>
        <w:t xml:space="preserve"> </w:t>
      </w:r>
      <w:r w:rsidRPr="00B00E9E">
        <w:rPr>
          <w:color w:val="000000" w:themeColor="text1"/>
        </w:rPr>
        <w:t xml:space="preserve">smaller reductions reflect </w:t>
      </w:r>
      <w:r>
        <w:rPr>
          <w:color w:val="000000" w:themeColor="text1"/>
        </w:rPr>
        <w:t xml:space="preserve">how </w:t>
      </w:r>
      <w:r w:rsidRPr="00B00E9E">
        <w:rPr>
          <w:color w:val="000000" w:themeColor="text1"/>
        </w:rPr>
        <w:t xml:space="preserve">a wider range of hospital activity </w:t>
      </w:r>
      <w:r>
        <w:rPr>
          <w:color w:val="000000" w:themeColor="text1"/>
        </w:rPr>
        <w:t xml:space="preserve">became increasingly available </w:t>
      </w:r>
      <w:r w:rsidRPr="00B00E9E">
        <w:rPr>
          <w:color w:val="000000" w:themeColor="text1"/>
        </w:rPr>
        <w:t xml:space="preserve">as New Zealand moved down the </w:t>
      </w:r>
      <w:r>
        <w:rPr>
          <w:color w:val="000000" w:themeColor="text1"/>
        </w:rPr>
        <w:t>A</w:t>
      </w:r>
      <w:r w:rsidRPr="00B00E9E">
        <w:rPr>
          <w:color w:val="000000" w:themeColor="text1"/>
        </w:rPr>
        <w:t xml:space="preserve">lert </w:t>
      </w:r>
      <w:r>
        <w:rPr>
          <w:color w:val="000000" w:themeColor="text1"/>
        </w:rPr>
        <w:t>L</w:t>
      </w:r>
      <w:r w:rsidRPr="00B00E9E">
        <w:rPr>
          <w:color w:val="000000" w:themeColor="text1"/>
        </w:rPr>
        <w:t xml:space="preserve">evel framework. </w:t>
      </w:r>
      <w:r>
        <w:rPr>
          <w:color w:val="000000" w:themeColor="text1"/>
        </w:rPr>
        <w:t>In</w:t>
      </w:r>
      <w:r w:rsidRPr="00B00E9E">
        <w:rPr>
          <w:color w:val="000000" w:themeColor="text1"/>
        </w:rPr>
        <w:t xml:space="preserve"> June 2020</w:t>
      </w:r>
      <w:r w:rsidRPr="00D42DB7">
        <w:rPr>
          <w:color w:val="000000" w:themeColor="text1"/>
        </w:rPr>
        <w:t xml:space="preserve"> </w:t>
      </w:r>
      <w:r w:rsidRPr="00B00E9E">
        <w:rPr>
          <w:color w:val="000000" w:themeColor="text1"/>
        </w:rPr>
        <w:t>compared with June 2019, elective activity increas</w:t>
      </w:r>
      <w:r>
        <w:rPr>
          <w:color w:val="000000" w:themeColor="text1"/>
        </w:rPr>
        <w:t>ed</w:t>
      </w:r>
      <w:r w:rsidRPr="00B00E9E">
        <w:rPr>
          <w:color w:val="000000" w:themeColor="text1"/>
        </w:rPr>
        <w:t xml:space="preserve"> by 4.1%</w:t>
      </w:r>
      <w:r>
        <w:rPr>
          <w:color w:val="000000" w:themeColor="text1"/>
        </w:rPr>
        <w:t>, a</w:t>
      </w:r>
      <w:r w:rsidRPr="00B00E9E">
        <w:rPr>
          <w:color w:val="000000" w:themeColor="text1"/>
        </w:rPr>
        <w:t>cute activity reduced by 6.3% and arranged activity decreased by 12.1%</w:t>
      </w:r>
      <w:r w:rsidRPr="00227201">
        <w:rPr>
          <w:color w:val="000000" w:themeColor="text1"/>
        </w:rPr>
        <w:t>.</w:t>
      </w:r>
    </w:p>
    <w:p w14:paraId="4322DF41" w14:textId="7EB81436" w:rsidR="00EA64A0" w:rsidRPr="00E35305" w:rsidRDefault="00EA64A0" w:rsidP="00EA64A0">
      <w:pPr>
        <w:pStyle w:val="Caption"/>
      </w:pPr>
      <w:bookmarkStart w:id="98" w:name="_Ref53470473"/>
      <w:bookmarkStart w:id="99" w:name="_Toc52420600"/>
      <w:bookmarkStart w:id="100" w:name="_Toc53585942"/>
      <w:r w:rsidRPr="003A6CC5">
        <w:t xml:space="preserve">Figure </w:t>
      </w:r>
      <w:r w:rsidRPr="003A6CC5">
        <w:rPr>
          <w:noProof/>
        </w:rPr>
        <w:fldChar w:fldCharType="begin"/>
      </w:r>
      <w:r w:rsidRPr="003A6CC5">
        <w:rPr>
          <w:noProof/>
        </w:rPr>
        <w:instrText xml:space="preserve"> SEQ Figure \* ARABIC </w:instrText>
      </w:r>
      <w:r w:rsidRPr="003A6CC5">
        <w:rPr>
          <w:noProof/>
        </w:rPr>
        <w:fldChar w:fldCharType="separate"/>
      </w:r>
      <w:r w:rsidR="00CF2713">
        <w:rPr>
          <w:noProof/>
        </w:rPr>
        <w:t>12</w:t>
      </w:r>
      <w:r w:rsidRPr="003A6CC5">
        <w:rPr>
          <w:noProof/>
        </w:rPr>
        <w:fldChar w:fldCharType="end"/>
      </w:r>
      <w:bookmarkEnd w:id="98"/>
      <w:r w:rsidRPr="003A6CC5">
        <w:t>: Number of discharges nationally from March to June 2018–2020, by activity type</w:t>
      </w:r>
      <w:bookmarkEnd w:id="99"/>
      <w:bookmarkEnd w:id="100"/>
    </w:p>
    <w:p w14:paraId="799A5344" w14:textId="7468C4BD" w:rsidR="009471FA" w:rsidRDefault="00CF3D75" w:rsidP="003A6CC5">
      <w:pPr>
        <w:rPr>
          <w:sz w:val="22"/>
          <w:szCs w:val="22"/>
        </w:rPr>
      </w:pPr>
      <w:r>
        <w:rPr>
          <w:noProof/>
          <w:sz w:val="22"/>
          <w:szCs w:val="22"/>
        </w:rPr>
        <w:drawing>
          <wp:inline distT="0" distB="0" distL="0" distR="0" wp14:anchorId="13C5A48F" wp14:editId="354D8D51">
            <wp:extent cx="5646289" cy="3145536"/>
            <wp:effectExtent l="0" t="0" r="0" b="0"/>
            <wp:docPr id="43" name="Picture 43" descr="This bar graph shows that in general, about 23% of discharges are elective, about 23% are arranged, and about 54% were acute. In April of 2020, 62.5% were acute, 26.9% were arranged and 10.6% were 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68" t="9633" r="8655" b="2214"/>
                    <a:stretch/>
                  </pic:blipFill>
                  <pic:spPr bwMode="auto">
                    <a:xfrm>
                      <a:off x="0" y="0"/>
                      <a:ext cx="5662554" cy="3154597"/>
                    </a:xfrm>
                    <a:prstGeom prst="rect">
                      <a:avLst/>
                    </a:prstGeom>
                    <a:noFill/>
                    <a:ln>
                      <a:noFill/>
                    </a:ln>
                    <a:extLst>
                      <a:ext uri="{53640926-AAD7-44D8-BBD7-CCE9431645EC}">
                        <a14:shadowObscured xmlns:a14="http://schemas.microsoft.com/office/drawing/2010/main"/>
                      </a:ext>
                    </a:extLst>
                  </pic:spPr>
                </pic:pic>
              </a:graphicData>
            </a:graphic>
          </wp:inline>
        </w:drawing>
      </w:r>
    </w:p>
    <w:p w14:paraId="4D9E6CB2" w14:textId="77777777" w:rsidR="00EA64A0" w:rsidRPr="00E35305" w:rsidRDefault="00EA64A0" w:rsidP="00EA64A0">
      <w:pPr>
        <w:pStyle w:val="Heading2"/>
        <w:rPr>
          <w:sz w:val="22"/>
          <w:szCs w:val="22"/>
        </w:rPr>
      </w:pPr>
      <w:bookmarkStart w:id="101" w:name="_Toc52430182"/>
      <w:bookmarkStart w:id="102" w:name="_Toc53471226"/>
      <w:r w:rsidRPr="00E35305">
        <w:t xml:space="preserve">Key </w:t>
      </w:r>
      <w:r>
        <w:t>p</w:t>
      </w:r>
      <w:r w:rsidRPr="00E35305">
        <w:t>oints</w:t>
      </w:r>
      <w:bookmarkEnd w:id="101"/>
      <w:bookmarkEnd w:id="102"/>
    </w:p>
    <w:p w14:paraId="51BCB5B1" w14:textId="77777777" w:rsidR="00EA64A0" w:rsidRPr="001663B0" w:rsidRDefault="00EA64A0" w:rsidP="00EA64A0">
      <w:pPr>
        <w:pStyle w:val="Bullet"/>
      </w:pPr>
      <w:r w:rsidRPr="001663B0">
        <w:t xml:space="preserve">Overall </w:t>
      </w:r>
      <w:r>
        <w:t>hospital</w:t>
      </w:r>
      <w:r w:rsidRPr="001663B0">
        <w:t xml:space="preserve"> activity</w:t>
      </w:r>
      <w:r>
        <w:t xml:space="preserve"> levels fell</w:t>
      </w:r>
      <w:r w:rsidRPr="001663B0">
        <w:t xml:space="preserve">, </w:t>
      </w:r>
      <w:r>
        <w:t>as measured</w:t>
      </w:r>
      <w:r w:rsidRPr="001663B0">
        <w:t xml:space="preserve"> by a decrease in the number of discharges and CWDs</w:t>
      </w:r>
      <w:r>
        <w:t xml:space="preserve"> </w:t>
      </w:r>
      <w:r w:rsidRPr="001663B0">
        <w:t xml:space="preserve">during </w:t>
      </w:r>
      <w:r>
        <w:t>A</w:t>
      </w:r>
      <w:r w:rsidRPr="001663B0">
        <w:t xml:space="preserve">lert </w:t>
      </w:r>
      <w:r>
        <w:t>L</w:t>
      </w:r>
      <w:r w:rsidRPr="001663B0">
        <w:t xml:space="preserve">evels </w:t>
      </w:r>
      <w:r>
        <w:t>F</w:t>
      </w:r>
      <w:r w:rsidRPr="001663B0">
        <w:t xml:space="preserve">our and </w:t>
      </w:r>
      <w:r>
        <w:t>T</w:t>
      </w:r>
      <w:r w:rsidRPr="001663B0">
        <w:t xml:space="preserve">hree compared </w:t>
      </w:r>
      <w:r>
        <w:t>with</w:t>
      </w:r>
      <w:r w:rsidRPr="001663B0">
        <w:t xml:space="preserve"> the </w:t>
      </w:r>
      <w:r>
        <w:t xml:space="preserve">same months </w:t>
      </w:r>
      <w:r w:rsidRPr="001663B0">
        <w:t xml:space="preserve">in 2018 and 2019. </w:t>
      </w:r>
    </w:p>
    <w:p w14:paraId="4F9316A6" w14:textId="77777777" w:rsidR="00EA64A0" w:rsidRPr="001663B0" w:rsidRDefault="00EA64A0" w:rsidP="00EA64A0">
      <w:pPr>
        <w:pStyle w:val="Bullet"/>
      </w:pPr>
      <w:r>
        <w:t>Nationally,</w:t>
      </w:r>
      <w:r w:rsidRPr="001663B0">
        <w:t xml:space="preserve"> the decrease was greater in April than in March, </w:t>
      </w:r>
      <w:r>
        <w:t>which corresponds</w:t>
      </w:r>
      <w:r w:rsidRPr="001663B0">
        <w:t xml:space="preserve"> with the </w:t>
      </w:r>
      <w:r>
        <w:t>time of Alert Level 4</w:t>
      </w:r>
      <w:r w:rsidRPr="001663B0">
        <w:t xml:space="preserve">. </w:t>
      </w:r>
      <w:r>
        <w:t>Conversely, t</w:t>
      </w:r>
      <w:r w:rsidRPr="001663B0">
        <w:t xml:space="preserve">he number of discharges </w:t>
      </w:r>
      <w:r>
        <w:t>was higher</w:t>
      </w:r>
      <w:r w:rsidRPr="001663B0">
        <w:t xml:space="preserve"> in May and June </w:t>
      </w:r>
      <w:r>
        <w:t xml:space="preserve">than in </w:t>
      </w:r>
      <w:r w:rsidRPr="001663B0">
        <w:t>April</w:t>
      </w:r>
      <w:r>
        <w:t xml:space="preserve"> 2020</w:t>
      </w:r>
      <w:r w:rsidRPr="001663B0">
        <w:t xml:space="preserve">, reflecting </w:t>
      </w:r>
      <w:r>
        <w:t>how the country</w:t>
      </w:r>
      <w:r w:rsidRPr="001663B0">
        <w:t xml:space="preserve"> move</w:t>
      </w:r>
      <w:r>
        <w:t>d</w:t>
      </w:r>
      <w:r w:rsidRPr="001663B0">
        <w:t xml:space="preserve"> down Alert Levels</w:t>
      </w:r>
      <w:r>
        <w:t xml:space="preserve"> in those months</w:t>
      </w:r>
      <w:r w:rsidRPr="001663B0">
        <w:t>.</w:t>
      </w:r>
    </w:p>
    <w:p w14:paraId="58D8C5DB" w14:textId="77777777" w:rsidR="00EA64A0" w:rsidRPr="001663B0" w:rsidRDefault="00EA64A0" w:rsidP="00EA64A0">
      <w:pPr>
        <w:pStyle w:val="Bullet"/>
      </w:pPr>
      <w:r w:rsidRPr="001663B0">
        <w:t>Pacific people</w:t>
      </w:r>
      <w:r>
        <w:t>s</w:t>
      </w:r>
      <w:r w:rsidRPr="001663B0">
        <w:t xml:space="preserve"> were</w:t>
      </w:r>
      <w:r w:rsidRPr="007E4232">
        <w:t xml:space="preserve"> </w:t>
      </w:r>
      <w:r w:rsidRPr="001663B0">
        <w:t xml:space="preserve">most affected </w:t>
      </w:r>
      <w:r>
        <w:t>by the decrease in hospital activity levels: of the three ethnic groups, they experienced</w:t>
      </w:r>
      <w:r w:rsidRPr="001663B0">
        <w:t xml:space="preserve"> the largest reductions in number of discharges and CWDs </w:t>
      </w:r>
      <w:r>
        <w:t>each</w:t>
      </w:r>
      <w:r w:rsidRPr="001663B0">
        <w:t xml:space="preserve"> month</w:t>
      </w:r>
      <w:r>
        <w:t xml:space="preserve"> from</w:t>
      </w:r>
      <w:r w:rsidRPr="001663B0">
        <w:t xml:space="preserve"> March </w:t>
      </w:r>
      <w:r>
        <w:t xml:space="preserve">to </w:t>
      </w:r>
      <w:r w:rsidRPr="001663B0">
        <w:t>June 2020</w:t>
      </w:r>
      <w:r>
        <w:t>.</w:t>
      </w:r>
      <w:r w:rsidRPr="001663B0">
        <w:t xml:space="preserve"> </w:t>
      </w:r>
    </w:p>
    <w:p w14:paraId="0F2B3D73" w14:textId="77777777" w:rsidR="00EA64A0" w:rsidRPr="001663B0" w:rsidRDefault="00EA64A0" w:rsidP="00EA64A0">
      <w:pPr>
        <w:pStyle w:val="Bullet"/>
      </w:pPr>
      <w:r w:rsidRPr="001663B0">
        <w:t xml:space="preserve">In general, elective activity </w:t>
      </w:r>
      <w:r>
        <w:t xml:space="preserve">levels </w:t>
      </w:r>
      <w:r w:rsidRPr="001663B0">
        <w:t xml:space="preserve">reduced more than arranged and acute activity </w:t>
      </w:r>
      <w:r>
        <w:t>levels</w:t>
      </w:r>
      <w:r w:rsidRPr="001663B0">
        <w:t xml:space="preserve"> in March, April and May 2020 compared </w:t>
      </w:r>
      <w:r>
        <w:t>with</w:t>
      </w:r>
      <w:r w:rsidRPr="001663B0">
        <w:t xml:space="preserve"> the same months in 2019 and 2018. However</w:t>
      </w:r>
      <w:r>
        <w:t>,</w:t>
      </w:r>
      <w:r w:rsidRPr="001663B0">
        <w:t xml:space="preserve"> in June 2020 more elective activity </w:t>
      </w:r>
      <w:r>
        <w:t xml:space="preserve">occurred </w:t>
      </w:r>
      <w:r w:rsidRPr="001663B0">
        <w:t xml:space="preserve">than </w:t>
      </w:r>
      <w:r>
        <w:t xml:space="preserve">in </w:t>
      </w:r>
      <w:r w:rsidRPr="001663B0">
        <w:t>June 2019</w:t>
      </w:r>
      <w:r>
        <w:t>,</w:t>
      </w:r>
      <w:r w:rsidRPr="001663B0">
        <w:t xml:space="preserve"> indicating</w:t>
      </w:r>
      <w:r>
        <w:t xml:space="preserve"> that hospitals were beginning to address the backlog of disrupted elective activity from March to May 2020.</w:t>
      </w:r>
    </w:p>
    <w:p w14:paraId="08E124EB" w14:textId="77777777" w:rsidR="00EA64A0" w:rsidRPr="00C8353F" w:rsidRDefault="00EA64A0" w:rsidP="00EA64A0">
      <w:pPr>
        <w:pStyle w:val="Bullet"/>
      </w:pPr>
      <w:r>
        <w:t xml:space="preserve">Among ethnic groups, </w:t>
      </w:r>
      <w:r w:rsidRPr="00C8353F">
        <w:t xml:space="preserve">Māori </w:t>
      </w:r>
      <w:r>
        <w:t>were most affected by</w:t>
      </w:r>
      <w:r w:rsidRPr="00C8353F">
        <w:t xml:space="preserve"> the disruption to elective activity</w:t>
      </w:r>
      <w:r>
        <w:t>, as measured by the</w:t>
      </w:r>
      <w:r w:rsidRPr="00C8353F">
        <w:t xml:space="preserve"> percentage </w:t>
      </w:r>
      <w:r>
        <w:t xml:space="preserve">of discharges </w:t>
      </w:r>
      <w:r w:rsidRPr="00C8353F">
        <w:t xml:space="preserve">in March, April and May 2020 compared </w:t>
      </w:r>
      <w:r>
        <w:t>with</w:t>
      </w:r>
      <w:r w:rsidRPr="00C8353F">
        <w:t xml:space="preserve"> the same months in 2019. </w:t>
      </w:r>
    </w:p>
    <w:p w14:paraId="4052116E" w14:textId="77777777" w:rsidR="00EA64A0" w:rsidRPr="00C8353F" w:rsidRDefault="00EA64A0" w:rsidP="00EA64A0">
      <w:pPr>
        <w:pStyle w:val="Bullet"/>
      </w:pPr>
      <w:r w:rsidRPr="00C8353F">
        <w:t>Non-Māori</w:t>
      </w:r>
      <w:r>
        <w:t>,</w:t>
      </w:r>
      <w:r w:rsidRPr="00C8353F">
        <w:t xml:space="preserve"> non-Pacific populations</w:t>
      </w:r>
      <w:r w:rsidRPr="00FD739D">
        <w:t xml:space="preserve"> </w:t>
      </w:r>
      <w:r w:rsidRPr="00C8353F">
        <w:t xml:space="preserve">in April and May 2020 </w:t>
      </w:r>
      <w:r>
        <w:t>and</w:t>
      </w:r>
      <w:r w:rsidRPr="00FD739D">
        <w:t xml:space="preserve"> </w:t>
      </w:r>
      <w:r w:rsidRPr="00C8353F">
        <w:t>Pacific people</w:t>
      </w:r>
      <w:r>
        <w:t>s</w:t>
      </w:r>
      <w:r w:rsidRPr="00C8353F">
        <w:t xml:space="preserve"> in March and June 2020</w:t>
      </w:r>
      <w:r>
        <w:t xml:space="preserve"> were most affected by</w:t>
      </w:r>
      <w:r w:rsidRPr="00C8353F">
        <w:t xml:space="preserve"> the disruption to arranged activity</w:t>
      </w:r>
      <w:r>
        <w:t>, as measured by the percentage of discharges in these months</w:t>
      </w:r>
      <w:r w:rsidRPr="00C8353F">
        <w:t xml:space="preserve"> compared </w:t>
      </w:r>
      <w:r>
        <w:t xml:space="preserve">with </w:t>
      </w:r>
      <w:r w:rsidRPr="00C8353F">
        <w:t>the same months in</w:t>
      </w:r>
      <w:r>
        <w:t xml:space="preserve"> </w:t>
      </w:r>
      <w:r w:rsidRPr="00C8353F">
        <w:t>2019.</w:t>
      </w:r>
    </w:p>
    <w:p w14:paraId="72D59028" w14:textId="77777777" w:rsidR="00EA64A0" w:rsidRPr="00E35305" w:rsidRDefault="00EA64A0" w:rsidP="00EA64A0">
      <w:pPr>
        <w:pStyle w:val="Heading1"/>
      </w:pPr>
      <w:bookmarkStart w:id="103" w:name="_Toc52430183"/>
      <w:bookmarkStart w:id="104" w:name="_Toc53471227"/>
      <w:r w:rsidRPr="00E35305">
        <w:lastRenderedPageBreak/>
        <w:t xml:space="preserve">Planned </w:t>
      </w:r>
      <w:r>
        <w:t>c</w:t>
      </w:r>
      <w:r w:rsidRPr="00E35305">
        <w:t>are</w:t>
      </w:r>
      <w:bookmarkEnd w:id="103"/>
      <w:bookmarkEnd w:id="104"/>
    </w:p>
    <w:p w14:paraId="06084991" w14:textId="77777777" w:rsidR="00EA64A0" w:rsidRPr="00E35305" w:rsidRDefault="00EA64A0" w:rsidP="00EA64A0">
      <w:pPr>
        <w:pStyle w:val="Heading2"/>
      </w:pPr>
      <w:bookmarkStart w:id="105" w:name="_Toc52430184"/>
      <w:bookmarkStart w:id="106" w:name="_Toc53471228"/>
      <w:r w:rsidRPr="00E35305">
        <w:t>Notes on data</w:t>
      </w:r>
      <w:bookmarkEnd w:id="105"/>
      <w:bookmarkEnd w:id="106"/>
    </w:p>
    <w:p w14:paraId="06FAFD0C" w14:textId="77777777" w:rsidR="00EA64A0" w:rsidRPr="00E35305" w:rsidRDefault="00EA64A0" w:rsidP="00EA64A0">
      <w:pPr>
        <w:pStyle w:val="Bullet"/>
      </w:pPr>
      <w:r w:rsidRPr="00E35305">
        <w:t xml:space="preserve">Data in this section </w:t>
      </w:r>
      <w:r>
        <w:t>comes</w:t>
      </w:r>
      <w:r w:rsidRPr="00E35305">
        <w:t xml:space="preserve"> from </w:t>
      </w:r>
      <w:r>
        <w:t xml:space="preserve">the </w:t>
      </w:r>
      <w:r w:rsidRPr="00E35305">
        <w:t>NMDS and the National Non</w:t>
      </w:r>
      <w:r>
        <w:t>-</w:t>
      </w:r>
      <w:r w:rsidRPr="00E35305">
        <w:t>Admitted Patient Collection (NNPAC).</w:t>
      </w:r>
    </w:p>
    <w:p w14:paraId="65CA5FC4" w14:textId="77777777" w:rsidR="00EA64A0" w:rsidRPr="00E35305" w:rsidRDefault="00EA64A0" w:rsidP="00EA64A0">
      <w:pPr>
        <w:pStyle w:val="Bullet"/>
      </w:pPr>
      <w:r w:rsidRPr="00E35305">
        <w:t xml:space="preserve">First </w:t>
      </w:r>
      <w:r>
        <w:t>s</w:t>
      </w:r>
      <w:r w:rsidRPr="00E35305">
        <w:t xml:space="preserve">pecialist </w:t>
      </w:r>
      <w:r>
        <w:t>a</w:t>
      </w:r>
      <w:r w:rsidRPr="00E35305">
        <w:t xml:space="preserve">ssessment (FSA) and </w:t>
      </w:r>
      <w:r>
        <w:t>f</w:t>
      </w:r>
      <w:r w:rsidRPr="00E35305">
        <w:t>ollow</w:t>
      </w:r>
      <w:r>
        <w:t>-u</w:t>
      </w:r>
      <w:r w:rsidRPr="00E35305">
        <w:t xml:space="preserve">p data </w:t>
      </w:r>
      <w:r>
        <w:t xml:space="preserve">is </w:t>
      </w:r>
      <w:r w:rsidRPr="00E35305">
        <w:t xml:space="preserve">based on </w:t>
      </w:r>
      <w:r>
        <w:t>s</w:t>
      </w:r>
      <w:r w:rsidRPr="00E35305">
        <w:t xml:space="preserve">elected NNPAC </w:t>
      </w:r>
      <w:r>
        <w:t>p</w:t>
      </w:r>
      <w:r w:rsidRPr="00E35305">
        <w:t xml:space="preserve">urchase </w:t>
      </w:r>
      <w:r>
        <w:t>u</w:t>
      </w:r>
      <w:r w:rsidRPr="00E35305">
        <w:t>nits.</w:t>
      </w:r>
    </w:p>
    <w:p w14:paraId="1FC8DB11" w14:textId="77777777" w:rsidR="00EA64A0" w:rsidRDefault="00EA64A0" w:rsidP="00EA64A0">
      <w:pPr>
        <w:pStyle w:val="Bullet"/>
      </w:pPr>
      <w:r w:rsidRPr="00E35305">
        <w:t>The data reflect</w:t>
      </w:r>
      <w:r>
        <w:t>s</w:t>
      </w:r>
      <w:r w:rsidRPr="00E35305">
        <w:t xml:space="preserve"> publicly funded services only.</w:t>
      </w:r>
    </w:p>
    <w:p w14:paraId="7788CE20" w14:textId="77777777" w:rsidR="00EA64A0" w:rsidRPr="00E35305" w:rsidRDefault="00EA64A0" w:rsidP="00EA64A0">
      <w:pPr>
        <w:pStyle w:val="Bullet"/>
      </w:pPr>
      <w:r>
        <w:t>Numbers have been rounded to one decimal place.</w:t>
      </w:r>
    </w:p>
    <w:p w14:paraId="56588F3E" w14:textId="77777777" w:rsidR="00EA64A0" w:rsidRPr="00E35305" w:rsidRDefault="00EA64A0" w:rsidP="00EA64A0">
      <w:pPr>
        <w:pStyle w:val="Bullet"/>
      </w:pPr>
      <w:r w:rsidRPr="00E35305">
        <w:t xml:space="preserve">DHB and regional data </w:t>
      </w:r>
      <w:r>
        <w:t>is based on</w:t>
      </w:r>
      <w:r w:rsidRPr="00E35305">
        <w:t xml:space="preserve"> DHB</w:t>
      </w:r>
      <w:r>
        <w:t xml:space="preserve"> </w:t>
      </w:r>
      <w:r w:rsidRPr="00E35305">
        <w:t>region of service, rather than DHB</w:t>
      </w:r>
      <w:r>
        <w:t xml:space="preserve"> region</w:t>
      </w:r>
      <w:r w:rsidRPr="00E35305">
        <w:t xml:space="preserve"> of domicile.</w:t>
      </w:r>
    </w:p>
    <w:p w14:paraId="1E7C33D6" w14:textId="77777777" w:rsidR="00EA64A0" w:rsidRPr="0010795E" w:rsidRDefault="00EA64A0" w:rsidP="00EA64A0">
      <w:pPr>
        <w:pStyle w:val="Bullet"/>
        <w:rPr>
          <w:color w:val="000000" w:themeColor="text1"/>
        </w:rPr>
      </w:pPr>
      <w:r w:rsidRPr="0010795E">
        <w:rPr>
          <w:color w:val="000000" w:themeColor="text1"/>
        </w:rPr>
        <w:t xml:space="preserve">Planned </w:t>
      </w:r>
      <w:r>
        <w:rPr>
          <w:color w:val="000000" w:themeColor="text1"/>
        </w:rPr>
        <w:t>c</w:t>
      </w:r>
      <w:r w:rsidRPr="0010795E">
        <w:rPr>
          <w:color w:val="000000" w:themeColor="text1"/>
        </w:rPr>
        <w:t xml:space="preserve">are </w:t>
      </w:r>
      <w:r>
        <w:rPr>
          <w:color w:val="000000" w:themeColor="text1"/>
        </w:rPr>
        <w:t>i</w:t>
      </w:r>
      <w:r w:rsidRPr="0010795E">
        <w:rPr>
          <w:color w:val="000000" w:themeColor="text1"/>
        </w:rPr>
        <w:t>nterventions</w:t>
      </w:r>
      <w:r>
        <w:rPr>
          <w:color w:val="000000" w:themeColor="text1"/>
        </w:rPr>
        <w:t xml:space="preserve"> (PCIs)</w:t>
      </w:r>
      <w:r w:rsidRPr="0010795E">
        <w:rPr>
          <w:color w:val="000000" w:themeColor="text1"/>
        </w:rPr>
        <w:t xml:space="preserve"> include elective and arranged </w:t>
      </w:r>
      <w:r>
        <w:rPr>
          <w:color w:val="000000" w:themeColor="text1"/>
        </w:rPr>
        <w:t>s</w:t>
      </w:r>
      <w:r w:rsidRPr="0010795E">
        <w:rPr>
          <w:color w:val="000000" w:themeColor="text1"/>
        </w:rPr>
        <w:t xml:space="preserve">urgical </w:t>
      </w:r>
      <w:r>
        <w:rPr>
          <w:color w:val="000000" w:themeColor="text1"/>
        </w:rPr>
        <w:t xml:space="preserve">activity and </w:t>
      </w:r>
      <w:r w:rsidRPr="0010795E">
        <w:rPr>
          <w:color w:val="000000" w:themeColor="text1"/>
        </w:rPr>
        <w:t>selected minor procedures and non</w:t>
      </w:r>
      <w:r>
        <w:rPr>
          <w:color w:val="000000" w:themeColor="text1"/>
        </w:rPr>
        <w:t>-</w:t>
      </w:r>
      <w:r w:rsidRPr="0010795E">
        <w:rPr>
          <w:color w:val="000000" w:themeColor="text1"/>
        </w:rPr>
        <w:t>surgical interventions reported to NNPAC and NMDS</w:t>
      </w:r>
      <w:r>
        <w:rPr>
          <w:color w:val="000000" w:themeColor="text1"/>
        </w:rPr>
        <w:t>. Surgical activity includes surgical p</w:t>
      </w:r>
      <w:r w:rsidRPr="0010795E">
        <w:rPr>
          <w:color w:val="000000" w:themeColor="text1"/>
        </w:rPr>
        <w:t xml:space="preserve">urchase </w:t>
      </w:r>
      <w:r>
        <w:rPr>
          <w:color w:val="000000" w:themeColor="text1"/>
        </w:rPr>
        <w:t>u</w:t>
      </w:r>
      <w:r w:rsidRPr="0010795E">
        <w:rPr>
          <w:color w:val="000000" w:themeColor="text1"/>
        </w:rPr>
        <w:t>nits</w:t>
      </w:r>
      <w:r>
        <w:rPr>
          <w:color w:val="000000" w:themeColor="text1"/>
        </w:rPr>
        <w:t xml:space="preserve"> and </w:t>
      </w:r>
      <w:r w:rsidRPr="0010795E">
        <w:rPr>
          <w:color w:val="000000" w:themeColor="text1"/>
        </w:rPr>
        <w:t>casemix</w:t>
      </w:r>
      <w:r>
        <w:rPr>
          <w:color w:val="000000" w:themeColor="text1"/>
        </w:rPr>
        <w:t>-</w:t>
      </w:r>
      <w:r w:rsidRPr="0010795E">
        <w:rPr>
          <w:color w:val="000000" w:themeColor="text1"/>
        </w:rPr>
        <w:t xml:space="preserve">included discharges from a </w:t>
      </w:r>
      <w:r>
        <w:rPr>
          <w:color w:val="000000" w:themeColor="text1"/>
        </w:rPr>
        <w:t xml:space="preserve">non surgical purchase unit </w:t>
      </w:r>
      <w:r w:rsidRPr="0010795E">
        <w:rPr>
          <w:color w:val="000000" w:themeColor="text1"/>
        </w:rPr>
        <w:t xml:space="preserve">with a surgical </w:t>
      </w:r>
      <w:r>
        <w:rPr>
          <w:color w:val="000000" w:themeColor="text1"/>
        </w:rPr>
        <w:t xml:space="preserve">diagnosis-related group. </w:t>
      </w:r>
      <w:r w:rsidRPr="0010795E">
        <w:rPr>
          <w:color w:val="000000" w:themeColor="text1"/>
        </w:rPr>
        <w:t>Casemix</w:t>
      </w:r>
      <w:r>
        <w:rPr>
          <w:color w:val="000000" w:themeColor="text1"/>
        </w:rPr>
        <w:t>-</w:t>
      </w:r>
      <w:r w:rsidRPr="0010795E">
        <w:rPr>
          <w:color w:val="000000" w:themeColor="text1"/>
        </w:rPr>
        <w:t>excluded activity and non</w:t>
      </w:r>
      <w:r>
        <w:rPr>
          <w:color w:val="000000" w:themeColor="text1"/>
        </w:rPr>
        <w:t>-</w:t>
      </w:r>
      <w:r w:rsidRPr="0010795E">
        <w:rPr>
          <w:color w:val="000000" w:themeColor="text1"/>
        </w:rPr>
        <w:t xml:space="preserve">surgical </w:t>
      </w:r>
      <w:r>
        <w:rPr>
          <w:color w:val="000000" w:themeColor="text1"/>
        </w:rPr>
        <w:t xml:space="preserve">(including maternity) </w:t>
      </w:r>
      <w:r w:rsidRPr="0010795E">
        <w:rPr>
          <w:color w:val="000000" w:themeColor="text1"/>
        </w:rPr>
        <w:t xml:space="preserve">activity </w:t>
      </w:r>
      <w:r>
        <w:rPr>
          <w:color w:val="000000" w:themeColor="text1"/>
        </w:rPr>
        <w:t>are not part of</w:t>
      </w:r>
      <w:r w:rsidRPr="0010795E">
        <w:rPr>
          <w:color w:val="000000" w:themeColor="text1"/>
        </w:rPr>
        <w:t xml:space="preserve"> the </w:t>
      </w:r>
      <w:r>
        <w:rPr>
          <w:color w:val="000000" w:themeColor="text1"/>
        </w:rPr>
        <w:t>p</w:t>
      </w:r>
      <w:r w:rsidRPr="0010795E">
        <w:rPr>
          <w:color w:val="000000" w:themeColor="text1"/>
        </w:rPr>
        <w:t xml:space="preserve">lanned </w:t>
      </w:r>
      <w:r>
        <w:rPr>
          <w:color w:val="000000" w:themeColor="text1"/>
        </w:rPr>
        <w:t>c</w:t>
      </w:r>
      <w:r w:rsidRPr="0010795E">
        <w:rPr>
          <w:color w:val="000000" w:themeColor="text1"/>
        </w:rPr>
        <w:t xml:space="preserve">are </w:t>
      </w:r>
      <w:r>
        <w:rPr>
          <w:color w:val="000000" w:themeColor="text1"/>
        </w:rPr>
        <w:t>i</w:t>
      </w:r>
      <w:r w:rsidRPr="0010795E">
        <w:rPr>
          <w:color w:val="000000" w:themeColor="text1"/>
        </w:rPr>
        <w:t xml:space="preserve">ntervention definition. </w:t>
      </w:r>
    </w:p>
    <w:p w14:paraId="1DDD6B51" w14:textId="77777777" w:rsidR="00EA64A0" w:rsidRDefault="00EA64A0" w:rsidP="00EA64A0">
      <w:pPr>
        <w:pStyle w:val="Bullet"/>
      </w:pPr>
      <w:r w:rsidRPr="00087C7C">
        <w:t>Elective Services Patient Flow Indicator</w:t>
      </w:r>
      <w:r>
        <w:t xml:space="preserve"> 2</w:t>
      </w:r>
      <w:r w:rsidRPr="00087C7C">
        <w:t xml:space="preserve"> </w:t>
      </w:r>
      <w:r>
        <w:t>(</w:t>
      </w:r>
      <w:r w:rsidRPr="0010795E">
        <w:t>ESPI</w:t>
      </w:r>
      <w:r>
        <w:t xml:space="preserve"> </w:t>
      </w:r>
      <w:r w:rsidRPr="0010795E">
        <w:t>2</w:t>
      </w:r>
      <w:r>
        <w:t>)</w:t>
      </w:r>
      <w:r w:rsidRPr="0010795E">
        <w:t xml:space="preserve"> data </w:t>
      </w:r>
      <w:r>
        <w:t>is</w:t>
      </w:r>
      <w:r w:rsidRPr="0010795E">
        <w:t xml:space="preserve"> not currently available by ethnicity.</w:t>
      </w:r>
    </w:p>
    <w:p w14:paraId="63C86577" w14:textId="77777777" w:rsidR="00EA64A0" w:rsidRPr="00EA64A0" w:rsidRDefault="00EA64A0" w:rsidP="00EA64A0">
      <w:pPr>
        <w:pStyle w:val="Heading2"/>
      </w:pPr>
      <w:bookmarkStart w:id="107" w:name="_Toc52430185"/>
      <w:bookmarkStart w:id="108" w:name="_Toc53471229"/>
      <w:r w:rsidRPr="00EA64A0">
        <w:t>Results</w:t>
      </w:r>
      <w:bookmarkEnd w:id="107"/>
      <w:bookmarkEnd w:id="108"/>
    </w:p>
    <w:p w14:paraId="19E97CD8" w14:textId="77777777" w:rsidR="00EA64A0" w:rsidRPr="00E35305" w:rsidRDefault="00EA64A0" w:rsidP="00EA64A0">
      <w:pPr>
        <w:pStyle w:val="Heading3"/>
        <w:rPr>
          <w:sz w:val="22"/>
          <w:szCs w:val="22"/>
        </w:rPr>
      </w:pPr>
      <w:bookmarkStart w:id="109" w:name="_Toc52430186"/>
      <w:r>
        <w:t>Number of p</w:t>
      </w:r>
      <w:r w:rsidRPr="00E35305">
        <w:t xml:space="preserve">lanned </w:t>
      </w:r>
      <w:r>
        <w:t>c</w:t>
      </w:r>
      <w:r w:rsidRPr="00E35305">
        <w:t xml:space="preserve">are </w:t>
      </w:r>
      <w:r>
        <w:t>i</w:t>
      </w:r>
      <w:r w:rsidRPr="00E35305">
        <w:t>nterventions</w:t>
      </w:r>
      <w:r>
        <w:t xml:space="preserve"> delivered overall</w:t>
      </w:r>
      <w:bookmarkEnd w:id="109"/>
    </w:p>
    <w:p w14:paraId="2D67328D" w14:textId="420F0C10" w:rsidR="00EA64A0" w:rsidRDefault="00B65BC8" w:rsidP="00EA64A0">
      <w:pPr>
        <w:rPr>
          <w:color w:val="000000" w:themeColor="text1"/>
        </w:rPr>
      </w:pPr>
      <w:r>
        <w:rPr>
          <w:color w:val="000000" w:themeColor="text1"/>
        </w:rPr>
        <w:fldChar w:fldCharType="begin"/>
      </w:r>
      <w:r>
        <w:rPr>
          <w:color w:val="000000" w:themeColor="text1"/>
        </w:rPr>
        <w:instrText xml:space="preserve"> REF _Ref53470487 \h </w:instrText>
      </w:r>
      <w:r>
        <w:rPr>
          <w:color w:val="000000" w:themeColor="text1"/>
        </w:rPr>
      </w:r>
      <w:r>
        <w:rPr>
          <w:color w:val="000000" w:themeColor="text1"/>
        </w:rPr>
        <w:fldChar w:fldCharType="separate"/>
      </w:r>
      <w:r w:rsidR="00CF2713" w:rsidRPr="003A6CC5">
        <w:t xml:space="preserve">Figure </w:t>
      </w:r>
      <w:r w:rsidR="00CF2713">
        <w:rPr>
          <w:noProof/>
        </w:rPr>
        <w:t>13</w:t>
      </w:r>
      <w:r>
        <w:rPr>
          <w:color w:val="000000" w:themeColor="text1"/>
        </w:rPr>
        <w:fldChar w:fldCharType="end"/>
      </w:r>
      <w:r w:rsidR="00EA64A0" w:rsidRPr="0010795E">
        <w:rPr>
          <w:color w:val="000000" w:themeColor="text1"/>
        </w:rPr>
        <w:t xml:space="preserve"> shows the number of PCIs delivered in </w:t>
      </w:r>
      <w:r w:rsidR="00EA64A0">
        <w:rPr>
          <w:color w:val="000000" w:themeColor="text1"/>
        </w:rPr>
        <w:t xml:space="preserve">March, </w:t>
      </w:r>
      <w:r w:rsidR="00EA64A0" w:rsidRPr="0010795E">
        <w:rPr>
          <w:color w:val="000000" w:themeColor="text1"/>
        </w:rPr>
        <w:t xml:space="preserve">April </w:t>
      </w:r>
      <w:r w:rsidR="00EA64A0">
        <w:rPr>
          <w:color w:val="000000" w:themeColor="text1"/>
        </w:rPr>
        <w:t xml:space="preserve">and May </w:t>
      </w:r>
      <w:r w:rsidR="00EA64A0" w:rsidRPr="0010795E">
        <w:rPr>
          <w:color w:val="000000" w:themeColor="text1"/>
        </w:rPr>
        <w:t xml:space="preserve">2020 </w:t>
      </w:r>
      <w:r w:rsidR="00EA64A0">
        <w:rPr>
          <w:color w:val="000000" w:themeColor="text1"/>
        </w:rPr>
        <w:t>was</w:t>
      </w:r>
      <w:r w:rsidR="00EA64A0" w:rsidRPr="0010795E">
        <w:rPr>
          <w:color w:val="000000" w:themeColor="text1"/>
        </w:rPr>
        <w:t xml:space="preserve"> lower than </w:t>
      </w:r>
      <w:r w:rsidR="00EA64A0">
        <w:rPr>
          <w:color w:val="000000" w:themeColor="text1"/>
        </w:rPr>
        <w:t xml:space="preserve">the same month </w:t>
      </w:r>
      <w:r w:rsidR="00EA64A0" w:rsidRPr="0010795E">
        <w:rPr>
          <w:color w:val="000000" w:themeColor="text1"/>
        </w:rPr>
        <w:t xml:space="preserve">in 2019. </w:t>
      </w:r>
      <w:r w:rsidR="00EA64A0">
        <w:rPr>
          <w:color w:val="000000" w:themeColor="text1"/>
        </w:rPr>
        <w:t>H</w:t>
      </w:r>
      <w:r w:rsidR="00EA64A0" w:rsidRPr="0010795E">
        <w:rPr>
          <w:color w:val="000000" w:themeColor="text1"/>
        </w:rPr>
        <w:t>owever</w:t>
      </w:r>
      <w:r w:rsidR="00EA64A0">
        <w:rPr>
          <w:color w:val="000000" w:themeColor="text1"/>
        </w:rPr>
        <w:t>,</w:t>
      </w:r>
      <w:r w:rsidR="00EA64A0" w:rsidRPr="0010795E">
        <w:rPr>
          <w:color w:val="000000" w:themeColor="text1"/>
        </w:rPr>
        <w:t xml:space="preserve"> June 2020 </w:t>
      </w:r>
      <w:r w:rsidR="00EA64A0">
        <w:rPr>
          <w:color w:val="000000" w:themeColor="text1"/>
        </w:rPr>
        <w:t xml:space="preserve">saw </w:t>
      </w:r>
      <w:r w:rsidR="00EA64A0" w:rsidRPr="0010795E">
        <w:rPr>
          <w:color w:val="000000" w:themeColor="text1"/>
        </w:rPr>
        <w:t xml:space="preserve">more PCIs delivered </w:t>
      </w:r>
      <w:r w:rsidR="00EA64A0">
        <w:rPr>
          <w:color w:val="000000" w:themeColor="text1"/>
        </w:rPr>
        <w:t xml:space="preserve">than in </w:t>
      </w:r>
      <w:r w:rsidR="00EA64A0" w:rsidRPr="0010795E">
        <w:rPr>
          <w:color w:val="000000" w:themeColor="text1"/>
        </w:rPr>
        <w:t>June 2019.</w:t>
      </w:r>
    </w:p>
    <w:p w14:paraId="49980131" w14:textId="77777777" w:rsidR="00EA64A0" w:rsidRPr="0010795E" w:rsidRDefault="00EA64A0" w:rsidP="00EA64A0">
      <w:pPr>
        <w:rPr>
          <w:color w:val="000000" w:themeColor="text1"/>
        </w:rPr>
      </w:pPr>
    </w:p>
    <w:p w14:paraId="6B0B1B05" w14:textId="77777777" w:rsidR="00EA64A0" w:rsidRDefault="00EA64A0" w:rsidP="00EA64A0">
      <w:pPr>
        <w:rPr>
          <w:color w:val="000000" w:themeColor="text1"/>
        </w:rPr>
      </w:pPr>
      <w:r>
        <w:rPr>
          <w:color w:val="000000" w:themeColor="text1"/>
        </w:rPr>
        <w:t xml:space="preserve">Specifically, compared with the same month in 2019, </w:t>
      </w:r>
      <w:r w:rsidRPr="0010795E">
        <w:rPr>
          <w:color w:val="000000" w:themeColor="text1"/>
        </w:rPr>
        <w:t xml:space="preserve">the number of PCIs </w:t>
      </w:r>
      <w:r>
        <w:rPr>
          <w:color w:val="000000" w:themeColor="text1"/>
        </w:rPr>
        <w:t xml:space="preserve">delivered </w:t>
      </w:r>
      <w:r w:rsidRPr="0010795E">
        <w:rPr>
          <w:color w:val="000000" w:themeColor="text1"/>
        </w:rPr>
        <w:t>decreased</w:t>
      </w:r>
      <w:r w:rsidRPr="009300C6">
        <w:rPr>
          <w:color w:val="000000" w:themeColor="text1"/>
        </w:rPr>
        <w:t xml:space="preserve"> </w:t>
      </w:r>
      <w:r w:rsidRPr="0010795E">
        <w:rPr>
          <w:color w:val="000000" w:themeColor="text1"/>
        </w:rPr>
        <w:t xml:space="preserve">nationally by 7.8% </w:t>
      </w:r>
      <w:r>
        <w:rPr>
          <w:color w:val="000000" w:themeColor="text1"/>
        </w:rPr>
        <w:t>in</w:t>
      </w:r>
      <w:r w:rsidRPr="0010795E">
        <w:rPr>
          <w:color w:val="000000" w:themeColor="text1"/>
        </w:rPr>
        <w:t xml:space="preserve"> March 2019</w:t>
      </w:r>
      <w:r>
        <w:rPr>
          <w:color w:val="000000" w:themeColor="text1"/>
        </w:rPr>
        <w:t>,</w:t>
      </w:r>
      <w:r w:rsidRPr="0010795E">
        <w:rPr>
          <w:color w:val="000000" w:themeColor="text1"/>
        </w:rPr>
        <w:t xml:space="preserve"> </w:t>
      </w:r>
      <w:r>
        <w:rPr>
          <w:color w:val="000000" w:themeColor="text1"/>
        </w:rPr>
        <w:t>fell by a substantially greater</w:t>
      </w:r>
      <w:r w:rsidRPr="0010795E">
        <w:rPr>
          <w:color w:val="000000" w:themeColor="text1"/>
        </w:rPr>
        <w:t xml:space="preserve"> 49.9% in April 2019</w:t>
      </w:r>
      <w:r>
        <w:rPr>
          <w:color w:val="000000" w:themeColor="text1"/>
        </w:rPr>
        <w:t xml:space="preserve"> and recovered somewhat to decrease by</w:t>
      </w:r>
      <w:r w:rsidRPr="0010795E">
        <w:rPr>
          <w:color w:val="000000" w:themeColor="text1"/>
        </w:rPr>
        <w:t xml:space="preserve"> 10.2% in May 20</w:t>
      </w:r>
      <w:r>
        <w:rPr>
          <w:color w:val="000000" w:themeColor="text1"/>
        </w:rPr>
        <w:t>20</w:t>
      </w:r>
      <w:r w:rsidRPr="0010795E">
        <w:rPr>
          <w:color w:val="000000" w:themeColor="text1"/>
        </w:rPr>
        <w:t xml:space="preserve">. </w:t>
      </w:r>
      <w:r>
        <w:rPr>
          <w:color w:val="000000" w:themeColor="text1"/>
        </w:rPr>
        <w:t xml:space="preserve">Then in </w:t>
      </w:r>
      <w:r w:rsidRPr="0010795E">
        <w:rPr>
          <w:color w:val="000000" w:themeColor="text1"/>
        </w:rPr>
        <w:t>June 2020</w:t>
      </w:r>
      <w:r>
        <w:rPr>
          <w:color w:val="000000" w:themeColor="text1"/>
        </w:rPr>
        <w:t>,</w:t>
      </w:r>
      <w:r w:rsidRPr="0010795E">
        <w:rPr>
          <w:color w:val="000000" w:themeColor="text1"/>
        </w:rPr>
        <w:t xml:space="preserve"> PCI delivery </w:t>
      </w:r>
      <w:r>
        <w:rPr>
          <w:color w:val="000000" w:themeColor="text1"/>
        </w:rPr>
        <w:t>levels were</w:t>
      </w:r>
      <w:r w:rsidRPr="0010795E">
        <w:rPr>
          <w:color w:val="000000" w:themeColor="text1"/>
        </w:rPr>
        <w:t xml:space="preserve"> 16.2%</w:t>
      </w:r>
      <w:r>
        <w:rPr>
          <w:color w:val="000000" w:themeColor="text1"/>
        </w:rPr>
        <w:t xml:space="preserve"> higher than</w:t>
      </w:r>
      <w:r w:rsidRPr="0010795E">
        <w:rPr>
          <w:color w:val="000000" w:themeColor="text1"/>
        </w:rPr>
        <w:t xml:space="preserve"> in June 2019, reflecting the re-opening of </w:t>
      </w:r>
      <w:r>
        <w:rPr>
          <w:color w:val="000000" w:themeColor="text1"/>
        </w:rPr>
        <w:t>wider p</w:t>
      </w:r>
      <w:r w:rsidRPr="0010795E">
        <w:rPr>
          <w:color w:val="000000" w:themeColor="text1"/>
        </w:rPr>
        <w:t xml:space="preserve">lanned </w:t>
      </w:r>
      <w:r>
        <w:rPr>
          <w:color w:val="000000" w:themeColor="text1"/>
        </w:rPr>
        <w:t>c</w:t>
      </w:r>
      <w:r w:rsidRPr="0010795E">
        <w:rPr>
          <w:color w:val="000000" w:themeColor="text1"/>
        </w:rPr>
        <w:t xml:space="preserve">are services. </w:t>
      </w:r>
    </w:p>
    <w:p w14:paraId="241879D1" w14:textId="77777777" w:rsidR="00EA64A0" w:rsidRPr="009F76CE" w:rsidRDefault="00EA64A0" w:rsidP="00EA64A0">
      <w:pPr>
        <w:rPr>
          <w:color w:val="000000" w:themeColor="text1"/>
        </w:rPr>
      </w:pPr>
    </w:p>
    <w:p w14:paraId="3E147E84" w14:textId="77777777" w:rsidR="000478E1" w:rsidRDefault="000478E1" w:rsidP="00EA64A0">
      <w:pPr>
        <w:pStyle w:val="Caption"/>
        <w:sectPr w:rsidR="000478E1" w:rsidSect="006A7630">
          <w:pgSz w:w="11906" w:h="16838"/>
          <w:pgMar w:top="1440" w:right="1440" w:bottom="1440" w:left="1440" w:header="708" w:footer="708" w:gutter="0"/>
          <w:cols w:space="708"/>
          <w:docGrid w:linePitch="360"/>
        </w:sectPr>
      </w:pPr>
      <w:bookmarkStart w:id="110" w:name="_Toc52420601"/>
    </w:p>
    <w:p w14:paraId="5A060916" w14:textId="41B4A265" w:rsidR="00EA64A0" w:rsidRPr="004F2F4D" w:rsidRDefault="00EA64A0" w:rsidP="00EA64A0">
      <w:pPr>
        <w:pStyle w:val="Caption"/>
        <w:rPr>
          <w:sz w:val="22"/>
        </w:rPr>
      </w:pPr>
      <w:bookmarkStart w:id="111" w:name="_Ref53470487"/>
      <w:bookmarkStart w:id="112" w:name="_Toc53585943"/>
      <w:r w:rsidRPr="003A6CC5">
        <w:lastRenderedPageBreak/>
        <w:t xml:space="preserve">Figure </w:t>
      </w:r>
      <w:r w:rsidRPr="003A6CC5">
        <w:rPr>
          <w:noProof/>
        </w:rPr>
        <w:fldChar w:fldCharType="begin"/>
      </w:r>
      <w:r w:rsidRPr="003A6CC5">
        <w:rPr>
          <w:noProof/>
        </w:rPr>
        <w:instrText xml:space="preserve"> SEQ Figure \* ARABIC </w:instrText>
      </w:r>
      <w:r w:rsidRPr="003A6CC5">
        <w:rPr>
          <w:noProof/>
        </w:rPr>
        <w:fldChar w:fldCharType="separate"/>
      </w:r>
      <w:r w:rsidR="00CF2713">
        <w:rPr>
          <w:noProof/>
        </w:rPr>
        <w:t>13</w:t>
      </w:r>
      <w:r w:rsidRPr="003A6CC5">
        <w:rPr>
          <w:noProof/>
        </w:rPr>
        <w:fldChar w:fldCharType="end"/>
      </w:r>
      <w:bookmarkEnd w:id="111"/>
      <w:r w:rsidRPr="003A6CC5">
        <w:t>: Number of planned care interventions delivered nationally from March to June 2018–2020</w:t>
      </w:r>
      <w:bookmarkEnd w:id="110"/>
      <w:bookmarkEnd w:id="112"/>
    </w:p>
    <w:p w14:paraId="349779BE" w14:textId="6F93ACAC" w:rsidR="00EA64A0" w:rsidRPr="00E35305" w:rsidRDefault="003A6CC5" w:rsidP="003A6CC5">
      <w:pPr>
        <w:spacing w:before="120"/>
        <w:rPr>
          <w:rFonts w:cs="Segoe UI"/>
          <w:b/>
          <w:sz w:val="22"/>
          <w:szCs w:val="22"/>
        </w:rPr>
      </w:pPr>
      <w:r>
        <w:rPr>
          <w:rFonts w:cs="Segoe UI"/>
          <w:b/>
          <w:noProof/>
          <w:sz w:val="22"/>
          <w:szCs w:val="22"/>
        </w:rPr>
        <w:drawing>
          <wp:inline distT="0" distB="0" distL="0" distR="0" wp14:anchorId="4E5D31E2" wp14:editId="67D469D6">
            <wp:extent cx="5622567" cy="3050438"/>
            <wp:effectExtent l="0" t="0" r="0" b="0"/>
            <wp:docPr id="113" name="Picture 113" descr="This bar graph shows that there were slightly fewer planned care interventions delivered in March and May of 2020 compared to previous years, and more in June 2020 compared to June of 2019 and 2018. In April of 2020 there were far fewer (10,698, compared to about 21,000 in April of 2019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1561" t="8431" r="3756" b="6161"/>
                    <a:stretch/>
                  </pic:blipFill>
                  <pic:spPr bwMode="auto">
                    <a:xfrm>
                      <a:off x="0" y="0"/>
                      <a:ext cx="5643438" cy="3061761"/>
                    </a:xfrm>
                    <a:prstGeom prst="rect">
                      <a:avLst/>
                    </a:prstGeom>
                    <a:noFill/>
                    <a:ln>
                      <a:noFill/>
                    </a:ln>
                    <a:extLst>
                      <a:ext uri="{53640926-AAD7-44D8-BBD7-CCE9431645EC}">
                        <a14:shadowObscured xmlns:a14="http://schemas.microsoft.com/office/drawing/2010/main"/>
                      </a:ext>
                    </a:extLst>
                  </pic:spPr>
                </pic:pic>
              </a:graphicData>
            </a:graphic>
          </wp:inline>
        </w:drawing>
      </w:r>
    </w:p>
    <w:p w14:paraId="32264551" w14:textId="77777777" w:rsidR="00EA64A0" w:rsidRDefault="00EA64A0" w:rsidP="00EA64A0">
      <w:pPr>
        <w:rPr>
          <w:color w:val="000000" w:themeColor="text1"/>
        </w:rPr>
      </w:pPr>
      <w:r w:rsidRPr="0010795E">
        <w:rPr>
          <w:color w:val="000000" w:themeColor="text1"/>
        </w:rPr>
        <w:t xml:space="preserve">Regionally, Midland and Northern regions </w:t>
      </w:r>
      <w:r>
        <w:rPr>
          <w:color w:val="000000" w:themeColor="text1"/>
        </w:rPr>
        <w:t>experienced the greatest</w:t>
      </w:r>
      <w:r w:rsidRPr="0010795E">
        <w:rPr>
          <w:color w:val="000000" w:themeColor="text1"/>
        </w:rPr>
        <w:t xml:space="preserve"> impact in April</w:t>
      </w:r>
      <w:r>
        <w:rPr>
          <w:color w:val="000000" w:themeColor="text1"/>
        </w:rPr>
        <w:t xml:space="preserve"> 2020:</w:t>
      </w:r>
      <w:r w:rsidRPr="0010795E">
        <w:rPr>
          <w:color w:val="000000" w:themeColor="text1"/>
        </w:rPr>
        <w:t xml:space="preserve"> in each region</w:t>
      </w:r>
      <w:r>
        <w:rPr>
          <w:color w:val="000000" w:themeColor="text1"/>
        </w:rPr>
        <w:t>, PCI delivery</w:t>
      </w:r>
      <w:r w:rsidRPr="0010795E">
        <w:rPr>
          <w:color w:val="000000" w:themeColor="text1"/>
        </w:rPr>
        <w:t xml:space="preserve"> decrease</w:t>
      </w:r>
      <w:r>
        <w:rPr>
          <w:color w:val="000000" w:themeColor="text1"/>
        </w:rPr>
        <w:t>d by</w:t>
      </w:r>
      <w:r w:rsidRPr="0010795E">
        <w:rPr>
          <w:color w:val="000000" w:themeColor="text1"/>
        </w:rPr>
        <w:t xml:space="preserve"> over 50.0% </w:t>
      </w:r>
      <w:r>
        <w:rPr>
          <w:color w:val="000000" w:themeColor="text1"/>
        </w:rPr>
        <w:t>compared with April</w:t>
      </w:r>
      <w:r w:rsidRPr="0010795E">
        <w:rPr>
          <w:color w:val="000000" w:themeColor="text1"/>
        </w:rPr>
        <w:t xml:space="preserve"> 2019. South Region </w:t>
      </w:r>
      <w:r>
        <w:rPr>
          <w:color w:val="000000" w:themeColor="text1"/>
        </w:rPr>
        <w:t>was</w:t>
      </w:r>
      <w:r w:rsidRPr="0010795E">
        <w:rPr>
          <w:color w:val="000000" w:themeColor="text1"/>
        </w:rPr>
        <w:t xml:space="preserve"> the first </w:t>
      </w:r>
      <w:r>
        <w:rPr>
          <w:color w:val="000000" w:themeColor="text1"/>
        </w:rPr>
        <w:t xml:space="preserve">region to show </w:t>
      </w:r>
      <w:r w:rsidRPr="0010795E">
        <w:rPr>
          <w:color w:val="000000" w:themeColor="text1"/>
        </w:rPr>
        <w:t xml:space="preserve">signs of returning to normal activity </w:t>
      </w:r>
      <w:r>
        <w:rPr>
          <w:color w:val="000000" w:themeColor="text1"/>
        </w:rPr>
        <w:t>in May 2020, when it delivered</w:t>
      </w:r>
      <w:r w:rsidRPr="0010795E">
        <w:rPr>
          <w:color w:val="000000" w:themeColor="text1"/>
        </w:rPr>
        <w:t xml:space="preserve"> 2.8%</w:t>
      </w:r>
      <w:r>
        <w:rPr>
          <w:color w:val="000000" w:themeColor="text1"/>
        </w:rPr>
        <w:t xml:space="preserve"> more PCIs than in</w:t>
      </w:r>
      <w:r w:rsidRPr="0010795E">
        <w:rPr>
          <w:color w:val="000000" w:themeColor="text1"/>
        </w:rPr>
        <w:t xml:space="preserve"> May 2019. </w:t>
      </w:r>
      <w:r>
        <w:rPr>
          <w:color w:val="000000" w:themeColor="text1"/>
        </w:rPr>
        <w:t>Then in June 2020 a</w:t>
      </w:r>
      <w:r w:rsidRPr="0010795E">
        <w:rPr>
          <w:color w:val="000000" w:themeColor="text1"/>
        </w:rPr>
        <w:t>ll regions were deliver</w:t>
      </w:r>
      <w:r>
        <w:rPr>
          <w:color w:val="000000" w:themeColor="text1"/>
        </w:rPr>
        <w:t>ing</w:t>
      </w:r>
      <w:r w:rsidRPr="0010795E">
        <w:rPr>
          <w:color w:val="000000" w:themeColor="text1"/>
        </w:rPr>
        <w:t xml:space="preserve"> more PCIs </w:t>
      </w:r>
      <w:r>
        <w:rPr>
          <w:color w:val="000000" w:themeColor="text1"/>
        </w:rPr>
        <w:t xml:space="preserve">than in </w:t>
      </w:r>
      <w:r w:rsidRPr="0010795E">
        <w:rPr>
          <w:color w:val="000000" w:themeColor="text1"/>
        </w:rPr>
        <w:t>June 2019</w:t>
      </w:r>
      <w:r>
        <w:rPr>
          <w:color w:val="000000" w:themeColor="text1"/>
        </w:rPr>
        <w:t>,</w:t>
      </w:r>
      <w:r w:rsidRPr="0010795E">
        <w:rPr>
          <w:color w:val="000000" w:themeColor="text1"/>
        </w:rPr>
        <w:t xml:space="preserve"> </w:t>
      </w:r>
      <w:r>
        <w:rPr>
          <w:color w:val="000000" w:themeColor="text1"/>
        </w:rPr>
        <w:t>but again</w:t>
      </w:r>
      <w:r w:rsidRPr="0010795E">
        <w:rPr>
          <w:color w:val="000000" w:themeColor="text1"/>
        </w:rPr>
        <w:t xml:space="preserve"> South Region </w:t>
      </w:r>
      <w:r>
        <w:rPr>
          <w:color w:val="000000" w:themeColor="text1"/>
        </w:rPr>
        <w:t xml:space="preserve">had the greatest </w:t>
      </w:r>
      <w:r w:rsidRPr="0010795E">
        <w:rPr>
          <w:color w:val="000000" w:themeColor="text1"/>
        </w:rPr>
        <w:t>percentage</w:t>
      </w:r>
      <w:r>
        <w:rPr>
          <w:color w:val="000000" w:themeColor="text1"/>
        </w:rPr>
        <w:t xml:space="preserve"> increase</w:t>
      </w:r>
      <w:r w:rsidRPr="0010795E">
        <w:rPr>
          <w:color w:val="000000" w:themeColor="text1"/>
        </w:rPr>
        <w:t xml:space="preserve">. Appendix </w:t>
      </w:r>
      <w:r>
        <w:rPr>
          <w:color w:val="000000" w:themeColor="text1"/>
        </w:rPr>
        <w:t>6</w:t>
      </w:r>
      <w:r w:rsidRPr="0010795E">
        <w:rPr>
          <w:color w:val="000000" w:themeColor="text1"/>
        </w:rPr>
        <w:t xml:space="preserve"> shows </w:t>
      </w:r>
      <w:r>
        <w:rPr>
          <w:color w:val="000000" w:themeColor="text1"/>
        </w:rPr>
        <w:t xml:space="preserve">the number of </w:t>
      </w:r>
      <w:r w:rsidRPr="0010795E">
        <w:rPr>
          <w:color w:val="000000" w:themeColor="text1"/>
        </w:rPr>
        <w:t>PCI</w:t>
      </w:r>
      <w:r>
        <w:rPr>
          <w:color w:val="000000" w:themeColor="text1"/>
        </w:rPr>
        <w:t>s delivered</w:t>
      </w:r>
      <w:r w:rsidRPr="0010795E">
        <w:rPr>
          <w:color w:val="000000" w:themeColor="text1"/>
        </w:rPr>
        <w:t xml:space="preserve"> </w:t>
      </w:r>
      <w:r>
        <w:rPr>
          <w:color w:val="000000" w:themeColor="text1"/>
        </w:rPr>
        <w:t>that</w:t>
      </w:r>
      <w:r w:rsidRPr="0010795E">
        <w:rPr>
          <w:color w:val="000000" w:themeColor="text1"/>
        </w:rPr>
        <w:t xml:space="preserve"> region </w:t>
      </w:r>
      <w:r>
        <w:rPr>
          <w:color w:val="000000" w:themeColor="text1"/>
        </w:rPr>
        <w:t xml:space="preserve">delivered </w:t>
      </w:r>
      <w:r w:rsidRPr="0010795E">
        <w:rPr>
          <w:color w:val="000000" w:themeColor="text1"/>
        </w:rPr>
        <w:t>in March to June 2018</w:t>
      </w:r>
      <w:r>
        <w:rPr>
          <w:color w:val="000000" w:themeColor="text1"/>
        </w:rPr>
        <w:t>–</w:t>
      </w:r>
      <w:r w:rsidRPr="0010795E">
        <w:rPr>
          <w:color w:val="000000" w:themeColor="text1"/>
        </w:rPr>
        <w:t>2020.</w:t>
      </w:r>
    </w:p>
    <w:p w14:paraId="427A121C" w14:textId="77777777" w:rsidR="00EA64A0" w:rsidRPr="0010795E" w:rsidRDefault="00EA64A0" w:rsidP="00EA64A0">
      <w:pPr>
        <w:pStyle w:val="Heading3"/>
      </w:pPr>
      <w:bookmarkStart w:id="113" w:name="_Toc52430187"/>
      <w:r w:rsidRPr="0010795E">
        <w:t xml:space="preserve">Planned </w:t>
      </w:r>
      <w:r>
        <w:t>c</w:t>
      </w:r>
      <w:r w:rsidRPr="0010795E">
        <w:t xml:space="preserve">are </w:t>
      </w:r>
      <w:r>
        <w:t>i</w:t>
      </w:r>
      <w:r w:rsidRPr="0010795E">
        <w:t>ntervention case</w:t>
      </w:r>
      <w:r>
        <w:t>-</w:t>
      </w:r>
      <w:r w:rsidRPr="0010795E">
        <w:t>weighted discharges</w:t>
      </w:r>
      <w:bookmarkEnd w:id="113"/>
    </w:p>
    <w:p w14:paraId="6015A406" w14:textId="25E78C2B" w:rsidR="00EA64A0" w:rsidRDefault="00B65BC8" w:rsidP="00EA64A0">
      <w:pPr>
        <w:rPr>
          <w:rFonts w:cs="Segoe UI"/>
          <w:color w:val="000000" w:themeColor="text1"/>
        </w:rPr>
      </w:pPr>
      <w:r>
        <w:rPr>
          <w:rFonts w:cs="Segoe UI"/>
          <w:color w:val="000000" w:themeColor="text1"/>
        </w:rPr>
        <w:fldChar w:fldCharType="begin"/>
      </w:r>
      <w:r>
        <w:rPr>
          <w:rFonts w:cs="Segoe UI"/>
          <w:color w:val="000000" w:themeColor="text1"/>
        </w:rPr>
        <w:instrText xml:space="preserve"> REF _Ref53470495 \h </w:instrText>
      </w:r>
      <w:r>
        <w:rPr>
          <w:rFonts w:cs="Segoe UI"/>
          <w:color w:val="000000" w:themeColor="text1"/>
        </w:rPr>
      </w:r>
      <w:r>
        <w:rPr>
          <w:rFonts w:cs="Segoe UI"/>
          <w:color w:val="000000" w:themeColor="text1"/>
        </w:rPr>
        <w:fldChar w:fldCharType="separate"/>
      </w:r>
      <w:r w:rsidR="00CF2713" w:rsidRPr="00D04F25">
        <w:t xml:space="preserve">Figure </w:t>
      </w:r>
      <w:r w:rsidR="00CF2713">
        <w:rPr>
          <w:noProof/>
        </w:rPr>
        <w:t>14</w:t>
      </w:r>
      <w:r>
        <w:rPr>
          <w:rFonts w:cs="Segoe UI"/>
          <w:color w:val="000000" w:themeColor="text1"/>
        </w:rPr>
        <w:fldChar w:fldCharType="end"/>
      </w:r>
      <w:r w:rsidR="00EA64A0" w:rsidRPr="00652E59">
        <w:rPr>
          <w:rFonts w:cs="Segoe UI"/>
          <w:color w:val="000000" w:themeColor="text1"/>
        </w:rPr>
        <w:t xml:space="preserve"> shows the number of PCI CWDs between March </w:t>
      </w:r>
      <w:r w:rsidR="00EA64A0">
        <w:rPr>
          <w:rFonts w:cs="Segoe UI"/>
          <w:color w:val="000000" w:themeColor="text1"/>
        </w:rPr>
        <w:t>and</w:t>
      </w:r>
      <w:r w:rsidR="00EA64A0" w:rsidRPr="00652E59">
        <w:rPr>
          <w:rFonts w:cs="Segoe UI"/>
          <w:color w:val="000000" w:themeColor="text1"/>
        </w:rPr>
        <w:t xml:space="preserve"> June 2018</w:t>
      </w:r>
      <w:r w:rsidR="00EA64A0">
        <w:rPr>
          <w:rFonts w:cs="Segoe UI"/>
          <w:color w:val="000000" w:themeColor="text1"/>
        </w:rPr>
        <w:t>–</w:t>
      </w:r>
      <w:r w:rsidR="00EA64A0" w:rsidRPr="00652E59">
        <w:rPr>
          <w:rFonts w:cs="Segoe UI"/>
          <w:color w:val="000000" w:themeColor="text1"/>
        </w:rPr>
        <w:t xml:space="preserve">2020. It shows that </w:t>
      </w:r>
      <w:r w:rsidR="00EA64A0">
        <w:rPr>
          <w:rFonts w:cs="Segoe UI"/>
          <w:color w:val="000000" w:themeColor="text1"/>
        </w:rPr>
        <w:t xml:space="preserve">the greatest impact on </w:t>
      </w:r>
      <w:r w:rsidR="00EA64A0" w:rsidRPr="00652E59">
        <w:rPr>
          <w:rFonts w:cs="Segoe UI"/>
          <w:color w:val="000000" w:themeColor="text1"/>
        </w:rPr>
        <w:t xml:space="preserve">PCI CWDs </w:t>
      </w:r>
      <w:r w:rsidR="00EA64A0">
        <w:rPr>
          <w:rFonts w:cs="Segoe UI"/>
          <w:color w:val="000000" w:themeColor="text1"/>
        </w:rPr>
        <w:t xml:space="preserve">occurred </w:t>
      </w:r>
      <w:r w:rsidR="00EA64A0" w:rsidRPr="00652E59">
        <w:rPr>
          <w:rFonts w:cs="Segoe UI"/>
          <w:color w:val="000000" w:themeColor="text1"/>
        </w:rPr>
        <w:t xml:space="preserve">in April 2020. </w:t>
      </w:r>
    </w:p>
    <w:p w14:paraId="312497C2" w14:textId="77777777" w:rsidR="00EA64A0" w:rsidRDefault="00EA64A0" w:rsidP="00EA64A0">
      <w:pPr>
        <w:rPr>
          <w:rFonts w:cs="Segoe UI"/>
          <w:color w:val="000000" w:themeColor="text1"/>
        </w:rPr>
      </w:pPr>
    </w:p>
    <w:p w14:paraId="3942560B" w14:textId="63DECAAF" w:rsidR="00EA64A0" w:rsidRDefault="00EA64A0" w:rsidP="00EA64A0">
      <w:pPr>
        <w:rPr>
          <w:rFonts w:cs="Segoe UI"/>
          <w:color w:val="000000" w:themeColor="text1"/>
          <w:lang w:eastAsia="en-NZ"/>
        </w:rPr>
      </w:pPr>
      <w:r w:rsidRPr="00652E59">
        <w:rPr>
          <w:rFonts w:cs="Segoe UI"/>
          <w:color w:val="000000" w:themeColor="text1"/>
        </w:rPr>
        <w:t>Nationally,</w:t>
      </w:r>
      <w:r>
        <w:rPr>
          <w:rFonts w:cs="Segoe UI"/>
          <w:color w:val="000000" w:themeColor="text1"/>
        </w:rPr>
        <w:t xml:space="preserve"> compared with the same months in 2019,</w:t>
      </w:r>
      <w:r w:rsidRPr="00652E59">
        <w:rPr>
          <w:rFonts w:cs="Segoe UI"/>
          <w:color w:val="000000" w:themeColor="text1"/>
        </w:rPr>
        <w:t xml:space="preserve"> the number of CWDs decreased by 11.2% </w:t>
      </w:r>
      <w:r>
        <w:rPr>
          <w:rFonts w:cs="Segoe UI"/>
          <w:color w:val="000000" w:themeColor="text1"/>
        </w:rPr>
        <w:t xml:space="preserve">in </w:t>
      </w:r>
      <w:r w:rsidRPr="00652E59">
        <w:rPr>
          <w:rFonts w:cs="Segoe UI"/>
          <w:color w:val="000000" w:themeColor="text1"/>
        </w:rPr>
        <w:t>March 20</w:t>
      </w:r>
      <w:r>
        <w:rPr>
          <w:rFonts w:cs="Segoe UI"/>
          <w:color w:val="000000" w:themeColor="text1"/>
        </w:rPr>
        <w:t>20, by a much</w:t>
      </w:r>
      <w:r w:rsidRPr="00652E59">
        <w:rPr>
          <w:rFonts w:cs="Segoe UI"/>
          <w:color w:val="000000" w:themeColor="text1"/>
        </w:rPr>
        <w:t xml:space="preserve"> larger 57.6% in April 2020</w:t>
      </w:r>
      <w:r>
        <w:rPr>
          <w:rFonts w:cs="Segoe UI"/>
          <w:color w:val="000000" w:themeColor="text1"/>
        </w:rPr>
        <w:t xml:space="preserve"> and</w:t>
      </w:r>
      <w:r w:rsidRPr="00652E59">
        <w:rPr>
          <w:rFonts w:cs="Segoe UI"/>
          <w:color w:val="000000" w:themeColor="text1"/>
        </w:rPr>
        <w:t xml:space="preserve"> </w:t>
      </w:r>
      <w:r w:rsidRPr="00652E59">
        <w:rPr>
          <w:rFonts w:cs="Segoe UI"/>
          <w:color w:val="000000" w:themeColor="text1"/>
          <w:lang w:eastAsia="en-NZ"/>
        </w:rPr>
        <w:t>by 11.6% in May 2020</w:t>
      </w:r>
      <w:r>
        <w:rPr>
          <w:rFonts w:cs="Segoe UI"/>
          <w:color w:val="000000" w:themeColor="text1"/>
          <w:lang w:eastAsia="en-NZ"/>
        </w:rPr>
        <w:t>. B</w:t>
      </w:r>
      <w:r w:rsidRPr="00652E59">
        <w:rPr>
          <w:rFonts w:cs="Segoe UI"/>
          <w:color w:val="000000" w:themeColor="text1"/>
          <w:lang w:eastAsia="en-NZ"/>
        </w:rPr>
        <w:t>y the end of June 2020 the number of PCI CWD</w:t>
      </w:r>
      <w:r>
        <w:rPr>
          <w:rFonts w:cs="Segoe UI"/>
          <w:color w:val="000000" w:themeColor="text1"/>
          <w:lang w:eastAsia="en-NZ"/>
        </w:rPr>
        <w:t>s</w:t>
      </w:r>
      <w:r w:rsidRPr="00652E59">
        <w:rPr>
          <w:rFonts w:cs="Segoe UI"/>
          <w:color w:val="000000" w:themeColor="text1"/>
          <w:lang w:eastAsia="en-NZ"/>
        </w:rPr>
        <w:t xml:space="preserve"> was 7.3% higher than the number in June 2019.</w:t>
      </w:r>
    </w:p>
    <w:p w14:paraId="75129A46" w14:textId="77777777" w:rsidR="00EA64A0" w:rsidRDefault="00EA64A0" w:rsidP="00EA64A0">
      <w:pPr>
        <w:rPr>
          <w:rFonts w:cs="Segoe UI"/>
          <w:color w:val="000000" w:themeColor="text1"/>
          <w:lang w:eastAsia="en-NZ"/>
        </w:rPr>
      </w:pPr>
    </w:p>
    <w:p w14:paraId="40EBB1FF" w14:textId="77777777" w:rsidR="00EA64A0" w:rsidRDefault="00EA64A0" w:rsidP="00EA64A0">
      <w:pPr>
        <w:rPr>
          <w:rFonts w:cs="Segoe UI"/>
          <w:color w:val="000000" w:themeColor="text1"/>
          <w:lang w:eastAsia="en-NZ"/>
        </w:rPr>
      </w:pPr>
      <w:r w:rsidRPr="00652E59">
        <w:rPr>
          <w:rFonts w:cs="Segoe UI"/>
          <w:color w:val="000000" w:themeColor="text1"/>
          <w:lang w:eastAsia="en-NZ"/>
        </w:rPr>
        <w:t xml:space="preserve">Regionally, Midland Region experienced the </w:t>
      </w:r>
      <w:r>
        <w:rPr>
          <w:rFonts w:cs="Segoe UI"/>
          <w:color w:val="000000" w:themeColor="text1"/>
          <w:lang w:eastAsia="en-NZ"/>
        </w:rPr>
        <w:t xml:space="preserve">greatest </w:t>
      </w:r>
      <w:r w:rsidRPr="00652E59">
        <w:rPr>
          <w:rFonts w:cs="Segoe UI"/>
          <w:color w:val="000000" w:themeColor="text1"/>
          <w:lang w:eastAsia="en-NZ"/>
        </w:rPr>
        <w:t xml:space="preserve">disruption in March 2020. In April 2020 </w:t>
      </w:r>
      <w:r>
        <w:rPr>
          <w:rFonts w:cs="Segoe UI"/>
          <w:color w:val="000000" w:themeColor="text1"/>
          <w:lang w:eastAsia="en-NZ"/>
        </w:rPr>
        <w:t xml:space="preserve">the most affected region was </w:t>
      </w:r>
      <w:r w:rsidRPr="00652E59">
        <w:rPr>
          <w:rFonts w:cs="Segoe UI"/>
          <w:color w:val="000000" w:themeColor="text1"/>
          <w:lang w:eastAsia="en-NZ"/>
        </w:rPr>
        <w:t xml:space="preserve">Northern Region with a 62.7% reduction in PCI CWDs compared </w:t>
      </w:r>
      <w:r>
        <w:rPr>
          <w:rFonts w:cs="Segoe UI"/>
          <w:color w:val="000000" w:themeColor="text1"/>
          <w:lang w:eastAsia="en-NZ"/>
        </w:rPr>
        <w:t>with April</w:t>
      </w:r>
      <w:r w:rsidRPr="00652E59">
        <w:rPr>
          <w:rFonts w:cs="Segoe UI"/>
          <w:color w:val="000000" w:themeColor="text1"/>
          <w:lang w:eastAsia="en-NZ"/>
        </w:rPr>
        <w:t xml:space="preserve"> 2019, while the </w:t>
      </w:r>
      <w:r>
        <w:rPr>
          <w:rFonts w:cs="Segoe UI"/>
          <w:color w:val="000000" w:themeColor="text1"/>
          <w:lang w:eastAsia="en-NZ"/>
        </w:rPr>
        <w:t xml:space="preserve">least affected </w:t>
      </w:r>
      <w:r w:rsidRPr="00652E59">
        <w:rPr>
          <w:rFonts w:cs="Segoe UI"/>
          <w:color w:val="000000" w:themeColor="text1"/>
          <w:lang w:eastAsia="en-NZ"/>
        </w:rPr>
        <w:t xml:space="preserve">was Central Region </w:t>
      </w:r>
      <w:r>
        <w:rPr>
          <w:rFonts w:cs="Segoe UI"/>
          <w:color w:val="000000" w:themeColor="text1"/>
          <w:lang w:eastAsia="en-NZ"/>
        </w:rPr>
        <w:t>with a</w:t>
      </w:r>
      <w:r w:rsidRPr="00652E59">
        <w:rPr>
          <w:rFonts w:cs="Segoe UI"/>
          <w:color w:val="000000" w:themeColor="text1"/>
          <w:lang w:eastAsia="en-NZ"/>
        </w:rPr>
        <w:t xml:space="preserve"> 46.1%</w:t>
      </w:r>
      <w:r>
        <w:rPr>
          <w:rFonts w:cs="Segoe UI"/>
          <w:color w:val="000000" w:themeColor="text1"/>
          <w:lang w:eastAsia="en-NZ"/>
        </w:rPr>
        <w:t xml:space="preserve"> reduction</w:t>
      </w:r>
      <w:r w:rsidRPr="00652E59">
        <w:rPr>
          <w:rFonts w:cs="Segoe UI"/>
          <w:color w:val="000000" w:themeColor="text1"/>
          <w:lang w:eastAsia="en-NZ"/>
        </w:rPr>
        <w:t xml:space="preserve">. Northern Region continued to be the most affected in May 2020. In June 2020 all regions had </w:t>
      </w:r>
      <w:r>
        <w:rPr>
          <w:rFonts w:cs="Segoe UI"/>
          <w:color w:val="000000" w:themeColor="text1"/>
          <w:lang w:eastAsia="en-NZ"/>
        </w:rPr>
        <w:t>more</w:t>
      </w:r>
      <w:r w:rsidRPr="00652E59">
        <w:rPr>
          <w:rFonts w:cs="Segoe UI"/>
          <w:color w:val="000000" w:themeColor="text1"/>
          <w:lang w:eastAsia="en-NZ"/>
        </w:rPr>
        <w:t xml:space="preserve"> PCI CWDs than</w:t>
      </w:r>
      <w:r>
        <w:rPr>
          <w:rFonts w:cs="Segoe UI"/>
          <w:color w:val="000000" w:themeColor="text1"/>
          <w:lang w:eastAsia="en-NZ"/>
        </w:rPr>
        <w:t xml:space="preserve"> in</w:t>
      </w:r>
      <w:r w:rsidRPr="00652E59">
        <w:rPr>
          <w:rFonts w:cs="Segoe UI"/>
          <w:color w:val="000000" w:themeColor="text1"/>
          <w:lang w:eastAsia="en-NZ"/>
        </w:rPr>
        <w:t xml:space="preserve"> June 2019</w:t>
      </w:r>
      <w:r>
        <w:rPr>
          <w:rFonts w:cs="Segoe UI"/>
          <w:color w:val="000000" w:themeColor="text1"/>
          <w:lang w:eastAsia="en-NZ"/>
        </w:rPr>
        <w:t>,</w:t>
      </w:r>
      <w:r w:rsidRPr="00652E59">
        <w:rPr>
          <w:rFonts w:cs="Segoe UI"/>
          <w:color w:val="000000" w:themeColor="text1"/>
          <w:lang w:eastAsia="en-NZ"/>
        </w:rPr>
        <w:t xml:space="preserve"> with increases ranging from 1.6% </w:t>
      </w:r>
      <w:r>
        <w:rPr>
          <w:rFonts w:cs="Segoe UI"/>
          <w:color w:val="000000" w:themeColor="text1"/>
          <w:lang w:eastAsia="en-NZ"/>
        </w:rPr>
        <w:t>to</w:t>
      </w:r>
      <w:r w:rsidRPr="00652E59">
        <w:rPr>
          <w:rFonts w:cs="Segoe UI"/>
          <w:color w:val="000000" w:themeColor="text1"/>
          <w:lang w:eastAsia="en-NZ"/>
        </w:rPr>
        <w:t xml:space="preserve"> 15.4% (Appendix </w:t>
      </w:r>
      <w:r>
        <w:rPr>
          <w:rFonts w:cs="Segoe UI"/>
          <w:color w:val="000000" w:themeColor="text1"/>
          <w:lang w:eastAsia="en-NZ"/>
        </w:rPr>
        <w:t>7</w:t>
      </w:r>
      <w:r w:rsidRPr="00652E59">
        <w:rPr>
          <w:rFonts w:cs="Segoe UI"/>
          <w:color w:val="000000" w:themeColor="text1"/>
          <w:lang w:eastAsia="en-NZ"/>
        </w:rPr>
        <w:t>).</w:t>
      </w:r>
    </w:p>
    <w:p w14:paraId="2D1860D9" w14:textId="77777777" w:rsidR="00EA64A0" w:rsidRPr="00652E59" w:rsidRDefault="00EA64A0" w:rsidP="00EA64A0">
      <w:pPr>
        <w:rPr>
          <w:rFonts w:cs="Segoe UI"/>
        </w:rPr>
      </w:pPr>
    </w:p>
    <w:p w14:paraId="52F7E6EF" w14:textId="77777777" w:rsidR="000478E1" w:rsidRDefault="000478E1" w:rsidP="00EA64A0">
      <w:pPr>
        <w:pStyle w:val="Caption"/>
        <w:rPr>
          <w:highlight w:val="yellow"/>
        </w:rPr>
        <w:sectPr w:rsidR="000478E1" w:rsidSect="006A7630">
          <w:pgSz w:w="11906" w:h="16838"/>
          <w:pgMar w:top="1440" w:right="1440" w:bottom="1440" w:left="1440" w:header="708" w:footer="708" w:gutter="0"/>
          <w:cols w:space="708"/>
          <w:docGrid w:linePitch="360"/>
        </w:sectPr>
      </w:pPr>
      <w:bookmarkStart w:id="114" w:name="_Toc52420602"/>
    </w:p>
    <w:p w14:paraId="1B483D2D" w14:textId="67C0D380" w:rsidR="00EA64A0" w:rsidRPr="005720A0" w:rsidRDefault="00EA64A0" w:rsidP="00EA64A0">
      <w:pPr>
        <w:pStyle w:val="Caption"/>
        <w:rPr>
          <w:sz w:val="22"/>
        </w:rPr>
      </w:pPr>
      <w:bookmarkStart w:id="115" w:name="_Ref53470495"/>
      <w:bookmarkStart w:id="116" w:name="_Toc53585944"/>
      <w:r w:rsidRPr="00D04F25">
        <w:lastRenderedPageBreak/>
        <w:t xml:space="preserve">Figure </w:t>
      </w:r>
      <w:r w:rsidRPr="00D04F25">
        <w:rPr>
          <w:noProof/>
        </w:rPr>
        <w:fldChar w:fldCharType="begin"/>
      </w:r>
      <w:r w:rsidRPr="00D04F25">
        <w:rPr>
          <w:noProof/>
        </w:rPr>
        <w:instrText xml:space="preserve"> SEQ Figure \* ARABIC </w:instrText>
      </w:r>
      <w:r w:rsidRPr="00D04F25">
        <w:rPr>
          <w:noProof/>
        </w:rPr>
        <w:fldChar w:fldCharType="separate"/>
      </w:r>
      <w:r w:rsidR="00CF2713">
        <w:rPr>
          <w:noProof/>
        </w:rPr>
        <w:t>14</w:t>
      </w:r>
      <w:r w:rsidRPr="00D04F25">
        <w:rPr>
          <w:noProof/>
        </w:rPr>
        <w:fldChar w:fldCharType="end"/>
      </w:r>
      <w:bookmarkEnd w:id="115"/>
      <w:r w:rsidRPr="00D04F25">
        <w:t>: Number of case-weighted discharges for planned care interventions nationally from March to June</w:t>
      </w:r>
      <w:r w:rsidRPr="00D04F25">
        <w:rPr>
          <w:color w:val="FF0000"/>
        </w:rPr>
        <w:t xml:space="preserve"> </w:t>
      </w:r>
      <w:r w:rsidRPr="00D04F25">
        <w:t>2018–2020</w:t>
      </w:r>
      <w:bookmarkEnd w:id="114"/>
      <w:bookmarkEnd w:id="116"/>
    </w:p>
    <w:p w14:paraId="3D5FA0BE" w14:textId="61D74BB2" w:rsidR="00EA64A0" w:rsidRDefault="00F41E46" w:rsidP="00D04F25">
      <w:pPr>
        <w:spacing w:before="120"/>
        <w:rPr>
          <w:rFonts w:cs="Segoe UI"/>
          <w:b/>
          <w:sz w:val="22"/>
          <w:szCs w:val="22"/>
        </w:rPr>
      </w:pPr>
      <w:r>
        <w:rPr>
          <w:rFonts w:cs="Segoe UI"/>
          <w:b/>
          <w:noProof/>
          <w:sz w:val="22"/>
          <w:szCs w:val="22"/>
        </w:rPr>
        <w:drawing>
          <wp:inline distT="0" distB="0" distL="0" distR="0" wp14:anchorId="12302961" wp14:editId="08CA36A3">
            <wp:extent cx="5772150" cy="3084906"/>
            <wp:effectExtent l="0" t="0" r="0" b="1270"/>
            <wp:docPr id="18" name="Picture 18" descr="This bar graph shows that there were fewer case weighted discharges in March, April and May of 2020 than in previous years, and slightly more in June 2020 than in June of 2019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l="1851" t="8687" r="6404" b="7582"/>
                    <a:stretch/>
                  </pic:blipFill>
                  <pic:spPr bwMode="auto">
                    <a:xfrm>
                      <a:off x="0" y="0"/>
                      <a:ext cx="5794503" cy="3096852"/>
                    </a:xfrm>
                    <a:prstGeom prst="rect">
                      <a:avLst/>
                    </a:prstGeom>
                    <a:noFill/>
                    <a:ln>
                      <a:noFill/>
                    </a:ln>
                    <a:extLst>
                      <a:ext uri="{53640926-AAD7-44D8-BBD7-CCE9431645EC}">
                        <a14:shadowObscured xmlns:a14="http://schemas.microsoft.com/office/drawing/2010/main"/>
                      </a:ext>
                    </a:extLst>
                  </pic:spPr>
                </pic:pic>
              </a:graphicData>
            </a:graphic>
          </wp:inline>
        </w:drawing>
      </w:r>
    </w:p>
    <w:p w14:paraId="455A90E7" w14:textId="77777777" w:rsidR="00EA64A0" w:rsidRPr="00E35305" w:rsidRDefault="00EA64A0" w:rsidP="00EA64A0">
      <w:pPr>
        <w:pStyle w:val="Heading3"/>
      </w:pPr>
      <w:bookmarkStart w:id="117" w:name="_Toc52430188"/>
      <w:r>
        <w:t>Delivery of p</w:t>
      </w:r>
      <w:r w:rsidRPr="00E35305">
        <w:t xml:space="preserve">lanned </w:t>
      </w:r>
      <w:r>
        <w:t>c</w:t>
      </w:r>
      <w:r w:rsidRPr="00E35305">
        <w:t xml:space="preserve">are </w:t>
      </w:r>
      <w:r>
        <w:t>i</w:t>
      </w:r>
      <w:r w:rsidRPr="00E35305">
        <w:t>nterventions by type</w:t>
      </w:r>
      <w:r>
        <w:t xml:space="preserve"> of intervention</w:t>
      </w:r>
      <w:bookmarkEnd w:id="117"/>
    </w:p>
    <w:p w14:paraId="3E75D9BD" w14:textId="65B5758D" w:rsidR="00EA64A0" w:rsidRDefault="00EA64A0" w:rsidP="00EA64A0">
      <w:r>
        <w:t>DHBs delivered</w:t>
      </w:r>
      <w:r w:rsidRPr="00E35305">
        <w:t xml:space="preserve"> three types of PCIs in 2019 </w:t>
      </w:r>
      <w:r>
        <w:t>and</w:t>
      </w:r>
      <w:r w:rsidRPr="00E35305">
        <w:t xml:space="preserve"> 2020: inpatient treatment, minor procedures and non-surgical interventions. In this report, for the purposes of comparison, </w:t>
      </w:r>
      <w:r>
        <w:t xml:space="preserve">we have grouped </w:t>
      </w:r>
      <w:r w:rsidRPr="00E35305">
        <w:t xml:space="preserve">minor procedures and non-surgical interventions into </w:t>
      </w:r>
      <w:r>
        <w:t xml:space="preserve">a single category of </w:t>
      </w:r>
      <w:r w:rsidRPr="00E35305">
        <w:t xml:space="preserve">'minor procedures', </w:t>
      </w:r>
      <w:r>
        <w:t>while keeping the category of</w:t>
      </w:r>
      <w:r w:rsidRPr="00E35305">
        <w:t xml:space="preserve"> inpatient treatment</w:t>
      </w:r>
      <w:r>
        <w:t xml:space="preserve"> the same</w:t>
      </w:r>
      <w:r w:rsidRPr="00E35305">
        <w:t>.</w:t>
      </w:r>
    </w:p>
    <w:p w14:paraId="7D6B8174" w14:textId="77777777" w:rsidR="00EA64A0" w:rsidRDefault="00EA64A0" w:rsidP="00EA64A0"/>
    <w:p w14:paraId="4A2F101C" w14:textId="3322A537" w:rsidR="00EA64A0" w:rsidRDefault="00EA64A0" w:rsidP="00EA64A0">
      <w:r>
        <w:t>At</w:t>
      </w:r>
      <w:r w:rsidRPr="00F213D9">
        <w:t xml:space="preserve"> a national level, </w:t>
      </w:r>
      <w:r>
        <w:t>delivery numbers of</w:t>
      </w:r>
      <w:r w:rsidRPr="00F213D9">
        <w:t xml:space="preserve"> inpatient treatment </w:t>
      </w:r>
      <w:r>
        <w:t xml:space="preserve">changed by </w:t>
      </w:r>
      <w:r w:rsidRPr="00F213D9">
        <w:t>larger percentage</w:t>
      </w:r>
      <w:r>
        <w:t>s</w:t>
      </w:r>
      <w:r w:rsidRPr="00F213D9">
        <w:t xml:space="preserve"> than minor procedures when comparing March, April and May</w:t>
      </w:r>
      <w:r>
        <w:t xml:space="preserve"> of 2019 and</w:t>
      </w:r>
      <w:r w:rsidRPr="00F213D9">
        <w:t xml:space="preserve"> 2020 (</w:t>
      </w:r>
      <w:r w:rsidR="00B65BC8">
        <w:fldChar w:fldCharType="begin"/>
      </w:r>
      <w:r w:rsidR="00B65BC8">
        <w:instrText xml:space="preserve"> REF _Ref53470503 \h </w:instrText>
      </w:r>
      <w:r w:rsidR="00B65BC8">
        <w:fldChar w:fldCharType="separate"/>
      </w:r>
      <w:r w:rsidR="00CF2713" w:rsidRPr="003A6CC5">
        <w:t xml:space="preserve">Figure </w:t>
      </w:r>
      <w:r w:rsidR="00CF2713">
        <w:rPr>
          <w:noProof/>
        </w:rPr>
        <w:t>15</w:t>
      </w:r>
      <w:r w:rsidR="00B65BC8">
        <w:fldChar w:fldCharType="end"/>
      </w:r>
      <w:r w:rsidRPr="00F213D9">
        <w:t xml:space="preserve">). Compared </w:t>
      </w:r>
      <w:r>
        <w:t>with</w:t>
      </w:r>
      <w:r w:rsidRPr="00F213D9">
        <w:t xml:space="preserve"> the same month</w:t>
      </w:r>
      <w:r>
        <w:t>s</w:t>
      </w:r>
      <w:r w:rsidRPr="00F213D9">
        <w:t xml:space="preserve"> in 2019, </w:t>
      </w:r>
      <w:r>
        <w:t>i</w:t>
      </w:r>
      <w:r w:rsidRPr="00F213D9">
        <w:t>npatient treatment</w:t>
      </w:r>
      <w:r>
        <w:t xml:space="preserve"> reduced by 16.4%</w:t>
      </w:r>
      <w:r w:rsidRPr="00F213D9">
        <w:t xml:space="preserve"> in March 2020</w:t>
      </w:r>
      <w:r>
        <w:t xml:space="preserve">, </w:t>
      </w:r>
      <w:r w:rsidRPr="00F213D9">
        <w:t>63.8%</w:t>
      </w:r>
      <w:r>
        <w:t xml:space="preserve"> in April and 15.8% in</w:t>
      </w:r>
      <w:r w:rsidRPr="00F213D9">
        <w:t xml:space="preserve"> May 2020</w:t>
      </w:r>
      <w:r>
        <w:t>. In contrast,</w:t>
      </w:r>
      <w:r w:rsidRPr="00F213D9">
        <w:t xml:space="preserve"> in June 2020</w:t>
      </w:r>
      <w:r>
        <w:t xml:space="preserve"> inpatient</w:t>
      </w:r>
      <w:r w:rsidRPr="00F213D9">
        <w:t xml:space="preserve"> delivery increased by 9.2% compared </w:t>
      </w:r>
      <w:r>
        <w:t>with</w:t>
      </w:r>
      <w:r w:rsidRPr="00F213D9">
        <w:t xml:space="preserve"> June 2019.</w:t>
      </w:r>
    </w:p>
    <w:p w14:paraId="0D8E8DB8" w14:textId="77777777" w:rsidR="00EA64A0" w:rsidRDefault="00EA64A0" w:rsidP="00EA64A0"/>
    <w:p w14:paraId="0A89E3F5" w14:textId="77777777" w:rsidR="00EA64A0" w:rsidRDefault="00EA64A0" w:rsidP="00EA64A0">
      <w:r>
        <w:t>Delivery of</w:t>
      </w:r>
      <w:r w:rsidRPr="00F213D9">
        <w:t xml:space="preserve"> minor procedures </w:t>
      </w:r>
      <w:r>
        <w:t xml:space="preserve">was </w:t>
      </w:r>
      <w:r w:rsidRPr="00F213D9">
        <w:t>less disrupt</w:t>
      </w:r>
      <w:r>
        <w:t>ed than inpatient treatment</w:t>
      </w:r>
      <w:r w:rsidRPr="00F213D9">
        <w:t xml:space="preserve">. </w:t>
      </w:r>
      <w:r>
        <w:t>D</w:t>
      </w:r>
      <w:r w:rsidRPr="00F213D9">
        <w:t xml:space="preserve">elivery </w:t>
      </w:r>
      <w:r>
        <w:t xml:space="preserve">levels did not decrease </w:t>
      </w:r>
      <w:r w:rsidRPr="00F213D9">
        <w:t xml:space="preserve">in March 2020 compared </w:t>
      </w:r>
      <w:r>
        <w:t>with</w:t>
      </w:r>
      <w:r w:rsidRPr="00F213D9">
        <w:t xml:space="preserve"> March 2019</w:t>
      </w:r>
      <w:r>
        <w:t>.</w:t>
      </w:r>
      <w:r w:rsidRPr="00F213D9">
        <w:t xml:space="preserve"> </w:t>
      </w:r>
      <w:r>
        <w:t>H</w:t>
      </w:r>
      <w:r w:rsidRPr="00F213D9">
        <w:t>owever</w:t>
      </w:r>
      <w:r>
        <w:t>, they did fall</w:t>
      </w:r>
      <w:r w:rsidRPr="00F213D9">
        <w:t xml:space="preserve"> by 25.5% </w:t>
      </w:r>
      <w:r>
        <w:t xml:space="preserve">in April 2020 </w:t>
      </w:r>
      <w:r w:rsidRPr="00F213D9">
        <w:t xml:space="preserve">and 0.4% in May 2020 compared </w:t>
      </w:r>
      <w:r>
        <w:t xml:space="preserve">with </w:t>
      </w:r>
      <w:r w:rsidRPr="00F213D9">
        <w:t xml:space="preserve">the same month in </w:t>
      </w:r>
      <w:r>
        <w:t>2019</w:t>
      </w:r>
      <w:r w:rsidRPr="00F213D9">
        <w:t xml:space="preserve">. </w:t>
      </w:r>
      <w:r>
        <w:t xml:space="preserve">By </w:t>
      </w:r>
      <w:r w:rsidRPr="00F213D9">
        <w:t>June 2020</w:t>
      </w:r>
      <w:r>
        <w:t xml:space="preserve"> minor procedures delivered were above June 2019 levels </w:t>
      </w:r>
      <w:r w:rsidRPr="00F213D9">
        <w:t>by 29.5%</w:t>
      </w:r>
      <w:r>
        <w:t>.</w:t>
      </w:r>
    </w:p>
    <w:p w14:paraId="66FAE30D" w14:textId="77777777" w:rsidR="00EA64A0" w:rsidRDefault="00EA64A0" w:rsidP="00EA64A0"/>
    <w:p w14:paraId="004B7BCE" w14:textId="77777777" w:rsidR="000478E1" w:rsidRDefault="000478E1" w:rsidP="00EA64A0">
      <w:pPr>
        <w:pStyle w:val="Caption"/>
        <w:sectPr w:rsidR="000478E1" w:rsidSect="006A7630">
          <w:pgSz w:w="11906" w:h="16838"/>
          <w:pgMar w:top="1440" w:right="1440" w:bottom="1440" w:left="1440" w:header="708" w:footer="708" w:gutter="0"/>
          <w:cols w:space="708"/>
          <w:docGrid w:linePitch="360"/>
        </w:sectPr>
      </w:pPr>
      <w:bookmarkStart w:id="118" w:name="_Toc52420603"/>
    </w:p>
    <w:p w14:paraId="41E55AA4" w14:textId="7401723C" w:rsidR="00EA64A0" w:rsidRPr="00F502FC" w:rsidRDefault="00EA64A0" w:rsidP="00EA64A0">
      <w:pPr>
        <w:pStyle w:val="Caption"/>
      </w:pPr>
      <w:bookmarkStart w:id="119" w:name="_Ref53470503"/>
      <w:bookmarkStart w:id="120" w:name="_Toc53585945"/>
      <w:r w:rsidRPr="003A6CC5">
        <w:lastRenderedPageBreak/>
        <w:t xml:space="preserve">Figure </w:t>
      </w:r>
      <w:r w:rsidRPr="003A6CC5">
        <w:rPr>
          <w:noProof/>
        </w:rPr>
        <w:fldChar w:fldCharType="begin"/>
      </w:r>
      <w:r w:rsidRPr="003A6CC5">
        <w:rPr>
          <w:noProof/>
        </w:rPr>
        <w:instrText xml:space="preserve"> SEQ Figure \* ARABIC </w:instrText>
      </w:r>
      <w:r w:rsidRPr="003A6CC5">
        <w:rPr>
          <w:noProof/>
        </w:rPr>
        <w:fldChar w:fldCharType="separate"/>
      </w:r>
      <w:r w:rsidR="00CF2713">
        <w:rPr>
          <w:noProof/>
        </w:rPr>
        <w:t>15</w:t>
      </w:r>
      <w:r w:rsidRPr="003A6CC5">
        <w:rPr>
          <w:noProof/>
        </w:rPr>
        <w:fldChar w:fldCharType="end"/>
      </w:r>
      <w:bookmarkEnd w:id="119"/>
      <w:r w:rsidRPr="003A6CC5">
        <w:t>: Number of planned care interventions delivered nationally from March to June 2018–2020, by type of intervention</w:t>
      </w:r>
      <w:bookmarkEnd w:id="118"/>
      <w:bookmarkEnd w:id="120"/>
    </w:p>
    <w:p w14:paraId="3ADF4F43" w14:textId="7E9B4933" w:rsidR="00EA64A0" w:rsidRPr="00E35305" w:rsidRDefault="003A6CC5" w:rsidP="003A6CC5">
      <w:pPr>
        <w:spacing w:before="120"/>
        <w:rPr>
          <w:rFonts w:cs="Segoe UI"/>
          <w:sz w:val="22"/>
          <w:szCs w:val="22"/>
        </w:rPr>
      </w:pPr>
      <w:r>
        <w:rPr>
          <w:rFonts w:cs="Segoe UI"/>
          <w:noProof/>
          <w:sz w:val="22"/>
          <w:szCs w:val="22"/>
        </w:rPr>
        <w:drawing>
          <wp:inline distT="0" distB="0" distL="0" distR="0" wp14:anchorId="590C60AB" wp14:editId="14D4468F">
            <wp:extent cx="5632687" cy="2962656"/>
            <wp:effectExtent l="0" t="0" r="6350" b="9525"/>
            <wp:docPr id="114" name="Picture 114" descr="This bar graph shows that there were fewer planned care inpatient treatments in March, April and May of 2020 than in previous years, and slightly more in June 2020 than June 2019 and 2018. There were more minor procedures in March and June of 2020 than in previous years, but fewer in April and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1963" t="10044" r="5210" b="2810"/>
                    <a:stretch/>
                  </pic:blipFill>
                  <pic:spPr bwMode="auto">
                    <a:xfrm>
                      <a:off x="0" y="0"/>
                      <a:ext cx="5653381" cy="2973540"/>
                    </a:xfrm>
                    <a:prstGeom prst="rect">
                      <a:avLst/>
                    </a:prstGeom>
                    <a:noFill/>
                    <a:ln>
                      <a:noFill/>
                    </a:ln>
                    <a:extLst>
                      <a:ext uri="{53640926-AAD7-44D8-BBD7-CCE9431645EC}">
                        <a14:shadowObscured xmlns:a14="http://schemas.microsoft.com/office/drawing/2010/main"/>
                      </a:ext>
                    </a:extLst>
                  </pic:spPr>
                </pic:pic>
              </a:graphicData>
            </a:graphic>
          </wp:inline>
        </w:drawing>
      </w:r>
    </w:p>
    <w:p w14:paraId="23F08BDE" w14:textId="47038841" w:rsidR="00EA64A0" w:rsidRPr="00E35305" w:rsidRDefault="00EA64A0" w:rsidP="00EA64A0">
      <w:pPr>
        <w:pStyle w:val="Heading3"/>
      </w:pPr>
      <w:bookmarkStart w:id="121" w:name="_Toc52430189"/>
      <w:r>
        <w:t>Delivery of p</w:t>
      </w:r>
      <w:r w:rsidRPr="00E35305">
        <w:t xml:space="preserve">lanned </w:t>
      </w:r>
      <w:r>
        <w:t>c</w:t>
      </w:r>
      <w:r w:rsidRPr="00E35305">
        <w:t xml:space="preserve">are </w:t>
      </w:r>
      <w:r>
        <w:t>i</w:t>
      </w:r>
      <w:r w:rsidRPr="00E35305">
        <w:t>nterventions by ethnicity</w:t>
      </w:r>
      <w:bookmarkEnd w:id="121"/>
    </w:p>
    <w:p w14:paraId="5E3284E9" w14:textId="6F4E7309" w:rsidR="00EA64A0" w:rsidRDefault="00EA64A0" w:rsidP="00EA64A0">
      <w:r w:rsidRPr="00F44D34">
        <w:t>The</w:t>
      </w:r>
      <w:r>
        <w:t xml:space="preserve"> percentage change in the</w:t>
      </w:r>
      <w:r w:rsidRPr="00F44D34">
        <w:t xml:space="preserve"> number of PCIs delivered </w:t>
      </w:r>
      <w:r>
        <w:t xml:space="preserve">varied </w:t>
      </w:r>
      <w:r w:rsidRPr="00F44D34">
        <w:t>across ethnic groups. Comparing the number of PCIs</w:t>
      </w:r>
      <w:r>
        <w:t xml:space="preserve"> delivered</w:t>
      </w:r>
      <w:r w:rsidRPr="00F44D34">
        <w:t xml:space="preserve"> </w:t>
      </w:r>
      <w:r>
        <w:t>in</w:t>
      </w:r>
      <w:r w:rsidRPr="00F44D34">
        <w:t xml:space="preserve"> March 2020 and March 2019, activity</w:t>
      </w:r>
      <w:r w:rsidRPr="00C33659">
        <w:t xml:space="preserve"> </w:t>
      </w:r>
      <w:r w:rsidRPr="00F44D34">
        <w:t xml:space="preserve">decreased by 16.1% for Māori, 11.9% </w:t>
      </w:r>
      <w:r>
        <w:t xml:space="preserve">for </w:t>
      </w:r>
      <w:r w:rsidRPr="00F44D34">
        <w:t>Pacific</w:t>
      </w:r>
      <w:r>
        <w:t xml:space="preserve"> peoples</w:t>
      </w:r>
      <w:r w:rsidRPr="00F44D34">
        <w:t xml:space="preserve"> and 6.3%</w:t>
      </w:r>
      <w:r>
        <w:t xml:space="preserve"> for</w:t>
      </w:r>
      <w:r w:rsidRPr="00F44D34">
        <w:t xml:space="preserve"> </w:t>
      </w:r>
      <w:r w:rsidRPr="00227201">
        <w:rPr>
          <w:color w:val="000000" w:themeColor="text1"/>
        </w:rPr>
        <w:t>non-</w:t>
      </w:r>
      <w:r>
        <w:rPr>
          <w:color w:val="000000" w:themeColor="text1"/>
        </w:rPr>
        <w:t>Māori,</w:t>
      </w:r>
      <w:r w:rsidRPr="00227201">
        <w:rPr>
          <w:color w:val="000000" w:themeColor="text1"/>
        </w:rPr>
        <w:t xml:space="preserve"> non-Pacific</w:t>
      </w:r>
      <w:r w:rsidRPr="00F44D34">
        <w:t xml:space="preserve">. In April 2020 </w:t>
      </w:r>
      <w:r>
        <w:t xml:space="preserve">the number of interventions dropped further </w:t>
      </w:r>
      <w:r w:rsidRPr="00F44D34">
        <w:t xml:space="preserve">compared </w:t>
      </w:r>
      <w:r>
        <w:t>with</w:t>
      </w:r>
      <w:r w:rsidRPr="00F44D34">
        <w:t xml:space="preserve"> April 2019</w:t>
      </w:r>
      <w:r>
        <w:t>:</w:t>
      </w:r>
      <w:r w:rsidRPr="00F44D34">
        <w:t xml:space="preserve"> by 61.8% for Māori, 58.6% for Pacific</w:t>
      </w:r>
      <w:r>
        <w:t xml:space="preserve"> peoples</w:t>
      </w:r>
      <w:r w:rsidRPr="00F44D34">
        <w:t xml:space="preserve"> and 47.7% for </w:t>
      </w:r>
      <w:r w:rsidRPr="00227201">
        <w:rPr>
          <w:color w:val="000000" w:themeColor="text1"/>
        </w:rPr>
        <w:t>non-</w:t>
      </w:r>
      <w:r>
        <w:rPr>
          <w:color w:val="000000" w:themeColor="text1"/>
        </w:rPr>
        <w:t>Māori,</w:t>
      </w:r>
      <w:r w:rsidRPr="00227201">
        <w:rPr>
          <w:color w:val="000000" w:themeColor="text1"/>
        </w:rPr>
        <w:t xml:space="preserve"> non-Pacific</w:t>
      </w:r>
      <w:r w:rsidRPr="00F44D34">
        <w:t>. This indicates a 14.1% difference in</w:t>
      </w:r>
      <w:r>
        <w:t xml:space="preserve"> the relative decrease of</w:t>
      </w:r>
      <w:r w:rsidRPr="00F44D34">
        <w:t xml:space="preserve"> PCI delivery between </w:t>
      </w:r>
      <w:r>
        <w:t>Māori</w:t>
      </w:r>
      <w:r w:rsidRPr="00F44D34">
        <w:t xml:space="preserve"> and </w:t>
      </w:r>
      <w:r w:rsidRPr="00227201">
        <w:rPr>
          <w:color w:val="000000" w:themeColor="text1"/>
        </w:rPr>
        <w:t>non-</w:t>
      </w:r>
      <w:r>
        <w:rPr>
          <w:color w:val="000000" w:themeColor="text1"/>
        </w:rPr>
        <w:t>Māori,</w:t>
      </w:r>
      <w:r w:rsidRPr="00227201">
        <w:rPr>
          <w:color w:val="000000" w:themeColor="text1"/>
        </w:rPr>
        <w:t xml:space="preserve"> non-Pacific</w:t>
      </w:r>
      <w:r>
        <w:rPr>
          <w:color w:val="000000" w:themeColor="text1"/>
        </w:rPr>
        <w:t xml:space="preserve"> in April</w:t>
      </w:r>
      <w:r w:rsidRPr="00F44D34">
        <w:t xml:space="preserve">. In May 2020 this </w:t>
      </w:r>
      <w:r>
        <w:t>difference</w:t>
      </w:r>
      <w:r w:rsidRPr="00F44D34">
        <w:t xml:space="preserve"> narrowed to 8.8% as PCI delivery for </w:t>
      </w:r>
      <w:r>
        <w:t>Māori</w:t>
      </w:r>
      <w:r w:rsidRPr="00F44D34">
        <w:t xml:space="preserve"> reduced by 17.7% compared </w:t>
      </w:r>
      <w:r>
        <w:t>with</w:t>
      </w:r>
      <w:r w:rsidRPr="00F44D34">
        <w:t xml:space="preserve"> May 2019, delivery for Pacific decreased by 14.9% and delivery for </w:t>
      </w:r>
      <w:r w:rsidRPr="00227201">
        <w:rPr>
          <w:color w:val="000000" w:themeColor="text1"/>
        </w:rPr>
        <w:t>non-</w:t>
      </w:r>
      <w:r>
        <w:rPr>
          <w:color w:val="000000" w:themeColor="text1"/>
        </w:rPr>
        <w:t>Māori,</w:t>
      </w:r>
      <w:r w:rsidRPr="00227201">
        <w:rPr>
          <w:color w:val="000000" w:themeColor="text1"/>
        </w:rPr>
        <w:t xml:space="preserve"> non-Pacific </w:t>
      </w:r>
      <w:r w:rsidRPr="00F44D34">
        <w:t xml:space="preserve">reduced by 8.8%. </w:t>
      </w:r>
      <w:r>
        <w:t>June 2020 saw a rise in</w:t>
      </w:r>
      <w:r w:rsidRPr="00F44D34">
        <w:t xml:space="preserve"> PCI delivery across </w:t>
      </w:r>
      <w:r>
        <w:t>all three</w:t>
      </w:r>
      <w:r w:rsidRPr="00F44D34">
        <w:t xml:space="preserve"> ethnic groups compared </w:t>
      </w:r>
      <w:r>
        <w:t>with</w:t>
      </w:r>
      <w:r w:rsidRPr="00F44D34">
        <w:t xml:space="preserve"> June 2019</w:t>
      </w:r>
      <w:r>
        <w:t>, with an increase of</w:t>
      </w:r>
      <w:r w:rsidRPr="00F44D34">
        <w:t xml:space="preserve"> 15.1% for Pacific</w:t>
      </w:r>
      <w:r>
        <w:t xml:space="preserve"> peoples</w:t>
      </w:r>
      <w:r w:rsidRPr="00F44D34">
        <w:t xml:space="preserve">, 15.3% for </w:t>
      </w:r>
      <w:r>
        <w:t>Māori</w:t>
      </w:r>
      <w:r w:rsidRPr="00F44D34">
        <w:t xml:space="preserve"> and 16.5% for </w:t>
      </w:r>
      <w:r w:rsidRPr="00227201">
        <w:rPr>
          <w:color w:val="000000" w:themeColor="text1"/>
        </w:rPr>
        <w:t>non-</w:t>
      </w:r>
      <w:r>
        <w:rPr>
          <w:color w:val="000000" w:themeColor="text1"/>
        </w:rPr>
        <w:t>Māori,</w:t>
      </w:r>
      <w:r w:rsidRPr="00227201">
        <w:rPr>
          <w:color w:val="000000" w:themeColor="text1"/>
        </w:rPr>
        <w:t xml:space="preserve"> non-Pacific</w:t>
      </w:r>
      <w:r w:rsidRPr="00F44D34">
        <w:t xml:space="preserve">. </w:t>
      </w:r>
    </w:p>
    <w:p w14:paraId="07C86E1D" w14:textId="74C68A1F" w:rsidR="00EA64A0" w:rsidRDefault="00EA64A0" w:rsidP="00EA64A0"/>
    <w:p w14:paraId="5321C080" w14:textId="1A78EDE7" w:rsidR="00EA64A0" w:rsidRPr="00E35305" w:rsidRDefault="00B65BC8" w:rsidP="00EA64A0">
      <w:r>
        <w:rPr>
          <w:color w:val="000000" w:themeColor="text1"/>
        </w:rPr>
        <w:fldChar w:fldCharType="begin"/>
      </w:r>
      <w:r>
        <w:instrText xml:space="preserve"> REF _Ref53470510 \h </w:instrText>
      </w:r>
      <w:r>
        <w:rPr>
          <w:color w:val="000000" w:themeColor="text1"/>
        </w:rPr>
      </w:r>
      <w:r>
        <w:rPr>
          <w:color w:val="000000" w:themeColor="text1"/>
        </w:rPr>
        <w:fldChar w:fldCharType="separate"/>
      </w:r>
      <w:r w:rsidR="00CF2713" w:rsidRPr="003A6CC5">
        <w:t xml:space="preserve">Figure </w:t>
      </w:r>
      <w:r w:rsidR="00CF2713">
        <w:rPr>
          <w:noProof/>
        </w:rPr>
        <w:t>16</w:t>
      </w:r>
      <w:r>
        <w:rPr>
          <w:color w:val="000000" w:themeColor="text1"/>
        </w:rPr>
        <w:fldChar w:fldCharType="end"/>
      </w:r>
      <w:r w:rsidR="00EA64A0" w:rsidRPr="00E35305">
        <w:t xml:space="preserve"> shows</w:t>
      </w:r>
      <w:r w:rsidR="00EA64A0">
        <w:t xml:space="preserve"> what percentage of the total</w:t>
      </w:r>
      <w:r w:rsidR="00EA64A0" w:rsidRPr="00E35305">
        <w:t xml:space="preserve"> number of PCIs </w:t>
      </w:r>
      <w:r w:rsidR="00EA64A0">
        <w:t>was delivered to each ethnic group from</w:t>
      </w:r>
      <w:r w:rsidR="00EA64A0" w:rsidRPr="00E35305">
        <w:t xml:space="preserve"> March </w:t>
      </w:r>
      <w:r w:rsidR="00EA64A0">
        <w:t>to June</w:t>
      </w:r>
      <w:r w:rsidR="00EA64A0" w:rsidRPr="00E35305">
        <w:t xml:space="preserve"> 2018–2020.</w:t>
      </w:r>
      <w:r w:rsidR="00EA64A0">
        <w:t xml:space="preserve"> In March 2020, 10.7% of PCIs delivered were to Māori, 5.5% to Pacific peoples and 83.8% to non-Māori, non-Pacific. In April 2020, the pattern shifted to 8.7% of PCIs being delivered to Māori, 4.9% to Pacific peoples and 86.4% to non-Māori, non-Pacific. In May 2020, 10.3% of PCIs were delivered to Māori, 5.5% to Pacific peoples and 84.2% to non-Māori, non-Pacific. In June 2020, 11.2% of the total number PCIs delivered nationally were to</w:t>
      </w:r>
      <w:r w:rsidR="00EA64A0" w:rsidRPr="000A07BD">
        <w:t xml:space="preserve"> </w:t>
      </w:r>
      <w:r w:rsidR="00EA64A0">
        <w:t>Māori, 5.8% to Pacific peoples and 83.1% to non-Māori, non-Pacific.</w:t>
      </w:r>
    </w:p>
    <w:p w14:paraId="2AB156FD" w14:textId="77777777" w:rsidR="000478E1" w:rsidRDefault="000478E1" w:rsidP="00EA64A0">
      <w:pPr>
        <w:pStyle w:val="Caption"/>
        <w:sectPr w:rsidR="000478E1" w:rsidSect="006A7630">
          <w:pgSz w:w="11906" w:h="16838"/>
          <w:pgMar w:top="1440" w:right="1440" w:bottom="1440" w:left="1440" w:header="708" w:footer="708" w:gutter="0"/>
          <w:cols w:space="708"/>
          <w:docGrid w:linePitch="360"/>
        </w:sectPr>
      </w:pPr>
      <w:bookmarkStart w:id="122" w:name="_Toc52420604"/>
    </w:p>
    <w:p w14:paraId="50E2D0E1" w14:textId="34502710" w:rsidR="00EA64A0" w:rsidRPr="00B73D05" w:rsidRDefault="00EA64A0" w:rsidP="00EA64A0">
      <w:pPr>
        <w:pStyle w:val="Caption"/>
        <w:rPr>
          <w:sz w:val="22"/>
        </w:rPr>
      </w:pPr>
      <w:bookmarkStart w:id="123" w:name="_Ref53470510"/>
      <w:bookmarkStart w:id="124" w:name="_Toc53585946"/>
      <w:r w:rsidRPr="003A6CC5">
        <w:lastRenderedPageBreak/>
        <w:t xml:space="preserve">Figure </w:t>
      </w:r>
      <w:r w:rsidRPr="003A6CC5">
        <w:rPr>
          <w:noProof/>
        </w:rPr>
        <w:fldChar w:fldCharType="begin"/>
      </w:r>
      <w:r w:rsidRPr="003A6CC5">
        <w:rPr>
          <w:noProof/>
        </w:rPr>
        <w:instrText xml:space="preserve"> SEQ Figure \* ARABIC </w:instrText>
      </w:r>
      <w:r w:rsidRPr="003A6CC5">
        <w:rPr>
          <w:noProof/>
        </w:rPr>
        <w:fldChar w:fldCharType="separate"/>
      </w:r>
      <w:r w:rsidR="00CF2713">
        <w:rPr>
          <w:noProof/>
        </w:rPr>
        <w:t>16</w:t>
      </w:r>
      <w:r w:rsidRPr="003A6CC5">
        <w:rPr>
          <w:noProof/>
        </w:rPr>
        <w:fldChar w:fldCharType="end"/>
      </w:r>
      <w:bookmarkEnd w:id="123"/>
      <w:r w:rsidRPr="003A6CC5">
        <w:t>: Number of planned care interventions delivered nationally from March to June 2018–2020, by ethnicity</w:t>
      </w:r>
      <w:bookmarkEnd w:id="122"/>
      <w:bookmarkEnd w:id="124"/>
    </w:p>
    <w:p w14:paraId="70B156C0" w14:textId="00A5BD4E" w:rsidR="00EA5A7B" w:rsidRPr="00E35305" w:rsidRDefault="00CC05D7" w:rsidP="003A6CC5">
      <w:pPr>
        <w:spacing w:before="120"/>
        <w:rPr>
          <w:rFonts w:cs="Segoe UI"/>
          <w:b/>
          <w:sz w:val="24"/>
          <w:szCs w:val="24"/>
        </w:rPr>
      </w:pPr>
      <w:r>
        <w:rPr>
          <w:noProof/>
        </w:rPr>
        <w:drawing>
          <wp:anchor distT="0" distB="0" distL="114300" distR="114300" simplePos="0" relativeHeight="251660288" behindDoc="0" locked="0" layoutInCell="1" allowOverlap="1" wp14:anchorId="1DE5DF72" wp14:editId="0B6659B1">
            <wp:simplePos x="0" y="0"/>
            <wp:positionH relativeFrom="column">
              <wp:posOffset>1072444</wp:posOffset>
            </wp:positionH>
            <wp:positionV relativeFrom="paragraph">
              <wp:posOffset>635</wp:posOffset>
            </wp:positionV>
            <wp:extent cx="3064934" cy="129804"/>
            <wp:effectExtent l="0" t="0" r="2540" b="381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25" t="7353" r="43234" b="89775"/>
                    <a:stretch/>
                  </pic:blipFill>
                  <pic:spPr bwMode="auto">
                    <a:xfrm>
                      <a:off x="0" y="0"/>
                      <a:ext cx="3206422" cy="135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7B">
        <w:rPr>
          <w:rFonts w:cs="Segoe UI"/>
          <w:b/>
          <w:noProof/>
          <w:sz w:val="24"/>
          <w:szCs w:val="24"/>
        </w:rPr>
        <w:drawing>
          <wp:inline distT="0" distB="0" distL="0" distR="0" wp14:anchorId="1C2F3282" wp14:editId="1A83594D">
            <wp:extent cx="5676900" cy="4033977"/>
            <wp:effectExtent l="0" t="0" r="0" b="5080"/>
            <wp:docPr id="33" name="Picture 33" descr="This bar graph shows that non-Māori, non-Pacific people generally received about 82.5% of planned care interventions, while about 11% were delivered to Māori, and about 5.5% were delivered to Pacific. In April of 2020, 86.4% were delivered to non-Māori, non-Pacific, 8.7% to Māori and 4.9% to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1322" t="7422" r="12143" b="2396"/>
                    <a:stretch/>
                  </pic:blipFill>
                  <pic:spPr bwMode="auto">
                    <a:xfrm>
                      <a:off x="0" y="0"/>
                      <a:ext cx="5685677" cy="4040214"/>
                    </a:xfrm>
                    <a:prstGeom prst="rect">
                      <a:avLst/>
                    </a:prstGeom>
                    <a:noFill/>
                    <a:ln>
                      <a:noFill/>
                    </a:ln>
                    <a:extLst>
                      <a:ext uri="{53640926-AAD7-44D8-BBD7-CCE9431645EC}">
                        <a14:shadowObscured xmlns:a14="http://schemas.microsoft.com/office/drawing/2010/main"/>
                      </a:ext>
                    </a:extLst>
                  </pic:spPr>
                </pic:pic>
              </a:graphicData>
            </a:graphic>
          </wp:inline>
        </w:drawing>
      </w:r>
    </w:p>
    <w:p w14:paraId="42CFD46A" w14:textId="4242C70B" w:rsidR="00EA64A0" w:rsidRPr="00E35305" w:rsidRDefault="00EA64A0" w:rsidP="00EA64A0">
      <w:pPr>
        <w:pStyle w:val="Heading3"/>
      </w:pPr>
      <w:bookmarkStart w:id="125" w:name="_Toc52430190"/>
      <w:r>
        <w:t>Delivery of f</w:t>
      </w:r>
      <w:r w:rsidRPr="00E35305">
        <w:t xml:space="preserve">irst </w:t>
      </w:r>
      <w:r>
        <w:t>s</w:t>
      </w:r>
      <w:r w:rsidRPr="00E35305">
        <w:t xml:space="preserve">pecialist </w:t>
      </w:r>
      <w:r>
        <w:t>assessments</w:t>
      </w:r>
      <w:bookmarkEnd w:id="125"/>
    </w:p>
    <w:p w14:paraId="3A14C6CB" w14:textId="34B6606A" w:rsidR="00EA64A0" w:rsidRDefault="00EA64A0" w:rsidP="00EA64A0">
      <w:pPr>
        <w:rPr>
          <w:color w:val="000000" w:themeColor="text1"/>
        </w:rPr>
      </w:pPr>
      <w:r w:rsidRPr="00F502FC">
        <w:rPr>
          <w:color w:val="000000" w:themeColor="text1"/>
        </w:rPr>
        <w:t xml:space="preserve">Nationally, delivery of FSAs decreased by 8.2% in March 2020 and 36.2% </w:t>
      </w:r>
      <w:r>
        <w:rPr>
          <w:color w:val="000000" w:themeColor="text1"/>
        </w:rPr>
        <w:t xml:space="preserve">in April 2020 </w:t>
      </w:r>
      <w:r w:rsidRPr="00F502FC">
        <w:rPr>
          <w:color w:val="000000" w:themeColor="text1"/>
        </w:rPr>
        <w:t xml:space="preserve">compared </w:t>
      </w:r>
      <w:r>
        <w:rPr>
          <w:color w:val="000000" w:themeColor="text1"/>
        </w:rPr>
        <w:t>with the same month in</w:t>
      </w:r>
      <w:r w:rsidRPr="00F502FC">
        <w:rPr>
          <w:color w:val="000000" w:themeColor="text1"/>
        </w:rPr>
        <w:t xml:space="preserve"> 2019. In May 2020 the </w:t>
      </w:r>
      <w:r>
        <w:rPr>
          <w:color w:val="000000" w:themeColor="text1"/>
        </w:rPr>
        <w:t>numbers</w:t>
      </w:r>
      <w:r w:rsidRPr="00F502FC">
        <w:rPr>
          <w:color w:val="000000" w:themeColor="text1"/>
        </w:rPr>
        <w:t xml:space="preserve"> began to </w:t>
      </w:r>
      <w:r>
        <w:rPr>
          <w:color w:val="000000" w:themeColor="text1"/>
        </w:rPr>
        <w:t xml:space="preserve">rise </w:t>
      </w:r>
      <w:r w:rsidRPr="00F502FC">
        <w:rPr>
          <w:color w:val="000000" w:themeColor="text1"/>
        </w:rPr>
        <w:t>but FSA delivery was still 26.8% lower than in May 2019</w:t>
      </w:r>
      <w:r>
        <w:rPr>
          <w:color w:val="000000" w:themeColor="text1"/>
        </w:rPr>
        <w:t>.</w:t>
      </w:r>
      <w:r w:rsidRPr="00F502FC">
        <w:rPr>
          <w:color w:val="000000" w:themeColor="text1"/>
        </w:rPr>
        <w:t xml:space="preserve"> </w:t>
      </w:r>
      <w:r>
        <w:rPr>
          <w:color w:val="000000" w:themeColor="text1"/>
        </w:rPr>
        <w:t>H</w:t>
      </w:r>
      <w:r w:rsidRPr="00F502FC">
        <w:rPr>
          <w:color w:val="000000" w:themeColor="text1"/>
        </w:rPr>
        <w:t>owever</w:t>
      </w:r>
      <w:r>
        <w:rPr>
          <w:color w:val="000000" w:themeColor="text1"/>
        </w:rPr>
        <w:t>,</w:t>
      </w:r>
      <w:r w:rsidRPr="00F502FC">
        <w:rPr>
          <w:color w:val="000000" w:themeColor="text1"/>
        </w:rPr>
        <w:t xml:space="preserve"> in June 2020 the delivery of FSAs was 10.7% higher than in 2019, reflecting </w:t>
      </w:r>
      <w:r>
        <w:rPr>
          <w:color w:val="000000" w:themeColor="text1"/>
        </w:rPr>
        <w:t>how</w:t>
      </w:r>
      <w:r w:rsidRPr="00F502FC">
        <w:rPr>
          <w:color w:val="000000" w:themeColor="text1"/>
        </w:rPr>
        <w:t xml:space="preserve"> services </w:t>
      </w:r>
      <w:r>
        <w:rPr>
          <w:color w:val="000000" w:themeColor="text1"/>
        </w:rPr>
        <w:t xml:space="preserve">became more available </w:t>
      </w:r>
      <w:r w:rsidRPr="00F502FC">
        <w:rPr>
          <w:color w:val="000000" w:themeColor="text1"/>
        </w:rPr>
        <w:t xml:space="preserve">in Alert Level 1 </w:t>
      </w:r>
      <w:r>
        <w:rPr>
          <w:color w:val="000000" w:themeColor="text1"/>
        </w:rPr>
        <w:t xml:space="preserve">than they had been at </w:t>
      </w:r>
      <w:r w:rsidRPr="00F502FC">
        <w:rPr>
          <w:color w:val="000000" w:themeColor="text1"/>
        </w:rPr>
        <w:t xml:space="preserve">previous </w:t>
      </w:r>
      <w:r>
        <w:rPr>
          <w:color w:val="000000" w:themeColor="text1"/>
        </w:rPr>
        <w:t>A</w:t>
      </w:r>
      <w:r w:rsidRPr="00F502FC">
        <w:rPr>
          <w:color w:val="000000" w:themeColor="text1"/>
        </w:rPr>
        <w:t xml:space="preserve">lert </w:t>
      </w:r>
      <w:r>
        <w:rPr>
          <w:color w:val="000000" w:themeColor="text1"/>
        </w:rPr>
        <w:t>L</w:t>
      </w:r>
      <w:r w:rsidRPr="00F502FC">
        <w:rPr>
          <w:color w:val="000000" w:themeColor="text1"/>
        </w:rPr>
        <w:t>evels and indicating the beginning of a period of recovery.</w:t>
      </w:r>
      <w:r>
        <w:rPr>
          <w:color w:val="000000" w:themeColor="text1"/>
        </w:rPr>
        <w:t xml:space="preserve"> </w:t>
      </w:r>
      <w:r w:rsidR="00B65BC8">
        <w:rPr>
          <w:color w:val="000000" w:themeColor="text1"/>
        </w:rPr>
        <w:fldChar w:fldCharType="begin"/>
      </w:r>
      <w:r w:rsidR="00B65BC8">
        <w:rPr>
          <w:color w:val="000000" w:themeColor="text1"/>
        </w:rPr>
        <w:instrText xml:space="preserve"> REF _Ref53470517 \h </w:instrText>
      </w:r>
      <w:r w:rsidR="00B65BC8">
        <w:rPr>
          <w:color w:val="000000" w:themeColor="text1"/>
        </w:rPr>
      </w:r>
      <w:r w:rsidR="00B65BC8">
        <w:rPr>
          <w:color w:val="000000" w:themeColor="text1"/>
        </w:rPr>
        <w:fldChar w:fldCharType="separate"/>
      </w:r>
      <w:r w:rsidR="00CF2713" w:rsidRPr="00D04F25">
        <w:t xml:space="preserve">Figure </w:t>
      </w:r>
      <w:r w:rsidR="00CF2713">
        <w:rPr>
          <w:noProof/>
        </w:rPr>
        <w:t>17</w:t>
      </w:r>
      <w:r w:rsidR="00B65BC8">
        <w:rPr>
          <w:color w:val="000000" w:themeColor="text1"/>
        </w:rPr>
        <w:fldChar w:fldCharType="end"/>
      </w:r>
      <w:r>
        <w:rPr>
          <w:color w:val="000000" w:themeColor="text1"/>
        </w:rPr>
        <w:t xml:space="preserve"> shows the number of FSAs nationally from March to June 2018–2020.</w:t>
      </w:r>
    </w:p>
    <w:p w14:paraId="1F86DFAB" w14:textId="77777777" w:rsidR="00EA64A0" w:rsidRPr="00F502FC" w:rsidRDefault="00EA64A0" w:rsidP="00EA64A0">
      <w:pPr>
        <w:rPr>
          <w:b/>
          <w:color w:val="000000" w:themeColor="text1"/>
          <w:sz w:val="24"/>
          <w:szCs w:val="24"/>
        </w:rPr>
      </w:pPr>
    </w:p>
    <w:p w14:paraId="4A1B1CE2" w14:textId="77777777" w:rsidR="00EA64A0" w:rsidRPr="00651319" w:rsidRDefault="00EA64A0" w:rsidP="00EA64A0">
      <w:pPr>
        <w:rPr>
          <w:color w:val="000000" w:themeColor="text1"/>
        </w:rPr>
      </w:pPr>
      <w:r w:rsidRPr="00F502FC">
        <w:rPr>
          <w:color w:val="000000" w:themeColor="text1"/>
        </w:rPr>
        <w:t xml:space="preserve">Appendix </w:t>
      </w:r>
      <w:r>
        <w:rPr>
          <w:color w:val="000000" w:themeColor="text1"/>
        </w:rPr>
        <w:t>8</w:t>
      </w:r>
      <w:r w:rsidRPr="00F502FC">
        <w:rPr>
          <w:color w:val="000000" w:themeColor="text1"/>
        </w:rPr>
        <w:t xml:space="preserve"> shows FSA</w:t>
      </w:r>
      <w:r>
        <w:rPr>
          <w:color w:val="000000" w:themeColor="text1"/>
        </w:rPr>
        <w:t xml:space="preserve"> deliveries</w:t>
      </w:r>
      <w:r w:rsidRPr="00F502FC">
        <w:rPr>
          <w:color w:val="000000" w:themeColor="text1"/>
        </w:rPr>
        <w:t xml:space="preserve"> by region from March to June 2018</w:t>
      </w:r>
      <w:r>
        <w:rPr>
          <w:color w:val="000000" w:themeColor="text1"/>
        </w:rPr>
        <w:t>–</w:t>
      </w:r>
      <w:r w:rsidRPr="00F502FC">
        <w:rPr>
          <w:color w:val="000000" w:themeColor="text1"/>
        </w:rPr>
        <w:t xml:space="preserve">2020. South Region experienced the largest reduction in FSAs </w:t>
      </w:r>
      <w:r>
        <w:rPr>
          <w:color w:val="000000" w:themeColor="text1"/>
        </w:rPr>
        <w:t xml:space="preserve">delivered </w:t>
      </w:r>
      <w:r w:rsidRPr="00F502FC">
        <w:rPr>
          <w:color w:val="000000" w:themeColor="text1"/>
        </w:rPr>
        <w:t xml:space="preserve">across all four months in 2020 compared </w:t>
      </w:r>
      <w:r>
        <w:rPr>
          <w:color w:val="000000" w:themeColor="text1"/>
        </w:rPr>
        <w:t>with</w:t>
      </w:r>
      <w:r w:rsidRPr="00F502FC">
        <w:rPr>
          <w:color w:val="000000" w:themeColor="text1"/>
        </w:rPr>
        <w:t xml:space="preserve"> the same months in 2019, and was the only region that </w:t>
      </w:r>
      <w:r>
        <w:rPr>
          <w:color w:val="000000" w:themeColor="text1"/>
        </w:rPr>
        <w:t>had</w:t>
      </w:r>
      <w:r w:rsidRPr="00F502FC">
        <w:rPr>
          <w:color w:val="000000" w:themeColor="text1"/>
        </w:rPr>
        <w:t xml:space="preserve"> a reduction in FSAs in June 2020 compared with June 2019 (down by 4.3%). Central Region </w:t>
      </w:r>
      <w:r>
        <w:rPr>
          <w:color w:val="000000" w:themeColor="text1"/>
        </w:rPr>
        <w:t>had</w:t>
      </w:r>
      <w:r w:rsidRPr="00F502FC">
        <w:rPr>
          <w:color w:val="000000" w:themeColor="text1"/>
        </w:rPr>
        <w:t xml:space="preserve"> the smallest reduction in FSAs in March 2020 (2.8%) and April 2020 (22.2%) compared </w:t>
      </w:r>
      <w:r>
        <w:rPr>
          <w:color w:val="000000" w:themeColor="text1"/>
        </w:rPr>
        <w:t>with</w:t>
      </w:r>
      <w:r w:rsidRPr="00F502FC">
        <w:rPr>
          <w:color w:val="000000" w:themeColor="text1"/>
        </w:rPr>
        <w:t xml:space="preserve"> the same months in 2019, while Northern Region </w:t>
      </w:r>
      <w:r>
        <w:rPr>
          <w:color w:val="000000" w:themeColor="text1"/>
        </w:rPr>
        <w:t>had</w:t>
      </w:r>
      <w:r w:rsidRPr="00F502FC">
        <w:rPr>
          <w:color w:val="000000" w:themeColor="text1"/>
        </w:rPr>
        <w:t xml:space="preserve"> the smallest reduction in May 2020 (20.8%) compared </w:t>
      </w:r>
      <w:r>
        <w:rPr>
          <w:color w:val="000000" w:themeColor="text1"/>
        </w:rPr>
        <w:t>with</w:t>
      </w:r>
      <w:r w:rsidRPr="00F502FC">
        <w:rPr>
          <w:color w:val="000000" w:themeColor="text1"/>
        </w:rPr>
        <w:t xml:space="preserve"> May 2019. FSA delivery </w:t>
      </w:r>
      <w:r>
        <w:rPr>
          <w:color w:val="000000" w:themeColor="text1"/>
        </w:rPr>
        <w:t xml:space="preserve">increased in </w:t>
      </w:r>
      <w:r w:rsidRPr="00F502FC">
        <w:rPr>
          <w:color w:val="000000" w:themeColor="text1"/>
        </w:rPr>
        <w:t xml:space="preserve">Central, Midland and Northern regions in June 2020 compared </w:t>
      </w:r>
      <w:r>
        <w:rPr>
          <w:color w:val="000000" w:themeColor="text1"/>
        </w:rPr>
        <w:t>with</w:t>
      </w:r>
      <w:r w:rsidRPr="00F502FC">
        <w:rPr>
          <w:color w:val="000000" w:themeColor="text1"/>
        </w:rPr>
        <w:t xml:space="preserve"> June 2019, with the greatest increase (18.1%)</w:t>
      </w:r>
      <w:r w:rsidRPr="005577F0">
        <w:rPr>
          <w:color w:val="000000" w:themeColor="text1"/>
        </w:rPr>
        <w:t xml:space="preserve"> </w:t>
      </w:r>
      <w:r>
        <w:rPr>
          <w:color w:val="000000" w:themeColor="text1"/>
        </w:rPr>
        <w:t xml:space="preserve">in </w:t>
      </w:r>
      <w:r w:rsidRPr="00F502FC">
        <w:rPr>
          <w:color w:val="000000" w:themeColor="text1"/>
        </w:rPr>
        <w:t>Northern</w:t>
      </w:r>
      <w:r>
        <w:rPr>
          <w:color w:val="000000" w:themeColor="text1"/>
        </w:rPr>
        <w:t xml:space="preserve"> Region</w:t>
      </w:r>
      <w:r w:rsidRPr="00F502FC">
        <w:rPr>
          <w:color w:val="000000" w:themeColor="text1"/>
        </w:rPr>
        <w:t>.</w:t>
      </w:r>
    </w:p>
    <w:p w14:paraId="2FFCFD6D" w14:textId="77777777" w:rsidR="000478E1" w:rsidRDefault="000478E1" w:rsidP="00EA64A0">
      <w:pPr>
        <w:pStyle w:val="Caption"/>
        <w:rPr>
          <w:highlight w:val="yellow"/>
        </w:rPr>
        <w:sectPr w:rsidR="000478E1" w:rsidSect="006A7630">
          <w:pgSz w:w="11906" w:h="16838"/>
          <w:pgMar w:top="1440" w:right="1440" w:bottom="1440" w:left="1440" w:header="708" w:footer="708" w:gutter="0"/>
          <w:cols w:space="708"/>
          <w:docGrid w:linePitch="360"/>
        </w:sectPr>
      </w:pPr>
      <w:bookmarkStart w:id="126" w:name="_Toc52420605"/>
    </w:p>
    <w:p w14:paraId="0D2FDA5A" w14:textId="4F4CF257" w:rsidR="00EA64A0" w:rsidRDefault="00EA64A0" w:rsidP="00EA64A0">
      <w:pPr>
        <w:pStyle w:val="Caption"/>
      </w:pPr>
      <w:bookmarkStart w:id="127" w:name="_Ref53470517"/>
      <w:bookmarkStart w:id="128" w:name="_Toc53585947"/>
      <w:r w:rsidRPr="00D04F25">
        <w:lastRenderedPageBreak/>
        <w:t xml:space="preserve">Figure </w:t>
      </w:r>
      <w:r w:rsidRPr="00D04F25">
        <w:rPr>
          <w:noProof/>
        </w:rPr>
        <w:fldChar w:fldCharType="begin"/>
      </w:r>
      <w:r w:rsidRPr="00D04F25">
        <w:rPr>
          <w:noProof/>
        </w:rPr>
        <w:instrText xml:space="preserve"> SEQ Figure \* ARABIC </w:instrText>
      </w:r>
      <w:r w:rsidRPr="00D04F25">
        <w:rPr>
          <w:noProof/>
        </w:rPr>
        <w:fldChar w:fldCharType="separate"/>
      </w:r>
      <w:r w:rsidR="00CF2713">
        <w:rPr>
          <w:noProof/>
        </w:rPr>
        <w:t>17</w:t>
      </w:r>
      <w:r w:rsidRPr="00D04F25">
        <w:rPr>
          <w:noProof/>
        </w:rPr>
        <w:fldChar w:fldCharType="end"/>
      </w:r>
      <w:bookmarkEnd w:id="127"/>
      <w:r w:rsidRPr="00D04F25">
        <w:t>: Number of first specialist assessments delivered nationally from March to June 2018–2020</w:t>
      </w:r>
      <w:bookmarkEnd w:id="126"/>
      <w:bookmarkEnd w:id="128"/>
    </w:p>
    <w:p w14:paraId="027ADE19" w14:textId="6F676708" w:rsidR="009819B8" w:rsidRPr="009819B8" w:rsidRDefault="00D04F25" w:rsidP="00D04F25">
      <w:pPr>
        <w:jc w:val="both"/>
      </w:pPr>
      <w:r>
        <w:rPr>
          <w:noProof/>
        </w:rPr>
        <w:drawing>
          <wp:inline distT="0" distB="0" distL="0" distR="0" wp14:anchorId="05C429BB" wp14:editId="202D51E3">
            <wp:extent cx="5692823" cy="3037082"/>
            <wp:effectExtent l="0" t="0" r="3175" b="0"/>
            <wp:docPr id="137" name="Picture 137" descr="This bar graph shows that there were fewer specialist assessments delivered in March, April and May of 2020 than in previous years. There were slightly more delivered in June 2020 than i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90" t="7234" r="8280" b="7756"/>
                    <a:stretch/>
                  </pic:blipFill>
                  <pic:spPr bwMode="auto">
                    <a:xfrm>
                      <a:off x="0" y="0"/>
                      <a:ext cx="5706539" cy="3044399"/>
                    </a:xfrm>
                    <a:prstGeom prst="rect">
                      <a:avLst/>
                    </a:prstGeom>
                    <a:noFill/>
                    <a:ln>
                      <a:noFill/>
                    </a:ln>
                    <a:extLst>
                      <a:ext uri="{53640926-AAD7-44D8-BBD7-CCE9431645EC}">
                        <a14:shadowObscured xmlns:a14="http://schemas.microsoft.com/office/drawing/2010/main"/>
                      </a:ext>
                    </a:extLst>
                  </pic:spPr>
                </pic:pic>
              </a:graphicData>
            </a:graphic>
          </wp:inline>
        </w:drawing>
      </w:r>
    </w:p>
    <w:p w14:paraId="7FD876C6" w14:textId="499952C9" w:rsidR="00EA64A0" w:rsidRDefault="00EA64A0" w:rsidP="00EA64A0">
      <w:pPr>
        <w:spacing w:before="120"/>
        <w:jc w:val="center"/>
        <w:rPr>
          <w:color w:val="92D050"/>
        </w:rPr>
      </w:pPr>
    </w:p>
    <w:p w14:paraId="07ABDD6F" w14:textId="6475C71E" w:rsidR="00EA64A0" w:rsidRDefault="00B65BC8" w:rsidP="00EA64A0">
      <w:pPr>
        <w:rPr>
          <w:color w:val="000000" w:themeColor="text1"/>
        </w:rPr>
      </w:pPr>
      <w:r>
        <w:rPr>
          <w:color w:val="000000" w:themeColor="text1"/>
        </w:rPr>
        <w:fldChar w:fldCharType="begin"/>
      </w:r>
      <w:r>
        <w:rPr>
          <w:color w:val="000000" w:themeColor="text1"/>
        </w:rPr>
        <w:instrText xml:space="preserve"> REF _Ref53470524 \h </w:instrText>
      </w:r>
      <w:r>
        <w:rPr>
          <w:color w:val="000000" w:themeColor="text1"/>
        </w:rPr>
      </w:r>
      <w:r>
        <w:rPr>
          <w:color w:val="000000" w:themeColor="text1"/>
        </w:rPr>
        <w:fldChar w:fldCharType="separate"/>
      </w:r>
      <w:r w:rsidR="00CF2713" w:rsidRPr="00D04F25">
        <w:t xml:space="preserve">Figure </w:t>
      </w:r>
      <w:r w:rsidR="00CF2713">
        <w:rPr>
          <w:noProof/>
        </w:rPr>
        <w:t>18</w:t>
      </w:r>
      <w:r>
        <w:rPr>
          <w:color w:val="000000" w:themeColor="text1"/>
        </w:rPr>
        <w:fldChar w:fldCharType="end"/>
      </w:r>
      <w:r w:rsidR="00EA64A0" w:rsidRPr="00F502FC">
        <w:rPr>
          <w:color w:val="000000" w:themeColor="text1"/>
        </w:rPr>
        <w:t xml:space="preserve"> shows</w:t>
      </w:r>
      <w:r w:rsidR="00EA64A0">
        <w:rPr>
          <w:color w:val="000000" w:themeColor="text1"/>
        </w:rPr>
        <w:t xml:space="preserve"> what percentage of</w:t>
      </w:r>
      <w:r w:rsidR="00EA64A0" w:rsidRPr="00F502FC">
        <w:rPr>
          <w:color w:val="000000" w:themeColor="text1"/>
        </w:rPr>
        <w:t xml:space="preserve"> the </w:t>
      </w:r>
      <w:r w:rsidR="00EA64A0">
        <w:rPr>
          <w:color w:val="000000" w:themeColor="text1"/>
        </w:rPr>
        <w:t xml:space="preserve">total </w:t>
      </w:r>
      <w:r w:rsidR="00EA64A0" w:rsidRPr="00F502FC">
        <w:rPr>
          <w:color w:val="000000" w:themeColor="text1"/>
        </w:rPr>
        <w:t>number of FSAs nationally</w:t>
      </w:r>
      <w:r w:rsidR="00EA64A0">
        <w:rPr>
          <w:color w:val="000000" w:themeColor="text1"/>
        </w:rPr>
        <w:t xml:space="preserve"> was delivered to each of the three</w:t>
      </w:r>
      <w:r w:rsidR="00EA64A0" w:rsidRPr="00F502FC">
        <w:rPr>
          <w:color w:val="000000" w:themeColor="text1"/>
        </w:rPr>
        <w:t xml:space="preserve"> ethnic</w:t>
      </w:r>
      <w:r w:rsidR="00EA64A0">
        <w:rPr>
          <w:color w:val="000000" w:themeColor="text1"/>
        </w:rPr>
        <w:t xml:space="preserve"> groups</w:t>
      </w:r>
      <w:r w:rsidR="00EA64A0" w:rsidRPr="00627BC0">
        <w:rPr>
          <w:color w:val="000000" w:themeColor="text1"/>
        </w:rPr>
        <w:t xml:space="preserve"> </w:t>
      </w:r>
      <w:r w:rsidR="00EA64A0" w:rsidRPr="00F502FC">
        <w:rPr>
          <w:color w:val="000000" w:themeColor="text1"/>
        </w:rPr>
        <w:t>between March and June 2018</w:t>
      </w:r>
      <w:r w:rsidR="00EA64A0">
        <w:rPr>
          <w:color w:val="000000" w:themeColor="text1"/>
        </w:rPr>
        <w:t>–</w:t>
      </w:r>
      <w:r w:rsidR="00EA64A0" w:rsidRPr="00F502FC">
        <w:rPr>
          <w:color w:val="000000" w:themeColor="text1"/>
        </w:rPr>
        <w:t xml:space="preserve">2020. </w:t>
      </w:r>
      <w:r w:rsidR="00EA64A0">
        <w:rPr>
          <w:color w:val="000000" w:themeColor="text1"/>
        </w:rPr>
        <w:t>Delivery of FSAs decreased most for</w:t>
      </w:r>
      <w:r w:rsidR="00EA64A0" w:rsidRPr="00F502FC">
        <w:rPr>
          <w:color w:val="000000" w:themeColor="text1"/>
        </w:rPr>
        <w:t xml:space="preserve"> non-Māori</w:t>
      </w:r>
      <w:r w:rsidR="00EA64A0">
        <w:rPr>
          <w:color w:val="000000" w:themeColor="text1"/>
        </w:rPr>
        <w:t>,</w:t>
      </w:r>
      <w:r w:rsidR="00EA64A0" w:rsidRPr="00F502FC">
        <w:rPr>
          <w:color w:val="000000" w:themeColor="text1"/>
        </w:rPr>
        <w:t xml:space="preserve"> non-Pacific</w:t>
      </w:r>
      <w:r w:rsidR="00EA64A0">
        <w:rPr>
          <w:color w:val="000000" w:themeColor="text1"/>
        </w:rPr>
        <w:t xml:space="preserve">, by </w:t>
      </w:r>
      <w:r w:rsidR="00EA64A0" w:rsidRPr="00F502FC">
        <w:rPr>
          <w:color w:val="000000" w:themeColor="text1"/>
        </w:rPr>
        <w:t xml:space="preserve">9.7% in March 2020 compared </w:t>
      </w:r>
      <w:r w:rsidR="00EA64A0">
        <w:rPr>
          <w:color w:val="000000" w:themeColor="text1"/>
        </w:rPr>
        <w:t>with</w:t>
      </w:r>
      <w:r w:rsidR="00EA64A0" w:rsidRPr="00F502FC">
        <w:rPr>
          <w:color w:val="000000" w:themeColor="text1"/>
        </w:rPr>
        <w:t xml:space="preserve"> March 2019, </w:t>
      </w:r>
      <w:r w:rsidR="00EA64A0">
        <w:rPr>
          <w:color w:val="000000" w:themeColor="text1"/>
        </w:rPr>
        <w:t xml:space="preserve">while it fell by </w:t>
      </w:r>
      <w:r w:rsidR="00EA64A0" w:rsidRPr="00F502FC">
        <w:rPr>
          <w:color w:val="000000" w:themeColor="text1"/>
        </w:rPr>
        <w:t>1.2%</w:t>
      </w:r>
      <w:r w:rsidR="00EA64A0">
        <w:rPr>
          <w:color w:val="000000" w:themeColor="text1"/>
        </w:rPr>
        <w:t xml:space="preserve"> for</w:t>
      </w:r>
      <w:r w:rsidR="00EA64A0" w:rsidRPr="00F502FC">
        <w:rPr>
          <w:color w:val="000000" w:themeColor="text1"/>
        </w:rPr>
        <w:t xml:space="preserve"> Māori and 0.04%</w:t>
      </w:r>
      <w:r w:rsidR="00EA64A0">
        <w:rPr>
          <w:color w:val="000000" w:themeColor="text1"/>
        </w:rPr>
        <w:t xml:space="preserve"> for</w:t>
      </w:r>
      <w:r w:rsidR="00EA64A0" w:rsidRPr="00F502FC">
        <w:rPr>
          <w:color w:val="000000" w:themeColor="text1"/>
        </w:rPr>
        <w:t xml:space="preserve"> Pacific </w:t>
      </w:r>
      <w:r w:rsidR="00EA64A0">
        <w:rPr>
          <w:color w:val="000000" w:themeColor="text1"/>
        </w:rPr>
        <w:t>peoples</w:t>
      </w:r>
      <w:r w:rsidR="00EA64A0" w:rsidRPr="00F502FC">
        <w:rPr>
          <w:color w:val="000000" w:themeColor="text1"/>
        </w:rPr>
        <w:t>. In April 2020</w:t>
      </w:r>
      <w:r w:rsidR="00EA64A0">
        <w:rPr>
          <w:color w:val="000000" w:themeColor="text1"/>
        </w:rPr>
        <w:t>, all groups experienced an even greater</w:t>
      </w:r>
      <w:r w:rsidR="00EA64A0" w:rsidRPr="00F502FC">
        <w:rPr>
          <w:color w:val="000000" w:themeColor="text1"/>
        </w:rPr>
        <w:t xml:space="preserve"> disruption to FSA </w:t>
      </w:r>
      <w:r w:rsidR="00EA64A0">
        <w:rPr>
          <w:color w:val="000000" w:themeColor="text1"/>
        </w:rPr>
        <w:t>delivery, with numbers falling by</w:t>
      </w:r>
      <w:r w:rsidR="00EA64A0" w:rsidRPr="00F502FC">
        <w:rPr>
          <w:color w:val="000000" w:themeColor="text1"/>
        </w:rPr>
        <w:t xml:space="preserve"> 37.5% for non-Māori</w:t>
      </w:r>
      <w:r w:rsidR="00EA64A0">
        <w:rPr>
          <w:color w:val="000000" w:themeColor="text1"/>
        </w:rPr>
        <w:t>,</w:t>
      </w:r>
      <w:r w:rsidR="00EA64A0" w:rsidRPr="00F502FC">
        <w:rPr>
          <w:color w:val="000000" w:themeColor="text1"/>
        </w:rPr>
        <w:t xml:space="preserve"> non-Pacific, 31.6% for Māori and 25.5% for Pacific</w:t>
      </w:r>
      <w:r w:rsidR="00EA64A0">
        <w:rPr>
          <w:color w:val="000000" w:themeColor="text1"/>
        </w:rPr>
        <w:t xml:space="preserve"> peoples</w:t>
      </w:r>
      <w:r w:rsidR="00EA64A0" w:rsidRPr="0045375F">
        <w:rPr>
          <w:color w:val="000000" w:themeColor="text1"/>
        </w:rPr>
        <w:t xml:space="preserve"> </w:t>
      </w:r>
      <w:r w:rsidR="00EA64A0" w:rsidRPr="00F502FC">
        <w:rPr>
          <w:color w:val="000000" w:themeColor="text1"/>
        </w:rPr>
        <w:t xml:space="preserve">compared with April 2019.  </w:t>
      </w:r>
    </w:p>
    <w:p w14:paraId="612B6C3D" w14:textId="77777777" w:rsidR="00EA64A0" w:rsidRPr="00F502FC" w:rsidRDefault="00EA64A0" w:rsidP="00EA64A0">
      <w:pPr>
        <w:rPr>
          <w:color w:val="000000" w:themeColor="text1"/>
        </w:rPr>
      </w:pPr>
    </w:p>
    <w:p w14:paraId="675A8E17" w14:textId="77777777" w:rsidR="00EA64A0" w:rsidRPr="004A3749" w:rsidRDefault="00EA64A0" w:rsidP="00EA64A0">
      <w:pPr>
        <w:rPr>
          <w:color w:val="000000" w:themeColor="text1"/>
        </w:rPr>
      </w:pPr>
      <w:r>
        <w:rPr>
          <w:color w:val="000000" w:themeColor="text1"/>
        </w:rPr>
        <w:t>D</w:t>
      </w:r>
      <w:r w:rsidRPr="00F502FC">
        <w:rPr>
          <w:color w:val="000000" w:themeColor="text1"/>
        </w:rPr>
        <w:t>isruption</w:t>
      </w:r>
      <w:r>
        <w:rPr>
          <w:color w:val="000000" w:themeColor="text1"/>
        </w:rPr>
        <w:t xml:space="preserve"> continued</w:t>
      </w:r>
      <w:r w:rsidRPr="00F502FC">
        <w:rPr>
          <w:color w:val="000000" w:themeColor="text1"/>
        </w:rPr>
        <w:t xml:space="preserve"> in May 2020</w:t>
      </w:r>
      <w:r>
        <w:rPr>
          <w:color w:val="000000" w:themeColor="text1"/>
        </w:rPr>
        <w:t xml:space="preserve"> but somewhat less than in April</w:t>
      </w:r>
      <w:r w:rsidRPr="00F502FC">
        <w:rPr>
          <w:color w:val="000000" w:themeColor="text1"/>
        </w:rPr>
        <w:t xml:space="preserve">. Pacific </w:t>
      </w:r>
      <w:r>
        <w:rPr>
          <w:color w:val="000000" w:themeColor="text1"/>
        </w:rPr>
        <w:t xml:space="preserve">peoples </w:t>
      </w:r>
      <w:r w:rsidRPr="00F502FC">
        <w:rPr>
          <w:color w:val="000000" w:themeColor="text1"/>
        </w:rPr>
        <w:t>were the least affected, with</w:t>
      </w:r>
      <w:r>
        <w:rPr>
          <w:color w:val="000000" w:themeColor="text1"/>
        </w:rPr>
        <w:t xml:space="preserve"> a decrease in</w:t>
      </w:r>
      <w:r w:rsidRPr="00F502FC">
        <w:rPr>
          <w:color w:val="000000" w:themeColor="text1"/>
        </w:rPr>
        <w:t xml:space="preserve"> FSA </w:t>
      </w:r>
      <w:r>
        <w:rPr>
          <w:color w:val="000000" w:themeColor="text1"/>
        </w:rPr>
        <w:t>delivery of</w:t>
      </w:r>
      <w:r w:rsidRPr="00F502FC">
        <w:rPr>
          <w:color w:val="000000" w:themeColor="text1"/>
        </w:rPr>
        <w:t xml:space="preserve"> 16.1% compared with May 2019, </w:t>
      </w:r>
      <w:r>
        <w:rPr>
          <w:color w:val="000000" w:themeColor="text1"/>
        </w:rPr>
        <w:t xml:space="preserve">while the reduction was </w:t>
      </w:r>
      <w:r w:rsidRPr="00F502FC">
        <w:rPr>
          <w:color w:val="000000" w:themeColor="text1"/>
        </w:rPr>
        <w:t>24.4% for Māori and 27.8% for non-Māori</w:t>
      </w:r>
      <w:r>
        <w:rPr>
          <w:color w:val="000000" w:themeColor="text1"/>
        </w:rPr>
        <w:t>,</w:t>
      </w:r>
      <w:r w:rsidRPr="00F502FC">
        <w:rPr>
          <w:color w:val="000000" w:themeColor="text1"/>
        </w:rPr>
        <w:t xml:space="preserve"> non-Pacific </w:t>
      </w:r>
      <w:r>
        <w:rPr>
          <w:color w:val="000000" w:themeColor="text1"/>
        </w:rPr>
        <w:t>over the same period</w:t>
      </w:r>
      <w:r w:rsidRPr="00F502FC">
        <w:rPr>
          <w:color w:val="000000" w:themeColor="text1"/>
        </w:rPr>
        <w:t>. In June 2020</w:t>
      </w:r>
      <w:r>
        <w:rPr>
          <w:color w:val="000000" w:themeColor="text1"/>
        </w:rPr>
        <w:t>, FSA</w:t>
      </w:r>
      <w:r w:rsidRPr="00F502FC">
        <w:rPr>
          <w:color w:val="000000" w:themeColor="text1"/>
        </w:rPr>
        <w:t xml:space="preserve"> delivery </w:t>
      </w:r>
      <w:r>
        <w:rPr>
          <w:color w:val="000000" w:themeColor="text1"/>
        </w:rPr>
        <w:t>to all three</w:t>
      </w:r>
      <w:r w:rsidRPr="00F502FC">
        <w:rPr>
          <w:color w:val="000000" w:themeColor="text1"/>
        </w:rPr>
        <w:t xml:space="preserve"> ethnic groups </w:t>
      </w:r>
      <w:r>
        <w:rPr>
          <w:color w:val="000000" w:themeColor="text1"/>
        </w:rPr>
        <w:t>was above</w:t>
      </w:r>
      <w:r w:rsidRPr="00F502FC">
        <w:rPr>
          <w:color w:val="000000" w:themeColor="text1"/>
        </w:rPr>
        <w:t xml:space="preserve"> June 2019 </w:t>
      </w:r>
      <w:r>
        <w:rPr>
          <w:color w:val="000000" w:themeColor="text1"/>
        </w:rPr>
        <w:t>levels: up</w:t>
      </w:r>
      <w:r w:rsidRPr="00F502FC">
        <w:rPr>
          <w:color w:val="000000" w:themeColor="text1"/>
        </w:rPr>
        <w:t xml:space="preserve"> 17.4%</w:t>
      </w:r>
      <w:r>
        <w:rPr>
          <w:color w:val="000000" w:themeColor="text1"/>
        </w:rPr>
        <w:t xml:space="preserve"> for</w:t>
      </w:r>
      <w:r w:rsidRPr="00F502FC">
        <w:rPr>
          <w:color w:val="000000" w:themeColor="text1"/>
        </w:rPr>
        <w:t xml:space="preserve"> Pacific people</w:t>
      </w:r>
      <w:r>
        <w:rPr>
          <w:color w:val="000000" w:themeColor="text1"/>
        </w:rPr>
        <w:t>s,</w:t>
      </w:r>
      <w:r w:rsidRPr="00F502FC">
        <w:rPr>
          <w:color w:val="000000" w:themeColor="text1"/>
        </w:rPr>
        <w:t xml:space="preserve"> 16.2%</w:t>
      </w:r>
      <w:r>
        <w:rPr>
          <w:color w:val="000000" w:themeColor="text1"/>
        </w:rPr>
        <w:t xml:space="preserve"> for</w:t>
      </w:r>
      <w:r w:rsidRPr="00F502FC">
        <w:rPr>
          <w:color w:val="000000" w:themeColor="text1"/>
        </w:rPr>
        <w:t xml:space="preserve"> Māori and 9.4% </w:t>
      </w:r>
      <w:r>
        <w:rPr>
          <w:color w:val="000000" w:themeColor="text1"/>
        </w:rPr>
        <w:t xml:space="preserve">for </w:t>
      </w:r>
      <w:r w:rsidRPr="00F502FC">
        <w:rPr>
          <w:color w:val="000000" w:themeColor="text1"/>
        </w:rPr>
        <w:t>non-Māori</w:t>
      </w:r>
      <w:r>
        <w:rPr>
          <w:color w:val="000000" w:themeColor="text1"/>
        </w:rPr>
        <w:t>,</w:t>
      </w:r>
      <w:r w:rsidRPr="00F502FC">
        <w:rPr>
          <w:color w:val="000000" w:themeColor="text1"/>
        </w:rPr>
        <w:t xml:space="preserve"> non-Pacific.</w:t>
      </w:r>
    </w:p>
    <w:p w14:paraId="1F9D8790" w14:textId="77777777" w:rsidR="000478E1" w:rsidRDefault="000478E1" w:rsidP="00EA64A0">
      <w:pPr>
        <w:pStyle w:val="Caption"/>
        <w:rPr>
          <w:highlight w:val="yellow"/>
        </w:rPr>
        <w:sectPr w:rsidR="000478E1" w:rsidSect="006A7630">
          <w:pgSz w:w="11906" w:h="16838"/>
          <w:pgMar w:top="1440" w:right="1440" w:bottom="1440" w:left="1440" w:header="708" w:footer="708" w:gutter="0"/>
          <w:cols w:space="708"/>
          <w:docGrid w:linePitch="360"/>
        </w:sectPr>
      </w:pPr>
      <w:bookmarkStart w:id="129" w:name="_Toc52420606"/>
    </w:p>
    <w:p w14:paraId="1809ECFD" w14:textId="49C9AAD0" w:rsidR="00EA64A0" w:rsidRPr="00E35305" w:rsidRDefault="00EA64A0" w:rsidP="00EA64A0">
      <w:pPr>
        <w:pStyle w:val="Caption"/>
        <w:rPr>
          <w:sz w:val="22"/>
        </w:rPr>
      </w:pPr>
      <w:bookmarkStart w:id="130" w:name="_Ref53470524"/>
      <w:bookmarkStart w:id="131" w:name="_Toc53585948"/>
      <w:r w:rsidRPr="00D04F25">
        <w:lastRenderedPageBreak/>
        <w:t xml:space="preserve">Figure </w:t>
      </w:r>
      <w:r w:rsidRPr="00D04F25">
        <w:rPr>
          <w:noProof/>
        </w:rPr>
        <w:fldChar w:fldCharType="begin"/>
      </w:r>
      <w:r w:rsidRPr="00D04F25">
        <w:rPr>
          <w:noProof/>
        </w:rPr>
        <w:instrText xml:space="preserve"> SEQ Figure \* ARABIC </w:instrText>
      </w:r>
      <w:r w:rsidRPr="00D04F25">
        <w:rPr>
          <w:noProof/>
        </w:rPr>
        <w:fldChar w:fldCharType="separate"/>
      </w:r>
      <w:r w:rsidR="00CF2713">
        <w:rPr>
          <w:noProof/>
        </w:rPr>
        <w:t>18</w:t>
      </w:r>
      <w:r w:rsidRPr="00D04F25">
        <w:rPr>
          <w:noProof/>
        </w:rPr>
        <w:fldChar w:fldCharType="end"/>
      </w:r>
      <w:bookmarkEnd w:id="130"/>
      <w:r w:rsidRPr="00D04F25">
        <w:t>: Number of first specialist assessments delivered nationally from March to June 2018–2020, by ethnicity</w:t>
      </w:r>
      <w:bookmarkEnd w:id="129"/>
      <w:bookmarkEnd w:id="131"/>
    </w:p>
    <w:p w14:paraId="4FD55736" w14:textId="12046BFD" w:rsidR="00EA64A0" w:rsidRDefault="00CC05D7" w:rsidP="00D04F25">
      <w:pPr>
        <w:spacing w:before="120"/>
        <w:rPr>
          <w:rFonts w:cs="Segoe UI"/>
          <w:b/>
          <w:sz w:val="24"/>
          <w:szCs w:val="24"/>
        </w:rPr>
      </w:pPr>
      <w:r>
        <w:rPr>
          <w:noProof/>
        </w:rPr>
        <w:drawing>
          <wp:anchor distT="0" distB="0" distL="114300" distR="114300" simplePos="0" relativeHeight="251662336" behindDoc="0" locked="0" layoutInCell="1" allowOverlap="1" wp14:anchorId="61EC4DB0" wp14:editId="708B83FC">
            <wp:simplePos x="0" y="0"/>
            <wp:positionH relativeFrom="column">
              <wp:posOffset>1701800</wp:posOffset>
            </wp:positionH>
            <wp:positionV relativeFrom="paragraph">
              <wp:posOffset>5715</wp:posOffset>
            </wp:positionV>
            <wp:extent cx="2721610" cy="114935"/>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25" t="7353" r="43234" b="89775"/>
                    <a:stretch/>
                  </pic:blipFill>
                  <pic:spPr bwMode="auto">
                    <a:xfrm>
                      <a:off x="0" y="0"/>
                      <a:ext cx="2721610" cy="11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8E5">
        <w:rPr>
          <w:rFonts w:cs="Segoe UI"/>
          <w:b/>
          <w:noProof/>
          <w:sz w:val="24"/>
          <w:szCs w:val="24"/>
        </w:rPr>
        <w:drawing>
          <wp:inline distT="0" distB="0" distL="0" distR="0" wp14:anchorId="7CE2156E" wp14:editId="0682451D">
            <wp:extent cx="5762072" cy="3581400"/>
            <wp:effectExtent l="0" t="0" r="0" b="0"/>
            <wp:docPr id="48" name="Picture 48" descr="This bar graph shows that in general, about 82% of first specialist assessments were delivered to non-Māori, non-Pacific, about 11.5% were delivered to Māori, and about 5.5% were delivered to Pacific. In April of 2020, 81.2% were delivered to non-Māori, non-Pacific, 12.6% to Māori and 6.3% to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24" t="8567" r="10478" b="3726"/>
                    <a:stretch/>
                  </pic:blipFill>
                  <pic:spPr bwMode="auto">
                    <a:xfrm>
                      <a:off x="0" y="0"/>
                      <a:ext cx="5777173" cy="3590786"/>
                    </a:xfrm>
                    <a:prstGeom prst="rect">
                      <a:avLst/>
                    </a:prstGeom>
                    <a:noFill/>
                    <a:ln>
                      <a:noFill/>
                    </a:ln>
                    <a:extLst>
                      <a:ext uri="{53640926-AAD7-44D8-BBD7-CCE9431645EC}">
                        <a14:shadowObscured xmlns:a14="http://schemas.microsoft.com/office/drawing/2010/main"/>
                      </a:ext>
                    </a:extLst>
                  </pic:spPr>
                </pic:pic>
              </a:graphicData>
            </a:graphic>
          </wp:inline>
        </w:drawing>
      </w:r>
    </w:p>
    <w:p w14:paraId="2938D3C7" w14:textId="77777777" w:rsidR="00EA64A0" w:rsidRPr="00E35305" w:rsidRDefault="00EA64A0" w:rsidP="00EA64A0">
      <w:pPr>
        <w:pStyle w:val="Heading3"/>
        <w:rPr>
          <w:sz w:val="22"/>
          <w:szCs w:val="22"/>
        </w:rPr>
      </w:pPr>
      <w:bookmarkStart w:id="132" w:name="_Toc52430191"/>
      <w:r w:rsidRPr="00E35305">
        <w:t xml:space="preserve">Delivery </w:t>
      </w:r>
      <w:r>
        <w:t>of f</w:t>
      </w:r>
      <w:r w:rsidRPr="00E35305">
        <w:t>ollow</w:t>
      </w:r>
      <w:r>
        <w:t>-</w:t>
      </w:r>
      <w:r w:rsidRPr="00E35305">
        <w:t>up appointment</w:t>
      </w:r>
      <w:r>
        <w:t>s</w:t>
      </w:r>
      <w:bookmarkEnd w:id="132"/>
    </w:p>
    <w:p w14:paraId="28747773" w14:textId="1DDAAAAE" w:rsidR="00D04F25" w:rsidRDefault="00EA64A0" w:rsidP="00C46B46">
      <w:pPr>
        <w:sectPr w:rsidR="00D04F25" w:rsidSect="006A7630">
          <w:pgSz w:w="11906" w:h="16838"/>
          <w:pgMar w:top="1440" w:right="1440" w:bottom="1440" w:left="1440" w:header="708" w:footer="708" w:gutter="0"/>
          <w:cols w:space="708"/>
          <w:docGrid w:linePitch="360"/>
        </w:sectPr>
      </w:pPr>
      <w:r>
        <w:rPr>
          <w:color w:val="000000" w:themeColor="text1"/>
        </w:rPr>
        <w:t>COVID-19 had a smaller impact on n</w:t>
      </w:r>
      <w:r w:rsidRPr="00521CA1">
        <w:rPr>
          <w:color w:val="000000" w:themeColor="text1"/>
        </w:rPr>
        <w:t>ational delivery of follow</w:t>
      </w:r>
      <w:r>
        <w:rPr>
          <w:color w:val="000000" w:themeColor="text1"/>
        </w:rPr>
        <w:t>-</w:t>
      </w:r>
      <w:r w:rsidRPr="00521CA1">
        <w:rPr>
          <w:color w:val="000000" w:themeColor="text1"/>
        </w:rPr>
        <w:t xml:space="preserve">up appointments than </w:t>
      </w:r>
      <w:r>
        <w:rPr>
          <w:color w:val="000000" w:themeColor="text1"/>
        </w:rPr>
        <w:t xml:space="preserve">it did on </w:t>
      </w:r>
      <w:r w:rsidRPr="00521CA1">
        <w:rPr>
          <w:color w:val="000000" w:themeColor="text1"/>
        </w:rPr>
        <w:t>FSA</w:t>
      </w:r>
      <w:r w:rsidRPr="006F75A8">
        <w:rPr>
          <w:color w:val="000000" w:themeColor="text1"/>
        </w:rPr>
        <w:t xml:space="preserve"> </w:t>
      </w:r>
      <w:r>
        <w:rPr>
          <w:color w:val="000000" w:themeColor="text1"/>
        </w:rPr>
        <w:t>delivery</w:t>
      </w:r>
      <w:r w:rsidRPr="00521CA1">
        <w:rPr>
          <w:color w:val="000000" w:themeColor="text1"/>
        </w:rPr>
        <w:t xml:space="preserve">. </w:t>
      </w:r>
      <w:r>
        <w:rPr>
          <w:color w:val="000000" w:themeColor="text1"/>
        </w:rPr>
        <w:t>Compared with the same month in 2019,</w:t>
      </w:r>
      <w:r w:rsidRPr="00521CA1">
        <w:rPr>
          <w:color w:val="000000" w:themeColor="text1"/>
        </w:rPr>
        <w:t xml:space="preserve"> </w:t>
      </w:r>
      <w:r>
        <w:rPr>
          <w:color w:val="000000" w:themeColor="text1"/>
        </w:rPr>
        <w:t>delivery of follow-</w:t>
      </w:r>
      <w:r w:rsidRPr="00521CA1">
        <w:rPr>
          <w:color w:val="000000" w:themeColor="text1"/>
        </w:rPr>
        <w:t>up</w:t>
      </w:r>
      <w:r>
        <w:rPr>
          <w:color w:val="000000" w:themeColor="text1"/>
        </w:rPr>
        <w:t xml:space="preserve"> appointment</w:t>
      </w:r>
      <w:r w:rsidRPr="00521CA1">
        <w:rPr>
          <w:color w:val="000000" w:themeColor="text1"/>
        </w:rPr>
        <w:t xml:space="preserve">s </w:t>
      </w:r>
      <w:r>
        <w:rPr>
          <w:color w:val="000000" w:themeColor="text1"/>
        </w:rPr>
        <w:t xml:space="preserve">decreased by </w:t>
      </w:r>
      <w:r w:rsidRPr="00521CA1">
        <w:rPr>
          <w:color w:val="000000" w:themeColor="text1"/>
        </w:rPr>
        <w:t xml:space="preserve">4.5% in March 2020, 23.1% in April 2020 </w:t>
      </w:r>
      <w:r>
        <w:rPr>
          <w:color w:val="000000" w:themeColor="text1"/>
        </w:rPr>
        <w:t>and</w:t>
      </w:r>
      <w:r w:rsidRPr="00521CA1">
        <w:rPr>
          <w:color w:val="000000" w:themeColor="text1"/>
        </w:rPr>
        <w:t xml:space="preserve"> 18.7% in </w:t>
      </w:r>
      <w:r>
        <w:rPr>
          <w:color w:val="000000" w:themeColor="text1"/>
        </w:rPr>
        <w:t>May 2020.</w:t>
      </w:r>
      <w:r w:rsidRPr="00521CA1">
        <w:rPr>
          <w:color w:val="000000" w:themeColor="text1"/>
        </w:rPr>
        <w:t xml:space="preserve"> </w:t>
      </w:r>
      <w:r>
        <w:rPr>
          <w:color w:val="000000" w:themeColor="text1"/>
        </w:rPr>
        <w:t>B</w:t>
      </w:r>
      <w:r w:rsidRPr="00521CA1">
        <w:rPr>
          <w:color w:val="000000" w:themeColor="text1"/>
        </w:rPr>
        <w:t>y June 2020</w:t>
      </w:r>
      <w:r>
        <w:rPr>
          <w:color w:val="000000" w:themeColor="text1"/>
        </w:rPr>
        <w:t>,</w:t>
      </w:r>
      <w:r w:rsidRPr="00521CA1">
        <w:rPr>
          <w:color w:val="000000" w:themeColor="text1"/>
        </w:rPr>
        <w:t xml:space="preserve"> the number of follow</w:t>
      </w:r>
      <w:r>
        <w:rPr>
          <w:color w:val="000000" w:themeColor="text1"/>
        </w:rPr>
        <w:t>-</w:t>
      </w:r>
      <w:r w:rsidRPr="00521CA1">
        <w:rPr>
          <w:color w:val="000000" w:themeColor="text1"/>
        </w:rPr>
        <w:t>up appointments was 15% higher than</w:t>
      </w:r>
      <w:r>
        <w:rPr>
          <w:color w:val="000000" w:themeColor="text1"/>
        </w:rPr>
        <w:t xml:space="preserve"> in</w:t>
      </w:r>
      <w:r w:rsidRPr="00521CA1">
        <w:rPr>
          <w:color w:val="000000" w:themeColor="text1"/>
        </w:rPr>
        <w:t xml:space="preserve"> June 2019 (</w:t>
      </w:r>
      <w:r w:rsidR="00B65BC8">
        <w:rPr>
          <w:color w:val="000000" w:themeColor="text1"/>
        </w:rPr>
        <w:fldChar w:fldCharType="begin"/>
      </w:r>
      <w:r w:rsidR="00B65BC8">
        <w:rPr>
          <w:color w:val="000000" w:themeColor="text1"/>
        </w:rPr>
        <w:instrText xml:space="preserve"> REF _Ref53470530 \h </w:instrText>
      </w:r>
      <w:r w:rsidR="00B65BC8">
        <w:rPr>
          <w:color w:val="000000" w:themeColor="text1"/>
        </w:rPr>
      </w:r>
      <w:r w:rsidR="00B65BC8">
        <w:rPr>
          <w:color w:val="000000" w:themeColor="text1"/>
        </w:rPr>
        <w:fldChar w:fldCharType="separate"/>
      </w:r>
      <w:r w:rsidR="00CF2713" w:rsidRPr="00E20A01">
        <w:t xml:space="preserve">Figure </w:t>
      </w:r>
      <w:r w:rsidR="00CF2713">
        <w:rPr>
          <w:noProof/>
        </w:rPr>
        <w:t>19</w:t>
      </w:r>
      <w:r w:rsidR="00B65BC8">
        <w:rPr>
          <w:color w:val="000000" w:themeColor="text1"/>
        </w:rPr>
        <w:fldChar w:fldCharType="end"/>
      </w:r>
      <w:r w:rsidRPr="00521CA1">
        <w:rPr>
          <w:color w:val="000000" w:themeColor="text1"/>
        </w:rPr>
        <w:t>). This increase reflects the reopening of a range of health services at Alert Level 1 and efforts to recover from dec</w:t>
      </w:r>
      <w:r>
        <w:rPr>
          <w:color w:val="000000" w:themeColor="text1"/>
        </w:rPr>
        <w:t>r</w:t>
      </w:r>
      <w:r w:rsidRPr="00521CA1">
        <w:rPr>
          <w:color w:val="000000" w:themeColor="text1"/>
        </w:rPr>
        <w:t>eased service delivery during Alert Level</w:t>
      </w:r>
      <w:r>
        <w:rPr>
          <w:color w:val="000000" w:themeColor="text1"/>
        </w:rPr>
        <w:t>s</w:t>
      </w:r>
      <w:r w:rsidRPr="00521CA1">
        <w:rPr>
          <w:color w:val="000000" w:themeColor="text1"/>
        </w:rPr>
        <w:t xml:space="preserve"> 2, 3 and 4 in March, April and May.  </w:t>
      </w:r>
      <w:bookmarkStart w:id="133" w:name="_Toc52420607"/>
    </w:p>
    <w:p w14:paraId="0A20B7D3" w14:textId="1D43FD6B" w:rsidR="00EA64A0" w:rsidRPr="005720A0" w:rsidRDefault="00EA64A0" w:rsidP="00EA64A0">
      <w:pPr>
        <w:pStyle w:val="Caption"/>
        <w:rPr>
          <w:sz w:val="22"/>
        </w:rPr>
      </w:pPr>
      <w:bookmarkStart w:id="134" w:name="_Ref53470530"/>
      <w:bookmarkStart w:id="135" w:name="_Toc53585949"/>
      <w:r w:rsidRPr="00E20A01">
        <w:lastRenderedPageBreak/>
        <w:t xml:space="preserve">Figure </w:t>
      </w:r>
      <w:r w:rsidRPr="00E20A01">
        <w:rPr>
          <w:noProof/>
        </w:rPr>
        <w:fldChar w:fldCharType="begin"/>
      </w:r>
      <w:r w:rsidRPr="00E20A01">
        <w:rPr>
          <w:noProof/>
        </w:rPr>
        <w:instrText xml:space="preserve"> SEQ Figure \* ARABIC </w:instrText>
      </w:r>
      <w:r w:rsidRPr="00E20A01">
        <w:rPr>
          <w:noProof/>
        </w:rPr>
        <w:fldChar w:fldCharType="separate"/>
      </w:r>
      <w:r w:rsidR="00CF2713">
        <w:rPr>
          <w:noProof/>
        </w:rPr>
        <w:t>19</w:t>
      </w:r>
      <w:r w:rsidRPr="00E20A01">
        <w:rPr>
          <w:noProof/>
        </w:rPr>
        <w:fldChar w:fldCharType="end"/>
      </w:r>
      <w:bookmarkEnd w:id="134"/>
      <w:r w:rsidRPr="00E20A01">
        <w:t>: Number of follow-up appointments delivered nationally from March to June 2018–2020</w:t>
      </w:r>
      <w:bookmarkEnd w:id="133"/>
      <w:bookmarkEnd w:id="135"/>
    </w:p>
    <w:p w14:paraId="2438D55F" w14:textId="3C907E58" w:rsidR="00EA64A0" w:rsidRPr="00E35305" w:rsidRDefault="00E20A01" w:rsidP="00E20A01">
      <w:pPr>
        <w:spacing w:before="120"/>
        <w:rPr>
          <w:rFonts w:cs="Segoe UI"/>
          <w:sz w:val="22"/>
          <w:szCs w:val="22"/>
        </w:rPr>
      </w:pPr>
      <w:r>
        <w:rPr>
          <w:rFonts w:cs="Segoe UI"/>
          <w:noProof/>
          <w:sz w:val="22"/>
          <w:szCs w:val="22"/>
        </w:rPr>
        <w:drawing>
          <wp:inline distT="0" distB="0" distL="0" distR="0" wp14:anchorId="4DE338F1" wp14:editId="3C76F969">
            <wp:extent cx="5661688" cy="3067050"/>
            <wp:effectExtent l="0" t="0" r="0" b="0"/>
            <wp:docPr id="135" name="Picture 135" descr="This bar graph shows that there were fewer follow up appointments delivered in March, April and May of 2020 than in previous years, but more delivered in June of 2020 compared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46" t="6513" r="8414" b="7583"/>
                    <a:stretch/>
                  </pic:blipFill>
                  <pic:spPr bwMode="auto">
                    <a:xfrm>
                      <a:off x="0" y="0"/>
                      <a:ext cx="5705646" cy="3090863"/>
                    </a:xfrm>
                    <a:prstGeom prst="rect">
                      <a:avLst/>
                    </a:prstGeom>
                    <a:noFill/>
                    <a:ln>
                      <a:noFill/>
                    </a:ln>
                    <a:extLst>
                      <a:ext uri="{53640926-AAD7-44D8-BBD7-CCE9431645EC}">
                        <a14:shadowObscured xmlns:a14="http://schemas.microsoft.com/office/drawing/2010/main"/>
                      </a:ext>
                    </a:extLst>
                  </pic:spPr>
                </pic:pic>
              </a:graphicData>
            </a:graphic>
          </wp:inline>
        </w:drawing>
      </w:r>
    </w:p>
    <w:p w14:paraId="335E6E6F" w14:textId="77777777" w:rsidR="00EA64A0" w:rsidRDefault="00EA64A0" w:rsidP="00EA64A0">
      <w:pPr>
        <w:rPr>
          <w:rFonts w:cs="Segoe UI"/>
          <w:color w:val="000000" w:themeColor="text1"/>
          <w:lang w:eastAsia="en-NZ"/>
        </w:rPr>
      </w:pPr>
      <w:r w:rsidRPr="00521CA1">
        <w:rPr>
          <w:rFonts w:cs="Segoe UI"/>
          <w:color w:val="000000" w:themeColor="text1"/>
          <w:lang w:eastAsia="en-NZ"/>
        </w:rPr>
        <w:t>Regionally, South Region experienced the greatest decrease in follow</w:t>
      </w:r>
      <w:r>
        <w:rPr>
          <w:rFonts w:cs="Segoe UI"/>
          <w:color w:val="000000" w:themeColor="text1"/>
          <w:lang w:eastAsia="en-NZ"/>
        </w:rPr>
        <w:t>-</w:t>
      </w:r>
      <w:r w:rsidRPr="00521CA1">
        <w:rPr>
          <w:rFonts w:cs="Segoe UI"/>
          <w:color w:val="000000" w:themeColor="text1"/>
          <w:lang w:eastAsia="en-NZ"/>
        </w:rPr>
        <w:t>up delivery during the lockdown period, decreasing by 10.3% in March 2020,</w:t>
      </w:r>
      <w:r w:rsidRPr="00080A53">
        <w:rPr>
          <w:rFonts w:cs="Segoe UI"/>
          <w:color w:val="000000" w:themeColor="text1"/>
          <w:lang w:eastAsia="en-NZ"/>
        </w:rPr>
        <w:t xml:space="preserve"> </w:t>
      </w:r>
      <w:r w:rsidRPr="00521CA1">
        <w:rPr>
          <w:rFonts w:cs="Segoe UI"/>
          <w:color w:val="000000" w:themeColor="text1"/>
          <w:lang w:eastAsia="en-NZ"/>
        </w:rPr>
        <w:t xml:space="preserve">32.6% </w:t>
      </w:r>
      <w:r>
        <w:rPr>
          <w:rFonts w:cs="Segoe UI"/>
          <w:color w:val="000000" w:themeColor="text1"/>
          <w:lang w:eastAsia="en-NZ"/>
        </w:rPr>
        <w:t xml:space="preserve">in </w:t>
      </w:r>
      <w:r w:rsidRPr="00521CA1">
        <w:rPr>
          <w:rFonts w:cs="Segoe UI"/>
          <w:color w:val="000000" w:themeColor="text1"/>
          <w:lang w:eastAsia="en-NZ"/>
        </w:rPr>
        <w:t xml:space="preserve">April 2020 and 27.7% </w:t>
      </w:r>
      <w:r>
        <w:rPr>
          <w:rFonts w:cs="Segoe UI"/>
          <w:color w:val="000000" w:themeColor="text1"/>
          <w:lang w:eastAsia="en-NZ"/>
        </w:rPr>
        <w:t xml:space="preserve">in </w:t>
      </w:r>
      <w:r w:rsidRPr="00521CA1">
        <w:rPr>
          <w:rFonts w:cs="Segoe UI"/>
          <w:color w:val="000000" w:themeColor="text1"/>
          <w:lang w:eastAsia="en-NZ"/>
        </w:rPr>
        <w:t>May 2020, compared with the same months in 2019. Northern Region was the only region to see an increase in follow</w:t>
      </w:r>
      <w:r>
        <w:rPr>
          <w:rFonts w:cs="Segoe UI"/>
          <w:color w:val="000000" w:themeColor="text1"/>
          <w:lang w:eastAsia="en-NZ"/>
        </w:rPr>
        <w:t>-</w:t>
      </w:r>
      <w:r w:rsidRPr="00521CA1">
        <w:rPr>
          <w:rFonts w:cs="Segoe UI"/>
          <w:color w:val="000000" w:themeColor="text1"/>
          <w:lang w:eastAsia="en-NZ"/>
        </w:rPr>
        <w:t xml:space="preserve">up delivery in March 2020 (1.5%) compared with March 2019, and </w:t>
      </w:r>
      <w:r>
        <w:rPr>
          <w:rFonts w:cs="Segoe UI"/>
          <w:color w:val="000000" w:themeColor="text1"/>
          <w:lang w:eastAsia="en-NZ"/>
        </w:rPr>
        <w:t>also was the region with</w:t>
      </w:r>
      <w:r w:rsidRPr="00521CA1">
        <w:rPr>
          <w:rFonts w:cs="Segoe UI"/>
          <w:color w:val="000000" w:themeColor="text1"/>
          <w:lang w:eastAsia="en-NZ"/>
        </w:rPr>
        <w:t xml:space="preserve"> the smallest decrease in follow</w:t>
      </w:r>
      <w:r>
        <w:rPr>
          <w:rFonts w:cs="Segoe UI"/>
          <w:color w:val="000000" w:themeColor="text1"/>
          <w:lang w:eastAsia="en-NZ"/>
        </w:rPr>
        <w:t>-</w:t>
      </w:r>
      <w:r w:rsidRPr="00521CA1">
        <w:rPr>
          <w:rFonts w:cs="Segoe UI"/>
          <w:color w:val="000000" w:themeColor="text1"/>
          <w:lang w:eastAsia="en-NZ"/>
        </w:rPr>
        <w:t>up</w:t>
      </w:r>
      <w:r>
        <w:rPr>
          <w:rFonts w:cs="Segoe UI"/>
          <w:color w:val="000000" w:themeColor="text1"/>
          <w:lang w:eastAsia="en-NZ"/>
        </w:rPr>
        <w:t xml:space="preserve"> delivery</w:t>
      </w:r>
      <w:r w:rsidRPr="00521CA1">
        <w:rPr>
          <w:rFonts w:cs="Segoe UI"/>
          <w:color w:val="000000" w:themeColor="text1"/>
          <w:lang w:eastAsia="en-NZ"/>
        </w:rPr>
        <w:t xml:space="preserve"> in April 2020 (15.6%) and May 2020 (14.5%) compared with the same months in 2019.</w:t>
      </w:r>
    </w:p>
    <w:p w14:paraId="48BF78C2" w14:textId="77777777" w:rsidR="00EA64A0" w:rsidRDefault="00EA64A0" w:rsidP="00EA64A0">
      <w:pPr>
        <w:rPr>
          <w:rFonts w:cs="Segoe UI"/>
          <w:color w:val="000000" w:themeColor="text1"/>
          <w:lang w:eastAsia="en-NZ"/>
        </w:rPr>
      </w:pPr>
    </w:p>
    <w:p w14:paraId="74887B8C" w14:textId="77777777" w:rsidR="00EA64A0" w:rsidRDefault="00EA64A0" w:rsidP="00EA64A0">
      <w:pPr>
        <w:rPr>
          <w:rFonts w:cs="Segoe UI"/>
          <w:color w:val="000000" w:themeColor="text1"/>
          <w:lang w:eastAsia="en-NZ"/>
        </w:rPr>
      </w:pPr>
      <w:r w:rsidRPr="00521CA1">
        <w:rPr>
          <w:rFonts w:cs="Segoe UI"/>
          <w:color w:val="000000" w:themeColor="text1"/>
          <w:lang w:eastAsia="en-NZ"/>
        </w:rPr>
        <w:t>In June 2020, the number of follow</w:t>
      </w:r>
      <w:r>
        <w:rPr>
          <w:rFonts w:cs="Segoe UI"/>
          <w:color w:val="000000" w:themeColor="text1"/>
          <w:lang w:eastAsia="en-NZ"/>
        </w:rPr>
        <w:t>-</w:t>
      </w:r>
      <w:r w:rsidRPr="00521CA1">
        <w:rPr>
          <w:rFonts w:cs="Segoe UI"/>
          <w:color w:val="000000" w:themeColor="text1"/>
          <w:lang w:eastAsia="en-NZ"/>
        </w:rPr>
        <w:t>up</w:t>
      </w:r>
      <w:r>
        <w:rPr>
          <w:rFonts w:cs="Segoe UI"/>
          <w:color w:val="000000" w:themeColor="text1"/>
          <w:lang w:eastAsia="en-NZ"/>
        </w:rPr>
        <w:t xml:space="preserve"> appointment</w:t>
      </w:r>
      <w:r w:rsidRPr="00521CA1">
        <w:rPr>
          <w:rFonts w:cs="Segoe UI"/>
          <w:color w:val="000000" w:themeColor="text1"/>
          <w:lang w:eastAsia="en-NZ"/>
        </w:rPr>
        <w:t xml:space="preserve">s </w:t>
      </w:r>
      <w:r>
        <w:rPr>
          <w:rFonts w:cs="Segoe UI"/>
          <w:color w:val="000000" w:themeColor="text1"/>
          <w:lang w:eastAsia="en-NZ"/>
        </w:rPr>
        <w:t>was higher</w:t>
      </w:r>
      <w:r w:rsidRPr="00521CA1">
        <w:rPr>
          <w:rFonts w:cs="Segoe UI"/>
          <w:color w:val="000000" w:themeColor="text1"/>
          <w:lang w:eastAsia="en-NZ"/>
        </w:rPr>
        <w:t xml:space="preserve"> in all regions </w:t>
      </w:r>
      <w:r>
        <w:rPr>
          <w:rFonts w:cs="Segoe UI"/>
          <w:color w:val="000000" w:themeColor="text1"/>
          <w:lang w:eastAsia="en-NZ"/>
        </w:rPr>
        <w:t>than in</w:t>
      </w:r>
      <w:r w:rsidRPr="00521CA1">
        <w:rPr>
          <w:rFonts w:cs="Segoe UI"/>
          <w:color w:val="000000" w:themeColor="text1"/>
          <w:lang w:eastAsia="en-NZ"/>
        </w:rPr>
        <w:t xml:space="preserve"> June 2019. </w:t>
      </w:r>
      <w:r>
        <w:rPr>
          <w:rFonts w:cs="Segoe UI"/>
          <w:color w:val="000000" w:themeColor="text1"/>
          <w:lang w:eastAsia="en-NZ"/>
        </w:rPr>
        <w:t xml:space="preserve">The increase was smallest for </w:t>
      </w:r>
      <w:r w:rsidRPr="00521CA1">
        <w:rPr>
          <w:rFonts w:cs="Segoe UI"/>
          <w:color w:val="000000" w:themeColor="text1"/>
          <w:lang w:eastAsia="en-NZ"/>
        </w:rPr>
        <w:t xml:space="preserve">South Region (4.6%) and </w:t>
      </w:r>
      <w:r>
        <w:rPr>
          <w:rFonts w:cs="Segoe UI"/>
          <w:color w:val="000000" w:themeColor="text1"/>
          <w:lang w:eastAsia="en-NZ"/>
        </w:rPr>
        <w:t xml:space="preserve">largest for </w:t>
      </w:r>
      <w:r w:rsidRPr="00521CA1">
        <w:rPr>
          <w:rFonts w:cs="Segoe UI"/>
          <w:color w:val="000000" w:themeColor="text1"/>
          <w:lang w:eastAsia="en-NZ"/>
        </w:rPr>
        <w:t xml:space="preserve">Northern Region (21.3%). Appendix </w:t>
      </w:r>
      <w:r>
        <w:rPr>
          <w:rFonts w:cs="Segoe UI"/>
          <w:color w:val="000000" w:themeColor="text1"/>
          <w:lang w:eastAsia="en-NZ"/>
        </w:rPr>
        <w:t>9</w:t>
      </w:r>
      <w:r w:rsidRPr="00521CA1">
        <w:rPr>
          <w:rFonts w:cs="Segoe UI"/>
          <w:color w:val="000000" w:themeColor="text1"/>
          <w:lang w:eastAsia="en-NZ"/>
        </w:rPr>
        <w:t xml:space="preserve"> shows the number of follow</w:t>
      </w:r>
      <w:r>
        <w:rPr>
          <w:rFonts w:cs="Segoe UI"/>
          <w:color w:val="000000" w:themeColor="text1"/>
          <w:lang w:eastAsia="en-NZ"/>
        </w:rPr>
        <w:t>-</w:t>
      </w:r>
      <w:r w:rsidRPr="00521CA1">
        <w:rPr>
          <w:rFonts w:cs="Segoe UI"/>
          <w:color w:val="000000" w:themeColor="text1"/>
          <w:lang w:eastAsia="en-NZ"/>
        </w:rPr>
        <w:t xml:space="preserve">up appointments delivered </w:t>
      </w:r>
      <w:r>
        <w:rPr>
          <w:rFonts w:cs="Segoe UI"/>
          <w:color w:val="000000" w:themeColor="text1"/>
          <w:lang w:eastAsia="en-NZ"/>
        </w:rPr>
        <w:t>in each</w:t>
      </w:r>
      <w:r w:rsidRPr="00521CA1">
        <w:rPr>
          <w:rFonts w:cs="Segoe UI"/>
          <w:color w:val="000000" w:themeColor="text1"/>
          <w:lang w:eastAsia="en-NZ"/>
        </w:rPr>
        <w:t xml:space="preserve"> region from March to June 2018</w:t>
      </w:r>
      <w:r>
        <w:rPr>
          <w:rFonts w:cs="Segoe UI"/>
          <w:color w:val="000000" w:themeColor="text1"/>
          <w:lang w:eastAsia="en-NZ"/>
        </w:rPr>
        <w:t>–</w:t>
      </w:r>
      <w:r w:rsidRPr="00521CA1">
        <w:rPr>
          <w:rFonts w:cs="Segoe UI"/>
          <w:color w:val="000000" w:themeColor="text1"/>
          <w:lang w:eastAsia="en-NZ"/>
        </w:rPr>
        <w:t>2020.</w:t>
      </w:r>
    </w:p>
    <w:p w14:paraId="25273170" w14:textId="77777777" w:rsidR="00EA64A0" w:rsidRDefault="00EA64A0" w:rsidP="00EA64A0">
      <w:pPr>
        <w:pStyle w:val="Caption"/>
      </w:pPr>
      <w:bookmarkStart w:id="136" w:name="_Toc52420608"/>
    </w:p>
    <w:p w14:paraId="6EFB1011" w14:textId="77777777" w:rsidR="00C46B46" w:rsidRDefault="00C46B46" w:rsidP="00EA64A0">
      <w:pPr>
        <w:pStyle w:val="Caption"/>
        <w:sectPr w:rsidR="00C46B46" w:rsidSect="006A7630">
          <w:pgSz w:w="11906" w:h="16838"/>
          <w:pgMar w:top="1440" w:right="1440" w:bottom="1440" w:left="1440" w:header="708" w:footer="708" w:gutter="0"/>
          <w:cols w:space="708"/>
          <w:docGrid w:linePitch="360"/>
        </w:sectPr>
      </w:pPr>
      <w:bookmarkStart w:id="137" w:name="_Ref53470545"/>
    </w:p>
    <w:p w14:paraId="367328E3" w14:textId="59CDBC14" w:rsidR="00EA64A0" w:rsidRPr="00CC6637" w:rsidRDefault="00EA64A0" w:rsidP="00EA64A0">
      <w:pPr>
        <w:pStyle w:val="Caption"/>
        <w:rPr>
          <w:sz w:val="22"/>
        </w:rPr>
      </w:pPr>
      <w:bookmarkStart w:id="138" w:name="_Toc53585950"/>
      <w:r w:rsidRPr="002D1662">
        <w:lastRenderedPageBreak/>
        <w:t xml:space="preserve">Figure </w:t>
      </w:r>
      <w:r w:rsidRPr="002D1662">
        <w:rPr>
          <w:noProof/>
        </w:rPr>
        <w:fldChar w:fldCharType="begin"/>
      </w:r>
      <w:r w:rsidRPr="002D1662">
        <w:rPr>
          <w:noProof/>
        </w:rPr>
        <w:instrText xml:space="preserve"> SEQ Figure \* ARABIC </w:instrText>
      </w:r>
      <w:r w:rsidRPr="002D1662">
        <w:rPr>
          <w:noProof/>
        </w:rPr>
        <w:fldChar w:fldCharType="separate"/>
      </w:r>
      <w:r w:rsidR="00CF2713">
        <w:rPr>
          <w:noProof/>
        </w:rPr>
        <w:t>20</w:t>
      </w:r>
      <w:r w:rsidRPr="002D1662">
        <w:rPr>
          <w:noProof/>
        </w:rPr>
        <w:fldChar w:fldCharType="end"/>
      </w:r>
      <w:bookmarkEnd w:id="137"/>
      <w:r w:rsidRPr="002D1662">
        <w:t>: Number of follow-up appointments delivered nationally from March to June 2018–2020, by ethnicity</w:t>
      </w:r>
      <w:bookmarkEnd w:id="136"/>
      <w:bookmarkEnd w:id="138"/>
    </w:p>
    <w:p w14:paraId="7AF453DE" w14:textId="13C4E728" w:rsidR="00EA64A0" w:rsidRDefault="00CC05D7" w:rsidP="002D1662">
      <w:pPr>
        <w:spacing w:before="120"/>
        <w:rPr>
          <w:rFonts w:cs="Segoe UI"/>
          <w:b/>
          <w:sz w:val="22"/>
          <w:szCs w:val="22"/>
        </w:rPr>
      </w:pPr>
      <w:r>
        <w:rPr>
          <w:noProof/>
        </w:rPr>
        <w:drawing>
          <wp:anchor distT="0" distB="0" distL="114300" distR="114300" simplePos="0" relativeHeight="251664384" behindDoc="0" locked="0" layoutInCell="1" allowOverlap="1" wp14:anchorId="3FCA768A" wp14:editId="33534C97">
            <wp:simplePos x="0" y="0"/>
            <wp:positionH relativeFrom="column">
              <wp:posOffset>1583266</wp:posOffset>
            </wp:positionH>
            <wp:positionV relativeFrom="paragraph">
              <wp:posOffset>42334</wp:posOffset>
            </wp:positionV>
            <wp:extent cx="2722193" cy="115288"/>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25" t="7353" r="43234" b="89775"/>
                    <a:stretch/>
                  </pic:blipFill>
                  <pic:spPr bwMode="auto">
                    <a:xfrm>
                      <a:off x="0" y="0"/>
                      <a:ext cx="2722193" cy="115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8E5">
        <w:rPr>
          <w:rFonts w:cs="Segoe UI"/>
          <w:b/>
          <w:noProof/>
          <w:sz w:val="22"/>
          <w:szCs w:val="22"/>
        </w:rPr>
        <w:drawing>
          <wp:inline distT="0" distB="0" distL="0" distR="0" wp14:anchorId="4CBB7740" wp14:editId="36139E59">
            <wp:extent cx="5657850" cy="3562456"/>
            <wp:effectExtent l="0" t="0" r="0" b="0"/>
            <wp:docPr id="49" name="Picture 49" descr="This bar graph shows that non-Māori, non-Pacific generally had about 82% of follow up appointments, Māori received about 11.5% and Pacific received about 6.5%. In April of 2020, 80.5% of follow up appointments were delivered to non-Māori, non-Pacific people, 12.3% to Māori, and 7.1% to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37" t="7933" r="10695" b="3350"/>
                    <a:stretch/>
                  </pic:blipFill>
                  <pic:spPr bwMode="auto">
                    <a:xfrm>
                      <a:off x="0" y="0"/>
                      <a:ext cx="5673180" cy="3572108"/>
                    </a:xfrm>
                    <a:prstGeom prst="rect">
                      <a:avLst/>
                    </a:prstGeom>
                    <a:noFill/>
                    <a:ln>
                      <a:noFill/>
                    </a:ln>
                    <a:extLst>
                      <a:ext uri="{53640926-AAD7-44D8-BBD7-CCE9431645EC}">
                        <a14:shadowObscured xmlns:a14="http://schemas.microsoft.com/office/drawing/2010/main"/>
                      </a:ext>
                    </a:extLst>
                  </pic:spPr>
                </pic:pic>
              </a:graphicData>
            </a:graphic>
          </wp:inline>
        </w:drawing>
      </w:r>
    </w:p>
    <w:p w14:paraId="0A426FD3" w14:textId="54C8B6F2" w:rsidR="00EA64A0" w:rsidRDefault="00EA64A0" w:rsidP="00EA64A0">
      <w:pPr>
        <w:spacing w:before="120"/>
        <w:jc w:val="center"/>
        <w:rPr>
          <w:rFonts w:cs="Segoe UI"/>
          <w:b/>
          <w:sz w:val="22"/>
          <w:szCs w:val="22"/>
        </w:rPr>
      </w:pPr>
    </w:p>
    <w:p w14:paraId="7BD5193D" w14:textId="1389AB47" w:rsidR="00EA64A0" w:rsidRDefault="00EA64A0" w:rsidP="00627116">
      <w:pPr>
        <w:rPr>
          <w:rFonts w:cs="Segoe UI"/>
          <w:color w:val="000000" w:themeColor="text1"/>
          <w:lang w:eastAsia="en-NZ"/>
        </w:rPr>
      </w:pPr>
      <w:r w:rsidRPr="00521CA1">
        <w:rPr>
          <w:lang w:eastAsia="en-NZ"/>
        </w:rPr>
        <w:t>In March 2020 follow</w:t>
      </w:r>
      <w:r>
        <w:rPr>
          <w:lang w:eastAsia="en-NZ"/>
        </w:rPr>
        <w:t>-</w:t>
      </w:r>
      <w:r w:rsidRPr="00521CA1">
        <w:rPr>
          <w:lang w:eastAsia="en-NZ"/>
        </w:rPr>
        <w:t>up delivery to Māori and Pacific</w:t>
      </w:r>
      <w:r>
        <w:rPr>
          <w:lang w:eastAsia="en-NZ"/>
        </w:rPr>
        <w:t xml:space="preserve"> peoples did not change</w:t>
      </w:r>
      <w:r w:rsidRPr="00521CA1">
        <w:rPr>
          <w:lang w:eastAsia="en-NZ"/>
        </w:rPr>
        <w:t xml:space="preserve">, whereas </w:t>
      </w:r>
      <w:r>
        <w:rPr>
          <w:lang w:eastAsia="en-NZ"/>
        </w:rPr>
        <w:t>it decreased</w:t>
      </w:r>
      <w:r w:rsidRPr="00080A53">
        <w:rPr>
          <w:lang w:eastAsia="en-NZ"/>
        </w:rPr>
        <w:t xml:space="preserve"> </w:t>
      </w:r>
      <w:r w:rsidRPr="00521CA1">
        <w:rPr>
          <w:lang w:eastAsia="en-NZ"/>
        </w:rPr>
        <w:t>by 5.8%</w:t>
      </w:r>
      <w:r>
        <w:rPr>
          <w:lang w:eastAsia="en-NZ"/>
        </w:rPr>
        <w:t xml:space="preserve"> to</w:t>
      </w:r>
      <w:r w:rsidRPr="00521CA1">
        <w:rPr>
          <w:lang w:eastAsia="en-NZ"/>
        </w:rPr>
        <w:t xml:space="preserve"> </w:t>
      </w:r>
      <w:r w:rsidRPr="00521CA1">
        <w:t>non-Māori</w:t>
      </w:r>
      <w:r>
        <w:t>,</w:t>
      </w:r>
      <w:r w:rsidRPr="00521CA1">
        <w:t xml:space="preserve"> non-Pacific </w:t>
      </w:r>
      <w:r w:rsidRPr="00521CA1">
        <w:rPr>
          <w:lang w:eastAsia="en-NZ"/>
        </w:rPr>
        <w:t>compar</w:t>
      </w:r>
      <w:r>
        <w:rPr>
          <w:lang w:eastAsia="en-NZ"/>
        </w:rPr>
        <w:t>ed with</w:t>
      </w:r>
      <w:r w:rsidRPr="00521CA1">
        <w:rPr>
          <w:lang w:eastAsia="en-NZ"/>
        </w:rPr>
        <w:t xml:space="preserve"> follow</w:t>
      </w:r>
      <w:r>
        <w:rPr>
          <w:lang w:eastAsia="en-NZ"/>
        </w:rPr>
        <w:t>-</w:t>
      </w:r>
      <w:r w:rsidRPr="00521CA1">
        <w:rPr>
          <w:lang w:eastAsia="en-NZ"/>
        </w:rPr>
        <w:t xml:space="preserve">up delivery in March 2019. In </w:t>
      </w:r>
      <w:r>
        <w:rPr>
          <w:lang w:eastAsia="en-NZ"/>
        </w:rPr>
        <w:t>the next two months,</w:t>
      </w:r>
      <w:r w:rsidRPr="00521CA1">
        <w:rPr>
          <w:lang w:eastAsia="en-NZ"/>
        </w:rPr>
        <w:t xml:space="preserve"> follow</w:t>
      </w:r>
      <w:r>
        <w:rPr>
          <w:lang w:eastAsia="en-NZ"/>
        </w:rPr>
        <w:t>-</w:t>
      </w:r>
      <w:r w:rsidRPr="00521CA1">
        <w:rPr>
          <w:lang w:eastAsia="en-NZ"/>
        </w:rPr>
        <w:t xml:space="preserve">up delivery to Pacific </w:t>
      </w:r>
      <w:r>
        <w:rPr>
          <w:lang w:eastAsia="en-NZ"/>
        </w:rPr>
        <w:t xml:space="preserve">peoples </w:t>
      </w:r>
      <w:r w:rsidRPr="00521CA1">
        <w:rPr>
          <w:lang w:eastAsia="en-NZ"/>
        </w:rPr>
        <w:t>reduced the least</w:t>
      </w:r>
      <w:r>
        <w:rPr>
          <w:lang w:eastAsia="en-NZ"/>
        </w:rPr>
        <w:t>:</w:t>
      </w:r>
      <w:r w:rsidRPr="00521CA1">
        <w:rPr>
          <w:lang w:eastAsia="en-NZ"/>
        </w:rPr>
        <w:t xml:space="preserve"> </w:t>
      </w:r>
      <w:r>
        <w:rPr>
          <w:lang w:eastAsia="en-NZ"/>
        </w:rPr>
        <w:t>by</w:t>
      </w:r>
      <w:r w:rsidRPr="00521CA1">
        <w:rPr>
          <w:lang w:eastAsia="en-NZ"/>
        </w:rPr>
        <w:t xml:space="preserve"> 9.1% in April 2020 and 8.3% in May 2020 compared </w:t>
      </w:r>
      <w:r>
        <w:rPr>
          <w:lang w:eastAsia="en-NZ"/>
        </w:rPr>
        <w:t>with</w:t>
      </w:r>
      <w:r w:rsidRPr="00521CA1">
        <w:rPr>
          <w:lang w:eastAsia="en-NZ"/>
        </w:rPr>
        <w:t xml:space="preserve"> the same months in </w:t>
      </w:r>
      <w:r>
        <w:rPr>
          <w:lang w:eastAsia="en-NZ"/>
        </w:rPr>
        <w:t>2019</w:t>
      </w:r>
      <w:r w:rsidRPr="00521CA1">
        <w:rPr>
          <w:lang w:eastAsia="en-NZ"/>
        </w:rPr>
        <w:t>. Follow</w:t>
      </w:r>
      <w:r>
        <w:rPr>
          <w:lang w:eastAsia="en-NZ"/>
        </w:rPr>
        <w:t>-</w:t>
      </w:r>
      <w:r w:rsidRPr="00521CA1">
        <w:rPr>
          <w:lang w:eastAsia="en-NZ"/>
        </w:rPr>
        <w:t>up delivery decreased by 16.5% for Māori in both months</w:t>
      </w:r>
      <w:r>
        <w:rPr>
          <w:lang w:eastAsia="en-NZ"/>
        </w:rPr>
        <w:t xml:space="preserve"> and decreased the most </w:t>
      </w:r>
      <w:r w:rsidRPr="00521CA1">
        <w:rPr>
          <w:lang w:eastAsia="en-NZ"/>
        </w:rPr>
        <w:t xml:space="preserve">for </w:t>
      </w:r>
      <w:r w:rsidRPr="00521CA1">
        <w:t>non-Māori</w:t>
      </w:r>
      <w:r>
        <w:t>,</w:t>
      </w:r>
      <w:r w:rsidRPr="00521CA1">
        <w:t xml:space="preserve"> non-Pacific</w:t>
      </w:r>
      <w:r w:rsidRPr="00521CA1">
        <w:rPr>
          <w:lang w:eastAsia="en-NZ"/>
        </w:rPr>
        <w:t xml:space="preserve">, </w:t>
      </w:r>
      <w:r>
        <w:rPr>
          <w:lang w:eastAsia="en-NZ"/>
        </w:rPr>
        <w:t>by</w:t>
      </w:r>
      <w:r w:rsidRPr="00521CA1">
        <w:rPr>
          <w:lang w:eastAsia="en-NZ"/>
        </w:rPr>
        <w:t xml:space="preserve"> 25.1% in April 2020 and 19.8% in May 2020 compared</w:t>
      </w:r>
      <w:r>
        <w:rPr>
          <w:lang w:eastAsia="en-NZ"/>
        </w:rPr>
        <w:t xml:space="preserve"> with the same months in</w:t>
      </w:r>
      <w:r w:rsidRPr="00521CA1">
        <w:rPr>
          <w:lang w:eastAsia="en-NZ"/>
        </w:rPr>
        <w:t xml:space="preserve"> 2019. In June 2020, follow</w:t>
      </w:r>
      <w:r>
        <w:rPr>
          <w:lang w:eastAsia="en-NZ"/>
        </w:rPr>
        <w:t>-</w:t>
      </w:r>
      <w:r w:rsidRPr="00521CA1">
        <w:rPr>
          <w:lang w:eastAsia="en-NZ"/>
        </w:rPr>
        <w:t>up delivery across all ethnic groups was higher than June 2019</w:t>
      </w:r>
      <w:r>
        <w:rPr>
          <w:lang w:eastAsia="en-NZ"/>
        </w:rPr>
        <w:t>: up</w:t>
      </w:r>
      <w:r w:rsidRPr="00521CA1">
        <w:rPr>
          <w:lang w:eastAsia="en-NZ"/>
        </w:rPr>
        <w:t xml:space="preserve"> by 26.2%</w:t>
      </w:r>
      <w:r>
        <w:rPr>
          <w:lang w:eastAsia="en-NZ"/>
        </w:rPr>
        <w:t xml:space="preserve"> for Pacific peoples and</w:t>
      </w:r>
      <w:r w:rsidRPr="00521CA1">
        <w:rPr>
          <w:lang w:eastAsia="en-NZ"/>
        </w:rPr>
        <w:t xml:space="preserve"> 13.3%</w:t>
      </w:r>
      <w:r>
        <w:rPr>
          <w:lang w:eastAsia="en-NZ"/>
        </w:rPr>
        <w:t xml:space="preserve"> for both </w:t>
      </w:r>
      <w:r w:rsidRPr="00521CA1">
        <w:rPr>
          <w:lang w:eastAsia="en-NZ"/>
        </w:rPr>
        <w:t xml:space="preserve">Māori and </w:t>
      </w:r>
      <w:r w:rsidRPr="00521CA1">
        <w:t>non-Māori</w:t>
      </w:r>
      <w:r>
        <w:t>,</w:t>
      </w:r>
      <w:r w:rsidRPr="00521CA1">
        <w:t xml:space="preserve"> non-Pacific</w:t>
      </w:r>
      <w:r w:rsidR="00627116">
        <w:t>. (Figure 20</w:t>
      </w:r>
      <w:r>
        <w:rPr>
          <w:color w:val="000000" w:themeColor="text1"/>
        </w:rPr>
        <w:t>)</w:t>
      </w:r>
      <w:r w:rsidRPr="00521CA1">
        <w:rPr>
          <w:rFonts w:cs="Segoe UI"/>
          <w:color w:val="000000" w:themeColor="text1"/>
          <w:lang w:eastAsia="en-NZ"/>
        </w:rPr>
        <w:t>.</w:t>
      </w:r>
    </w:p>
    <w:p w14:paraId="717FA84E" w14:textId="77777777" w:rsidR="00EA64A0" w:rsidRDefault="00EA64A0" w:rsidP="00EA64A0">
      <w:pPr>
        <w:pStyle w:val="Heading3"/>
      </w:pPr>
      <w:bookmarkStart w:id="139" w:name="_Toc52430192"/>
      <w:r w:rsidRPr="00E35305">
        <w:t xml:space="preserve">Waitlist </w:t>
      </w:r>
      <w:r>
        <w:t>i</w:t>
      </w:r>
      <w:r w:rsidRPr="00E35305">
        <w:t>mpacts</w:t>
      </w:r>
      <w:bookmarkEnd w:id="139"/>
      <w:r>
        <w:t xml:space="preserve"> </w:t>
      </w:r>
    </w:p>
    <w:p w14:paraId="49689FBD" w14:textId="6BA06974" w:rsidR="00EA64A0" w:rsidRDefault="00EA64A0" w:rsidP="00EA64A0">
      <w:pPr>
        <w:rPr>
          <w:rStyle w:val="Hyperlink"/>
          <w:color w:val="auto"/>
        </w:rPr>
      </w:pPr>
      <w:r w:rsidRPr="00087C7C">
        <w:t xml:space="preserve">Waiting times for elective services are managed through a suite a national indicators known as the Elective Services Patient Flow Indicators (ESPIs). Further information about the ESPIs is available from the Ministry of Health website here: </w:t>
      </w:r>
      <w:hyperlink r:id="rId46" w:history="1">
        <w:r w:rsidRPr="00087C7C">
          <w:rPr>
            <w:rStyle w:val="Hyperlink"/>
          </w:rPr>
          <w:t>https://www.health.govt.nz/our-work/hospitals-and-specialist-care/elective-services/elective-services-and-how-dhbs-are-performing/latest-summary-elective-services-patient-flow-indicators-espis</w:t>
        </w:r>
      </w:hyperlink>
    </w:p>
    <w:p w14:paraId="03FA8A32" w14:textId="77777777" w:rsidR="00EA64A0" w:rsidRDefault="00EA64A0" w:rsidP="00EA64A0">
      <w:pPr>
        <w:rPr>
          <w:rStyle w:val="Hyperlink"/>
        </w:rPr>
      </w:pPr>
    </w:p>
    <w:p w14:paraId="4DC4E29C" w14:textId="77777777" w:rsidR="00EA64A0" w:rsidRPr="00E35305" w:rsidRDefault="00EA64A0" w:rsidP="00EA64A0">
      <w:r w:rsidRPr="00E35305">
        <w:t>Th</w:t>
      </w:r>
      <w:r>
        <w:t>is section presents</w:t>
      </w:r>
      <w:r w:rsidRPr="00E35305">
        <w:t xml:space="preserve"> data </w:t>
      </w:r>
      <w:r>
        <w:t>on</w:t>
      </w:r>
      <w:r w:rsidRPr="00E35305">
        <w:t xml:space="preserve"> the following Elective Services Patient Flow Indicators (EPSIs) between </w:t>
      </w:r>
      <w:r>
        <w:t>July</w:t>
      </w:r>
      <w:r w:rsidRPr="00E35305">
        <w:t xml:space="preserve"> 2019 and </w:t>
      </w:r>
      <w:r>
        <w:t>June</w:t>
      </w:r>
      <w:r w:rsidRPr="00E35305">
        <w:t xml:space="preserve"> 2020:</w:t>
      </w:r>
    </w:p>
    <w:p w14:paraId="1536696B" w14:textId="77777777" w:rsidR="00EA64A0" w:rsidRPr="0051330B" w:rsidRDefault="00EA64A0" w:rsidP="00EA64A0">
      <w:pPr>
        <w:pStyle w:val="Bullet"/>
        <w:rPr>
          <w:lang w:eastAsia="en-NZ"/>
        </w:rPr>
      </w:pPr>
      <w:r w:rsidRPr="00E35305">
        <w:t xml:space="preserve">ESPI 2: </w:t>
      </w:r>
      <w:r w:rsidRPr="0051330B">
        <w:rPr>
          <w:lang w:eastAsia="en-NZ"/>
        </w:rPr>
        <w:t>Patients waiting longer than four months for their FSA</w:t>
      </w:r>
    </w:p>
    <w:p w14:paraId="1667A2BC" w14:textId="6305D2C3" w:rsidR="00EA64A0" w:rsidRPr="00087C7C" w:rsidRDefault="00EA64A0" w:rsidP="00EA64A0">
      <w:pPr>
        <w:pStyle w:val="Bullet"/>
      </w:pPr>
      <w:r w:rsidRPr="0051330B">
        <w:rPr>
          <w:lang w:eastAsia="en-NZ"/>
        </w:rPr>
        <w:t>ESPI 5: Patients given a commitment to treatment but not treated within four months</w:t>
      </w:r>
      <w:r>
        <w:rPr>
          <w:lang w:eastAsia="en-NZ"/>
        </w:rPr>
        <w:t>.</w:t>
      </w:r>
    </w:p>
    <w:p w14:paraId="20DABA99" w14:textId="77777777" w:rsidR="00EA64A0" w:rsidRPr="00E35305" w:rsidRDefault="00EA64A0" w:rsidP="00EA64A0">
      <w:pPr>
        <w:pStyle w:val="Heading4"/>
      </w:pPr>
      <w:r w:rsidRPr="00E35305">
        <w:lastRenderedPageBreak/>
        <w:t>Elective Services Patient Flow Indicator</w:t>
      </w:r>
      <w:r>
        <w:t xml:space="preserve"> 2</w:t>
      </w:r>
    </w:p>
    <w:p w14:paraId="0235512F" w14:textId="4B998CC6" w:rsidR="00EA64A0" w:rsidRDefault="00EA64A0" w:rsidP="00EA64A0">
      <w:pPr>
        <w:rPr>
          <w:color w:val="000000" w:themeColor="text1"/>
        </w:rPr>
      </w:pPr>
      <w:r w:rsidRPr="00122C40">
        <w:rPr>
          <w:color w:val="000000" w:themeColor="text1"/>
        </w:rPr>
        <w:t xml:space="preserve">As </w:t>
      </w:r>
      <w:r w:rsidR="00B65BC8">
        <w:rPr>
          <w:color w:val="000000" w:themeColor="text1"/>
        </w:rPr>
        <w:fldChar w:fldCharType="begin"/>
      </w:r>
      <w:r w:rsidR="00B65BC8">
        <w:rPr>
          <w:color w:val="000000" w:themeColor="text1"/>
        </w:rPr>
        <w:instrText xml:space="preserve"> REF _Ref53470552 \h </w:instrText>
      </w:r>
      <w:r w:rsidR="00B65BC8">
        <w:rPr>
          <w:color w:val="000000" w:themeColor="text1"/>
        </w:rPr>
      </w:r>
      <w:r w:rsidR="00B65BC8">
        <w:rPr>
          <w:color w:val="000000" w:themeColor="text1"/>
        </w:rPr>
        <w:fldChar w:fldCharType="separate"/>
      </w:r>
      <w:r w:rsidR="00CF2713" w:rsidRPr="009819B8">
        <w:t xml:space="preserve">Figure </w:t>
      </w:r>
      <w:r w:rsidR="00CF2713">
        <w:rPr>
          <w:noProof/>
        </w:rPr>
        <w:t>21</w:t>
      </w:r>
      <w:r w:rsidR="00B65BC8">
        <w:rPr>
          <w:color w:val="000000" w:themeColor="text1"/>
        </w:rPr>
        <w:fldChar w:fldCharType="end"/>
      </w:r>
      <w:r>
        <w:rPr>
          <w:color w:val="000000" w:themeColor="text1"/>
        </w:rPr>
        <w:t xml:space="preserve"> shows</w:t>
      </w:r>
      <w:r w:rsidRPr="00122C40">
        <w:rPr>
          <w:color w:val="000000" w:themeColor="text1"/>
        </w:rPr>
        <w:t>, the total number of patients waiting for</w:t>
      </w:r>
      <w:r>
        <w:rPr>
          <w:color w:val="000000" w:themeColor="text1"/>
        </w:rPr>
        <w:t xml:space="preserve"> their</w:t>
      </w:r>
      <w:r w:rsidRPr="00122C40">
        <w:rPr>
          <w:color w:val="000000" w:themeColor="text1"/>
        </w:rPr>
        <w:t xml:space="preserve"> FSA decreased in the period of February to June 2020, and as at June 2020 remained lower than in the months </w:t>
      </w:r>
      <w:r>
        <w:rPr>
          <w:color w:val="000000" w:themeColor="text1"/>
        </w:rPr>
        <w:t>leading up</w:t>
      </w:r>
      <w:r w:rsidRPr="00122C40">
        <w:rPr>
          <w:color w:val="000000" w:themeColor="text1"/>
        </w:rPr>
        <w:t xml:space="preserve"> to COVID-19. However, within this total number the proportion of patients waiting longer than four months for FSA increased. This proportion had begun to increase in January, but </w:t>
      </w:r>
      <w:r>
        <w:rPr>
          <w:color w:val="000000" w:themeColor="text1"/>
        </w:rPr>
        <w:t>became considerably larger</w:t>
      </w:r>
      <w:r w:rsidRPr="00122C40">
        <w:rPr>
          <w:color w:val="000000" w:themeColor="text1"/>
        </w:rPr>
        <w:t xml:space="preserve"> over the lockdown period. In February 2020, 11.9% of patients were waiting more than four months for </w:t>
      </w:r>
      <w:r>
        <w:rPr>
          <w:color w:val="000000" w:themeColor="text1"/>
        </w:rPr>
        <w:t xml:space="preserve">their </w:t>
      </w:r>
      <w:r w:rsidRPr="00122C40">
        <w:rPr>
          <w:color w:val="000000" w:themeColor="text1"/>
        </w:rPr>
        <w:t>FSA. This increased to 14.5% in March 2020, 22.1% in April 2020 and 25.8% in May 2020</w:t>
      </w:r>
      <w:r>
        <w:rPr>
          <w:color w:val="000000" w:themeColor="text1"/>
        </w:rPr>
        <w:t>.</w:t>
      </w:r>
    </w:p>
    <w:p w14:paraId="20432195" w14:textId="77777777" w:rsidR="00AF4F0F" w:rsidRDefault="00AF4F0F" w:rsidP="00EA64A0">
      <w:pPr>
        <w:rPr>
          <w:color w:val="000000" w:themeColor="text1"/>
        </w:rPr>
      </w:pPr>
    </w:p>
    <w:p w14:paraId="52782422" w14:textId="77777777" w:rsidR="00EA64A0" w:rsidRDefault="00EA64A0" w:rsidP="00EA64A0">
      <w:pPr>
        <w:rPr>
          <w:color w:val="000000" w:themeColor="text1"/>
        </w:rPr>
      </w:pPr>
      <w:r w:rsidRPr="00122C40">
        <w:rPr>
          <w:color w:val="000000" w:themeColor="text1"/>
        </w:rPr>
        <w:t>June 2020</w:t>
      </w:r>
      <w:r>
        <w:rPr>
          <w:color w:val="000000" w:themeColor="text1"/>
        </w:rPr>
        <w:t xml:space="preserve"> saw a slight </w:t>
      </w:r>
      <w:r w:rsidRPr="00122C40">
        <w:rPr>
          <w:color w:val="000000" w:themeColor="text1"/>
        </w:rPr>
        <w:t>decreas</w:t>
      </w:r>
      <w:r>
        <w:rPr>
          <w:color w:val="000000" w:themeColor="text1"/>
        </w:rPr>
        <w:t>e</w:t>
      </w:r>
      <w:r w:rsidRPr="00122C40">
        <w:rPr>
          <w:color w:val="000000" w:themeColor="text1"/>
        </w:rPr>
        <w:t xml:space="preserve"> to 24.4%</w:t>
      </w:r>
      <w:r>
        <w:rPr>
          <w:color w:val="000000" w:themeColor="text1"/>
        </w:rPr>
        <w:t>, which</w:t>
      </w:r>
      <w:r w:rsidRPr="00122C40">
        <w:rPr>
          <w:color w:val="000000" w:themeColor="text1"/>
        </w:rPr>
        <w:t xml:space="preserve"> represents 24,568 patients waiting more than four months for </w:t>
      </w:r>
      <w:r>
        <w:rPr>
          <w:color w:val="000000" w:themeColor="text1"/>
        </w:rPr>
        <w:t xml:space="preserve">their </w:t>
      </w:r>
      <w:r w:rsidRPr="00122C40">
        <w:rPr>
          <w:color w:val="000000" w:themeColor="text1"/>
        </w:rPr>
        <w:t>FSA out of a total of 76,131 patients.</w:t>
      </w:r>
      <w:r>
        <w:rPr>
          <w:color w:val="000000" w:themeColor="text1"/>
        </w:rPr>
        <w:t xml:space="preserve"> </w:t>
      </w:r>
      <w:r w:rsidRPr="00122C40">
        <w:rPr>
          <w:color w:val="000000" w:themeColor="text1"/>
        </w:rPr>
        <w:t>Th</w:t>
      </w:r>
      <w:r>
        <w:rPr>
          <w:color w:val="000000" w:themeColor="text1"/>
        </w:rPr>
        <w:t>is</w:t>
      </w:r>
      <w:r w:rsidRPr="00122C40">
        <w:rPr>
          <w:color w:val="000000" w:themeColor="text1"/>
        </w:rPr>
        <w:t xml:space="preserve"> decrease </w:t>
      </w:r>
      <w:r>
        <w:rPr>
          <w:color w:val="000000" w:themeColor="text1"/>
        </w:rPr>
        <w:t>from</w:t>
      </w:r>
      <w:r w:rsidRPr="00122C40">
        <w:rPr>
          <w:color w:val="000000" w:themeColor="text1"/>
        </w:rPr>
        <w:t xml:space="preserve"> May 2020 is promising and hopefully </w:t>
      </w:r>
      <w:r>
        <w:rPr>
          <w:color w:val="000000" w:themeColor="text1"/>
        </w:rPr>
        <w:t>marks</w:t>
      </w:r>
      <w:r w:rsidRPr="00122C40">
        <w:rPr>
          <w:color w:val="000000" w:themeColor="text1"/>
        </w:rPr>
        <w:t xml:space="preserve"> the beginning of a recovery period.</w:t>
      </w:r>
    </w:p>
    <w:p w14:paraId="660EFEB3" w14:textId="77777777" w:rsidR="00EA64A0" w:rsidRPr="00122C40" w:rsidRDefault="00EA64A0" w:rsidP="00EA64A0">
      <w:pPr>
        <w:rPr>
          <w:color w:val="000000" w:themeColor="text1"/>
        </w:rPr>
      </w:pPr>
    </w:p>
    <w:p w14:paraId="684DFB68" w14:textId="4840E0CE" w:rsidR="00EA64A0" w:rsidRPr="00122C40" w:rsidRDefault="00EA64A0" w:rsidP="00EA64A0">
      <w:pPr>
        <w:pStyle w:val="Caption"/>
        <w:rPr>
          <w:sz w:val="22"/>
        </w:rPr>
      </w:pPr>
      <w:bookmarkStart w:id="140" w:name="_Ref53470552"/>
      <w:bookmarkStart w:id="141" w:name="_Toc52420609"/>
      <w:bookmarkStart w:id="142" w:name="_Toc53585951"/>
      <w:r w:rsidRPr="009819B8">
        <w:t xml:space="preserve">Figure </w:t>
      </w:r>
      <w:r w:rsidRPr="009819B8">
        <w:rPr>
          <w:noProof/>
        </w:rPr>
        <w:fldChar w:fldCharType="begin"/>
      </w:r>
      <w:r w:rsidRPr="009819B8">
        <w:rPr>
          <w:noProof/>
        </w:rPr>
        <w:instrText xml:space="preserve"> SEQ Figure \* ARABIC </w:instrText>
      </w:r>
      <w:r w:rsidRPr="009819B8">
        <w:rPr>
          <w:noProof/>
        </w:rPr>
        <w:fldChar w:fldCharType="separate"/>
      </w:r>
      <w:r w:rsidR="00CF2713">
        <w:rPr>
          <w:noProof/>
        </w:rPr>
        <w:t>21</w:t>
      </w:r>
      <w:r w:rsidRPr="009819B8">
        <w:rPr>
          <w:noProof/>
        </w:rPr>
        <w:fldChar w:fldCharType="end"/>
      </w:r>
      <w:bookmarkEnd w:id="140"/>
      <w:r w:rsidRPr="009819B8">
        <w:t>: Elective Services Patient Flow Indicator 2 (ESPI 2) nationally, July 2019–June 2020</w:t>
      </w:r>
      <w:bookmarkEnd w:id="141"/>
      <w:bookmarkEnd w:id="142"/>
    </w:p>
    <w:p w14:paraId="12B2B195" w14:textId="3B660CD0" w:rsidR="00EA64A0" w:rsidRPr="00122C40" w:rsidRDefault="009819B8" w:rsidP="009819B8">
      <w:pPr>
        <w:spacing w:before="120"/>
        <w:rPr>
          <w:rFonts w:cs="Segoe UI"/>
          <w:color w:val="000000" w:themeColor="text1"/>
          <w:sz w:val="22"/>
          <w:szCs w:val="22"/>
        </w:rPr>
      </w:pPr>
      <w:r>
        <w:rPr>
          <w:rFonts w:cs="Segoe UI"/>
          <w:noProof/>
          <w:color w:val="000000" w:themeColor="text1"/>
          <w:sz w:val="22"/>
          <w:szCs w:val="22"/>
        </w:rPr>
        <w:drawing>
          <wp:inline distT="0" distB="0" distL="0" distR="0" wp14:anchorId="3C036477" wp14:editId="7D4C958A">
            <wp:extent cx="5629110" cy="2735580"/>
            <wp:effectExtent l="0" t="0" r="0" b="7620"/>
            <wp:docPr id="118" name="Picture 118" descr="This bar graph shows that the number of people waiting more than 4 months for their first specialist appointment was relatively steady until February 2020. From March 2020, it began to increase, going from just over 10,000 to closer to 15,000 in March of 2020, to about 30,000 from April, while the number of people waiting for a specialist appointment decrease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7">
                      <a:extLst>
                        <a:ext uri="{28A0092B-C50C-407E-A947-70E740481C1C}">
                          <a14:useLocalDpi xmlns:a14="http://schemas.microsoft.com/office/drawing/2010/main" val="0"/>
                        </a:ext>
                      </a:extLst>
                    </a:blip>
                    <a:srcRect l="2723" t="10214" r="545" b="6020"/>
                    <a:stretch/>
                  </pic:blipFill>
                  <pic:spPr bwMode="auto">
                    <a:xfrm>
                      <a:off x="0" y="0"/>
                      <a:ext cx="5629974"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6C534AB6" w14:textId="77777777" w:rsidR="00EA64A0" w:rsidRDefault="00EA64A0" w:rsidP="00EA64A0">
      <w:pPr>
        <w:rPr>
          <w:color w:val="000000" w:themeColor="text1"/>
        </w:rPr>
      </w:pPr>
    </w:p>
    <w:p w14:paraId="5266210D" w14:textId="77777777" w:rsidR="00EA64A0" w:rsidRDefault="00EA64A0" w:rsidP="00EA64A0">
      <w:pPr>
        <w:rPr>
          <w:color w:val="000000" w:themeColor="text1"/>
        </w:rPr>
      </w:pPr>
      <w:r w:rsidRPr="00122C40">
        <w:rPr>
          <w:color w:val="000000" w:themeColor="text1"/>
        </w:rPr>
        <w:t xml:space="preserve">Appendix </w:t>
      </w:r>
      <w:r>
        <w:rPr>
          <w:color w:val="000000" w:themeColor="text1"/>
        </w:rPr>
        <w:t>10</w:t>
      </w:r>
      <w:r w:rsidRPr="00122C40">
        <w:rPr>
          <w:color w:val="000000" w:themeColor="text1"/>
        </w:rPr>
        <w:t xml:space="preserve"> provides a regional breakdown of the number of patients waiting more than four months for</w:t>
      </w:r>
      <w:r>
        <w:rPr>
          <w:color w:val="000000" w:themeColor="text1"/>
        </w:rPr>
        <w:t xml:space="preserve"> their</w:t>
      </w:r>
      <w:r w:rsidRPr="00122C40">
        <w:rPr>
          <w:color w:val="000000" w:themeColor="text1"/>
        </w:rPr>
        <w:t xml:space="preserve"> FSA and the number waiting less than four months from July 2019 to June 2020. Midland Region had the greatest percentage of patients waiting more than four months for</w:t>
      </w:r>
      <w:r>
        <w:rPr>
          <w:color w:val="000000" w:themeColor="text1"/>
        </w:rPr>
        <w:t xml:space="preserve"> their</w:t>
      </w:r>
      <w:r w:rsidRPr="00122C40">
        <w:rPr>
          <w:color w:val="000000" w:themeColor="text1"/>
        </w:rPr>
        <w:t xml:space="preserve"> FSA in March 2020 (20.2%) and April 2020 (27.1%) compared with the same months in 2019. The region with the lowest percentage of patients waiting for </w:t>
      </w:r>
      <w:r>
        <w:rPr>
          <w:color w:val="000000" w:themeColor="text1"/>
        </w:rPr>
        <w:t xml:space="preserve">their </w:t>
      </w:r>
      <w:r w:rsidRPr="00122C40">
        <w:rPr>
          <w:color w:val="000000" w:themeColor="text1"/>
        </w:rPr>
        <w:t>FSA was Northern Region</w:t>
      </w:r>
      <w:r w:rsidRPr="001F12D5">
        <w:rPr>
          <w:color w:val="000000" w:themeColor="text1"/>
        </w:rPr>
        <w:t xml:space="preserve"> </w:t>
      </w:r>
      <w:r w:rsidRPr="00122C40">
        <w:rPr>
          <w:color w:val="000000" w:themeColor="text1"/>
        </w:rPr>
        <w:t>in March 2020 (11.7%), Central Region in April</w:t>
      </w:r>
      <w:r>
        <w:rPr>
          <w:color w:val="000000" w:themeColor="text1"/>
        </w:rPr>
        <w:t xml:space="preserve"> 2020 (</w:t>
      </w:r>
      <w:r w:rsidRPr="00122C40">
        <w:rPr>
          <w:color w:val="000000" w:themeColor="text1"/>
        </w:rPr>
        <w:t>18.6%</w:t>
      </w:r>
      <w:r>
        <w:rPr>
          <w:color w:val="000000" w:themeColor="text1"/>
        </w:rPr>
        <w:t>)</w:t>
      </w:r>
      <w:r w:rsidRPr="00122C40">
        <w:rPr>
          <w:color w:val="000000" w:themeColor="text1"/>
        </w:rPr>
        <w:t xml:space="preserve"> and May 2020 (22.0%), and Northern Region in June (20.0%). </w:t>
      </w:r>
    </w:p>
    <w:p w14:paraId="5A545F9A" w14:textId="77777777" w:rsidR="00EA64A0" w:rsidRPr="00E35305" w:rsidRDefault="00EA64A0" w:rsidP="00EA64A0">
      <w:pPr>
        <w:pStyle w:val="Heading4"/>
      </w:pPr>
      <w:r w:rsidRPr="00E35305">
        <w:t>Elective Services Patient Flow Indicator</w:t>
      </w:r>
      <w:r>
        <w:t xml:space="preserve"> 5</w:t>
      </w:r>
    </w:p>
    <w:p w14:paraId="71E48550" w14:textId="2208E201" w:rsidR="00EA64A0" w:rsidRDefault="00EA64A0" w:rsidP="00EA64A0">
      <w:pPr>
        <w:rPr>
          <w:color w:val="000000" w:themeColor="text1"/>
        </w:rPr>
      </w:pPr>
      <w:r w:rsidRPr="00122C40">
        <w:rPr>
          <w:color w:val="000000" w:themeColor="text1"/>
        </w:rPr>
        <w:t xml:space="preserve">The number of patients waiting more than four months for treatment increased through COVID-19, as did the total number of patients waiting for treatment. As </w:t>
      </w:r>
      <w:r w:rsidR="00B65BC8">
        <w:rPr>
          <w:color w:val="000000" w:themeColor="text1"/>
        </w:rPr>
        <w:fldChar w:fldCharType="begin"/>
      </w:r>
      <w:r w:rsidR="00B65BC8">
        <w:rPr>
          <w:color w:val="000000" w:themeColor="text1"/>
        </w:rPr>
        <w:instrText xml:space="preserve"> REF _Ref53470561 \h </w:instrText>
      </w:r>
      <w:r w:rsidR="00B65BC8">
        <w:rPr>
          <w:color w:val="000000" w:themeColor="text1"/>
        </w:rPr>
      </w:r>
      <w:r w:rsidR="00B65BC8">
        <w:rPr>
          <w:color w:val="000000" w:themeColor="text1"/>
        </w:rPr>
        <w:fldChar w:fldCharType="separate"/>
      </w:r>
      <w:r w:rsidR="00CF2713" w:rsidRPr="001D047B">
        <w:t xml:space="preserve">Figure </w:t>
      </w:r>
      <w:r w:rsidR="00CF2713">
        <w:rPr>
          <w:noProof/>
        </w:rPr>
        <w:t>22</w:t>
      </w:r>
      <w:r w:rsidR="00B65BC8">
        <w:rPr>
          <w:color w:val="000000" w:themeColor="text1"/>
        </w:rPr>
        <w:fldChar w:fldCharType="end"/>
      </w:r>
      <w:r>
        <w:rPr>
          <w:color w:val="000000" w:themeColor="text1"/>
        </w:rPr>
        <w:t xml:space="preserve"> shows</w:t>
      </w:r>
      <w:r w:rsidRPr="00122C40">
        <w:rPr>
          <w:color w:val="000000" w:themeColor="text1"/>
        </w:rPr>
        <w:t xml:space="preserve">, the total number of patients waiting for treatment increased during </w:t>
      </w:r>
      <w:r>
        <w:rPr>
          <w:color w:val="000000" w:themeColor="text1"/>
        </w:rPr>
        <w:t>Alert Level 4</w:t>
      </w:r>
      <w:r w:rsidRPr="00122C40">
        <w:rPr>
          <w:color w:val="000000" w:themeColor="text1"/>
        </w:rPr>
        <w:t xml:space="preserve"> and then decreased slightly as restrictions were eased, but the percentage of patients waiting longer than four months for treatment increased.</w:t>
      </w:r>
    </w:p>
    <w:p w14:paraId="7C9360AE" w14:textId="77777777" w:rsidR="00EA64A0" w:rsidRPr="00122C40" w:rsidRDefault="00EA64A0" w:rsidP="00EA64A0">
      <w:pPr>
        <w:rPr>
          <w:color w:val="000000" w:themeColor="text1"/>
        </w:rPr>
      </w:pPr>
    </w:p>
    <w:p w14:paraId="66DB3D41" w14:textId="77777777" w:rsidR="00EA64A0" w:rsidRPr="00122C40" w:rsidRDefault="00EA64A0" w:rsidP="00EA64A0">
      <w:pPr>
        <w:rPr>
          <w:color w:val="000000" w:themeColor="text1"/>
        </w:rPr>
      </w:pPr>
      <w:r w:rsidRPr="00122C40">
        <w:rPr>
          <w:color w:val="000000" w:themeColor="text1"/>
        </w:rPr>
        <w:t xml:space="preserve">In March 2020, 20.7% of patients were waiting longer than four months for treatment, which increased further to 29.4% in April 2020 and 33.6% in May 2020 before decreasing slightly in June </w:t>
      </w:r>
      <w:r w:rsidRPr="00122C40">
        <w:rPr>
          <w:color w:val="000000" w:themeColor="text1"/>
        </w:rPr>
        <w:lastRenderedPageBreak/>
        <w:t xml:space="preserve">2020 to 32.6%. This represents 15,825 patients waiting more than four months for specialist treatment out of a total of 32,649 patients who are waiting for specialist treatment. </w:t>
      </w:r>
    </w:p>
    <w:p w14:paraId="505F659B" w14:textId="77777777" w:rsidR="001D047B" w:rsidRDefault="001D047B" w:rsidP="00EA64A0">
      <w:pPr>
        <w:pStyle w:val="Caption"/>
        <w:rPr>
          <w:highlight w:val="yellow"/>
        </w:rPr>
      </w:pPr>
      <w:bookmarkStart w:id="143" w:name="_Toc52420610"/>
    </w:p>
    <w:p w14:paraId="71194F15" w14:textId="20E3C3BF" w:rsidR="00EA64A0" w:rsidRPr="00E35305" w:rsidRDefault="00EA64A0" w:rsidP="00EA64A0">
      <w:pPr>
        <w:pStyle w:val="Caption"/>
        <w:rPr>
          <w:sz w:val="22"/>
        </w:rPr>
      </w:pPr>
      <w:bookmarkStart w:id="144" w:name="_Ref53470561"/>
      <w:bookmarkStart w:id="145" w:name="_Toc53585952"/>
      <w:r w:rsidRPr="001D047B">
        <w:t xml:space="preserve">Figure </w:t>
      </w:r>
      <w:r w:rsidRPr="001D047B">
        <w:rPr>
          <w:noProof/>
        </w:rPr>
        <w:fldChar w:fldCharType="begin"/>
      </w:r>
      <w:r w:rsidRPr="001D047B">
        <w:rPr>
          <w:noProof/>
        </w:rPr>
        <w:instrText xml:space="preserve"> SEQ Figure \* ARABIC </w:instrText>
      </w:r>
      <w:r w:rsidRPr="001D047B">
        <w:rPr>
          <w:noProof/>
        </w:rPr>
        <w:fldChar w:fldCharType="separate"/>
      </w:r>
      <w:r w:rsidR="00CF2713">
        <w:rPr>
          <w:noProof/>
        </w:rPr>
        <w:t>22</w:t>
      </w:r>
      <w:r w:rsidRPr="001D047B">
        <w:rPr>
          <w:noProof/>
        </w:rPr>
        <w:fldChar w:fldCharType="end"/>
      </w:r>
      <w:bookmarkEnd w:id="144"/>
      <w:r w:rsidRPr="001D047B">
        <w:t>: Elective Services Patient Flow Indicator 5 (ESPI 5) nationally, July 2019–June 2020</w:t>
      </w:r>
      <w:bookmarkEnd w:id="143"/>
      <w:bookmarkEnd w:id="145"/>
    </w:p>
    <w:p w14:paraId="72FBC4E6" w14:textId="2CF56F9B" w:rsidR="00EA64A0" w:rsidRDefault="009819B8" w:rsidP="009819B8">
      <w:pPr>
        <w:spacing w:before="120"/>
        <w:rPr>
          <w:rFonts w:cs="Segoe UI"/>
          <w:sz w:val="22"/>
          <w:szCs w:val="22"/>
        </w:rPr>
      </w:pPr>
      <w:r>
        <w:rPr>
          <w:rFonts w:cs="Segoe UI"/>
          <w:noProof/>
          <w:sz w:val="22"/>
          <w:szCs w:val="22"/>
        </w:rPr>
        <w:drawing>
          <wp:inline distT="0" distB="0" distL="0" distR="0" wp14:anchorId="55081B87" wp14:editId="00341044">
            <wp:extent cx="5697085" cy="2905885"/>
            <wp:effectExtent l="0" t="0" r="0" b="8890"/>
            <wp:docPr id="119" name="Picture 119" descr="This bar graph shows that the number of people seeking elective treatment has increased over time, and the proportion of people waiting longer than 4 months for treatment has increased since the end of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a:extLst>
                        <a:ext uri="{28A0092B-C50C-407E-A947-70E740481C1C}">
                          <a14:useLocalDpi xmlns:a14="http://schemas.microsoft.com/office/drawing/2010/main" val="0"/>
                        </a:ext>
                      </a:extLst>
                    </a:blip>
                    <a:srcRect l="2252" t="13714" r="1389" b="8046"/>
                    <a:stretch/>
                  </pic:blipFill>
                  <pic:spPr bwMode="auto">
                    <a:xfrm>
                      <a:off x="0" y="0"/>
                      <a:ext cx="5709785" cy="2912363"/>
                    </a:xfrm>
                    <a:prstGeom prst="rect">
                      <a:avLst/>
                    </a:prstGeom>
                    <a:noFill/>
                    <a:ln>
                      <a:noFill/>
                    </a:ln>
                    <a:extLst>
                      <a:ext uri="{53640926-AAD7-44D8-BBD7-CCE9431645EC}">
                        <a14:shadowObscured xmlns:a14="http://schemas.microsoft.com/office/drawing/2010/main"/>
                      </a:ext>
                    </a:extLst>
                  </pic:spPr>
                </pic:pic>
              </a:graphicData>
            </a:graphic>
          </wp:inline>
        </w:drawing>
      </w:r>
    </w:p>
    <w:p w14:paraId="3FBD9787" w14:textId="77777777" w:rsidR="00EA64A0" w:rsidRPr="00E35305" w:rsidRDefault="00EA64A0" w:rsidP="00EA64A0"/>
    <w:p w14:paraId="676AE624" w14:textId="3924A082" w:rsidR="00EA64A0" w:rsidRDefault="00EA64A0" w:rsidP="00EA64A0">
      <w:pPr>
        <w:rPr>
          <w:color w:val="000000" w:themeColor="text1"/>
        </w:rPr>
      </w:pPr>
      <w:r w:rsidRPr="00122C40">
        <w:rPr>
          <w:color w:val="000000" w:themeColor="text1"/>
        </w:rPr>
        <w:t>Appendix 1</w:t>
      </w:r>
      <w:r>
        <w:rPr>
          <w:color w:val="000000" w:themeColor="text1"/>
        </w:rPr>
        <w:t>1</w:t>
      </w:r>
      <w:r w:rsidRPr="00122C40">
        <w:rPr>
          <w:color w:val="000000" w:themeColor="text1"/>
        </w:rPr>
        <w:t xml:space="preserve"> shows the number of patients </w:t>
      </w:r>
      <w:r>
        <w:rPr>
          <w:color w:val="000000" w:themeColor="text1"/>
        </w:rPr>
        <w:t>in each</w:t>
      </w:r>
      <w:r w:rsidRPr="00122C40">
        <w:rPr>
          <w:color w:val="000000" w:themeColor="text1"/>
        </w:rPr>
        <w:t xml:space="preserve"> region who were waiting more than four months for treatment and the number who were waiting for less than four months from July 2019 </w:t>
      </w:r>
      <w:r>
        <w:rPr>
          <w:color w:val="000000" w:themeColor="text1"/>
        </w:rPr>
        <w:t>to</w:t>
      </w:r>
      <w:r w:rsidRPr="00122C40">
        <w:rPr>
          <w:color w:val="000000" w:themeColor="text1"/>
        </w:rPr>
        <w:t xml:space="preserve"> June 2020. Northern Region had the lowest percentage of patients waiting longer than four months for treatment in April 2020 (27.0%), while Central Region had the highest </w:t>
      </w:r>
      <w:r>
        <w:rPr>
          <w:color w:val="000000" w:themeColor="text1"/>
        </w:rPr>
        <w:t>(</w:t>
      </w:r>
      <w:r w:rsidRPr="00122C40">
        <w:rPr>
          <w:color w:val="000000" w:themeColor="text1"/>
        </w:rPr>
        <w:t>32.7%</w:t>
      </w:r>
      <w:r>
        <w:rPr>
          <w:color w:val="000000" w:themeColor="text1"/>
        </w:rPr>
        <w:t>)</w:t>
      </w:r>
      <w:r w:rsidRPr="00122C40">
        <w:rPr>
          <w:color w:val="000000" w:themeColor="text1"/>
        </w:rPr>
        <w:t>. By June 2020, Midland Region had the lowest percentage of patients waiting longer than four months for treatment</w:t>
      </w:r>
      <w:r>
        <w:rPr>
          <w:color w:val="000000" w:themeColor="text1"/>
        </w:rPr>
        <w:t xml:space="preserve"> (</w:t>
      </w:r>
      <w:r w:rsidRPr="00122C40">
        <w:rPr>
          <w:color w:val="000000" w:themeColor="text1"/>
        </w:rPr>
        <w:t>30.5%</w:t>
      </w:r>
      <w:r>
        <w:rPr>
          <w:color w:val="000000" w:themeColor="text1"/>
        </w:rPr>
        <w:t>)</w:t>
      </w:r>
      <w:r w:rsidRPr="00122C40">
        <w:rPr>
          <w:color w:val="000000" w:themeColor="text1"/>
        </w:rPr>
        <w:t xml:space="preserve">, while Central Region had the highest </w:t>
      </w:r>
      <w:r>
        <w:rPr>
          <w:color w:val="000000" w:themeColor="text1"/>
        </w:rPr>
        <w:t>(</w:t>
      </w:r>
      <w:r w:rsidRPr="00122C40">
        <w:rPr>
          <w:color w:val="000000" w:themeColor="text1"/>
        </w:rPr>
        <w:t>36.2%</w:t>
      </w:r>
      <w:r>
        <w:rPr>
          <w:color w:val="000000" w:themeColor="text1"/>
        </w:rPr>
        <w:t>)</w:t>
      </w:r>
      <w:r w:rsidRPr="00122C40">
        <w:rPr>
          <w:color w:val="000000" w:themeColor="text1"/>
        </w:rPr>
        <w:t xml:space="preserve">. </w:t>
      </w:r>
    </w:p>
    <w:p w14:paraId="4D2E7EE1" w14:textId="77777777" w:rsidR="00627116" w:rsidRDefault="00627116" w:rsidP="00EA64A0">
      <w:pPr>
        <w:rPr>
          <w:color w:val="000000" w:themeColor="text1"/>
        </w:rPr>
      </w:pPr>
    </w:p>
    <w:p w14:paraId="0B0BD397" w14:textId="1D0DEB85" w:rsidR="00EA64A0" w:rsidRDefault="00627116" w:rsidP="00EA64A0">
      <w:pPr>
        <w:jc w:val="both"/>
        <w:rPr>
          <w:color w:val="000000" w:themeColor="text1"/>
        </w:rPr>
      </w:pPr>
      <w:r w:rsidRPr="00627116">
        <w:t>Figure 23</w:t>
      </w:r>
      <w:r>
        <w:rPr>
          <w:b/>
          <w:iCs/>
          <w:color w:val="000000" w:themeColor="text1"/>
          <w:sz w:val="18"/>
          <w:szCs w:val="18"/>
        </w:rPr>
        <w:t xml:space="preserve"> </w:t>
      </w:r>
      <w:r w:rsidR="00EA64A0">
        <w:rPr>
          <w:color w:val="000000" w:themeColor="text1"/>
        </w:rPr>
        <w:t xml:space="preserve">to </w:t>
      </w:r>
      <w:r w:rsidR="00B65BC8">
        <w:rPr>
          <w:color w:val="000000" w:themeColor="text1"/>
        </w:rPr>
        <w:fldChar w:fldCharType="begin"/>
      </w:r>
      <w:r w:rsidR="00B65BC8">
        <w:rPr>
          <w:color w:val="000000" w:themeColor="text1"/>
        </w:rPr>
        <w:instrText xml:space="preserve"> REF _Ref53470572 \h </w:instrText>
      </w:r>
      <w:r w:rsidR="00B65BC8">
        <w:rPr>
          <w:color w:val="000000" w:themeColor="text1"/>
        </w:rPr>
      </w:r>
      <w:r w:rsidR="00B65BC8">
        <w:rPr>
          <w:color w:val="000000" w:themeColor="text1"/>
        </w:rPr>
        <w:fldChar w:fldCharType="separate"/>
      </w:r>
      <w:r w:rsidR="00CF2713" w:rsidRPr="000478E1">
        <w:t xml:space="preserve">Figure </w:t>
      </w:r>
      <w:r w:rsidR="00CF2713">
        <w:rPr>
          <w:noProof/>
        </w:rPr>
        <w:t>25</w:t>
      </w:r>
      <w:r w:rsidR="00B65BC8">
        <w:rPr>
          <w:color w:val="000000" w:themeColor="text1"/>
        </w:rPr>
        <w:fldChar w:fldCharType="end"/>
      </w:r>
      <w:r w:rsidR="00EA64A0" w:rsidRPr="00122C40">
        <w:rPr>
          <w:color w:val="000000" w:themeColor="text1"/>
        </w:rPr>
        <w:t xml:space="preserve"> show the number of patients </w:t>
      </w:r>
      <w:r w:rsidR="00EA64A0">
        <w:rPr>
          <w:color w:val="000000" w:themeColor="text1"/>
        </w:rPr>
        <w:t>in each of the three ethnic groups</w:t>
      </w:r>
      <w:r w:rsidR="00EA64A0" w:rsidRPr="00122C40">
        <w:rPr>
          <w:color w:val="000000" w:themeColor="text1"/>
        </w:rPr>
        <w:t xml:space="preserve"> who were waiting more than four months for treatment and the number who were waiting less than four months for treatment from July 2019 </w:t>
      </w:r>
      <w:r w:rsidR="00EA64A0">
        <w:rPr>
          <w:color w:val="000000" w:themeColor="text1"/>
        </w:rPr>
        <w:t>to</w:t>
      </w:r>
      <w:r w:rsidR="00EA64A0" w:rsidRPr="00122C40">
        <w:rPr>
          <w:color w:val="000000" w:themeColor="text1"/>
        </w:rPr>
        <w:t xml:space="preserve"> June 2020. For</w:t>
      </w:r>
      <w:r w:rsidR="00EA64A0">
        <w:rPr>
          <w:color w:val="000000" w:themeColor="text1"/>
        </w:rPr>
        <w:t xml:space="preserve"> all of</w:t>
      </w:r>
      <w:r w:rsidR="00EA64A0" w:rsidRPr="00122C40">
        <w:rPr>
          <w:color w:val="000000" w:themeColor="text1"/>
        </w:rPr>
        <w:t xml:space="preserve"> these ethnic groups, the proportion of people waiting more than four months for treatment increased each month from March 2020 to May 2020, before decreasing slightly in June. Across all ethnicities, the overall number of patients waiting for treatment increased each month between January 2020 and April 2020, before beginning to decrease in May and continuing to decrease in June. The</w:t>
      </w:r>
      <w:r w:rsidR="00EA64A0">
        <w:rPr>
          <w:color w:val="000000" w:themeColor="text1"/>
        </w:rPr>
        <w:t xml:space="preserve"> May and June figures </w:t>
      </w:r>
      <w:r w:rsidR="00EA64A0" w:rsidRPr="00122C40">
        <w:rPr>
          <w:color w:val="000000" w:themeColor="text1"/>
        </w:rPr>
        <w:t xml:space="preserve">indicate </w:t>
      </w:r>
      <w:r w:rsidR="00EA64A0">
        <w:rPr>
          <w:color w:val="000000" w:themeColor="text1"/>
        </w:rPr>
        <w:t>the start of the</w:t>
      </w:r>
      <w:r w:rsidR="00EA64A0" w:rsidRPr="00122C40">
        <w:rPr>
          <w:color w:val="000000" w:themeColor="text1"/>
        </w:rPr>
        <w:t xml:space="preserve"> recovery</w:t>
      </w:r>
      <w:r w:rsidR="00EA64A0">
        <w:rPr>
          <w:color w:val="000000" w:themeColor="text1"/>
        </w:rPr>
        <w:t xml:space="preserve"> with</w:t>
      </w:r>
      <w:r w:rsidR="00EA64A0" w:rsidRPr="00122C40">
        <w:rPr>
          <w:color w:val="000000" w:themeColor="text1"/>
        </w:rPr>
        <w:t xml:space="preserve"> an increase in service delivery compared with the lockdown months.</w:t>
      </w:r>
    </w:p>
    <w:p w14:paraId="09BAF283" w14:textId="77777777" w:rsidR="00EA64A0" w:rsidRPr="00122C40" w:rsidRDefault="00EA64A0" w:rsidP="00EA64A0">
      <w:pPr>
        <w:jc w:val="both"/>
        <w:rPr>
          <w:color w:val="000000" w:themeColor="text1"/>
        </w:rPr>
      </w:pPr>
    </w:p>
    <w:p w14:paraId="5FC0F988" w14:textId="7DF0E47E" w:rsidR="00EA64A0" w:rsidRDefault="00EA64A0" w:rsidP="00EA64A0">
      <w:pPr>
        <w:jc w:val="both"/>
        <w:rPr>
          <w:color w:val="000000" w:themeColor="text1"/>
        </w:rPr>
      </w:pPr>
      <w:r w:rsidRPr="00122C40">
        <w:rPr>
          <w:color w:val="000000" w:themeColor="text1"/>
        </w:rPr>
        <w:t xml:space="preserve">From December 2019 </w:t>
      </w:r>
      <w:r>
        <w:rPr>
          <w:color w:val="000000" w:themeColor="text1"/>
        </w:rPr>
        <w:t>to</w:t>
      </w:r>
      <w:r w:rsidRPr="00122C40">
        <w:rPr>
          <w:color w:val="000000" w:themeColor="text1"/>
        </w:rPr>
        <w:t xml:space="preserve"> June 2020, Māori had the highest percentage of people </w:t>
      </w:r>
      <w:r>
        <w:rPr>
          <w:color w:val="000000" w:themeColor="text1"/>
        </w:rPr>
        <w:t xml:space="preserve">waiting </w:t>
      </w:r>
      <w:r w:rsidRPr="00122C40">
        <w:rPr>
          <w:color w:val="000000" w:themeColor="text1"/>
        </w:rPr>
        <w:t>over four months for treatment, followed by Pacific</w:t>
      </w:r>
      <w:r>
        <w:rPr>
          <w:color w:val="000000" w:themeColor="text1"/>
        </w:rPr>
        <w:t xml:space="preserve"> peoples</w:t>
      </w:r>
      <w:r w:rsidRPr="00122C40">
        <w:rPr>
          <w:color w:val="000000" w:themeColor="text1"/>
        </w:rPr>
        <w:t xml:space="preserve"> and then non-Māori</w:t>
      </w:r>
      <w:r>
        <w:rPr>
          <w:color w:val="000000" w:themeColor="text1"/>
        </w:rPr>
        <w:t>,</w:t>
      </w:r>
      <w:r w:rsidRPr="00122C40">
        <w:rPr>
          <w:color w:val="000000" w:themeColor="text1"/>
        </w:rPr>
        <w:t xml:space="preserve"> non-Pacific (</w:t>
      </w:r>
      <w:r w:rsidR="00B65BC8">
        <w:rPr>
          <w:color w:val="000000" w:themeColor="text1"/>
        </w:rPr>
        <w:t xml:space="preserve">see </w:t>
      </w:r>
      <w:r w:rsidR="00B65BC8">
        <w:rPr>
          <w:color w:val="000000" w:themeColor="text1"/>
        </w:rPr>
        <w:fldChar w:fldCharType="begin"/>
      </w:r>
      <w:r w:rsidR="00B65BC8">
        <w:rPr>
          <w:color w:val="000000" w:themeColor="text1"/>
        </w:rPr>
        <w:instrText xml:space="preserve"> REF _Ref53470818 \h </w:instrText>
      </w:r>
      <w:r w:rsidR="00B65BC8">
        <w:rPr>
          <w:color w:val="000000" w:themeColor="text1"/>
        </w:rPr>
      </w:r>
      <w:r w:rsidR="00B65BC8">
        <w:rPr>
          <w:color w:val="000000" w:themeColor="text1"/>
        </w:rPr>
        <w:fldChar w:fldCharType="separate"/>
      </w:r>
      <w:r w:rsidR="00CF2713" w:rsidRPr="005E364B">
        <w:t>Table</w:t>
      </w:r>
      <w:r w:rsidR="00CF2713">
        <w:t xml:space="preserve"> </w:t>
      </w:r>
      <w:r w:rsidR="00CF2713">
        <w:rPr>
          <w:noProof/>
        </w:rPr>
        <w:t>3</w:t>
      </w:r>
      <w:r w:rsidR="00B65BC8">
        <w:rPr>
          <w:color w:val="000000" w:themeColor="text1"/>
        </w:rPr>
        <w:fldChar w:fldCharType="end"/>
      </w:r>
      <w:r w:rsidRPr="00122C40">
        <w:rPr>
          <w:color w:val="000000" w:themeColor="text1"/>
        </w:rPr>
        <w:t>).</w:t>
      </w:r>
    </w:p>
    <w:p w14:paraId="0931C0A9" w14:textId="77777777" w:rsidR="00EA64A0" w:rsidRPr="00122C40" w:rsidRDefault="00EA64A0" w:rsidP="00EA64A0">
      <w:pPr>
        <w:jc w:val="both"/>
        <w:rPr>
          <w:color w:val="000000" w:themeColor="text1"/>
        </w:rPr>
      </w:pPr>
    </w:p>
    <w:p w14:paraId="2B7052E2" w14:textId="77777777" w:rsidR="00C46B46" w:rsidRDefault="00C46B46" w:rsidP="00EA64A0">
      <w:pPr>
        <w:pStyle w:val="Caption"/>
        <w:sectPr w:rsidR="00C46B46" w:rsidSect="006A7630">
          <w:pgSz w:w="11906" w:h="16838"/>
          <w:pgMar w:top="1440" w:right="1440" w:bottom="1440" w:left="1440" w:header="708" w:footer="708" w:gutter="0"/>
          <w:cols w:space="708"/>
          <w:docGrid w:linePitch="360"/>
        </w:sectPr>
      </w:pPr>
      <w:bookmarkStart w:id="146" w:name="_Ref53470568"/>
      <w:bookmarkStart w:id="147" w:name="_Toc52420611"/>
    </w:p>
    <w:p w14:paraId="54B8B63C" w14:textId="2BF39047" w:rsidR="00EA64A0" w:rsidRPr="005E364B" w:rsidRDefault="00EA64A0" w:rsidP="00EA64A0">
      <w:pPr>
        <w:pStyle w:val="Caption"/>
      </w:pPr>
      <w:bookmarkStart w:id="148" w:name="_Toc53585953"/>
      <w:r w:rsidRPr="0015171E">
        <w:lastRenderedPageBreak/>
        <w:t xml:space="preserve">Figure </w:t>
      </w:r>
      <w:r w:rsidRPr="0015171E">
        <w:rPr>
          <w:noProof/>
        </w:rPr>
        <w:fldChar w:fldCharType="begin"/>
      </w:r>
      <w:r w:rsidRPr="0015171E">
        <w:rPr>
          <w:noProof/>
        </w:rPr>
        <w:instrText xml:space="preserve"> SEQ Figure \* ARABIC </w:instrText>
      </w:r>
      <w:r w:rsidRPr="0015171E">
        <w:rPr>
          <w:noProof/>
        </w:rPr>
        <w:fldChar w:fldCharType="separate"/>
      </w:r>
      <w:r w:rsidR="00CF2713">
        <w:rPr>
          <w:noProof/>
        </w:rPr>
        <w:t>23</w:t>
      </w:r>
      <w:r w:rsidRPr="0015171E">
        <w:rPr>
          <w:noProof/>
        </w:rPr>
        <w:fldChar w:fldCharType="end"/>
      </w:r>
      <w:bookmarkEnd w:id="146"/>
      <w:r w:rsidRPr="0015171E">
        <w:t>: Elective Services Patient Flow Indicator</w:t>
      </w:r>
      <w:r w:rsidRPr="0015171E" w:rsidDel="001A6A3F">
        <w:t xml:space="preserve"> </w:t>
      </w:r>
      <w:r w:rsidRPr="0015171E">
        <w:t>5 (ESPI 5) for Māori nationally, July 2019–June 2020</w:t>
      </w:r>
      <w:bookmarkEnd w:id="147"/>
      <w:bookmarkEnd w:id="148"/>
    </w:p>
    <w:p w14:paraId="600C813C" w14:textId="6047B12A" w:rsidR="00EA64A0" w:rsidRPr="005E364B" w:rsidRDefault="0015171E" w:rsidP="0015171E">
      <w:pPr>
        <w:spacing w:before="120"/>
        <w:ind w:hanging="142"/>
        <w:jc w:val="center"/>
        <w:rPr>
          <w:rFonts w:cs="Segoe UI"/>
          <w:color w:val="000000" w:themeColor="text1"/>
          <w:sz w:val="22"/>
          <w:szCs w:val="22"/>
        </w:rPr>
      </w:pPr>
      <w:r>
        <w:rPr>
          <w:rFonts w:cs="Segoe UI"/>
          <w:noProof/>
          <w:color w:val="000000" w:themeColor="text1"/>
          <w:sz w:val="22"/>
          <w:szCs w:val="22"/>
        </w:rPr>
        <w:drawing>
          <wp:inline distT="0" distB="0" distL="0" distR="0" wp14:anchorId="39648042" wp14:editId="4F60EC1B">
            <wp:extent cx="5802019" cy="2934586"/>
            <wp:effectExtent l="0" t="0" r="8255" b="0"/>
            <wp:docPr id="132" name="Picture 132" descr="This bar graph shows that the number of Māori waiting for treatment has increased, as has the proportion of people waiting longer than 4 months, from less than 1000 in July of 2019 to nearly 3000 i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9">
                      <a:extLst>
                        <a:ext uri="{28A0092B-C50C-407E-A947-70E740481C1C}">
                          <a14:useLocalDpi xmlns:a14="http://schemas.microsoft.com/office/drawing/2010/main" val="0"/>
                        </a:ext>
                      </a:extLst>
                    </a:blip>
                    <a:srcRect l="3143" t="9936" r="1431" b="6384"/>
                    <a:stretch/>
                  </pic:blipFill>
                  <pic:spPr bwMode="auto">
                    <a:xfrm>
                      <a:off x="0" y="0"/>
                      <a:ext cx="5826132" cy="2946782"/>
                    </a:xfrm>
                    <a:prstGeom prst="rect">
                      <a:avLst/>
                    </a:prstGeom>
                    <a:noFill/>
                    <a:ln>
                      <a:noFill/>
                    </a:ln>
                    <a:extLst>
                      <a:ext uri="{53640926-AAD7-44D8-BBD7-CCE9431645EC}">
                        <a14:shadowObscured xmlns:a14="http://schemas.microsoft.com/office/drawing/2010/main"/>
                      </a:ext>
                    </a:extLst>
                  </pic:spPr>
                </pic:pic>
              </a:graphicData>
            </a:graphic>
          </wp:inline>
        </w:drawing>
      </w:r>
    </w:p>
    <w:p w14:paraId="205B68BC" w14:textId="77777777" w:rsidR="00C46B46" w:rsidRDefault="00C46B46" w:rsidP="00EA64A0">
      <w:pPr>
        <w:pStyle w:val="Caption"/>
      </w:pPr>
      <w:bookmarkStart w:id="149" w:name="_Toc52420612"/>
    </w:p>
    <w:p w14:paraId="5AC6C8F1" w14:textId="41CFC872" w:rsidR="00EA64A0" w:rsidRPr="005E364B" w:rsidRDefault="00EA64A0" w:rsidP="00EA64A0">
      <w:pPr>
        <w:pStyle w:val="Caption"/>
      </w:pPr>
      <w:bookmarkStart w:id="150" w:name="_Toc53585954"/>
      <w:r w:rsidRPr="00E20A01">
        <w:t xml:space="preserve">Figure </w:t>
      </w:r>
      <w:r w:rsidRPr="00E20A01">
        <w:rPr>
          <w:noProof/>
        </w:rPr>
        <w:fldChar w:fldCharType="begin"/>
      </w:r>
      <w:r w:rsidRPr="00E20A01">
        <w:rPr>
          <w:noProof/>
        </w:rPr>
        <w:instrText xml:space="preserve"> SEQ Figure \* ARABIC </w:instrText>
      </w:r>
      <w:r w:rsidRPr="00E20A01">
        <w:rPr>
          <w:noProof/>
        </w:rPr>
        <w:fldChar w:fldCharType="separate"/>
      </w:r>
      <w:r w:rsidR="00CF2713">
        <w:rPr>
          <w:noProof/>
        </w:rPr>
        <w:t>24</w:t>
      </w:r>
      <w:r w:rsidRPr="00E20A01">
        <w:rPr>
          <w:noProof/>
        </w:rPr>
        <w:fldChar w:fldCharType="end"/>
      </w:r>
      <w:r w:rsidRPr="00E20A01">
        <w:t>: Elective Services Patient Flow Indicator</w:t>
      </w:r>
      <w:r w:rsidRPr="00E20A01" w:rsidDel="001A6A3F">
        <w:t xml:space="preserve"> </w:t>
      </w:r>
      <w:r w:rsidRPr="00E20A01">
        <w:t>5 (ESPI 5) for Pacific peoples nationally, July 2019–June 2020</w:t>
      </w:r>
      <w:bookmarkEnd w:id="149"/>
      <w:bookmarkEnd w:id="150"/>
    </w:p>
    <w:p w14:paraId="3D32689D" w14:textId="38F7FBA5" w:rsidR="00680976" w:rsidRDefault="00871F4D" w:rsidP="00EA64A0">
      <w:pPr>
        <w:pStyle w:val="Caption"/>
        <w:rPr>
          <w:highlight w:val="yellow"/>
        </w:rPr>
        <w:sectPr w:rsidR="00680976" w:rsidSect="006A7630">
          <w:pgSz w:w="11906" w:h="16838"/>
          <w:pgMar w:top="1440" w:right="1440" w:bottom="1440" w:left="1440" w:header="708" w:footer="708" w:gutter="0"/>
          <w:cols w:space="708"/>
          <w:docGrid w:linePitch="360"/>
        </w:sectPr>
      </w:pPr>
      <w:bookmarkStart w:id="151" w:name="_Toc52420613"/>
      <w:r>
        <w:rPr>
          <w:noProof/>
          <w:highlight w:val="yellow"/>
        </w:rPr>
        <w:drawing>
          <wp:inline distT="0" distB="0" distL="0" distR="0" wp14:anchorId="38F24F7D" wp14:editId="0DBF4221">
            <wp:extent cx="5740400" cy="2768297"/>
            <wp:effectExtent l="0" t="0" r="0" b="0"/>
            <wp:docPr id="133" name="Picture 133" descr="This bar graph shows that the number of Pacific peoples waiting for treatment has increased, and the proportion of people waiting longer than 4 months for treatment as also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0">
                      <a:extLst>
                        <a:ext uri="{28A0092B-C50C-407E-A947-70E740481C1C}">
                          <a14:useLocalDpi xmlns:a14="http://schemas.microsoft.com/office/drawing/2010/main" val="0"/>
                        </a:ext>
                      </a:extLst>
                    </a:blip>
                    <a:srcRect l="1727" t="10650" r="1506" b="8444"/>
                    <a:stretch/>
                  </pic:blipFill>
                  <pic:spPr bwMode="auto">
                    <a:xfrm>
                      <a:off x="0" y="0"/>
                      <a:ext cx="5770642" cy="2782881"/>
                    </a:xfrm>
                    <a:prstGeom prst="rect">
                      <a:avLst/>
                    </a:prstGeom>
                    <a:noFill/>
                    <a:ln>
                      <a:noFill/>
                    </a:ln>
                    <a:extLst>
                      <a:ext uri="{53640926-AAD7-44D8-BBD7-CCE9431645EC}">
                        <a14:shadowObscured xmlns:a14="http://schemas.microsoft.com/office/drawing/2010/main"/>
                      </a:ext>
                    </a:extLst>
                  </pic:spPr>
                </pic:pic>
              </a:graphicData>
            </a:graphic>
          </wp:inline>
        </w:drawing>
      </w:r>
    </w:p>
    <w:p w14:paraId="005BD03A" w14:textId="3778741C" w:rsidR="00EA64A0" w:rsidRPr="005E364B" w:rsidRDefault="00EA64A0" w:rsidP="00EA64A0">
      <w:pPr>
        <w:pStyle w:val="Caption"/>
      </w:pPr>
      <w:bookmarkStart w:id="152" w:name="_Ref53470572"/>
      <w:bookmarkStart w:id="153" w:name="_Toc53585955"/>
      <w:r w:rsidRPr="000478E1">
        <w:lastRenderedPageBreak/>
        <w:t xml:space="preserve">Figure </w:t>
      </w:r>
      <w:r w:rsidRPr="000478E1">
        <w:rPr>
          <w:noProof/>
        </w:rPr>
        <w:fldChar w:fldCharType="begin"/>
      </w:r>
      <w:r w:rsidRPr="000478E1">
        <w:rPr>
          <w:noProof/>
        </w:rPr>
        <w:instrText xml:space="preserve"> SEQ Figure \* ARABIC </w:instrText>
      </w:r>
      <w:r w:rsidRPr="000478E1">
        <w:rPr>
          <w:noProof/>
        </w:rPr>
        <w:fldChar w:fldCharType="separate"/>
      </w:r>
      <w:r w:rsidR="00CF2713">
        <w:rPr>
          <w:noProof/>
        </w:rPr>
        <w:t>25</w:t>
      </w:r>
      <w:r w:rsidRPr="000478E1">
        <w:rPr>
          <w:noProof/>
        </w:rPr>
        <w:fldChar w:fldCharType="end"/>
      </w:r>
      <w:bookmarkEnd w:id="152"/>
      <w:r w:rsidRPr="000478E1">
        <w:t>: Elective Services Patient Flow Indicator</w:t>
      </w:r>
      <w:r w:rsidRPr="000478E1" w:rsidDel="001A6A3F">
        <w:t xml:space="preserve"> </w:t>
      </w:r>
      <w:r w:rsidRPr="000478E1">
        <w:t>5 (ESPI 5) for non-Māori, non-Pacific nationally, July 2019–June 2020</w:t>
      </w:r>
      <w:bookmarkEnd w:id="151"/>
      <w:bookmarkEnd w:id="153"/>
    </w:p>
    <w:p w14:paraId="5D5001BB" w14:textId="288FFF54" w:rsidR="00EA64A0" w:rsidRDefault="000478E1" w:rsidP="000478E1">
      <w:pPr>
        <w:spacing w:before="120"/>
        <w:rPr>
          <w:rFonts w:cs="Segoe UI"/>
          <w:sz w:val="22"/>
          <w:szCs w:val="22"/>
        </w:rPr>
      </w:pPr>
      <w:r>
        <w:rPr>
          <w:rFonts w:cs="Segoe UI"/>
          <w:noProof/>
          <w:sz w:val="22"/>
          <w:szCs w:val="22"/>
        </w:rPr>
        <w:drawing>
          <wp:inline distT="0" distB="0" distL="0" distR="0" wp14:anchorId="07DD7702" wp14:editId="0EB95962">
            <wp:extent cx="5638800" cy="2762090"/>
            <wp:effectExtent l="0" t="0" r="0" b="635"/>
            <wp:docPr id="120" name="Picture 120" descr="This bar graph shows that in July 2019, 35,000 non-Māori, non-Pacific people were waiting for treatment and about 4,000 had been waiting longer than 4 months. In June 2020, there were about 37,500 people waiting for treatment and about 10,000 of them had been waiting longer than 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a:extLst>
                        <a:ext uri="{28A0092B-C50C-407E-A947-70E740481C1C}">
                          <a14:useLocalDpi xmlns:a14="http://schemas.microsoft.com/office/drawing/2010/main" val="0"/>
                        </a:ext>
                      </a:extLst>
                    </a:blip>
                    <a:srcRect l="2466" t="11514" r="2316" b="7689"/>
                    <a:stretch/>
                  </pic:blipFill>
                  <pic:spPr bwMode="auto">
                    <a:xfrm>
                      <a:off x="0" y="0"/>
                      <a:ext cx="5641176" cy="2763254"/>
                    </a:xfrm>
                    <a:prstGeom prst="rect">
                      <a:avLst/>
                    </a:prstGeom>
                    <a:noFill/>
                    <a:ln>
                      <a:noFill/>
                    </a:ln>
                    <a:extLst>
                      <a:ext uri="{53640926-AAD7-44D8-BBD7-CCE9431645EC}">
                        <a14:shadowObscured xmlns:a14="http://schemas.microsoft.com/office/drawing/2010/main"/>
                      </a:ext>
                    </a:extLst>
                  </pic:spPr>
                </pic:pic>
              </a:graphicData>
            </a:graphic>
          </wp:inline>
        </w:drawing>
      </w:r>
    </w:p>
    <w:p w14:paraId="615F59C5" w14:textId="77777777" w:rsidR="00EA64A0" w:rsidRPr="00C8353F" w:rsidRDefault="00EA64A0" w:rsidP="00EA64A0">
      <w:pPr>
        <w:spacing w:before="120"/>
        <w:jc w:val="center"/>
        <w:rPr>
          <w:rFonts w:cs="Segoe UI"/>
          <w:sz w:val="22"/>
          <w:szCs w:val="22"/>
        </w:rPr>
      </w:pPr>
    </w:p>
    <w:p w14:paraId="4C897E01" w14:textId="77777777" w:rsidR="001D047B" w:rsidRDefault="001D047B" w:rsidP="00EA64A0">
      <w:pPr>
        <w:pStyle w:val="Caption"/>
        <w:sectPr w:rsidR="001D047B" w:rsidSect="006A7630">
          <w:pgSz w:w="11906" w:h="16838"/>
          <w:pgMar w:top="1440" w:right="1440" w:bottom="1440" w:left="1440" w:header="708" w:footer="708" w:gutter="0"/>
          <w:cols w:space="708"/>
          <w:docGrid w:linePitch="360"/>
        </w:sectPr>
      </w:pPr>
      <w:bookmarkStart w:id="154" w:name="_Toc52420667"/>
    </w:p>
    <w:p w14:paraId="2203C5F1" w14:textId="016136E3" w:rsidR="00EA64A0" w:rsidRDefault="00EA64A0" w:rsidP="00EA64A0">
      <w:pPr>
        <w:pStyle w:val="Caption"/>
      </w:pPr>
      <w:bookmarkStart w:id="155" w:name="_Ref53470818"/>
      <w:bookmarkStart w:id="156" w:name="_Ref53470715"/>
      <w:bookmarkStart w:id="157" w:name="_Toc53585967"/>
      <w:r w:rsidRPr="005E364B">
        <w:lastRenderedPageBreak/>
        <w:t>Table</w:t>
      </w:r>
      <w:r>
        <w:t xml:space="preserve"> </w:t>
      </w:r>
      <w:r>
        <w:rPr>
          <w:noProof/>
        </w:rPr>
        <w:fldChar w:fldCharType="begin"/>
      </w:r>
      <w:r>
        <w:rPr>
          <w:noProof/>
        </w:rPr>
        <w:instrText xml:space="preserve"> SEQ Table \* ARABIC </w:instrText>
      </w:r>
      <w:r>
        <w:rPr>
          <w:noProof/>
        </w:rPr>
        <w:fldChar w:fldCharType="separate"/>
      </w:r>
      <w:r w:rsidR="00CF2713">
        <w:rPr>
          <w:noProof/>
        </w:rPr>
        <w:t>3</w:t>
      </w:r>
      <w:r>
        <w:rPr>
          <w:noProof/>
        </w:rPr>
        <w:fldChar w:fldCharType="end"/>
      </w:r>
      <w:bookmarkEnd w:id="155"/>
      <w:r w:rsidRPr="005E364B">
        <w:t xml:space="preserve">: </w:t>
      </w:r>
      <w:r w:rsidRPr="007703A1">
        <w:t xml:space="preserve">Percentage change in </w:t>
      </w:r>
      <w:r w:rsidRPr="00E35305">
        <w:t>Elective Services Patient Flow Indicator</w:t>
      </w:r>
      <w:r w:rsidRPr="007703A1" w:rsidDel="001A6A3F">
        <w:t xml:space="preserve"> </w:t>
      </w:r>
      <w:r w:rsidRPr="007703A1">
        <w:t xml:space="preserve">5 </w:t>
      </w:r>
      <w:r>
        <w:t xml:space="preserve">(ESPI 5) </w:t>
      </w:r>
      <w:r w:rsidRPr="007703A1">
        <w:t>nationally</w:t>
      </w:r>
      <w:r>
        <w:t>,</w:t>
      </w:r>
      <w:r w:rsidRPr="007703A1">
        <w:t xml:space="preserve"> </w:t>
      </w:r>
      <w:r>
        <w:t>July</w:t>
      </w:r>
      <w:r w:rsidRPr="00D0454C">
        <w:t xml:space="preserve"> 2019–June 202</w:t>
      </w:r>
      <w:r>
        <w:t xml:space="preserve">0, </w:t>
      </w:r>
      <w:r w:rsidRPr="007703A1">
        <w:t>by ethnicity</w:t>
      </w:r>
      <w:bookmarkEnd w:id="154"/>
      <w:bookmarkEnd w:id="156"/>
      <w:bookmarkEnd w:id="157"/>
    </w:p>
    <w:tbl>
      <w:tblPr>
        <w:tblW w:w="13598" w:type="dxa"/>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1550"/>
        <w:gridCol w:w="1417"/>
        <w:gridCol w:w="1418"/>
        <w:gridCol w:w="992"/>
        <w:gridCol w:w="1559"/>
        <w:gridCol w:w="1276"/>
        <w:gridCol w:w="992"/>
        <w:gridCol w:w="1559"/>
        <w:gridCol w:w="1701"/>
        <w:gridCol w:w="1134"/>
      </w:tblGrid>
      <w:tr w:rsidR="001D047B" w:rsidRPr="001D047B" w14:paraId="6565C455" w14:textId="77777777" w:rsidTr="001D047B">
        <w:trPr>
          <w:trHeight w:val="300"/>
        </w:trPr>
        <w:tc>
          <w:tcPr>
            <w:tcW w:w="1550" w:type="dxa"/>
            <w:vMerge w:val="restart"/>
            <w:shd w:val="clear" w:color="auto" w:fill="D9D9D9" w:themeFill="background1" w:themeFillShade="D9"/>
            <w:noWrap/>
            <w:vAlign w:val="bottom"/>
            <w:hideMark/>
          </w:tcPr>
          <w:p w14:paraId="5E296F7C"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 </w:t>
            </w:r>
          </w:p>
        </w:tc>
        <w:tc>
          <w:tcPr>
            <w:tcW w:w="3827" w:type="dxa"/>
            <w:gridSpan w:val="3"/>
            <w:shd w:val="clear" w:color="auto" w:fill="D9D9D9" w:themeFill="background1" w:themeFillShade="D9"/>
            <w:noWrap/>
            <w:vAlign w:val="bottom"/>
            <w:hideMark/>
          </w:tcPr>
          <w:p w14:paraId="76A6D657"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Māori</w:t>
            </w:r>
          </w:p>
        </w:tc>
        <w:tc>
          <w:tcPr>
            <w:tcW w:w="3827" w:type="dxa"/>
            <w:gridSpan w:val="3"/>
            <w:shd w:val="clear" w:color="auto" w:fill="D9D9D9" w:themeFill="background1" w:themeFillShade="D9"/>
            <w:noWrap/>
            <w:vAlign w:val="bottom"/>
            <w:hideMark/>
          </w:tcPr>
          <w:p w14:paraId="7979AFD4" w14:textId="01177580"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Non-Māori</w:t>
            </w:r>
            <w:r w:rsidR="00CC05D7">
              <w:rPr>
                <w:rFonts w:cs="Segoe UI"/>
                <w:b/>
                <w:bCs/>
                <w:color w:val="000000"/>
                <w:sz w:val="18"/>
                <w:szCs w:val="18"/>
                <w:lang w:val="en-AU" w:eastAsia="en-AU"/>
              </w:rPr>
              <w:t>,</w:t>
            </w:r>
            <w:r w:rsidRPr="001D047B">
              <w:rPr>
                <w:rFonts w:cs="Segoe UI"/>
                <w:b/>
                <w:bCs/>
                <w:color w:val="000000"/>
                <w:sz w:val="18"/>
                <w:szCs w:val="18"/>
                <w:lang w:val="en-AU" w:eastAsia="en-AU"/>
              </w:rPr>
              <w:t xml:space="preserve"> non-Pacific</w:t>
            </w:r>
          </w:p>
        </w:tc>
        <w:tc>
          <w:tcPr>
            <w:tcW w:w="4394" w:type="dxa"/>
            <w:gridSpan w:val="3"/>
            <w:shd w:val="clear" w:color="auto" w:fill="D9D9D9" w:themeFill="background1" w:themeFillShade="D9"/>
            <w:noWrap/>
            <w:vAlign w:val="bottom"/>
            <w:hideMark/>
          </w:tcPr>
          <w:p w14:paraId="4C5B4B54"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Pacific</w:t>
            </w:r>
          </w:p>
        </w:tc>
      </w:tr>
      <w:tr w:rsidR="001D047B" w:rsidRPr="001D047B" w14:paraId="19D82D57" w14:textId="77777777" w:rsidTr="001D047B">
        <w:trPr>
          <w:trHeight w:val="1305"/>
        </w:trPr>
        <w:tc>
          <w:tcPr>
            <w:tcW w:w="1550" w:type="dxa"/>
            <w:vMerge/>
            <w:shd w:val="clear" w:color="auto" w:fill="D9D9D9" w:themeFill="background1" w:themeFillShade="D9"/>
            <w:vAlign w:val="center"/>
            <w:hideMark/>
          </w:tcPr>
          <w:p w14:paraId="0C29E386" w14:textId="77777777" w:rsidR="001D047B" w:rsidRPr="001D047B" w:rsidRDefault="001D047B" w:rsidP="001D047B">
            <w:pPr>
              <w:rPr>
                <w:rFonts w:cs="Segoe UI"/>
                <w:b/>
                <w:bCs/>
                <w:color w:val="000000"/>
                <w:sz w:val="18"/>
                <w:szCs w:val="18"/>
                <w:lang w:val="en-AU" w:eastAsia="en-AU"/>
              </w:rPr>
            </w:pPr>
          </w:p>
        </w:tc>
        <w:tc>
          <w:tcPr>
            <w:tcW w:w="1417" w:type="dxa"/>
            <w:shd w:val="clear" w:color="auto" w:fill="D9D9D9" w:themeFill="background1" w:themeFillShade="D9"/>
            <w:vAlign w:val="center"/>
            <w:hideMark/>
          </w:tcPr>
          <w:p w14:paraId="3E0A3BB6"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Number of patients waiting &gt; four months for treatment</w:t>
            </w:r>
          </w:p>
        </w:tc>
        <w:tc>
          <w:tcPr>
            <w:tcW w:w="1418" w:type="dxa"/>
            <w:shd w:val="clear" w:color="auto" w:fill="D9D9D9" w:themeFill="background1" w:themeFillShade="D9"/>
            <w:vAlign w:val="center"/>
            <w:hideMark/>
          </w:tcPr>
          <w:p w14:paraId="29A17927"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Total number of patients waiting for treatment</w:t>
            </w:r>
          </w:p>
        </w:tc>
        <w:tc>
          <w:tcPr>
            <w:tcW w:w="992" w:type="dxa"/>
            <w:shd w:val="clear" w:color="auto" w:fill="D9D9D9" w:themeFill="background1" w:themeFillShade="D9"/>
            <w:vAlign w:val="center"/>
            <w:hideMark/>
          </w:tcPr>
          <w:p w14:paraId="32B1A450"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ESPI 5 %</w:t>
            </w:r>
          </w:p>
        </w:tc>
        <w:tc>
          <w:tcPr>
            <w:tcW w:w="1559" w:type="dxa"/>
            <w:shd w:val="clear" w:color="auto" w:fill="D9D9D9" w:themeFill="background1" w:themeFillShade="D9"/>
            <w:vAlign w:val="center"/>
            <w:hideMark/>
          </w:tcPr>
          <w:p w14:paraId="63F94E0D"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Number of patients waiting &gt; four months for treatment</w:t>
            </w:r>
          </w:p>
        </w:tc>
        <w:tc>
          <w:tcPr>
            <w:tcW w:w="1276" w:type="dxa"/>
            <w:shd w:val="clear" w:color="auto" w:fill="D9D9D9" w:themeFill="background1" w:themeFillShade="D9"/>
            <w:vAlign w:val="center"/>
            <w:hideMark/>
          </w:tcPr>
          <w:p w14:paraId="6E344361"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Total number of patients waiting for treatment</w:t>
            </w:r>
          </w:p>
        </w:tc>
        <w:tc>
          <w:tcPr>
            <w:tcW w:w="992" w:type="dxa"/>
            <w:shd w:val="clear" w:color="auto" w:fill="D9D9D9" w:themeFill="background1" w:themeFillShade="D9"/>
            <w:vAlign w:val="center"/>
            <w:hideMark/>
          </w:tcPr>
          <w:p w14:paraId="6609C756"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ESPI 5 %</w:t>
            </w:r>
          </w:p>
        </w:tc>
        <w:tc>
          <w:tcPr>
            <w:tcW w:w="1559" w:type="dxa"/>
            <w:shd w:val="clear" w:color="auto" w:fill="D9D9D9" w:themeFill="background1" w:themeFillShade="D9"/>
            <w:vAlign w:val="center"/>
            <w:hideMark/>
          </w:tcPr>
          <w:p w14:paraId="20312C0D"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Number of patients waiting &gt; four months for treatment</w:t>
            </w:r>
          </w:p>
        </w:tc>
        <w:tc>
          <w:tcPr>
            <w:tcW w:w="1701" w:type="dxa"/>
            <w:shd w:val="clear" w:color="auto" w:fill="D9D9D9" w:themeFill="background1" w:themeFillShade="D9"/>
            <w:vAlign w:val="center"/>
            <w:hideMark/>
          </w:tcPr>
          <w:p w14:paraId="1973A13A"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Total number of patients waiting for treatment</w:t>
            </w:r>
          </w:p>
        </w:tc>
        <w:tc>
          <w:tcPr>
            <w:tcW w:w="1134" w:type="dxa"/>
            <w:shd w:val="clear" w:color="auto" w:fill="D9D9D9" w:themeFill="background1" w:themeFillShade="D9"/>
            <w:vAlign w:val="center"/>
            <w:hideMark/>
          </w:tcPr>
          <w:p w14:paraId="03FCF1E2" w14:textId="77777777" w:rsidR="001D047B" w:rsidRPr="001D047B" w:rsidRDefault="001D047B" w:rsidP="001D047B">
            <w:pPr>
              <w:jc w:val="center"/>
              <w:rPr>
                <w:rFonts w:cs="Segoe UI"/>
                <w:b/>
                <w:bCs/>
                <w:color w:val="000000"/>
                <w:sz w:val="18"/>
                <w:szCs w:val="18"/>
                <w:lang w:val="en-AU" w:eastAsia="en-AU"/>
              </w:rPr>
            </w:pPr>
            <w:r w:rsidRPr="001D047B">
              <w:rPr>
                <w:rFonts w:cs="Segoe UI"/>
                <w:b/>
                <w:bCs/>
                <w:color w:val="000000"/>
                <w:sz w:val="18"/>
                <w:szCs w:val="18"/>
                <w:lang w:val="en-AU" w:eastAsia="en-AU"/>
              </w:rPr>
              <w:t>ESPI 5 %</w:t>
            </w:r>
          </w:p>
        </w:tc>
      </w:tr>
      <w:tr w:rsidR="001D047B" w:rsidRPr="001D047B" w14:paraId="757BCE3E" w14:textId="77777777" w:rsidTr="001D047B">
        <w:trPr>
          <w:trHeight w:val="300"/>
        </w:trPr>
        <w:tc>
          <w:tcPr>
            <w:tcW w:w="1550" w:type="dxa"/>
            <w:shd w:val="clear" w:color="auto" w:fill="auto"/>
            <w:noWrap/>
            <w:vAlign w:val="center"/>
            <w:hideMark/>
          </w:tcPr>
          <w:p w14:paraId="15502BF7"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July 2019</w:t>
            </w:r>
          </w:p>
        </w:tc>
        <w:tc>
          <w:tcPr>
            <w:tcW w:w="1417" w:type="dxa"/>
            <w:shd w:val="clear" w:color="auto" w:fill="auto"/>
            <w:vAlign w:val="center"/>
            <w:hideMark/>
          </w:tcPr>
          <w:p w14:paraId="3FB34F8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819</w:t>
            </w:r>
          </w:p>
        </w:tc>
        <w:tc>
          <w:tcPr>
            <w:tcW w:w="1418" w:type="dxa"/>
            <w:shd w:val="clear" w:color="auto" w:fill="auto"/>
            <w:vAlign w:val="center"/>
            <w:hideMark/>
          </w:tcPr>
          <w:p w14:paraId="5CFF2C6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7,061</w:t>
            </w:r>
          </w:p>
        </w:tc>
        <w:tc>
          <w:tcPr>
            <w:tcW w:w="992" w:type="dxa"/>
            <w:shd w:val="clear" w:color="auto" w:fill="auto"/>
            <w:noWrap/>
            <w:vAlign w:val="center"/>
            <w:hideMark/>
          </w:tcPr>
          <w:p w14:paraId="44588D38"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11.6%</w:t>
            </w:r>
          </w:p>
        </w:tc>
        <w:tc>
          <w:tcPr>
            <w:tcW w:w="1559" w:type="dxa"/>
            <w:shd w:val="clear" w:color="auto" w:fill="auto"/>
            <w:vAlign w:val="center"/>
            <w:hideMark/>
          </w:tcPr>
          <w:p w14:paraId="142E7098"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3,666</w:t>
            </w:r>
          </w:p>
        </w:tc>
        <w:tc>
          <w:tcPr>
            <w:tcW w:w="1276" w:type="dxa"/>
            <w:shd w:val="clear" w:color="auto" w:fill="auto"/>
            <w:vAlign w:val="center"/>
            <w:hideMark/>
          </w:tcPr>
          <w:p w14:paraId="54A2232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35,242</w:t>
            </w:r>
          </w:p>
        </w:tc>
        <w:tc>
          <w:tcPr>
            <w:tcW w:w="992" w:type="dxa"/>
            <w:shd w:val="clear" w:color="auto" w:fill="auto"/>
            <w:noWrap/>
            <w:vAlign w:val="center"/>
            <w:hideMark/>
          </w:tcPr>
          <w:p w14:paraId="6B2A6D65"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10.4%</w:t>
            </w:r>
          </w:p>
        </w:tc>
        <w:tc>
          <w:tcPr>
            <w:tcW w:w="1559" w:type="dxa"/>
            <w:shd w:val="clear" w:color="auto" w:fill="auto"/>
            <w:vAlign w:val="center"/>
            <w:hideMark/>
          </w:tcPr>
          <w:p w14:paraId="55B3B5AC"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200</w:t>
            </w:r>
          </w:p>
        </w:tc>
        <w:tc>
          <w:tcPr>
            <w:tcW w:w="1701" w:type="dxa"/>
            <w:shd w:val="clear" w:color="auto" w:fill="auto"/>
            <w:vAlign w:val="center"/>
            <w:hideMark/>
          </w:tcPr>
          <w:p w14:paraId="6A4D7C98"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2,582</w:t>
            </w:r>
          </w:p>
        </w:tc>
        <w:tc>
          <w:tcPr>
            <w:tcW w:w="1134" w:type="dxa"/>
            <w:shd w:val="clear" w:color="auto" w:fill="auto"/>
            <w:noWrap/>
            <w:vAlign w:val="center"/>
            <w:hideMark/>
          </w:tcPr>
          <w:p w14:paraId="39B1CFC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7.7%</w:t>
            </w:r>
          </w:p>
        </w:tc>
      </w:tr>
      <w:tr w:rsidR="001D047B" w:rsidRPr="001D047B" w14:paraId="7AA31BC5" w14:textId="77777777" w:rsidTr="001D047B">
        <w:trPr>
          <w:trHeight w:val="300"/>
        </w:trPr>
        <w:tc>
          <w:tcPr>
            <w:tcW w:w="1550" w:type="dxa"/>
            <w:shd w:val="clear" w:color="auto" w:fill="auto"/>
            <w:noWrap/>
            <w:vAlign w:val="center"/>
            <w:hideMark/>
          </w:tcPr>
          <w:p w14:paraId="29A40408"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August 2019</w:t>
            </w:r>
          </w:p>
        </w:tc>
        <w:tc>
          <w:tcPr>
            <w:tcW w:w="1417" w:type="dxa"/>
            <w:shd w:val="clear" w:color="auto" w:fill="auto"/>
            <w:vAlign w:val="center"/>
            <w:hideMark/>
          </w:tcPr>
          <w:p w14:paraId="143B62C7"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835</w:t>
            </w:r>
          </w:p>
        </w:tc>
        <w:tc>
          <w:tcPr>
            <w:tcW w:w="1418" w:type="dxa"/>
            <w:shd w:val="clear" w:color="auto" w:fill="auto"/>
            <w:vAlign w:val="center"/>
            <w:hideMark/>
          </w:tcPr>
          <w:p w14:paraId="454924C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7,223</w:t>
            </w:r>
          </w:p>
        </w:tc>
        <w:tc>
          <w:tcPr>
            <w:tcW w:w="992" w:type="dxa"/>
            <w:shd w:val="clear" w:color="auto" w:fill="auto"/>
            <w:noWrap/>
            <w:vAlign w:val="center"/>
            <w:hideMark/>
          </w:tcPr>
          <w:p w14:paraId="22153193"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11.6%</w:t>
            </w:r>
          </w:p>
        </w:tc>
        <w:tc>
          <w:tcPr>
            <w:tcW w:w="1559" w:type="dxa"/>
            <w:shd w:val="clear" w:color="auto" w:fill="auto"/>
            <w:vAlign w:val="center"/>
            <w:hideMark/>
          </w:tcPr>
          <w:p w14:paraId="221BA63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3,632</w:t>
            </w:r>
          </w:p>
        </w:tc>
        <w:tc>
          <w:tcPr>
            <w:tcW w:w="1276" w:type="dxa"/>
            <w:shd w:val="clear" w:color="auto" w:fill="auto"/>
            <w:vAlign w:val="center"/>
            <w:hideMark/>
          </w:tcPr>
          <w:p w14:paraId="19C4C009"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35,211</w:t>
            </w:r>
          </w:p>
        </w:tc>
        <w:tc>
          <w:tcPr>
            <w:tcW w:w="992" w:type="dxa"/>
            <w:shd w:val="clear" w:color="auto" w:fill="auto"/>
            <w:noWrap/>
            <w:vAlign w:val="center"/>
            <w:hideMark/>
          </w:tcPr>
          <w:p w14:paraId="2C07DF41"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10.3%</w:t>
            </w:r>
          </w:p>
        </w:tc>
        <w:tc>
          <w:tcPr>
            <w:tcW w:w="1559" w:type="dxa"/>
            <w:shd w:val="clear" w:color="auto" w:fill="auto"/>
            <w:vAlign w:val="center"/>
            <w:hideMark/>
          </w:tcPr>
          <w:p w14:paraId="450C8D1D"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170</w:t>
            </w:r>
          </w:p>
        </w:tc>
        <w:tc>
          <w:tcPr>
            <w:tcW w:w="1701" w:type="dxa"/>
            <w:shd w:val="clear" w:color="auto" w:fill="auto"/>
            <w:vAlign w:val="center"/>
            <w:hideMark/>
          </w:tcPr>
          <w:p w14:paraId="0D8E7CD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2,574</w:t>
            </w:r>
          </w:p>
        </w:tc>
        <w:tc>
          <w:tcPr>
            <w:tcW w:w="1134" w:type="dxa"/>
            <w:shd w:val="clear" w:color="auto" w:fill="auto"/>
            <w:noWrap/>
            <w:vAlign w:val="center"/>
            <w:hideMark/>
          </w:tcPr>
          <w:p w14:paraId="2E57D56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6.6%</w:t>
            </w:r>
          </w:p>
        </w:tc>
      </w:tr>
      <w:tr w:rsidR="001D047B" w:rsidRPr="001D047B" w14:paraId="16C399D8" w14:textId="77777777" w:rsidTr="001D047B">
        <w:trPr>
          <w:trHeight w:val="300"/>
        </w:trPr>
        <w:tc>
          <w:tcPr>
            <w:tcW w:w="1550" w:type="dxa"/>
            <w:shd w:val="clear" w:color="auto" w:fill="auto"/>
            <w:noWrap/>
            <w:vAlign w:val="center"/>
            <w:hideMark/>
          </w:tcPr>
          <w:p w14:paraId="5E6D53B8"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September 2019</w:t>
            </w:r>
          </w:p>
        </w:tc>
        <w:tc>
          <w:tcPr>
            <w:tcW w:w="1417" w:type="dxa"/>
            <w:shd w:val="clear" w:color="auto" w:fill="auto"/>
            <w:vAlign w:val="center"/>
            <w:hideMark/>
          </w:tcPr>
          <w:p w14:paraId="23319D2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955</w:t>
            </w:r>
          </w:p>
        </w:tc>
        <w:tc>
          <w:tcPr>
            <w:tcW w:w="1418" w:type="dxa"/>
            <w:shd w:val="clear" w:color="auto" w:fill="auto"/>
            <w:vAlign w:val="center"/>
            <w:hideMark/>
          </w:tcPr>
          <w:p w14:paraId="4165A1F4"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7,414</w:t>
            </w:r>
          </w:p>
        </w:tc>
        <w:tc>
          <w:tcPr>
            <w:tcW w:w="992" w:type="dxa"/>
            <w:shd w:val="clear" w:color="auto" w:fill="auto"/>
            <w:noWrap/>
            <w:vAlign w:val="center"/>
            <w:hideMark/>
          </w:tcPr>
          <w:p w14:paraId="7302D27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12.9%</w:t>
            </w:r>
          </w:p>
        </w:tc>
        <w:tc>
          <w:tcPr>
            <w:tcW w:w="1559" w:type="dxa"/>
            <w:shd w:val="clear" w:color="auto" w:fill="auto"/>
            <w:vAlign w:val="center"/>
            <w:hideMark/>
          </w:tcPr>
          <w:p w14:paraId="4E524F91"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3,938</w:t>
            </w:r>
          </w:p>
        </w:tc>
        <w:tc>
          <w:tcPr>
            <w:tcW w:w="1276" w:type="dxa"/>
            <w:shd w:val="clear" w:color="auto" w:fill="auto"/>
            <w:vAlign w:val="center"/>
            <w:hideMark/>
          </w:tcPr>
          <w:p w14:paraId="46C34A3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35,071</w:t>
            </w:r>
          </w:p>
        </w:tc>
        <w:tc>
          <w:tcPr>
            <w:tcW w:w="992" w:type="dxa"/>
            <w:shd w:val="clear" w:color="auto" w:fill="auto"/>
            <w:noWrap/>
            <w:vAlign w:val="center"/>
            <w:hideMark/>
          </w:tcPr>
          <w:p w14:paraId="4D02DFF8"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11.2%</w:t>
            </w:r>
          </w:p>
        </w:tc>
        <w:tc>
          <w:tcPr>
            <w:tcW w:w="1559" w:type="dxa"/>
            <w:shd w:val="clear" w:color="auto" w:fill="auto"/>
            <w:vAlign w:val="center"/>
            <w:hideMark/>
          </w:tcPr>
          <w:p w14:paraId="02570B95"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175</w:t>
            </w:r>
          </w:p>
        </w:tc>
        <w:tc>
          <w:tcPr>
            <w:tcW w:w="1701" w:type="dxa"/>
            <w:shd w:val="clear" w:color="auto" w:fill="auto"/>
            <w:vAlign w:val="center"/>
            <w:hideMark/>
          </w:tcPr>
          <w:p w14:paraId="6064087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2,643</w:t>
            </w:r>
          </w:p>
        </w:tc>
        <w:tc>
          <w:tcPr>
            <w:tcW w:w="1134" w:type="dxa"/>
            <w:shd w:val="clear" w:color="auto" w:fill="auto"/>
            <w:noWrap/>
            <w:vAlign w:val="center"/>
            <w:hideMark/>
          </w:tcPr>
          <w:p w14:paraId="78A616B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6.6%</w:t>
            </w:r>
          </w:p>
        </w:tc>
      </w:tr>
      <w:tr w:rsidR="001D047B" w:rsidRPr="001D047B" w14:paraId="55845651" w14:textId="77777777" w:rsidTr="001D047B">
        <w:trPr>
          <w:trHeight w:val="300"/>
        </w:trPr>
        <w:tc>
          <w:tcPr>
            <w:tcW w:w="1550" w:type="dxa"/>
            <w:shd w:val="clear" w:color="auto" w:fill="auto"/>
            <w:noWrap/>
            <w:vAlign w:val="center"/>
            <w:hideMark/>
          </w:tcPr>
          <w:p w14:paraId="68F1C211"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October 2019</w:t>
            </w:r>
          </w:p>
        </w:tc>
        <w:tc>
          <w:tcPr>
            <w:tcW w:w="1417" w:type="dxa"/>
            <w:shd w:val="clear" w:color="auto" w:fill="auto"/>
            <w:vAlign w:val="center"/>
            <w:hideMark/>
          </w:tcPr>
          <w:p w14:paraId="1DAEF4C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1,011</w:t>
            </w:r>
          </w:p>
        </w:tc>
        <w:tc>
          <w:tcPr>
            <w:tcW w:w="1418" w:type="dxa"/>
            <w:shd w:val="clear" w:color="auto" w:fill="auto"/>
            <w:vAlign w:val="center"/>
            <w:hideMark/>
          </w:tcPr>
          <w:p w14:paraId="5BF1074D"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7,407</w:t>
            </w:r>
          </w:p>
        </w:tc>
        <w:tc>
          <w:tcPr>
            <w:tcW w:w="992" w:type="dxa"/>
            <w:shd w:val="clear" w:color="auto" w:fill="auto"/>
            <w:noWrap/>
            <w:vAlign w:val="center"/>
            <w:hideMark/>
          </w:tcPr>
          <w:p w14:paraId="48B1F7B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13.6%</w:t>
            </w:r>
          </w:p>
        </w:tc>
        <w:tc>
          <w:tcPr>
            <w:tcW w:w="1559" w:type="dxa"/>
            <w:shd w:val="clear" w:color="auto" w:fill="auto"/>
            <w:vAlign w:val="center"/>
            <w:hideMark/>
          </w:tcPr>
          <w:p w14:paraId="6E7983D8"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4,219</w:t>
            </w:r>
          </w:p>
        </w:tc>
        <w:tc>
          <w:tcPr>
            <w:tcW w:w="1276" w:type="dxa"/>
            <w:shd w:val="clear" w:color="auto" w:fill="auto"/>
            <w:vAlign w:val="center"/>
            <w:hideMark/>
          </w:tcPr>
          <w:p w14:paraId="46C3D72D"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35,280</w:t>
            </w:r>
          </w:p>
        </w:tc>
        <w:tc>
          <w:tcPr>
            <w:tcW w:w="992" w:type="dxa"/>
            <w:shd w:val="clear" w:color="auto" w:fill="auto"/>
            <w:noWrap/>
            <w:vAlign w:val="center"/>
            <w:hideMark/>
          </w:tcPr>
          <w:p w14:paraId="6222ADC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12.0%</w:t>
            </w:r>
          </w:p>
        </w:tc>
        <w:tc>
          <w:tcPr>
            <w:tcW w:w="1559" w:type="dxa"/>
            <w:shd w:val="clear" w:color="auto" w:fill="auto"/>
            <w:vAlign w:val="center"/>
            <w:hideMark/>
          </w:tcPr>
          <w:p w14:paraId="6772136B"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220</w:t>
            </w:r>
          </w:p>
        </w:tc>
        <w:tc>
          <w:tcPr>
            <w:tcW w:w="1701" w:type="dxa"/>
            <w:shd w:val="clear" w:color="auto" w:fill="auto"/>
            <w:vAlign w:val="center"/>
            <w:hideMark/>
          </w:tcPr>
          <w:p w14:paraId="1E5FE57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2,619</w:t>
            </w:r>
          </w:p>
        </w:tc>
        <w:tc>
          <w:tcPr>
            <w:tcW w:w="1134" w:type="dxa"/>
            <w:shd w:val="clear" w:color="auto" w:fill="auto"/>
            <w:noWrap/>
            <w:vAlign w:val="center"/>
            <w:hideMark/>
          </w:tcPr>
          <w:p w14:paraId="5FF1ACF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8.4%</w:t>
            </w:r>
          </w:p>
        </w:tc>
      </w:tr>
      <w:tr w:rsidR="001D047B" w:rsidRPr="001D047B" w14:paraId="3CB16DC7" w14:textId="77777777" w:rsidTr="001D047B">
        <w:trPr>
          <w:trHeight w:val="300"/>
        </w:trPr>
        <w:tc>
          <w:tcPr>
            <w:tcW w:w="1550" w:type="dxa"/>
            <w:shd w:val="clear" w:color="auto" w:fill="auto"/>
            <w:noWrap/>
            <w:vAlign w:val="center"/>
            <w:hideMark/>
          </w:tcPr>
          <w:p w14:paraId="50F0472D"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November 2019</w:t>
            </w:r>
          </w:p>
        </w:tc>
        <w:tc>
          <w:tcPr>
            <w:tcW w:w="1417" w:type="dxa"/>
            <w:shd w:val="clear" w:color="auto" w:fill="auto"/>
            <w:vAlign w:val="center"/>
            <w:hideMark/>
          </w:tcPr>
          <w:p w14:paraId="2CE77CD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1,082</w:t>
            </w:r>
          </w:p>
        </w:tc>
        <w:tc>
          <w:tcPr>
            <w:tcW w:w="1418" w:type="dxa"/>
            <w:shd w:val="clear" w:color="auto" w:fill="auto"/>
            <w:vAlign w:val="center"/>
            <w:hideMark/>
          </w:tcPr>
          <w:p w14:paraId="47AC0DE1"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7,465</w:t>
            </w:r>
          </w:p>
        </w:tc>
        <w:tc>
          <w:tcPr>
            <w:tcW w:w="992" w:type="dxa"/>
            <w:shd w:val="clear" w:color="auto" w:fill="auto"/>
            <w:noWrap/>
            <w:vAlign w:val="center"/>
            <w:hideMark/>
          </w:tcPr>
          <w:p w14:paraId="2E9D542B"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14.5%</w:t>
            </w:r>
          </w:p>
        </w:tc>
        <w:tc>
          <w:tcPr>
            <w:tcW w:w="1559" w:type="dxa"/>
            <w:shd w:val="clear" w:color="auto" w:fill="auto"/>
            <w:vAlign w:val="center"/>
            <w:hideMark/>
          </w:tcPr>
          <w:p w14:paraId="64B2D0E2"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4,522</w:t>
            </w:r>
          </w:p>
        </w:tc>
        <w:tc>
          <w:tcPr>
            <w:tcW w:w="1276" w:type="dxa"/>
            <w:shd w:val="clear" w:color="auto" w:fill="auto"/>
            <w:vAlign w:val="center"/>
            <w:hideMark/>
          </w:tcPr>
          <w:p w14:paraId="3B045115"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35,597</w:t>
            </w:r>
          </w:p>
        </w:tc>
        <w:tc>
          <w:tcPr>
            <w:tcW w:w="992" w:type="dxa"/>
            <w:shd w:val="clear" w:color="auto" w:fill="auto"/>
            <w:noWrap/>
            <w:vAlign w:val="center"/>
            <w:hideMark/>
          </w:tcPr>
          <w:p w14:paraId="2FA76A72"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12.7%</w:t>
            </w:r>
          </w:p>
        </w:tc>
        <w:tc>
          <w:tcPr>
            <w:tcW w:w="1559" w:type="dxa"/>
            <w:shd w:val="clear" w:color="auto" w:fill="auto"/>
            <w:vAlign w:val="center"/>
            <w:hideMark/>
          </w:tcPr>
          <w:p w14:paraId="44AB6CC2"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239</w:t>
            </w:r>
          </w:p>
        </w:tc>
        <w:tc>
          <w:tcPr>
            <w:tcW w:w="1701" w:type="dxa"/>
            <w:shd w:val="clear" w:color="auto" w:fill="auto"/>
            <w:vAlign w:val="center"/>
            <w:hideMark/>
          </w:tcPr>
          <w:p w14:paraId="7F78240B"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2,756</w:t>
            </w:r>
          </w:p>
        </w:tc>
        <w:tc>
          <w:tcPr>
            <w:tcW w:w="1134" w:type="dxa"/>
            <w:shd w:val="clear" w:color="auto" w:fill="auto"/>
            <w:noWrap/>
            <w:vAlign w:val="center"/>
            <w:hideMark/>
          </w:tcPr>
          <w:p w14:paraId="3F0BA478"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8.7%</w:t>
            </w:r>
          </w:p>
        </w:tc>
      </w:tr>
      <w:tr w:rsidR="001D047B" w:rsidRPr="001D047B" w14:paraId="7B42AFE6" w14:textId="77777777" w:rsidTr="001D047B">
        <w:trPr>
          <w:trHeight w:val="300"/>
        </w:trPr>
        <w:tc>
          <w:tcPr>
            <w:tcW w:w="1550" w:type="dxa"/>
            <w:shd w:val="clear" w:color="auto" w:fill="auto"/>
            <w:noWrap/>
            <w:vAlign w:val="bottom"/>
            <w:hideMark/>
          </w:tcPr>
          <w:p w14:paraId="7DCD517E"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December 2019</w:t>
            </w:r>
          </w:p>
        </w:tc>
        <w:tc>
          <w:tcPr>
            <w:tcW w:w="1417" w:type="dxa"/>
            <w:shd w:val="clear" w:color="auto" w:fill="auto"/>
            <w:vAlign w:val="center"/>
            <w:hideMark/>
          </w:tcPr>
          <w:p w14:paraId="48BC45A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1,296</w:t>
            </w:r>
          </w:p>
        </w:tc>
        <w:tc>
          <w:tcPr>
            <w:tcW w:w="1418" w:type="dxa"/>
            <w:shd w:val="clear" w:color="auto" w:fill="auto"/>
            <w:vAlign w:val="center"/>
            <w:hideMark/>
          </w:tcPr>
          <w:p w14:paraId="79CA2E9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7,684</w:t>
            </w:r>
          </w:p>
        </w:tc>
        <w:tc>
          <w:tcPr>
            <w:tcW w:w="992" w:type="dxa"/>
            <w:shd w:val="clear" w:color="auto" w:fill="auto"/>
            <w:noWrap/>
            <w:vAlign w:val="center"/>
            <w:hideMark/>
          </w:tcPr>
          <w:p w14:paraId="5C6AB697"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16.9%</w:t>
            </w:r>
          </w:p>
        </w:tc>
        <w:tc>
          <w:tcPr>
            <w:tcW w:w="1559" w:type="dxa"/>
            <w:shd w:val="clear" w:color="auto" w:fill="auto"/>
            <w:vAlign w:val="center"/>
            <w:hideMark/>
          </w:tcPr>
          <w:p w14:paraId="04EBA762"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5,289</w:t>
            </w:r>
          </w:p>
        </w:tc>
        <w:tc>
          <w:tcPr>
            <w:tcW w:w="1276" w:type="dxa"/>
            <w:shd w:val="clear" w:color="auto" w:fill="auto"/>
            <w:vAlign w:val="center"/>
            <w:hideMark/>
          </w:tcPr>
          <w:p w14:paraId="5F811CFD"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37,274</w:t>
            </w:r>
          </w:p>
        </w:tc>
        <w:tc>
          <w:tcPr>
            <w:tcW w:w="992" w:type="dxa"/>
            <w:shd w:val="clear" w:color="auto" w:fill="auto"/>
            <w:noWrap/>
            <w:vAlign w:val="center"/>
            <w:hideMark/>
          </w:tcPr>
          <w:p w14:paraId="7741ED33"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14.2%</w:t>
            </w:r>
          </w:p>
        </w:tc>
        <w:tc>
          <w:tcPr>
            <w:tcW w:w="1559" w:type="dxa"/>
            <w:shd w:val="clear" w:color="auto" w:fill="auto"/>
            <w:vAlign w:val="center"/>
            <w:hideMark/>
          </w:tcPr>
          <w:p w14:paraId="3735AED2"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302</w:t>
            </w:r>
          </w:p>
        </w:tc>
        <w:tc>
          <w:tcPr>
            <w:tcW w:w="1701" w:type="dxa"/>
            <w:shd w:val="clear" w:color="auto" w:fill="auto"/>
            <w:vAlign w:val="center"/>
            <w:hideMark/>
          </w:tcPr>
          <w:p w14:paraId="21807A58"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2,887</w:t>
            </w:r>
          </w:p>
        </w:tc>
        <w:tc>
          <w:tcPr>
            <w:tcW w:w="1134" w:type="dxa"/>
            <w:shd w:val="clear" w:color="auto" w:fill="auto"/>
            <w:noWrap/>
            <w:vAlign w:val="center"/>
            <w:hideMark/>
          </w:tcPr>
          <w:p w14:paraId="58E24374"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10.5%</w:t>
            </w:r>
          </w:p>
        </w:tc>
      </w:tr>
      <w:tr w:rsidR="001D047B" w:rsidRPr="001D047B" w14:paraId="526E1F18" w14:textId="77777777" w:rsidTr="001D047B">
        <w:trPr>
          <w:trHeight w:val="300"/>
        </w:trPr>
        <w:tc>
          <w:tcPr>
            <w:tcW w:w="1550" w:type="dxa"/>
            <w:shd w:val="clear" w:color="auto" w:fill="auto"/>
            <w:noWrap/>
            <w:vAlign w:val="bottom"/>
            <w:hideMark/>
          </w:tcPr>
          <w:p w14:paraId="486306EF"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January 2020</w:t>
            </w:r>
          </w:p>
        </w:tc>
        <w:tc>
          <w:tcPr>
            <w:tcW w:w="1417" w:type="dxa"/>
            <w:shd w:val="clear" w:color="auto" w:fill="auto"/>
            <w:vAlign w:val="center"/>
            <w:hideMark/>
          </w:tcPr>
          <w:p w14:paraId="1A0DECB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1,641</w:t>
            </w:r>
          </w:p>
        </w:tc>
        <w:tc>
          <w:tcPr>
            <w:tcW w:w="1418" w:type="dxa"/>
            <w:shd w:val="clear" w:color="auto" w:fill="auto"/>
            <w:vAlign w:val="center"/>
            <w:hideMark/>
          </w:tcPr>
          <w:p w14:paraId="234020C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7,642</w:t>
            </w:r>
          </w:p>
        </w:tc>
        <w:tc>
          <w:tcPr>
            <w:tcW w:w="992" w:type="dxa"/>
            <w:shd w:val="clear" w:color="auto" w:fill="auto"/>
            <w:noWrap/>
            <w:vAlign w:val="center"/>
            <w:hideMark/>
          </w:tcPr>
          <w:p w14:paraId="6E36070C"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21.5%</w:t>
            </w:r>
          </w:p>
        </w:tc>
        <w:tc>
          <w:tcPr>
            <w:tcW w:w="1559" w:type="dxa"/>
            <w:shd w:val="clear" w:color="auto" w:fill="auto"/>
            <w:vAlign w:val="center"/>
            <w:hideMark/>
          </w:tcPr>
          <w:p w14:paraId="29B93D43"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6,211</w:t>
            </w:r>
          </w:p>
        </w:tc>
        <w:tc>
          <w:tcPr>
            <w:tcW w:w="1276" w:type="dxa"/>
            <w:shd w:val="clear" w:color="auto" w:fill="auto"/>
            <w:vAlign w:val="center"/>
            <w:hideMark/>
          </w:tcPr>
          <w:p w14:paraId="42700E61"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37,100</w:t>
            </w:r>
          </w:p>
        </w:tc>
        <w:tc>
          <w:tcPr>
            <w:tcW w:w="992" w:type="dxa"/>
            <w:shd w:val="clear" w:color="auto" w:fill="auto"/>
            <w:noWrap/>
            <w:vAlign w:val="center"/>
            <w:hideMark/>
          </w:tcPr>
          <w:p w14:paraId="5FE46D5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16.7%</w:t>
            </w:r>
          </w:p>
        </w:tc>
        <w:tc>
          <w:tcPr>
            <w:tcW w:w="1559" w:type="dxa"/>
            <w:shd w:val="clear" w:color="auto" w:fill="auto"/>
            <w:vAlign w:val="center"/>
            <w:hideMark/>
          </w:tcPr>
          <w:p w14:paraId="59427A3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363</w:t>
            </w:r>
          </w:p>
        </w:tc>
        <w:tc>
          <w:tcPr>
            <w:tcW w:w="1701" w:type="dxa"/>
            <w:shd w:val="clear" w:color="auto" w:fill="auto"/>
            <w:vAlign w:val="center"/>
            <w:hideMark/>
          </w:tcPr>
          <w:p w14:paraId="665870B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2,817</w:t>
            </w:r>
          </w:p>
        </w:tc>
        <w:tc>
          <w:tcPr>
            <w:tcW w:w="1134" w:type="dxa"/>
            <w:shd w:val="clear" w:color="auto" w:fill="auto"/>
            <w:noWrap/>
            <w:vAlign w:val="center"/>
            <w:hideMark/>
          </w:tcPr>
          <w:p w14:paraId="69EA0927"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12.9%</w:t>
            </w:r>
          </w:p>
        </w:tc>
      </w:tr>
      <w:tr w:rsidR="001D047B" w:rsidRPr="001D047B" w14:paraId="47DCBDB0" w14:textId="77777777" w:rsidTr="001D047B">
        <w:trPr>
          <w:trHeight w:val="300"/>
        </w:trPr>
        <w:tc>
          <w:tcPr>
            <w:tcW w:w="1550" w:type="dxa"/>
            <w:shd w:val="clear" w:color="auto" w:fill="auto"/>
            <w:noWrap/>
            <w:vAlign w:val="bottom"/>
            <w:hideMark/>
          </w:tcPr>
          <w:p w14:paraId="65ABB435"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February 2020</w:t>
            </w:r>
          </w:p>
        </w:tc>
        <w:tc>
          <w:tcPr>
            <w:tcW w:w="1417" w:type="dxa"/>
            <w:shd w:val="clear" w:color="auto" w:fill="auto"/>
            <w:vAlign w:val="center"/>
            <w:hideMark/>
          </w:tcPr>
          <w:p w14:paraId="072D42F4"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1,737</w:t>
            </w:r>
          </w:p>
        </w:tc>
        <w:tc>
          <w:tcPr>
            <w:tcW w:w="1418" w:type="dxa"/>
            <w:shd w:val="clear" w:color="auto" w:fill="auto"/>
            <w:vAlign w:val="center"/>
            <w:hideMark/>
          </w:tcPr>
          <w:p w14:paraId="6E6E3B1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7,793</w:t>
            </w:r>
          </w:p>
        </w:tc>
        <w:tc>
          <w:tcPr>
            <w:tcW w:w="992" w:type="dxa"/>
            <w:shd w:val="clear" w:color="auto" w:fill="auto"/>
            <w:noWrap/>
            <w:vAlign w:val="center"/>
            <w:hideMark/>
          </w:tcPr>
          <w:p w14:paraId="15DEDBB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22.3%</w:t>
            </w:r>
          </w:p>
        </w:tc>
        <w:tc>
          <w:tcPr>
            <w:tcW w:w="1559" w:type="dxa"/>
            <w:shd w:val="clear" w:color="auto" w:fill="auto"/>
            <w:vAlign w:val="center"/>
            <w:hideMark/>
          </w:tcPr>
          <w:p w14:paraId="21A0ECF4"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6,533</w:t>
            </w:r>
          </w:p>
        </w:tc>
        <w:tc>
          <w:tcPr>
            <w:tcW w:w="1276" w:type="dxa"/>
            <w:shd w:val="clear" w:color="auto" w:fill="auto"/>
            <w:vAlign w:val="center"/>
            <w:hideMark/>
          </w:tcPr>
          <w:p w14:paraId="35AF19D1"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37,753</w:t>
            </w:r>
          </w:p>
        </w:tc>
        <w:tc>
          <w:tcPr>
            <w:tcW w:w="992" w:type="dxa"/>
            <w:shd w:val="clear" w:color="auto" w:fill="auto"/>
            <w:noWrap/>
            <w:vAlign w:val="center"/>
            <w:hideMark/>
          </w:tcPr>
          <w:p w14:paraId="197E4437"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17.3%</w:t>
            </w:r>
          </w:p>
        </w:tc>
        <w:tc>
          <w:tcPr>
            <w:tcW w:w="1559" w:type="dxa"/>
            <w:shd w:val="clear" w:color="auto" w:fill="auto"/>
            <w:vAlign w:val="center"/>
            <w:hideMark/>
          </w:tcPr>
          <w:p w14:paraId="1C0BAAE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368</w:t>
            </w:r>
          </w:p>
        </w:tc>
        <w:tc>
          <w:tcPr>
            <w:tcW w:w="1701" w:type="dxa"/>
            <w:shd w:val="clear" w:color="auto" w:fill="auto"/>
            <w:vAlign w:val="center"/>
            <w:hideMark/>
          </w:tcPr>
          <w:p w14:paraId="06A921BD"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2,873</w:t>
            </w:r>
          </w:p>
        </w:tc>
        <w:tc>
          <w:tcPr>
            <w:tcW w:w="1134" w:type="dxa"/>
            <w:shd w:val="clear" w:color="auto" w:fill="auto"/>
            <w:noWrap/>
            <w:vAlign w:val="center"/>
            <w:hideMark/>
          </w:tcPr>
          <w:p w14:paraId="218008C2"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12.8%</w:t>
            </w:r>
          </w:p>
        </w:tc>
      </w:tr>
      <w:tr w:rsidR="001D047B" w:rsidRPr="001D047B" w14:paraId="6C57D535" w14:textId="77777777" w:rsidTr="001D047B">
        <w:trPr>
          <w:trHeight w:val="300"/>
        </w:trPr>
        <w:tc>
          <w:tcPr>
            <w:tcW w:w="1550" w:type="dxa"/>
            <w:shd w:val="clear" w:color="auto" w:fill="auto"/>
            <w:noWrap/>
            <w:vAlign w:val="bottom"/>
            <w:hideMark/>
          </w:tcPr>
          <w:p w14:paraId="7A65E027"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March 2020</w:t>
            </w:r>
          </w:p>
        </w:tc>
        <w:tc>
          <w:tcPr>
            <w:tcW w:w="1417" w:type="dxa"/>
            <w:shd w:val="clear" w:color="auto" w:fill="auto"/>
            <w:vAlign w:val="center"/>
            <w:hideMark/>
          </w:tcPr>
          <w:p w14:paraId="3155227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2,092</w:t>
            </w:r>
          </w:p>
        </w:tc>
        <w:tc>
          <w:tcPr>
            <w:tcW w:w="1418" w:type="dxa"/>
            <w:shd w:val="clear" w:color="auto" w:fill="auto"/>
            <w:vAlign w:val="center"/>
            <w:hideMark/>
          </w:tcPr>
          <w:p w14:paraId="2A190C0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8,147</w:t>
            </w:r>
          </w:p>
        </w:tc>
        <w:tc>
          <w:tcPr>
            <w:tcW w:w="992" w:type="dxa"/>
            <w:shd w:val="clear" w:color="auto" w:fill="auto"/>
            <w:noWrap/>
            <w:vAlign w:val="center"/>
            <w:hideMark/>
          </w:tcPr>
          <w:p w14:paraId="1DEF0A43"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25.7%</w:t>
            </w:r>
          </w:p>
        </w:tc>
        <w:tc>
          <w:tcPr>
            <w:tcW w:w="1559" w:type="dxa"/>
            <w:shd w:val="clear" w:color="auto" w:fill="auto"/>
            <w:vAlign w:val="center"/>
            <w:hideMark/>
          </w:tcPr>
          <w:p w14:paraId="76697C23"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7,768</w:t>
            </w:r>
          </w:p>
        </w:tc>
        <w:tc>
          <w:tcPr>
            <w:tcW w:w="1276" w:type="dxa"/>
            <w:shd w:val="clear" w:color="auto" w:fill="auto"/>
            <w:vAlign w:val="center"/>
            <w:hideMark/>
          </w:tcPr>
          <w:p w14:paraId="47CC35B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38,770</w:t>
            </w:r>
          </w:p>
        </w:tc>
        <w:tc>
          <w:tcPr>
            <w:tcW w:w="992" w:type="dxa"/>
            <w:shd w:val="clear" w:color="auto" w:fill="auto"/>
            <w:noWrap/>
            <w:vAlign w:val="center"/>
            <w:hideMark/>
          </w:tcPr>
          <w:p w14:paraId="00356FA5"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20.0%</w:t>
            </w:r>
          </w:p>
        </w:tc>
        <w:tc>
          <w:tcPr>
            <w:tcW w:w="1559" w:type="dxa"/>
            <w:shd w:val="clear" w:color="auto" w:fill="auto"/>
            <w:vAlign w:val="center"/>
            <w:hideMark/>
          </w:tcPr>
          <w:p w14:paraId="1D08CF55"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455</w:t>
            </w:r>
          </w:p>
        </w:tc>
        <w:tc>
          <w:tcPr>
            <w:tcW w:w="1701" w:type="dxa"/>
            <w:shd w:val="clear" w:color="auto" w:fill="auto"/>
            <w:vAlign w:val="center"/>
            <w:hideMark/>
          </w:tcPr>
          <w:p w14:paraId="7606A0C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2,978</w:t>
            </w:r>
          </w:p>
        </w:tc>
        <w:tc>
          <w:tcPr>
            <w:tcW w:w="1134" w:type="dxa"/>
            <w:shd w:val="clear" w:color="auto" w:fill="auto"/>
            <w:noWrap/>
            <w:vAlign w:val="center"/>
            <w:hideMark/>
          </w:tcPr>
          <w:p w14:paraId="7753FE83"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15.3%</w:t>
            </w:r>
          </w:p>
        </w:tc>
      </w:tr>
      <w:tr w:rsidR="001D047B" w:rsidRPr="001D047B" w14:paraId="63FEED08" w14:textId="77777777" w:rsidTr="001D047B">
        <w:trPr>
          <w:trHeight w:val="300"/>
        </w:trPr>
        <w:tc>
          <w:tcPr>
            <w:tcW w:w="1550" w:type="dxa"/>
            <w:shd w:val="clear" w:color="auto" w:fill="auto"/>
            <w:noWrap/>
            <w:vAlign w:val="bottom"/>
            <w:hideMark/>
          </w:tcPr>
          <w:p w14:paraId="009B4892"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April 2020</w:t>
            </w:r>
          </w:p>
        </w:tc>
        <w:tc>
          <w:tcPr>
            <w:tcW w:w="1417" w:type="dxa"/>
            <w:shd w:val="clear" w:color="auto" w:fill="auto"/>
            <w:vAlign w:val="center"/>
            <w:hideMark/>
          </w:tcPr>
          <w:p w14:paraId="603BB552"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2,875</w:t>
            </w:r>
          </w:p>
        </w:tc>
        <w:tc>
          <w:tcPr>
            <w:tcW w:w="1418" w:type="dxa"/>
            <w:shd w:val="clear" w:color="auto" w:fill="auto"/>
            <w:vAlign w:val="center"/>
            <w:hideMark/>
          </w:tcPr>
          <w:p w14:paraId="6DA7F20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8,448</w:t>
            </w:r>
          </w:p>
        </w:tc>
        <w:tc>
          <w:tcPr>
            <w:tcW w:w="992" w:type="dxa"/>
            <w:shd w:val="clear" w:color="auto" w:fill="auto"/>
            <w:noWrap/>
            <w:vAlign w:val="center"/>
            <w:hideMark/>
          </w:tcPr>
          <w:p w14:paraId="5EFD5A79"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34.0%</w:t>
            </w:r>
          </w:p>
        </w:tc>
        <w:tc>
          <w:tcPr>
            <w:tcW w:w="1559" w:type="dxa"/>
            <w:shd w:val="clear" w:color="auto" w:fill="auto"/>
            <w:vAlign w:val="center"/>
            <w:hideMark/>
          </w:tcPr>
          <w:p w14:paraId="3884C314"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11,534</w:t>
            </w:r>
          </w:p>
        </w:tc>
        <w:tc>
          <w:tcPr>
            <w:tcW w:w="1276" w:type="dxa"/>
            <w:shd w:val="clear" w:color="auto" w:fill="auto"/>
            <w:vAlign w:val="center"/>
            <w:hideMark/>
          </w:tcPr>
          <w:p w14:paraId="583C980D"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39,906</w:t>
            </w:r>
          </w:p>
        </w:tc>
        <w:tc>
          <w:tcPr>
            <w:tcW w:w="992" w:type="dxa"/>
            <w:shd w:val="clear" w:color="auto" w:fill="auto"/>
            <w:noWrap/>
            <w:vAlign w:val="center"/>
            <w:hideMark/>
          </w:tcPr>
          <w:p w14:paraId="27A216F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28.9%</w:t>
            </w:r>
          </w:p>
        </w:tc>
        <w:tc>
          <w:tcPr>
            <w:tcW w:w="1559" w:type="dxa"/>
            <w:shd w:val="clear" w:color="auto" w:fill="auto"/>
            <w:vAlign w:val="center"/>
            <w:hideMark/>
          </w:tcPr>
          <w:p w14:paraId="1058FA2C"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713</w:t>
            </w:r>
          </w:p>
        </w:tc>
        <w:tc>
          <w:tcPr>
            <w:tcW w:w="1701" w:type="dxa"/>
            <w:shd w:val="clear" w:color="auto" w:fill="auto"/>
            <w:vAlign w:val="center"/>
            <w:hideMark/>
          </w:tcPr>
          <w:p w14:paraId="4082330A"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3,056</w:t>
            </w:r>
          </w:p>
        </w:tc>
        <w:tc>
          <w:tcPr>
            <w:tcW w:w="1134" w:type="dxa"/>
            <w:shd w:val="clear" w:color="auto" w:fill="auto"/>
            <w:noWrap/>
            <w:vAlign w:val="center"/>
            <w:hideMark/>
          </w:tcPr>
          <w:p w14:paraId="5DECE44B"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23.3%</w:t>
            </w:r>
          </w:p>
        </w:tc>
      </w:tr>
      <w:tr w:rsidR="001D047B" w:rsidRPr="001D047B" w14:paraId="17E0D1C8" w14:textId="77777777" w:rsidTr="001D047B">
        <w:trPr>
          <w:trHeight w:val="300"/>
        </w:trPr>
        <w:tc>
          <w:tcPr>
            <w:tcW w:w="1550" w:type="dxa"/>
            <w:shd w:val="clear" w:color="auto" w:fill="auto"/>
            <w:noWrap/>
            <w:vAlign w:val="bottom"/>
            <w:hideMark/>
          </w:tcPr>
          <w:p w14:paraId="45D8394D"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May 2020</w:t>
            </w:r>
          </w:p>
        </w:tc>
        <w:tc>
          <w:tcPr>
            <w:tcW w:w="1417" w:type="dxa"/>
            <w:shd w:val="clear" w:color="auto" w:fill="auto"/>
            <w:vAlign w:val="center"/>
            <w:hideMark/>
          </w:tcPr>
          <w:p w14:paraId="131B204F"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3,162</w:t>
            </w:r>
          </w:p>
        </w:tc>
        <w:tc>
          <w:tcPr>
            <w:tcW w:w="1418" w:type="dxa"/>
            <w:shd w:val="clear" w:color="auto" w:fill="auto"/>
            <w:vAlign w:val="center"/>
            <w:hideMark/>
          </w:tcPr>
          <w:p w14:paraId="12B3284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8,073</w:t>
            </w:r>
          </w:p>
        </w:tc>
        <w:tc>
          <w:tcPr>
            <w:tcW w:w="992" w:type="dxa"/>
            <w:shd w:val="clear" w:color="auto" w:fill="auto"/>
            <w:noWrap/>
            <w:vAlign w:val="center"/>
            <w:hideMark/>
          </w:tcPr>
          <w:p w14:paraId="7E1DF54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39.2%</w:t>
            </w:r>
          </w:p>
        </w:tc>
        <w:tc>
          <w:tcPr>
            <w:tcW w:w="1559" w:type="dxa"/>
            <w:shd w:val="clear" w:color="auto" w:fill="auto"/>
            <w:vAlign w:val="center"/>
            <w:hideMark/>
          </w:tcPr>
          <w:p w14:paraId="5E568BF0"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12,359</w:t>
            </w:r>
          </w:p>
        </w:tc>
        <w:tc>
          <w:tcPr>
            <w:tcW w:w="1276" w:type="dxa"/>
            <w:shd w:val="clear" w:color="auto" w:fill="auto"/>
            <w:vAlign w:val="center"/>
            <w:hideMark/>
          </w:tcPr>
          <w:p w14:paraId="39436169"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37,514</w:t>
            </w:r>
          </w:p>
        </w:tc>
        <w:tc>
          <w:tcPr>
            <w:tcW w:w="992" w:type="dxa"/>
            <w:shd w:val="clear" w:color="auto" w:fill="auto"/>
            <w:noWrap/>
            <w:vAlign w:val="center"/>
            <w:hideMark/>
          </w:tcPr>
          <w:p w14:paraId="68FCD03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32.9%</w:t>
            </w:r>
          </w:p>
        </w:tc>
        <w:tc>
          <w:tcPr>
            <w:tcW w:w="1559" w:type="dxa"/>
            <w:shd w:val="clear" w:color="auto" w:fill="auto"/>
            <w:vAlign w:val="center"/>
            <w:hideMark/>
          </w:tcPr>
          <w:p w14:paraId="45CC8401"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790</w:t>
            </w:r>
          </w:p>
        </w:tc>
        <w:tc>
          <w:tcPr>
            <w:tcW w:w="1701" w:type="dxa"/>
            <w:shd w:val="clear" w:color="auto" w:fill="auto"/>
            <w:vAlign w:val="center"/>
            <w:hideMark/>
          </w:tcPr>
          <w:p w14:paraId="51F0F2C7"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2,898</w:t>
            </w:r>
          </w:p>
        </w:tc>
        <w:tc>
          <w:tcPr>
            <w:tcW w:w="1134" w:type="dxa"/>
            <w:shd w:val="clear" w:color="auto" w:fill="auto"/>
            <w:noWrap/>
            <w:vAlign w:val="center"/>
            <w:hideMark/>
          </w:tcPr>
          <w:p w14:paraId="239EA306"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27.3%</w:t>
            </w:r>
          </w:p>
        </w:tc>
      </w:tr>
      <w:tr w:rsidR="001D047B" w:rsidRPr="001D047B" w14:paraId="515DC457" w14:textId="77777777" w:rsidTr="001D047B">
        <w:trPr>
          <w:trHeight w:val="315"/>
        </w:trPr>
        <w:tc>
          <w:tcPr>
            <w:tcW w:w="1550" w:type="dxa"/>
            <w:shd w:val="clear" w:color="auto" w:fill="auto"/>
            <w:noWrap/>
            <w:vAlign w:val="bottom"/>
            <w:hideMark/>
          </w:tcPr>
          <w:p w14:paraId="26DCACC4" w14:textId="77777777" w:rsidR="001D047B" w:rsidRPr="001D047B" w:rsidRDefault="001D047B" w:rsidP="001D047B">
            <w:pPr>
              <w:spacing w:before="60" w:after="60"/>
              <w:rPr>
                <w:rFonts w:cs="Segoe UI"/>
                <w:color w:val="000000"/>
                <w:sz w:val="18"/>
                <w:szCs w:val="18"/>
                <w:lang w:val="en-AU" w:eastAsia="en-AU"/>
              </w:rPr>
            </w:pPr>
            <w:r w:rsidRPr="001D047B">
              <w:rPr>
                <w:rFonts w:cs="Segoe UI"/>
                <w:color w:val="000000"/>
                <w:sz w:val="18"/>
                <w:szCs w:val="18"/>
                <w:lang w:val="en-AU" w:eastAsia="en-AU"/>
              </w:rPr>
              <w:t>June 2020</w:t>
            </w:r>
          </w:p>
        </w:tc>
        <w:tc>
          <w:tcPr>
            <w:tcW w:w="1417" w:type="dxa"/>
            <w:shd w:val="clear" w:color="auto" w:fill="auto"/>
            <w:vAlign w:val="center"/>
            <w:hideMark/>
          </w:tcPr>
          <w:p w14:paraId="7ADC9D23"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3,007</w:t>
            </w:r>
          </w:p>
        </w:tc>
        <w:tc>
          <w:tcPr>
            <w:tcW w:w="1418" w:type="dxa"/>
            <w:shd w:val="clear" w:color="auto" w:fill="auto"/>
            <w:vAlign w:val="center"/>
            <w:hideMark/>
          </w:tcPr>
          <w:p w14:paraId="7C8541EB"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7,841</w:t>
            </w:r>
          </w:p>
        </w:tc>
        <w:tc>
          <w:tcPr>
            <w:tcW w:w="992" w:type="dxa"/>
            <w:shd w:val="clear" w:color="auto" w:fill="auto"/>
            <w:noWrap/>
            <w:vAlign w:val="center"/>
            <w:hideMark/>
          </w:tcPr>
          <w:p w14:paraId="1F3EDE77"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38.3%</w:t>
            </w:r>
          </w:p>
        </w:tc>
        <w:tc>
          <w:tcPr>
            <w:tcW w:w="1559" w:type="dxa"/>
            <w:shd w:val="clear" w:color="auto" w:fill="auto"/>
            <w:vAlign w:val="center"/>
            <w:hideMark/>
          </w:tcPr>
          <w:p w14:paraId="49E94C14"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12,057</w:t>
            </w:r>
          </w:p>
        </w:tc>
        <w:tc>
          <w:tcPr>
            <w:tcW w:w="1276" w:type="dxa"/>
            <w:shd w:val="clear" w:color="auto" w:fill="auto"/>
            <w:vAlign w:val="center"/>
            <w:hideMark/>
          </w:tcPr>
          <w:p w14:paraId="161874BC"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37,764</w:t>
            </w:r>
          </w:p>
        </w:tc>
        <w:tc>
          <w:tcPr>
            <w:tcW w:w="992" w:type="dxa"/>
            <w:shd w:val="clear" w:color="auto" w:fill="auto"/>
            <w:noWrap/>
            <w:vAlign w:val="center"/>
            <w:hideMark/>
          </w:tcPr>
          <w:p w14:paraId="4342FF21"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31.9%</w:t>
            </w:r>
          </w:p>
        </w:tc>
        <w:tc>
          <w:tcPr>
            <w:tcW w:w="1559" w:type="dxa"/>
            <w:shd w:val="clear" w:color="auto" w:fill="auto"/>
            <w:vAlign w:val="center"/>
            <w:hideMark/>
          </w:tcPr>
          <w:p w14:paraId="7C425C9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761</w:t>
            </w:r>
          </w:p>
        </w:tc>
        <w:tc>
          <w:tcPr>
            <w:tcW w:w="1701" w:type="dxa"/>
            <w:shd w:val="clear" w:color="auto" w:fill="auto"/>
            <w:vAlign w:val="center"/>
            <w:hideMark/>
          </w:tcPr>
          <w:p w14:paraId="18E80C1E"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2,869</w:t>
            </w:r>
          </w:p>
        </w:tc>
        <w:tc>
          <w:tcPr>
            <w:tcW w:w="1134" w:type="dxa"/>
            <w:shd w:val="clear" w:color="auto" w:fill="auto"/>
            <w:noWrap/>
            <w:vAlign w:val="center"/>
            <w:hideMark/>
          </w:tcPr>
          <w:p w14:paraId="192591F9" w14:textId="77777777" w:rsidR="001D047B" w:rsidRPr="001D047B" w:rsidRDefault="001D047B" w:rsidP="001D047B">
            <w:pPr>
              <w:spacing w:before="60" w:after="60"/>
              <w:jc w:val="center"/>
              <w:rPr>
                <w:rFonts w:cs="Segoe UI"/>
                <w:color w:val="000000"/>
                <w:sz w:val="18"/>
                <w:szCs w:val="18"/>
                <w:lang w:val="en-AU" w:eastAsia="en-AU"/>
              </w:rPr>
            </w:pPr>
            <w:r w:rsidRPr="001D047B">
              <w:rPr>
                <w:rFonts w:cs="Segoe UI"/>
                <w:color w:val="000000"/>
                <w:sz w:val="18"/>
                <w:szCs w:val="18"/>
                <w:lang w:val="en-AU" w:eastAsia="en-AU"/>
              </w:rPr>
              <w:t>26.5%</w:t>
            </w:r>
          </w:p>
        </w:tc>
      </w:tr>
    </w:tbl>
    <w:p w14:paraId="0E4A66A7" w14:textId="5750BDA7" w:rsidR="001D047B" w:rsidRDefault="001D047B" w:rsidP="001D047B"/>
    <w:p w14:paraId="4F889738" w14:textId="77777777" w:rsidR="001D047B" w:rsidRPr="001D047B" w:rsidRDefault="001D047B" w:rsidP="001D047B"/>
    <w:p w14:paraId="05CD6D32" w14:textId="29CC801C" w:rsidR="00EA64A0" w:rsidRDefault="00EA64A0" w:rsidP="00EA64A0">
      <w:pPr>
        <w:spacing w:before="120"/>
        <w:jc w:val="center"/>
        <w:rPr>
          <w:rFonts w:cs="Segoe UI"/>
          <w:sz w:val="22"/>
          <w:szCs w:val="22"/>
        </w:rPr>
      </w:pPr>
    </w:p>
    <w:p w14:paraId="78742E4F" w14:textId="77777777" w:rsidR="001D047B" w:rsidRDefault="001D047B" w:rsidP="00EA64A0">
      <w:pPr>
        <w:pStyle w:val="Heading2"/>
        <w:sectPr w:rsidR="001D047B" w:rsidSect="001D047B">
          <w:footerReference w:type="default" r:id="rId52"/>
          <w:pgSz w:w="16838" w:h="11906" w:orient="landscape"/>
          <w:pgMar w:top="1440" w:right="1440" w:bottom="1440" w:left="1440" w:header="708" w:footer="708" w:gutter="0"/>
          <w:cols w:space="708"/>
          <w:docGrid w:linePitch="360"/>
        </w:sectPr>
      </w:pPr>
      <w:bookmarkStart w:id="158" w:name="_Toc52430193"/>
    </w:p>
    <w:p w14:paraId="7AAA5113" w14:textId="51B3C407" w:rsidR="00EA64A0" w:rsidRPr="00E35305" w:rsidRDefault="00EA64A0" w:rsidP="00EA64A0">
      <w:pPr>
        <w:pStyle w:val="Heading2"/>
      </w:pPr>
      <w:bookmarkStart w:id="159" w:name="_Toc53471230"/>
      <w:r w:rsidRPr="00E35305">
        <w:lastRenderedPageBreak/>
        <w:t xml:space="preserve">Key </w:t>
      </w:r>
      <w:r>
        <w:t>p</w:t>
      </w:r>
      <w:r w:rsidRPr="00E35305">
        <w:t>oints</w:t>
      </w:r>
      <w:bookmarkEnd w:id="158"/>
      <w:bookmarkEnd w:id="159"/>
    </w:p>
    <w:p w14:paraId="72F54BF2" w14:textId="77777777" w:rsidR="00EA64A0" w:rsidRPr="00C8353F" w:rsidRDefault="00EA64A0" w:rsidP="006A7630">
      <w:pPr>
        <w:pStyle w:val="Bullet"/>
      </w:pPr>
      <w:r w:rsidRPr="00C8353F">
        <w:t xml:space="preserve">PCI delivery was heavily disrupted in April 2020, in both number of discharges and CWDs, with </w:t>
      </w:r>
      <w:r>
        <w:t xml:space="preserve">the greatest impact on </w:t>
      </w:r>
      <w:r w:rsidRPr="00C8353F">
        <w:t>inpatient treatment.</w:t>
      </w:r>
      <w:r>
        <w:t xml:space="preserve"> A higher percentage of</w:t>
      </w:r>
      <w:r w:rsidRPr="00C8353F">
        <w:t xml:space="preserve"> Māori experienced </w:t>
      </w:r>
      <w:r>
        <w:t>a drop in the delivery of PCIs than</w:t>
      </w:r>
      <w:r w:rsidRPr="00C8353F">
        <w:t xml:space="preserve"> other ethnic groups in March, April and May 2020 compared </w:t>
      </w:r>
      <w:r>
        <w:t>with</w:t>
      </w:r>
      <w:r w:rsidRPr="00C8353F">
        <w:t xml:space="preserve"> the same months in 2019.</w:t>
      </w:r>
    </w:p>
    <w:p w14:paraId="476F8178" w14:textId="77777777" w:rsidR="00EA64A0" w:rsidRPr="00C8353F" w:rsidRDefault="00EA64A0" w:rsidP="006A7630">
      <w:pPr>
        <w:pStyle w:val="Bullet"/>
      </w:pPr>
      <w:r>
        <w:t xml:space="preserve">Delivery of </w:t>
      </w:r>
      <w:r w:rsidRPr="00C8353F">
        <w:t xml:space="preserve">FSAs </w:t>
      </w:r>
      <w:r>
        <w:t xml:space="preserve">decreased by a greater percentage </w:t>
      </w:r>
      <w:r w:rsidRPr="00C8353F">
        <w:t>than follow</w:t>
      </w:r>
      <w:r>
        <w:t>-</w:t>
      </w:r>
      <w:r w:rsidRPr="00C8353F">
        <w:t xml:space="preserve">up delivery, and </w:t>
      </w:r>
      <w:r>
        <w:t>the level of disruption differed between</w:t>
      </w:r>
      <w:r w:rsidRPr="00C8353F">
        <w:t xml:space="preserve"> region</w:t>
      </w:r>
      <w:r>
        <w:t>s</w:t>
      </w:r>
      <w:r w:rsidRPr="00C8353F">
        <w:t xml:space="preserve">. </w:t>
      </w:r>
      <w:r>
        <w:t>A higher</w:t>
      </w:r>
      <w:r w:rsidRPr="00C8353F">
        <w:t xml:space="preserve"> percentage</w:t>
      </w:r>
      <w:r>
        <w:t xml:space="preserve"> of</w:t>
      </w:r>
      <w:r w:rsidRPr="00C8353F">
        <w:t xml:space="preserve"> non-Māori</w:t>
      </w:r>
      <w:r>
        <w:t>,</w:t>
      </w:r>
      <w:r w:rsidRPr="00C8353F">
        <w:t xml:space="preserve"> non-Pacific </w:t>
      </w:r>
      <w:r>
        <w:t>was</w:t>
      </w:r>
      <w:r w:rsidRPr="00C8353F">
        <w:t xml:space="preserve"> affected</w:t>
      </w:r>
      <w:r>
        <w:t xml:space="preserve"> than</w:t>
      </w:r>
      <w:r w:rsidRPr="00C8353F">
        <w:t xml:space="preserve"> M</w:t>
      </w:r>
      <w:r>
        <w:t>ā</w:t>
      </w:r>
      <w:r w:rsidRPr="00C8353F">
        <w:t>ori and Pacific</w:t>
      </w:r>
      <w:r>
        <w:t xml:space="preserve"> peoples</w:t>
      </w:r>
      <w:r w:rsidRPr="00C8353F">
        <w:t xml:space="preserve">. </w:t>
      </w:r>
    </w:p>
    <w:p w14:paraId="1BC6AA7E" w14:textId="77777777" w:rsidR="00EA64A0" w:rsidRPr="00C8353F" w:rsidRDefault="00EA64A0" w:rsidP="006A7630">
      <w:pPr>
        <w:pStyle w:val="Bullet"/>
      </w:pPr>
      <w:r w:rsidRPr="00C8353F">
        <w:t>The total number of people waiting for</w:t>
      </w:r>
      <w:r>
        <w:t xml:space="preserve"> their</w:t>
      </w:r>
      <w:r w:rsidRPr="00C8353F">
        <w:t xml:space="preserve"> FSA decreased during the lockdown</w:t>
      </w:r>
      <w:r>
        <w:t xml:space="preserve"> period.</w:t>
      </w:r>
      <w:r w:rsidRPr="00C8353F">
        <w:t xml:space="preserve"> </w:t>
      </w:r>
      <w:r>
        <w:t>H</w:t>
      </w:r>
      <w:r w:rsidRPr="00C8353F">
        <w:t>owever</w:t>
      </w:r>
      <w:r>
        <w:t>,</w:t>
      </w:r>
      <w:r w:rsidRPr="00C8353F">
        <w:t xml:space="preserve"> the proportion of patients waiting more than four months </w:t>
      </w:r>
      <w:r>
        <w:t xml:space="preserve">for their FSA </w:t>
      </w:r>
      <w:r w:rsidRPr="00C8353F">
        <w:t>(ESPI 2) increased.</w:t>
      </w:r>
    </w:p>
    <w:p w14:paraId="2F876BB5" w14:textId="77777777" w:rsidR="00EA64A0" w:rsidRPr="00C8353F" w:rsidRDefault="00EA64A0" w:rsidP="006A7630">
      <w:pPr>
        <w:pStyle w:val="Bullet"/>
      </w:pPr>
      <w:r w:rsidRPr="00C8353F">
        <w:t>The percentage of patients waiting more than four months for treatment (ESPI 5) and the total number of patients waiting for treatment increased during the lockdown</w:t>
      </w:r>
      <w:r>
        <w:t xml:space="preserve"> period</w:t>
      </w:r>
      <w:r w:rsidRPr="00C8353F">
        <w:t xml:space="preserve">. Inequity between ethnic groups was apparent throughout </w:t>
      </w:r>
      <w:r>
        <w:t xml:space="preserve">the period from </w:t>
      </w:r>
      <w:r w:rsidRPr="00C8353F">
        <w:t>December 2019 to April 2020</w:t>
      </w:r>
      <w:r>
        <w:t>:</w:t>
      </w:r>
      <w:r w:rsidRPr="00C8353F">
        <w:t xml:space="preserve"> the percentage of patients waiting for treatment</w:t>
      </w:r>
      <w:r>
        <w:t xml:space="preserve"> was highest for </w:t>
      </w:r>
      <w:r w:rsidRPr="00C8353F">
        <w:t xml:space="preserve">Māori, followed by Pacific </w:t>
      </w:r>
      <w:r>
        <w:t xml:space="preserve">peoples </w:t>
      </w:r>
      <w:r w:rsidRPr="00C8353F">
        <w:t>and then the non-Māori</w:t>
      </w:r>
      <w:r>
        <w:t>,</w:t>
      </w:r>
      <w:r w:rsidRPr="00C8353F">
        <w:t xml:space="preserve"> non-Pacific group.</w:t>
      </w:r>
    </w:p>
    <w:p w14:paraId="793BC09D" w14:textId="77777777" w:rsidR="00EA64A0" w:rsidRDefault="00EA64A0" w:rsidP="006A7630">
      <w:pPr>
        <w:pStyle w:val="Bullet"/>
      </w:pPr>
      <w:r w:rsidRPr="00C8353F">
        <w:t xml:space="preserve">The </w:t>
      </w:r>
      <w:r>
        <w:t>percentages for</w:t>
      </w:r>
      <w:r w:rsidRPr="00C8353F">
        <w:t xml:space="preserve"> ESPI 2 and ESPI 5</w:t>
      </w:r>
      <w:r>
        <w:t xml:space="preserve"> decreased</w:t>
      </w:r>
      <w:r w:rsidRPr="00C8353F">
        <w:t xml:space="preserve"> in June 2020 </w:t>
      </w:r>
      <w:r>
        <w:t>from those in</w:t>
      </w:r>
      <w:r w:rsidRPr="00C8353F">
        <w:t xml:space="preserve"> May 2020</w:t>
      </w:r>
      <w:r>
        <w:t>, indicating the</w:t>
      </w:r>
      <w:r w:rsidRPr="00C8353F">
        <w:t xml:space="preserve"> beginning of recovery.</w:t>
      </w:r>
    </w:p>
    <w:p w14:paraId="39F6911C" w14:textId="77777777" w:rsidR="006A7630" w:rsidRPr="00E35305" w:rsidRDefault="006A7630" w:rsidP="006A7630">
      <w:pPr>
        <w:pStyle w:val="Heading1"/>
      </w:pPr>
      <w:bookmarkStart w:id="160" w:name="_Toc52430194"/>
      <w:bookmarkStart w:id="161" w:name="_Toc53471231"/>
      <w:r w:rsidRPr="00E35305">
        <w:lastRenderedPageBreak/>
        <w:t xml:space="preserve">Unplanned </w:t>
      </w:r>
      <w:r>
        <w:t>c</w:t>
      </w:r>
      <w:r w:rsidRPr="00E35305">
        <w:t>are</w:t>
      </w:r>
      <w:bookmarkEnd w:id="160"/>
      <w:bookmarkEnd w:id="161"/>
    </w:p>
    <w:p w14:paraId="4329A860" w14:textId="77777777" w:rsidR="006A7630" w:rsidRPr="006A7630" w:rsidRDefault="006A7630" w:rsidP="006A7630">
      <w:pPr>
        <w:pStyle w:val="Heading2"/>
      </w:pPr>
      <w:bookmarkStart w:id="162" w:name="_Toc52430195"/>
      <w:bookmarkStart w:id="163" w:name="_Toc53471232"/>
      <w:r w:rsidRPr="006A7630">
        <w:t>Notes on data</w:t>
      </w:r>
      <w:bookmarkEnd w:id="162"/>
      <w:bookmarkEnd w:id="163"/>
    </w:p>
    <w:p w14:paraId="302D5679" w14:textId="77777777" w:rsidR="006A7630" w:rsidRPr="00C8353F" w:rsidRDefault="006A7630" w:rsidP="006A7630">
      <w:pPr>
        <w:pStyle w:val="Bullet"/>
      </w:pPr>
      <w:r w:rsidRPr="00C8353F">
        <w:t xml:space="preserve">Emergency </w:t>
      </w:r>
      <w:r>
        <w:t>d</w:t>
      </w:r>
      <w:r w:rsidRPr="00C8353F">
        <w:t xml:space="preserve">epartment (ED) data </w:t>
      </w:r>
      <w:r>
        <w:t>comes</w:t>
      </w:r>
      <w:r w:rsidRPr="00C8353F">
        <w:t xml:space="preserve"> from the NNPAC.</w:t>
      </w:r>
    </w:p>
    <w:p w14:paraId="565B3380" w14:textId="77777777" w:rsidR="006A7630" w:rsidRPr="00C8353F" w:rsidRDefault="006A7630" w:rsidP="006A7630">
      <w:pPr>
        <w:pStyle w:val="Bullet"/>
      </w:pPr>
      <w:r w:rsidRPr="00C8353F">
        <w:t>Data includes publicly funded services only.</w:t>
      </w:r>
    </w:p>
    <w:p w14:paraId="03D3A3A6" w14:textId="77777777" w:rsidR="006A7630" w:rsidRPr="00C8353F" w:rsidRDefault="006A7630" w:rsidP="006A7630">
      <w:pPr>
        <w:pStyle w:val="Bullet"/>
      </w:pPr>
      <w:r w:rsidRPr="00C8353F">
        <w:t xml:space="preserve">DHB and regional data </w:t>
      </w:r>
      <w:r>
        <w:t xml:space="preserve">is based on </w:t>
      </w:r>
      <w:r w:rsidRPr="00C8353F">
        <w:t>DHB</w:t>
      </w:r>
      <w:r>
        <w:t xml:space="preserve"> </w:t>
      </w:r>
      <w:r w:rsidRPr="00C8353F">
        <w:t>region of service, rather than DHB</w:t>
      </w:r>
      <w:r>
        <w:t xml:space="preserve"> </w:t>
      </w:r>
      <w:r w:rsidRPr="00C8353F">
        <w:t>region of domicile.</w:t>
      </w:r>
    </w:p>
    <w:p w14:paraId="6939CB3A" w14:textId="77777777" w:rsidR="006A7630" w:rsidRPr="00C8353F" w:rsidRDefault="006A7630" w:rsidP="006A7630">
      <w:pPr>
        <w:pStyle w:val="Bullet"/>
      </w:pPr>
      <w:r>
        <w:t xml:space="preserve">The analysis does not include </w:t>
      </w:r>
      <w:r w:rsidRPr="00C8353F">
        <w:t>Did Not Attend (DNA) and Did Not Wait (DNW) data.</w:t>
      </w:r>
    </w:p>
    <w:p w14:paraId="67C8E73F" w14:textId="77777777" w:rsidR="006A7630" w:rsidRPr="00E35305" w:rsidRDefault="006A7630" w:rsidP="006A7630">
      <w:pPr>
        <w:pStyle w:val="Heading2"/>
      </w:pPr>
      <w:bookmarkStart w:id="164" w:name="_Toc52430196"/>
      <w:bookmarkStart w:id="165" w:name="_Toc53471233"/>
      <w:r w:rsidRPr="00E35305">
        <w:t>Results</w:t>
      </w:r>
      <w:bookmarkEnd w:id="164"/>
      <w:bookmarkEnd w:id="165"/>
    </w:p>
    <w:p w14:paraId="215C52BA" w14:textId="77777777" w:rsidR="006A7630" w:rsidRPr="00E35305" w:rsidRDefault="006A7630" w:rsidP="006A7630">
      <w:pPr>
        <w:pStyle w:val="Heading3"/>
      </w:pPr>
      <w:bookmarkStart w:id="166" w:name="_Toc52430197"/>
      <w:r w:rsidRPr="00E35305">
        <w:t xml:space="preserve">Acute </w:t>
      </w:r>
      <w:r>
        <w:t>a</w:t>
      </w:r>
      <w:r w:rsidRPr="00E35305">
        <w:t>ctivity</w:t>
      </w:r>
      <w:r>
        <w:t xml:space="preserve"> by ethnicity</w:t>
      </w:r>
      <w:bookmarkEnd w:id="166"/>
    </w:p>
    <w:p w14:paraId="6DDE6031" w14:textId="1174176D" w:rsidR="006A7630" w:rsidRPr="00C8353F" w:rsidRDefault="00B65BC8" w:rsidP="006A7630">
      <w:pPr>
        <w:rPr>
          <w:color w:val="000000" w:themeColor="text1"/>
        </w:rPr>
      </w:pPr>
      <w:r>
        <w:rPr>
          <w:color w:val="000000" w:themeColor="text1"/>
        </w:rPr>
        <w:fldChar w:fldCharType="begin"/>
      </w:r>
      <w:r>
        <w:rPr>
          <w:color w:val="000000" w:themeColor="text1"/>
        </w:rPr>
        <w:instrText xml:space="preserve"> REF _Ref53470585 \h </w:instrText>
      </w:r>
      <w:r>
        <w:rPr>
          <w:color w:val="000000" w:themeColor="text1"/>
        </w:rPr>
      </w:r>
      <w:r>
        <w:rPr>
          <w:color w:val="000000" w:themeColor="text1"/>
        </w:rPr>
        <w:fldChar w:fldCharType="separate"/>
      </w:r>
      <w:r w:rsidR="00CF2713" w:rsidRPr="005D0F25">
        <w:t xml:space="preserve">Figure </w:t>
      </w:r>
      <w:r w:rsidR="00CF2713">
        <w:rPr>
          <w:noProof/>
        </w:rPr>
        <w:t>26</w:t>
      </w:r>
      <w:r>
        <w:rPr>
          <w:color w:val="000000" w:themeColor="text1"/>
        </w:rPr>
        <w:fldChar w:fldCharType="end"/>
      </w:r>
      <w:r w:rsidR="006A7630">
        <w:rPr>
          <w:color w:val="000000" w:themeColor="text1"/>
        </w:rPr>
        <w:t xml:space="preserve"> shows the number </w:t>
      </w:r>
      <w:r w:rsidR="006A7630" w:rsidRPr="00C8353F">
        <w:rPr>
          <w:color w:val="000000" w:themeColor="text1"/>
        </w:rPr>
        <w:t xml:space="preserve">of </w:t>
      </w:r>
      <w:r w:rsidR="006A7630">
        <w:rPr>
          <w:color w:val="000000" w:themeColor="text1"/>
        </w:rPr>
        <w:t xml:space="preserve">discharges from </w:t>
      </w:r>
      <w:r w:rsidR="006A7630" w:rsidRPr="00C8353F">
        <w:rPr>
          <w:color w:val="000000" w:themeColor="text1"/>
        </w:rPr>
        <w:t xml:space="preserve">acute </w:t>
      </w:r>
      <w:r w:rsidR="006A7630">
        <w:rPr>
          <w:color w:val="000000" w:themeColor="text1"/>
        </w:rPr>
        <w:t>services for each ethnic group</w:t>
      </w:r>
      <w:r w:rsidR="006A7630" w:rsidRPr="00C8353F">
        <w:rPr>
          <w:color w:val="000000" w:themeColor="text1"/>
        </w:rPr>
        <w:t xml:space="preserve">. </w:t>
      </w:r>
      <w:r w:rsidR="006A7630">
        <w:rPr>
          <w:color w:val="000000" w:themeColor="text1"/>
        </w:rPr>
        <w:t>At</w:t>
      </w:r>
      <w:r w:rsidR="006A7630" w:rsidRPr="00C8353F">
        <w:rPr>
          <w:color w:val="000000" w:themeColor="text1"/>
        </w:rPr>
        <w:t xml:space="preserve"> a national level, </w:t>
      </w:r>
      <w:r w:rsidR="006A7630">
        <w:rPr>
          <w:color w:val="000000" w:themeColor="text1"/>
        </w:rPr>
        <w:t xml:space="preserve">acute activity levels decreased for </w:t>
      </w:r>
      <w:r w:rsidR="006A7630" w:rsidRPr="00C8353F">
        <w:rPr>
          <w:color w:val="000000" w:themeColor="text1"/>
        </w:rPr>
        <w:t xml:space="preserve">all three ethnic groups </w:t>
      </w:r>
      <w:r w:rsidR="006A7630">
        <w:rPr>
          <w:color w:val="000000" w:themeColor="text1"/>
        </w:rPr>
        <w:t xml:space="preserve">by </w:t>
      </w:r>
      <w:r w:rsidR="006A7630" w:rsidRPr="00C8353F">
        <w:rPr>
          <w:color w:val="000000" w:themeColor="text1"/>
        </w:rPr>
        <w:t xml:space="preserve">between 10.1% and 11.9% </w:t>
      </w:r>
      <w:r w:rsidR="006A7630">
        <w:rPr>
          <w:color w:val="000000" w:themeColor="text1"/>
        </w:rPr>
        <w:t>in</w:t>
      </w:r>
      <w:r w:rsidR="006A7630" w:rsidRPr="00C8353F">
        <w:rPr>
          <w:color w:val="000000" w:themeColor="text1"/>
        </w:rPr>
        <w:t xml:space="preserve"> March </w:t>
      </w:r>
      <w:r w:rsidR="006A7630">
        <w:rPr>
          <w:color w:val="000000" w:themeColor="text1"/>
        </w:rPr>
        <w:t xml:space="preserve">2020 compared with March </w:t>
      </w:r>
      <w:r w:rsidR="006A7630" w:rsidRPr="00C8353F">
        <w:rPr>
          <w:color w:val="000000" w:themeColor="text1"/>
        </w:rPr>
        <w:t>2019. In April 2020 the</w:t>
      </w:r>
      <w:r w:rsidR="006A7630" w:rsidRPr="00D711F2">
        <w:rPr>
          <w:color w:val="000000" w:themeColor="text1"/>
        </w:rPr>
        <w:t xml:space="preserve"> </w:t>
      </w:r>
      <w:r w:rsidR="006A7630" w:rsidRPr="00C8353F">
        <w:rPr>
          <w:color w:val="000000" w:themeColor="text1"/>
        </w:rPr>
        <w:t>reduction</w:t>
      </w:r>
      <w:r w:rsidR="006A7630">
        <w:rPr>
          <w:color w:val="000000" w:themeColor="text1"/>
        </w:rPr>
        <w:t xml:space="preserve"> was greatest for</w:t>
      </w:r>
      <w:r w:rsidR="006A7630" w:rsidRPr="00C8353F">
        <w:rPr>
          <w:color w:val="000000" w:themeColor="text1"/>
        </w:rPr>
        <w:t xml:space="preserve"> Pacific </w:t>
      </w:r>
      <w:r w:rsidR="006A7630">
        <w:rPr>
          <w:color w:val="000000" w:themeColor="text1"/>
        </w:rPr>
        <w:t>peoples</w:t>
      </w:r>
      <w:r w:rsidR="006A7630" w:rsidRPr="00C8353F">
        <w:rPr>
          <w:color w:val="000000" w:themeColor="text1"/>
        </w:rPr>
        <w:t>, with a 38.7% decrease</w:t>
      </w:r>
      <w:r w:rsidR="006A7630" w:rsidRPr="00D711F2">
        <w:rPr>
          <w:color w:val="000000" w:themeColor="text1"/>
        </w:rPr>
        <w:t xml:space="preserve"> </w:t>
      </w:r>
      <w:r w:rsidR="006A7630" w:rsidRPr="00C8353F">
        <w:rPr>
          <w:color w:val="000000" w:themeColor="text1"/>
        </w:rPr>
        <w:t xml:space="preserve">in acute activity, </w:t>
      </w:r>
      <w:r w:rsidR="006A7630">
        <w:rPr>
          <w:color w:val="000000" w:themeColor="text1"/>
        </w:rPr>
        <w:t>while the decrease was</w:t>
      </w:r>
      <w:r w:rsidR="006A7630" w:rsidRPr="00C8353F">
        <w:rPr>
          <w:color w:val="000000" w:themeColor="text1"/>
        </w:rPr>
        <w:t xml:space="preserve"> 35.4%</w:t>
      </w:r>
      <w:r w:rsidR="006A7630">
        <w:rPr>
          <w:color w:val="000000" w:themeColor="text1"/>
        </w:rPr>
        <w:t xml:space="preserve"> for </w:t>
      </w:r>
      <w:r w:rsidR="006A7630" w:rsidRPr="00C8353F">
        <w:rPr>
          <w:color w:val="000000" w:themeColor="text1"/>
        </w:rPr>
        <w:t>Māori and 29.1%</w:t>
      </w:r>
      <w:r w:rsidR="006A7630">
        <w:rPr>
          <w:color w:val="000000" w:themeColor="text1"/>
        </w:rPr>
        <w:t xml:space="preserve"> for</w:t>
      </w:r>
      <w:r w:rsidR="006A7630" w:rsidRPr="00C8353F">
        <w:rPr>
          <w:color w:val="000000" w:themeColor="text1"/>
        </w:rPr>
        <w:t xml:space="preserve"> non-Māori</w:t>
      </w:r>
      <w:r w:rsidR="006A7630">
        <w:rPr>
          <w:color w:val="000000" w:themeColor="text1"/>
        </w:rPr>
        <w:t>,</w:t>
      </w:r>
      <w:r w:rsidR="006A7630" w:rsidRPr="00C8353F">
        <w:rPr>
          <w:color w:val="000000" w:themeColor="text1"/>
        </w:rPr>
        <w:t xml:space="preserve"> non-Pacific</w:t>
      </w:r>
      <w:r w:rsidR="006A7630">
        <w:rPr>
          <w:color w:val="000000" w:themeColor="text1"/>
        </w:rPr>
        <w:t>,</w:t>
      </w:r>
      <w:r w:rsidR="006A7630" w:rsidRPr="00C8353F">
        <w:rPr>
          <w:color w:val="000000" w:themeColor="text1"/>
        </w:rPr>
        <w:t xml:space="preserve"> compared </w:t>
      </w:r>
      <w:r w:rsidR="006A7630">
        <w:rPr>
          <w:color w:val="000000" w:themeColor="text1"/>
        </w:rPr>
        <w:t xml:space="preserve">with April </w:t>
      </w:r>
      <w:r w:rsidR="006A7630" w:rsidRPr="00C8353F">
        <w:rPr>
          <w:color w:val="000000" w:themeColor="text1"/>
        </w:rPr>
        <w:t xml:space="preserve">2019. In May 2020 the disruption to acute activity </w:t>
      </w:r>
      <w:r w:rsidR="006A7630">
        <w:rPr>
          <w:color w:val="000000" w:themeColor="text1"/>
        </w:rPr>
        <w:t>was slightly lower than in</w:t>
      </w:r>
      <w:r w:rsidR="006A7630" w:rsidRPr="00C8353F">
        <w:rPr>
          <w:color w:val="000000" w:themeColor="text1"/>
        </w:rPr>
        <w:t xml:space="preserve"> April</w:t>
      </w:r>
      <w:r w:rsidR="006A7630">
        <w:rPr>
          <w:color w:val="000000" w:themeColor="text1"/>
        </w:rPr>
        <w:t>:</w:t>
      </w:r>
      <w:r w:rsidR="006A7630" w:rsidRPr="00C8353F">
        <w:rPr>
          <w:color w:val="000000" w:themeColor="text1"/>
        </w:rPr>
        <w:t xml:space="preserve"> </w:t>
      </w:r>
      <w:r w:rsidR="006A7630">
        <w:rPr>
          <w:color w:val="000000" w:themeColor="text1"/>
        </w:rPr>
        <w:t>t</w:t>
      </w:r>
      <w:r w:rsidR="006A7630" w:rsidRPr="00C8353F">
        <w:rPr>
          <w:color w:val="000000" w:themeColor="text1"/>
        </w:rPr>
        <w:t>he number of acute discharges decreased by 32.0%</w:t>
      </w:r>
      <w:r w:rsidR="006A7630" w:rsidRPr="00D711F2">
        <w:rPr>
          <w:color w:val="000000" w:themeColor="text1"/>
        </w:rPr>
        <w:t xml:space="preserve"> </w:t>
      </w:r>
      <w:r w:rsidR="006A7630">
        <w:rPr>
          <w:color w:val="000000" w:themeColor="text1"/>
        </w:rPr>
        <w:t xml:space="preserve">for </w:t>
      </w:r>
      <w:r w:rsidR="006A7630" w:rsidRPr="00C8353F">
        <w:rPr>
          <w:color w:val="000000" w:themeColor="text1"/>
        </w:rPr>
        <w:t>Pacific</w:t>
      </w:r>
      <w:r w:rsidR="006A7630">
        <w:rPr>
          <w:color w:val="000000" w:themeColor="text1"/>
        </w:rPr>
        <w:t xml:space="preserve"> peoples</w:t>
      </w:r>
      <w:r w:rsidR="006A7630" w:rsidRPr="00C8353F">
        <w:rPr>
          <w:color w:val="000000" w:themeColor="text1"/>
        </w:rPr>
        <w:t>, 23.1%</w:t>
      </w:r>
      <w:r w:rsidR="006A7630" w:rsidRPr="00D711F2">
        <w:rPr>
          <w:color w:val="000000" w:themeColor="text1"/>
        </w:rPr>
        <w:t xml:space="preserve"> </w:t>
      </w:r>
      <w:r w:rsidR="006A7630">
        <w:rPr>
          <w:color w:val="000000" w:themeColor="text1"/>
        </w:rPr>
        <w:t xml:space="preserve">for </w:t>
      </w:r>
      <w:r w:rsidR="006A7630" w:rsidRPr="00C8353F">
        <w:rPr>
          <w:color w:val="000000" w:themeColor="text1"/>
        </w:rPr>
        <w:t>Māori and</w:t>
      </w:r>
      <w:r w:rsidR="006A7630">
        <w:rPr>
          <w:color w:val="000000" w:themeColor="text1"/>
        </w:rPr>
        <w:t xml:space="preserve"> </w:t>
      </w:r>
      <w:r w:rsidR="006A7630" w:rsidRPr="00C8353F">
        <w:rPr>
          <w:color w:val="000000" w:themeColor="text1"/>
        </w:rPr>
        <w:t>16.1%</w:t>
      </w:r>
      <w:r w:rsidR="006A7630">
        <w:rPr>
          <w:color w:val="000000" w:themeColor="text1"/>
        </w:rPr>
        <w:t xml:space="preserve"> for</w:t>
      </w:r>
      <w:r w:rsidR="006A7630" w:rsidRPr="00C8353F">
        <w:rPr>
          <w:color w:val="000000" w:themeColor="text1"/>
        </w:rPr>
        <w:t xml:space="preserve"> non-Māori</w:t>
      </w:r>
      <w:r w:rsidR="006A7630">
        <w:rPr>
          <w:color w:val="000000" w:themeColor="text1"/>
        </w:rPr>
        <w:t>,</w:t>
      </w:r>
      <w:r w:rsidR="006A7630" w:rsidRPr="00C8353F">
        <w:rPr>
          <w:color w:val="000000" w:themeColor="text1"/>
        </w:rPr>
        <w:t xml:space="preserve"> non-Pacific compared </w:t>
      </w:r>
      <w:r w:rsidR="006A7630">
        <w:rPr>
          <w:color w:val="000000" w:themeColor="text1"/>
        </w:rPr>
        <w:t>with</w:t>
      </w:r>
      <w:r w:rsidR="006A7630" w:rsidRPr="00C8353F">
        <w:rPr>
          <w:color w:val="000000" w:themeColor="text1"/>
        </w:rPr>
        <w:t xml:space="preserve"> May 2019. Disruption </w:t>
      </w:r>
      <w:r w:rsidR="006A7630">
        <w:rPr>
          <w:color w:val="000000" w:themeColor="text1"/>
        </w:rPr>
        <w:t>was lower still</w:t>
      </w:r>
      <w:r w:rsidR="006A7630" w:rsidRPr="00C8353F">
        <w:rPr>
          <w:color w:val="000000" w:themeColor="text1"/>
        </w:rPr>
        <w:t xml:space="preserve"> in June 2020</w:t>
      </w:r>
      <w:r w:rsidR="006A7630">
        <w:rPr>
          <w:color w:val="000000" w:themeColor="text1"/>
        </w:rPr>
        <w:t>,</w:t>
      </w:r>
      <w:r w:rsidR="006A7630" w:rsidRPr="00C8353F">
        <w:rPr>
          <w:color w:val="000000" w:themeColor="text1"/>
        </w:rPr>
        <w:t xml:space="preserve"> </w:t>
      </w:r>
      <w:r w:rsidR="006A7630">
        <w:rPr>
          <w:color w:val="000000" w:themeColor="text1"/>
        </w:rPr>
        <w:t>when</w:t>
      </w:r>
      <w:r w:rsidR="006A7630" w:rsidRPr="00C8353F">
        <w:rPr>
          <w:color w:val="000000" w:themeColor="text1"/>
        </w:rPr>
        <w:t xml:space="preserve"> numbers of acute discharges </w:t>
      </w:r>
      <w:r w:rsidR="006A7630">
        <w:rPr>
          <w:color w:val="000000" w:themeColor="text1"/>
        </w:rPr>
        <w:t xml:space="preserve">were </w:t>
      </w:r>
      <w:r w:rsidR="006A7630" w:rsidRPr="00C8353F">
        <w:rPr>
          <w:color w:val="000000" w:themeColor="text1"/>
        </w:rPr>
        <w:t>down by 14.8% for Pacific</w:t>
      </w:r>
      <w:r w:rsidR="006A7630">
        <w:rPr>
          <w:color w:val="000000" w:themeColor="text1"/>
        </w:rPr>
        <w:t xml:space="preserve"> peoples</w:t>
      </w:r>
      <w:r w:rsidR="006A7630" w:rsidRPr="00C8353F">
        <w:rPr>
          <w:color w:val="000000" w:themeColor="text1"/>
        </w:rPr>
        <w:t>, 9.5% for Māori and 4.4% for non-Māori</w:t>
      </w:r>
      <w:r w:rsidR="006A7630">
        <w:rPr>
          <w:color w:val="000000" w:themeColor="text1"/>
        </w:rPr>
        <w:t>,</w:t>
      </w:r>
      <w:r w:rsidR="006A7630" w:rsidRPr="00C8353F">
        <w:rPr>
          <w:color w:val="000000" w:themeColor="text1"/>
        </w:rPr>
        <w:t xml:space="preserve"> non-Pacific compared </w:t>
      </w:r>
      <w:r w:rsidR="006A7630">
        <w:rPr>
          <w:color w:val="000000" w:themeColor="text1"/>
        </w:rPr>
        <w:t>with</w:t>
      </w:r>
      <w:r w:rsidR="006A7630" w:rsidRPr="00C8353F">
        <w:rPr>
          <w:color w:val="000000" w:themeColor="text1"/>
        </w:rPr>
        <w:t xml:space="preserve"> June 2019 volumes. </w:t>
      </w:r>
    </w:p>
    <w:p w14:paraId="071D219A" w14:textId="77777777" w:rsidR="006A7630" w:rsidRPr="002D140A" w:rsidRDefault="006A7630" w:rsidP="006A7630"/>
    <w:p w14:paraId="7A7DA633" w14:textId="77777777" w:rsidR="005D0F25" w:rsidRDefault="005D0F25" w:rsidP="006A7630">
      <w:pPr>
        <w:pStyle w:val="Caption"/>
        <w:rPr>
          <w:highlight w:val="yellow"/>
        </w:rPr>
        <w:sectPr w:rsidR="005D0F25" w:rsidSect="006A7630">
          <w:footerReference w:type="even" r:id="rId53"/>
          <w:footerReference w:type="default" r:id="rId54"/>
          <w:pgSz w:w="11906" w:h="16838"/>
          <w:pgMar w:top="1440" w:right="1440" w:bottom="1440" w:left="1440" w:header="708" w:footer="708" w:gutter="0"/>
          <w:cols w:space="708"/>
          <w:docGrid w:linePitch="360"/>
        </w:sectPr>
      </w:pPr>
      <w:bookmarkStart w:id="167" w:name="_Toc52420614"/>
    </w:p>
    <w:p w14:paraId="039ED6B5" w14:textId="2D3457FA" w:rsidR="006A7630" w:rsidRPr="00E35305" w:rsidRDefault="00CC05D7" w:rsidP="006A7630">
      <w:pPr>
        <w:pStyle w:val="Caption"/>
        <w:rPr>
          <w:sz w:val="22"/>
        </w:rPr>
      </w:pPr>
      <w:bookmarkStart w:id="168" w:name="_Ref53470585"/>
      <w:bookmarkStart w:id="169" w:name="_Toc53585956"/>
      <w:r>
        <w:rPr>
          <w:noProof/>
        </w:rPr>
        <w:lastRenderedPageBreak/>
        <w:drawing>
          <wp:anchor distT="0" distB="0" distL="114300" distR="114300" simplePos="0" relativeHeight="251666432" behindDoc="0" locked="0" layoutInCell="1" allowOverlap="1" wp14:anchorId="2812ECD7" wp14:editId="05138FC4">
            <wp:simplePos x="0" y="0"/>
            <wp:positionH relativeFrom="column">
              <wp:posOffset>1552222</wp:posOffset>
            </wp:positionH>
            <wp:positionV relativeFrom="paragraph">
              <wp:posOffset>211667</wp:posOffset>
            </wp:positionV>
            <wp:extent cx="2722193" cy="115288"/>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25" t="7353" r="43234" b="89775"/>
                    <a:stretch/>
                  </pic:blipFill>
                  <pic:spPr bwMode="auto">
                    <a:xfrm>
                      <a:off x="0" y="0"/>
                      <a:ext cx="2722193" cy="115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630" w:rsidRPr="005D0F25">
        <w:t xml:space="preserve">Figure </w:t>
      </w:r>
      <w:r w:rsidR="006A7630" w:rsidRPr="005D0F25">
        <w:rPr>
          <w:noProof/>
        </w:rPr>
        <w:fldChar w:fldCharType="begin"/>
      </w:r>
      <w:r w:rsidR="006A7630" w:rsidRPr="005D0F25">
        <w:rPr>
          <w:noProof/>
        </w:rPr>
        <w:instrText xml:space="preserve"> SEQ Figure \* ARABIC </w:instrText>
      </w:r>
      <w:r w:rsidR="006A7630" w:rsidRPr="005D0F25">
        <w:rPr>
          <w:noProof/>
        </w:rPr>
        <w:fldChar w:fldCharType="separate"/>
      </w:r>
      <w:r w:rsidR="00CF2713">
        <w:rPr>
          <w:noProof/>
        </w:rPr>
        <w:t>26</w:t>
      </w:r>
      <w:r w:rsidR="006A7630" w:rsidRPr="005D0F25">
        <w:rPr>
          <w:noProof/>
        </w:rPr>
        <w:fldChar w:fldCharType="end"/>
      </w:r>
      <w:bookmarkEnd w:id="168"/>
      <w:r w:rsidR="006A7630" w:rsidRPr="005D0F25">
        <w:t>: Number of acute discharges nationally from March to June 2018–2020, by ethnicity</w:t>
      </w:r>
      <w:bookmarkEnd w:id="167"/>
      <w:bookmarkEnd w:id="169"/>
    </w:p>
    <w:p w14:paraId="7F9F9559" w14:textId="1549A24E" w:rsidR="006A7630" w:rsidRDefault="005D78E5" w:rsidP="00C84565">
      <w:pPr>
        <w:spacing w:before="120"/>
        <w:rPr>
          <w:rFonts w:cs="Segoe UI"/>
          <w:sz w:val="22"/>
          <w:szCs w:val="22"/>
        </w:rPr>
      </w:pPr>
      <w:r>
        <w:rPr>
          <w:rFonts w:cs="Segoe UI"/>
          <w:noProof/>
          <w:sz w:val="22"/>
          <w:szCs w:val="22"/>
        </w:rPr>
        <w:drawing>
          <wp:inline distT="0" distB="0" distL="0" distR="0" wp14:anchorId="0848303C" wp14:editId="6423B6DF">
            <wp:extent cx="5691116" cy="4157471"/>
            <wp:effectExtent l="0" t="0" r="5080" b="0"/>
            <wp:docPr id="50" name="Picture 50" descr="This bar graph shows that generally non-Māori, non-Pacific people made up about 73% of acute discharges, Māori people made up about 18.5% and Pacific peoples made up about 8.5%. In April of 2020, 74.9% of acute discharges were in non-Māori, non-Pacific, 17.4% were in Māori and 7.7% were i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80" t="6064" r="12314" b="3572"/>
                    <a:stretch/>
                  </pic:blipFill>
                  <pic:spPr bwMode="auto">
                    <a:xfrm>
                      <a:off x="0" y="0"/>
                      <a:ext cx="5706403" cy="4168638"/>
                    </a:xfrm>
                    <a:prstGeom prst="rect">
                      <a:avLst/>
                    </a:prstGeom>
                    <a:noFill/>
                    <a:ln>
                      <a:noFill/>
                    </a:ln>
                    <a:extLst>
                      <a:ext uri="{53640926-AAD7-44D8-BBD7-CCE9431645EC}">
                        <a14:shadowObscured xmlns:a14="http://schemas.microsoft.com/office/drawing/2010/main"/>
                      </a:ext>
                    </a:extLst>
                  </pic:spPr>
                </pic:pic>
              </a:graphicData>
            </a:graphic>
          </wp:inline>
        </w:drawing>
      </w:r>
    </w:p>
    <w:p w14:paraId="0B7BE343" w14:textId="77777777" w:rsidR="006A7630" w:rsidRPr="00E35305" w:rsidRDefault="006A7630" w:rsidP="006A7630">
      <w:pPr>
        <w:pStyle w:val="Heading3"/>
      </w:pPr>
      <w:bookmarkStart w:id="170" w:name="_Toc52430198"/>
      <w:r w:rsidRPr="00E35305">
        <w:t>E</w:t>
      </w:r>
      <w:r>
        <w:t>mergency department</w:t>
      </w:r>
      <w:r w:rsidRPr="00E35305">
        <w:t xml:space="preserve"> attendance</w:t>
      </w:r>
      <w:bookmarkEnd w:id="170"/>
    </w:p>
    <w:p w14:paraId="2ACA44C7" w14:textId="2D571BB3" w:rsidR="006A7630" w:rsidRDefault="00B65BC8" w:rsidP="006A7630">
      <w:pPr>
        <w:rPr>
          <w:color w:val="000000" w:themeColor="text1"/>
        </w:rPr>
      </w:pPr>
      <w:r>
        <w:rPr>
          <w:color w:val="000000" w:themeColor="text1"/>
        </w:rPr>
        <w:fldChar w:fldCharType="begin"/>
      </w:r>
      <w:r>
        <w:rPr>
          <w:color w:val="000000" w:themeColor="text1"/>
        </w:rPr>
        <w:instrText xml:space="preserve"> REF _Ref53470591 \h </w:instrText>
      </w:r>
      <w:r>
        <w:rPr>
          <w:color w:val="000000" w:themeColor="text1"/>
        </w:rPr>
      </w:r>
      <w:r>
        <w:rPr>
          <w:color w:val="000000" w:themeColor="text1"/>
        </w:rPr>
        <w:fldChar w:fldCharType="separate"/>
      </w:r>
      <w:r w:rsidR="00CF2713" w:rsidRPr="0015171E">
        <w:t xml:space="preserve">Figure </w:t>
      </w:r>
      <w:r w:rsidR="00CF2713">
        <w:rPr>
          <w:noProof/>
        </w:rPr>
        <w:t>27</w:t>
      </w:r>
      <w:r>
        <w:rPr>
          <w:color w:val="000000" w:themeColor="text1"/>
        </w:rPr>
        <w:fldChar w:fldCharType="end"/>
      </w:r>
      <w:r w:rsidR="006A7630" w:rsidRPr="00C8353F">
        <w:rPr>
          <w:color w:val="000000" w:themeColor="text1"/>
        </w:rPr>
        <w:t xml:space="preserve"> </w:t>
      </w:r>
      <w:r w:rsidR="006A7630">
        <w:rPr>
          <w:color w:val="000000" w:themeColor="text1"/>
        </w:rPr>
        <w:t xml:space="preserve">shows the </w:t>
      </w:r>
      <w:r w:rsidR="006A7630" w:rsidRPr="00C8353F">
        <w:rPr>
          <w:color w:val="000000" w:themeColor="text1"/>
        </w:rPr>
        <w:t xml:space="preserve">number of ED attendances and </w:t>
      </w:r>
      <w:r>
        <w:rPr>
          <w:color w:val="000000" w:themeColor="text1"/>
        </w:rPr>
        <w:fldChar w:fldCharType="begin"/>
      </w:r>
      <w:r>
        <w:rPr>
          <w:color w:val="000000" w:themeColor="text1"/>
        </w:rPr>
        <w:instrText xml:space="preserve"> REF _Ref53470596 \h </w:instrText>
      </w:r>
      <w:r>
        <w:rPr>
          <w:color w:val="000000" w:themeColor="text1"/>
        </w:rPr>
      </w:r>
      <w:r>
        <w:rPr>
          <w:color w:val="000000" w:themeColor="text1"/>
        </w:rPr>
        <w:fldChar w:fldCharType="separate"/>
      </w:r>
      <w:r w:rsidR="00CF2713" w:rsidRPr="005D0F25">
        <w:t xml:space="preserve">Figure </w:t>
      </w:r>
      <w:r w:rsidR="00CF2713">
        <w:rPr>
          <w:noProof/>
        </w:rPr>
        <w:t>28</w:t>
      </w:r>
      <w:r>
        <w:rPr>
          <w:color w:val="000000" w:themeColor="text1"/>
        </w:rPr>
        <w:fldChar w:fldCharType="end"/>
      </w:r>
      <w:r w:rsidR="006A7630" w:rsidRPr="00C8353F">
        <w:rPr>
          <w:color w:val="000000" w:themeColor="text1"/>
        </w:rPr>
        <w:t xml:space="preserve"> </w:t>
      </w:r>
      <w:r w:rsidR="006A7630">
        <w:rPr>
          <w:color w:val="000000" w:themeColor="text1"/>
        </w:rPr>
        <w:t xml:space="preserve">shows the </w:t>
      </w:r>
      <w:r w:rsidR="006A7630" w:rsidRPr="00C8353F">
        <w:rPr>
          <w:color w:val="000000" w:themeColor="text1"/>
        </w:rPr>
        <w:t xml:space="preserve">average number of minutes </w:t>
      </w:r>
      <w:r w:rsidR="006A7630">
        <w:rPr>
          <w:color w:val="000000" w:themeColor="text1"/>
        </w:rPr>
        <w:t xml:space="preserve">each patient </w:t>
      </w:r>
      <w:r w:rsidR="006A7630" w:rsidRPr="00C8353F">
        <w:rPr>
          <w:color w:val="000000" w:themeColor="text1"/>
        </w:rPr>
        <w:t>spent in ED, from presentation to departure</w:t>
      </w:r>
      <w:r w:rsidR="006A7630">
        <w:rPr>
          <w:color w:val="000000" w:themeColor="text1"/>
        </w:rPr>
        <w:t xml:space="preserve">, from </w:t>
      </w:r>
      <w:r w:rsidR="006A7630">
        <w:t>March to June</w:t>
      </w:r>
      <w:r w:rsidR="006A7630" w:rsidRPr="000F4405">
        <w:t xml:space="preserve"> 2018</w:t>
      </w:r>
      <w:r w:rsidR="006A7630">
        <w:t>–</w:t>
      </w:r>
      <w:r w:rsidR="006A7630" w:rsidRPr="000F4405">
        <w:t>2020</w:t>
      </w:r>
      <w:r w:rsidR="006A7630" w:rsidRPr="00C8353F">
        <w:rPr>
          <w:color w:val="000000" w:themeColor="text1"/>
        </w:rPr>
        <w:t xml:space="preserve">. The lockdown period </w:t>
      </w:r>
      <w:r w:rsidR="006A7630">
        <w:rPr>
          <w:color w:val="000000" w:themeColor="text1"/>
        </w:rPr>
        <w:t xml:space="preserve">had a greater effect on the </w:t>
      </w:r>
      <w:r w:rsidR="006A7630" w:rsidRPr="00C8353F">
        <w:rPr>
          <w:color w:val="000000" w:themeColor="text1"/>
        </w:rPr>
        <w:t xml:space="preserve">number of ED attendances </w:t>
      </w:r>
      <w:r w:rsidR="006A7630">
        <w:rPr>
          <w:color w:val="000000" w:themeColor="text1"/>
        </w:rPr>
        <w:t>than on the</w:t>
      </w:r>
      <w:r w:rsidR="006A7630" w:rsidRPr="00C8353F">
        <w:rPr>
          <w:color w:val="000000" w:themeColor="text1"/>
        </w:rPr>
        <w:t xml:space="preserve"> average number of minutes </w:t>
      </w:r>
      <w:r w:rsidR="006A7630">
        <w:rPr>
          <w:color w:val="000000" w:themeColor="text1"/>
        </w:rPr>
        <w:t xml:space="preserve">spent </w:t>
      </w:r>
      <w:r w:rsidR="006A7630" w:rsidRPr="00C8353F">
        <w:rPr>
          <w:color w:val="000000" w:themeColor="text1"/>
        </w:rPr>
        <w:t xml:space="preserve">in ED. </w:t>
      </w:r>
    </w:p>
    <w:p w14:paraId="5CBEC518" w14:textId="77777777" w:rsidR="006A7630" w:rsidRDefault="006A7630" w:rsidP="006A7630">
      <w:pPr>
        <w:rPr>
          <w:color w:val="000000" w:themeColor="text1"/>
        </w:rPr>
      </w:pPr>
    </w:p>
    <w:p w14:paraId="2CBD4C0D" w14:textId="77777777" w:rsidR="006A7630" w:rsidRDefault="006A7630" w:rsidP="006A7630">
      <w:pPr>
        <w:rPr>
          <w:color w:val="000000" w:themeColor="text1"/>
        </w:rPr>
      </w:pPr>
      <w:r w:rsidRPr="00C8353F">
        <w:rPr>
          <w:color w:val="000000" w:themeColor="text1"/>
        </w:rPr>
        <w:t>In March 2020</w:t>
      </w:r>
      <w:r>
        <w:rPr>
          <w:color w:val="000000" w:themeColor="text1"/>
        </w:rPr>
        <w:t>,</w:t>
      </w:r>
      <w:r w:rsidRPr="00C8353F">
        <w:rPr>
          <w:color w:val="000000" w:themeColor="text1"/>
        </w:rPr>
        <w:t xml:space="preserve"> </w:t>
      </w:r>
      <w:r>
        <w:rPr>
          <w:color w:val="000000" w:themeColor="text1"/>
        </w:rPr>
        <w:t xml:space="preserve">the number of </w:t>
      </w:r>
      <w:r w:rsidRPr="00C8353F">
        <w:rPr>
          <w:color w:val="000000" w:themeColor="text1"/>
        </w:rPr>
        <w:t xml:space="preserve">ED attendances decreased by 17.6% and average time in ED decreased by 0.8% (2 minutes) compared </w:t>
      </w:r>
      <w:r>
        <w:rPr>
          <w:color w:val="000000" w:themeColor="text1"/>
        </w:rPr>
        <w:t>with</w:t>
      </w:r>
      <w:r w:rsidRPr="00C8353F">
        <w:rPr>
          <w:color w:val="000000" w:themeColor="text1"/>
        </w:rPr>
        <w:t xml:space="preserve"> March 2019. </w:t>
      </w:r>
      <w:r>
        <w:rPr>
          <w:color w:val="000000" w:themeColor="text1"/>
        </w:rPr>
        <w:t>Of</w:t>
      </w:r>
      <w:r w:rsidRPr="00C8353F">
        <w:rPr>
          <w:color w:val="000000" w:themeColor="text1"/>
        </w:rPr>
        <w:t xml:space="preserve"> the </w:t>
      </w:r>
      <w:r>
        <w:rPr>
          <w:color w:val="000000" w:themeColor="text1"/>
        </w:rPr>
        <w:t xml:space="preserve">four </w:t>
      </w:r>
      <w:r w:rsidRPr="00C8353F">
        <w:rPr>
          <w:color w:val="000000" w:themeColor="text1"/>
        </w:rPr>
        <w:t xml:space="preserve">months </w:t>
      </w:r>
      <w:r>
        <w:rPr>
          <w:color w:val="000000" w:themeColor="text1"/>
        </w:rPr>
        <w:t xml:space="preserve">from </w:t>
      </w:r>
      <w:r w:rsidRPr="00C8353F">
        <w:rPr>
          <w:color w:val="000000" w:themeColor="text1"/>
        </w:rPr>
        <w:t>March</w:t>
      </w:r>
      <w:r>
        <w:rPr>
          <w:color w:val="000000" w:themeColor="text1"/>
        </w:rPr>
        <w:t xml:space="preserve"> to</w:t>
      </w:r>
      <w:r w:rsidRPr="00C8353F">
        <w:rPr>
          <w:color w:val="000000" w:themeColor="text1"/>
        </w:rPr>
        <w:t xml:space="preserve"> June 2020, </w:t>
      </w:r>
      <w:r>
        <w:rPr>
          <w:color w:val="000000" w:themeColor="text1"/>
        </w:rPr>
        <w:t xml:space="preserve">April saw </w:t>
      </w:r>
      <w:r w:rsidRPr="00C8353F">
        <w:rPr>
          <w:color w:val="000000" w:themeColor="text1"/>
        </w:rPr>
        <w:t>the largest reduction</w:t>
      </w:r>
      <w:r>
        <w:rPr>
          <w:color w:val="000000" w:themeColor="text1"/>
        </w:rPr>
        <w:t>s</w:t>
      </w:r>
      <w:r w:rsidRPr="00C8353F">
        <w:rPr>
          <w:color w:val="000000" w:themeColor="text1"/>
        </w:rPr>
        <w:t xml:space="preserve"> compared </w:t>
      </w:r>
      <w:r>
        <w:rPr>
          <w:color w:val="000000" w:themeColor="text1"/>
        </w:rPr>
        <w:t xml:space="preserve">with the same month in </w:t>
      </w:r>
      <w:r w:rsidRPr="00C8353F">
        <w:rPr>
          <w:color w:val="000000" w:themeColor="text1"/>
        </w:rPr>
        <w:t>2019</w:t>
      </w:r>
      <w:r>
        <w:rPr>
          <w:color w:val="000000" w:themeColor="text1"/>
        </w:rPr>
        <w:t xml:space="preserve">: the </w:t>
      </w:r>
      <w:r w:rsidRPr="00C8353F">
        <w:rPr>
          <w:color w:val="000000" w:themeColor="text1"/>
        </w:rPr>
        <w:t>number of ED attendances</w:t>
      </w:r>
      <w:r w:rsidRPr="0077798F">
        <w:rPr>
          <w:color w:val="000000" w:themeColor="text1"/>
        </w:rPr>
        <w:t xml:space="preserve"> </w:t>
      </w:r>
      <w:r>
        <w:rPr>
          <w:color w:val="000000" w:themeColor="text1"/>
        </w:rPr>
        <w:t>fell by</w:t>
      </w:r>
      <w:r w:rsidRPr="00C8353F">
        <w:rPr>
          <w:color w:val="000000" w:themeColor="text1"/>
        </w:rPr>
        <w:t xml:space="preserve"> 37.6%</w:t>
      </w:r>
      <w:r>
        <w:rPr>
          <w:color w:val="000000" w:themeColor="text1"/>
        </w:rPr>
        <w:t>,</w:t>
      </w:r>
      <w:r w:rsidRPr="00C8353F">
        <w:rPr>
          <w:color w:val="000000" w:themeColor="text1"/>
        </w:rPr>
        <w:t xml:space="preserve"> representing 33,486 fewer ED attendances, and </w:t>
      </w:r>
      <w:r>
        <w:rPr>
          <w:color w:val="000000" w:themeColor="text1"/>
        </w:rPr>
        <w:t xml:space="preserve">the </w:t>
      </w:r>
      <w:r w:rsidRPr="00C8353F">
        <w:rPr>
          <w:color w:val="000000" w:themeColor="text1"/>
        </w:rPr>
        <w:t>average number of minutes in ED reduced by 8.4% (19 minutes). In May 2020, ED attendances decreased by 26.4% (25,019 fewer attendances) and</w:t>
      </w:r>
      <w:r>
        <w:rPr>
          <w:color w:val="000000" w:themeColor="text1"/>
        </w:rPr>
        <w:t xml:space="preserve"> the</w:t>
      </w:r>
      <w:r w:rsidRPr="00C8353F">
        <w:rPr>
          <w:color w:val="000000" w:themeColor="text1"/>
        </w:rPr>
        <w:t xml:space="preserve"> average number of minutes in ED decreased by 5.5% (13 minutes) compared </w:t>
      </w:r>
      <w:r>
        <w:rPr>
          <w:color w:val="000000" w:themeColor="text1"/>
        </w:rPr>
        <w:t>with</w:t>
      </w:r>
      <w:r w:rsidRPr="00C8353F">
        <w:rPr>
          <w:color w:val="000000" w:themeColor="text1"/>
        </w:rPr>
        <w:t xml:space="preserve"> May 2019. </w:t>
      </w:r>
      <w:r>
        <w:rPr>
          <w:color w:val="000000" w:themeColor="text1"/>
        </w:rPr>
        <w:t xml:space="preserve">In </w:t>
      </w:r>
      <w:r w:rsidRPr="00C8353F">
        <w:rPr>
          <w:color w:val="000000" w:themeColor="text1"/>
        </w:rPr>
        <w:t>June 2020</w:t>
      </w:r>
      <w:r>
        <w:rPr>
          <w:color w:val="000000" w:themeColor="text1"/>
        </w:rPr>
        <w:t>,</w:t>
      </w:r>
      <w:r w:rsidRPr="00C8353F">
        <w:rPr>
          <w:color w:val="000000" w:themeColor="text1"/>
        </w:rPr>
        <w:t xml:space="preserve"> ED attendances </w:t>
      </w:r>
      <w:r>
        <w:rPr>
          <w:color w:val="000000" w:themeColor="text1"/>
        </w:rPr>
        <w:t>decreased by</w:t>
      </w:r>
      <w:r w:rsidRPr="00C8353F">
        <w:rPr>
          <w:color w:val="000000" w:themeColor="text1"/>
        </w:rPr>
        <w:t xml:space="preserve"> 12.4% (11,617 fewer attendances) and </w:t>
      </w:r>
      <w:r>
        <w:rPr>
          <w:color w:val="000000" w:themeColor="text1"/>
        </w:rPr>
        <w:t xml:space="preserve">the </w:t>
      </w:r>
      <w:r w:rsidRPr="00C8353F">
        <w:rPr>
          <w:color w:val="000000" w:themeColor="text1"/>
        </w:rPr>
        <w:t xml:space="preserve">average number of minutes spent in ED reduced by 7.2% (18 minutes). </w:t>
      </w:r>
    </w:p>
    <w:p w14:paraId="751B6CAE" w14:textId="77777777" w:rsidR="006A7630" w:rsidRPr="00C8353F" w:rsidRDefault="006A7630" w:rsidP="006A7630">
      <w:pPr>
        <w:rPr>
          <w:color w:val="000000" w:themeColor="text1"/>
        </w:rPr>
      </w:pPr>
    </w:p>
    <w:p w14:paraId="6AA1A614" w14:textId="77777777" w:rsidR="000478E1" w:rsidRDefault="000478E1" w:rsidP="006A7630">
      <w:pPr>
        <w:pStyle w:val="Caption"/>
        <w:rPr>
          <w:highlight w:val="yellow"/>
        </w:rPr>
        <w:sectPr w:rsidR="000478E1" w:rsidSect="006A7630">
          <w:pgSz w:w="11906" w:h="16838"/>
          <w:pgMar w:top="1440" w:right="1440" w:bottom="1440" w:left="1440" w:header="708" w:footer="708" w:gutter="0"/>
          <w:cols w:space="708"/>
          <w:docGrid w:linePitch="360"/>
        </w:sectPr>
      </w:pPr>
      <w:bookmarkStart w:id="171" w:name="_Toc52420615"/>
    </w:p>
    <w:p w14:paraId="382546DF" w14:textId="77EB6F28" w:rsidR="006A7630" w:rsidRPr="0051330B" w:rsidRDefault="006A7630" w:rsidP="006A7630">
      <w:pPr>
        <w:pStyle w:val="Caption"/>
      </w:pPr>
      <w:bookmarkStart w:id="172" w:name="_Ref53470591"/>
      <w:bookmarkStart w:id="173" w:name="_Toc53585957"/>
      <w:r w:rsidRPr="0015171E">
        <w:lastRenderedPageBreak/>
        <w:t xml:space="preserve">Figure </w:t>
      </w:r>
      <w:r w:rsidRPr="0015171E">
        <w:rPr>
          <w:noProof/>
        </w:rPr>
        <w:fldChar w:fldCharType="begin"/>
      </w:r>
      <w:r w:rsidRPr="0015171E">
        <w:rPr>
          <w:noProof/>
        </w:rPr>
        <w:instrText xml:space="preserve"> SEQ Figure \* ARABIC </w:instrText>
      </w:r>
      <w:r w:rsidRPr="0015171E">
        <w:rPr>
          <w:noProof/>
        </w:rPr>
        <w:fldChar w:fldCharType="separate"/>
      </w:r>
      <w:r w:rsidR="00CF2713">
        <w:rPr>
          <w:noProof/>
        </w:rPr>
        <w:t>27</w:t>
      </w:r>
      <w:r w:rsidRPr="0015171E">
        <w:rPr>
          <w:noProof/>
        </w:rPr>
        <w:fldChar w:fldCharType="end"/>
      </w:r>
      <w:bookmarkEnd w:id="172"/>
      <w:r w:rsidRPr="0015171E">
        <w:t>: Number of emergency department (ED) attendances nationally from March to June 2018–2020</w:t>
      </w:r>
      <w:bookmarkEnd w:id="171"/>
      <w:bookmarkEnd w:id="173"/>
    </w:p>
    <w:p w14:paraId="091CB600" w14:textId="1D010DF2" w:rsidR="006A7630" w:rsidRPr="00E35305" w:rsidRDefault="006051D8" w:rsidP="0015171E">
      <w:pPr>
        <w:spacing w:before="120"/>
        <w:rPr>
          <w:rFonts w:cs="Segoe UI"/>
          <w:b/>
          <w:sz w:val="22"/>
          <w:szCs w:val="22"/>
        </w:rPr>
      </w:pPr>
      <w:r>
        <w:rPr>
          <w:rFonts w:cs="Segoe UI"/>
          <w:b/>
          <w:noProof/>
          <w:sz w:val="22"/>
          <w:szCs w:val="22"/>
        </w:rPr>
        <w:drawing>
          <wp:inline distT="0" distB="0" distL="0" distR="0" wp14:anchorId="6935DF77" wp14:editId="1303A436">
            <wp:extent cx="5659758" cy="2634916"/>
            <wp:effectExtent l="0" t="0" r="0" b="0"/>
            <wp:docPr id="4" name="Picture 4" descr="This bar graph shows that emergency department attendance has been lower in March, April, May and June of 2020 than i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1310" t="10258" r="3813" b="8026"/>
                    <a:stretch/>
                  </pic:blipFill>
                  <pic:spPr bwMode="auto">
                    <a:xfrm>
                      <a:off x="0" y="0"/>
                      <a:ext cx="5679556" cy="2644133"/>
                    </a:xfrm>
                    <a:prstGeom prst="rect">
                      <a:avLst/>
                    </a:prstGeom>
                    <a:noFill/>
                    <a:ln>
                      <a:noFill/>
                    </a:ln>
                    <a:extLst>
                      <a:ext uri="{53640926-AAD7-44D8-BBD7-CCE9431645EC}">
                        <a14:shadowObscured xmlns:a14="http://schemas.microsoft.com/office/drawing/2010/main"/>
                      </a:ext>
                    </a:extLst>
                  </pic:spPr>
                </pic:pic>
              </a:graphicData>
            </a:graphic>
          </wp:inline>
        </w:drawing>
      </w:r>
    </w:p>
    <w:p w14:paraId="2D7EE170" w14:textId="77777777" w:rsidR="006A7630" w:rsidRPr="005422E3" w:rsidRDefault="006A7630" w:rsidP="00C46B46"/>
    <w:p w14:paraId="779B4B71" w14:textId="0AC4EBFF" w:rsidR="006A7630" w:rsidRPr="00E35305" w:rsidRDefault="006A7630" w:rsidP="006A7630">
      <w:pPr>
        <w:pStyle w:val="Caption"/>
        <w:rPr>
          <w:sz w:val="22"/>
        </w:rPr>
      </w:pPr>
      <w:bookmarkStart w:id="174" w:name="_Ref53470596"/>
      <w:bookmarkStart w:id="175" w:name="_Toc52420616"/>
      <w:bookmarkStart w:id="176" w:name="_Toc53585958"/>
      <w:r w:rsidRPr="005D0F25">
        <w:t xml:space="preserve">Figure </w:t>
      </w:r>
      <w:r w:rsidRPr="005D0F25">
        <w:rPr>
          <w:noProof/>
        </w:rPr>
        <w:fldChar w:fldCharType="begin"/>
      </w:r>
      <w:r w:rsidRPr="005D0F25">
        <w:rPr>
          <w:noProof/>
        </w:rPr>
        <w:instrText xml:space="preserve"> SEQ Figure \* ARABIC </w:instrText>
      </w:r>
      <w:r w:rsidRPr="005D0F25">
        <w:rPr>
          <w:noProof/>
        </w:rPr>
        <w:fldChar w:fldCharType="separate"/>
      </w:r>
      <w:r w:rsidR="00CF2713">
        <w:rPr>
          <w:noProof/>
        </w:rPr>
        <w:t>28</w:t>
      </w:r>
      <w:r w:rsidRPr="005D0F25">
        <w:rPr>
          <w:noProof/>
        </w:rPr>
        <w:fldChar w:fldCharType="end"/>
      </w:r>
      <w:bookmarkEnd w:id="174"/>
      <w:r w:rsidRPr="005D0F25">
        <w:t>: Average number of minutes spent in emergency departments (ED) nationally from March to June 2018–2020</w:t>
      </w:r>
      <w:bookmarkEnd w:id="175"/>
      <w:bookmarkEnd w:id="176"/>
    </w:p>
    <w:p w14:paraId="1BAA3260" w14:textId="2F304001" w:rsidR="006A7630" w:rsidRDefault="005D0F25" w:rsidP="005D0F25">
      <w:pPr>
        <w:spacing w:before="120"/>
        <w:rPr>
          <w:rFonts w:cs="Segoe UI"/>
          <w:sz w:val="24"/>
          <w:szCs w:val="24"/>
        </w:rPr>
      </w:pPr>
      <w:r>
        <w:rPr>
          <w:rFonts w:cs="Segoe UI"/>
          <w:noProof/>
          <w:sz w:val="24"/>
          <w:szCs w:val="24"/>
        </w:rPr>
        <w:drawing>
          <wp:inline distT="0" distB="0" distL="0" distR="0" wp14:anchorId="2A397D15" wp14:editId="7CE03DA7">
            <wp:extent cx="5470634" cy="3003979"/>
            <wp:effectExtent l="0" t="0" r="0" b="6350"/>
            <wp:docPr id="14" name="Picture 14" descr="This bar graph shows that the average number of minutes spent in emergency departments did not vary in a pattern between each month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l="1583" t="8895" r="4584" b="7287"/>
                    <a:stretch/>
                  </pic:blipFill>
                  <pic:spPr bwMode="auto">
                    <a:xfrm>
                      <a:off x="0" y="0"/>
                      <a:ext cx="5504386" cy="3022513"/>
                    </a:xfrm>
                    <a:prstGeom prst="rect">
                      <a:avLst/>
                    </a:prstGeom>
                    <a:noFill/>
                    <a:ln>
                      <a:noFill/>
                    </a:ln>
                    <a:extLst>
                      <a:ext uri="{53640926-AAD7-44D8-BBD7-CCE9431645EC}">
                        <a14:shadowObscured xmlns:a14="http://schemas.microsoft.com/office/drawing/2010/main"/>
                      </a:ext>
                    </a:extLst>
                  </pic:spPr>
                </pic:pic>
              </a:graphicData>
            </a:graphic>
          </wp:inline>
        </w:drawing>
      </w:r>
    </w:p>
    <w:p w14:paraId="6B5B5E52" w14:textId="77777777" w:rsidR="006A7630" w:rsidRPr="00293D42" w:rsidRDefault="006A7630" w:rsidP="006A7630">
      <w:pPr>
        <w:spacing w:before="120"/>
        <w:jc w:val="center"/>
        <w:rPr>
          <w:rFonts w:cs="Segoe UI"/>
          <w:sz w:val="24"/>
          <w:szCs w:val="24"/>
        </w:rPr>
      </w:pPr>
    </w:p>
    <w:p w14:paraId="2B3E5AA3" w14:textId="566D4DC4" w:rsidR="006A7630" w:rsidRDefault="006A7630" w:rsidP="006A7630">
      <w:pPr>
        <w:rPr>
          <w:color w:val="000000" w:themeColor="text1"/>
        </w:rPr>
      </w:pPr>
      <w:r w:rsidRPr="00FB590A">
        <w:rPr>
          <w:color w:val="000000" w:themeColor="text1"/>
        </w:rPr>
        <w:t>Appendix 1</w:t>
      </w:r>
      <w:r>
        <w:rPr>
          <w:color w:val="000000" w:themeColor="text1"/>
        </w:rPr>
        <w:t>2</w:t>
      </w:r>
      <w:r w:rsidRPr="00FB590A">
        <w:rPr>
          <w:color w:val="000000" w:themeColor="text1"/>
        </w:rPr>
        <w:t xml:space="preserve"> </w:t>
      </w:r>
      <w:r>
        <w:rPr>
          <w:color w:val="000000" w:themeColor="text1"/>
        </w:rPr>
        <w:t>presents</w:t>
      </w:r>
      <w:r w:rsidRPr="00FB590A">
        <w:rPr>
          <w:color w:val="000000" w:themeColor="text1"/>
        </w:rPr>
        <w:t xml:space="preserve"> </w:t>
      </w:r>
      <w:r>
        <w:rPr>
          <w:color w:val="000000" w:themeColor="text1"/>
        </w:rPr>
        <w:t xml:space="preserve">a regional breakdown of </w:t>
      </w:r>
      <w:r w:rsidRPr="00FB590A">
        <w:rPr>
          <w:color w:val="000000" w:themeColor="text1"/>
        </w:rPr>
        <w:t xml:space="preserve">the number of ED attendances in March </w:t>
      </w:r>
      <w:r>
        <w:rPr>
          <w:color w:val="000000" w:themeColor="text1"/>
        </w:rPr>
        <w:t>to</w:t>
      </w:r>
      <w:r w:rsidRPr="00FB590A">
        <w:rPr>
          <w:color w:val="000000" w:themeColor="text1"/>
        </w:rPr>
        <w:t xml:space="preserve"> June 2020 compared with the same months in 2018 and 2019. In March 2020, Central Region had the greatest reduction in number of ED attendances, reducing by 19.4%</w:t>
      </w:r>
      <w:r w:rsidRPr="0069041D">
        <w:rPr>
          <w:color w:val="000000" w:themeColor="text1"/>
        </w:rPr>
        <w:t xml:space="preserve"> </w:t>
      </w:r>
      <w:r w:rsidRPr="00FB590A">
        <w:rPr>
          <w:color w:val="000000" w:themeColor="text1"/>
        </w:rPr>
        <w:t xml:space="preserve">compared </w:t>
      </w:r>
      <w:r>
        <w:rPr>
          <w:color w:val="000000" w:themeColor="text1"/>
        </w:rPr>
        <w:t>with</w:t>
      </w:r>
      <w:r w:rsidRPr="00FB590A">
        <w:rPr>
          <w:color w:val="000000" w:themeColor="text1"/>
        </w:rPr>
        <w:t xml:space="preserve"> March 2019.</w:t>
      </w:r>
      <w:r>
        <w:rPr>
          <w:color w:val="000000" w:themeColor="text1"/>
        </w:rPr>
        <w:t xml:space="preserve"> In the following three months,</w:t>
      </w:r>
      <w:r w:rsidRPr="00FB590A">
        <w:rPr>
          <w:color w:val="000000" w:themeColor="text1"/>
        </w:rPr>
        <w:t xml:space="preserve"> Northern Region had the largest reduction in number of ED attendances</w:t>
      </w:r>
      <w:r>
        <w:rPr>
          <w:color w:val="000000" w:themeColor="text1"/>
        </w:rPr>
        <w:t>: down by</w:t>
      </w:r>
      <w:r w:rsidRPr="00FB590A">
        <w:rPr>
          <w:color w:val="000000" w:themeColor="text1"/>
        </w:rPr>
        <w:t xml:space="preserve"> 39.3% in April 2020, 28.4% </w:t>
      </w:r>
      <w:r>
        <w:rPr>
          <w:color w:val="000000" w:themeColor="text1"/>
        </w:rPr>
        <w:t xml:space="preserve">in </w:t>
      </w:r>
      <w:r w:rsidRPr="00FB590A">
        <w:rPr>
          <w:color w:val="000000" w:themeColor="text1"/>
        </w:rPr>
        <w:t xml:space="preserve">May 2020 and 15.6% </w:t>
      </w:r>
      <w:r>
        <w:rPr>
          <w:color w:val="000000" w:themeColor="text1"/>
        </w:rPr>
        <w:t xml:space="preserve">in </w:t>
      </w:r>
      <w:r w:rsidRPr="00FB590A">
        <w:rPr>
          <w:color w:val="000000" w:themeColor="text1"/>
        </w:rPr>
        <w:t xml:space="preserve">June 2020 compared </w:t>
      </w:r>
      <w:r>
        <w:rPr>
          <w:color w:val="000000" w:themeColor="text1"/>
        </w:rPr>
        <w:t>with</w:t>
      </w:r>
      <w:r w:rsidRPr="00FB590A">
        <w:rPr>
          <w:color w:val="000000" w:themeColor="text1"/>
        </w:rPr>
        <w:t xml:space="preserve"> the same months in 2019. South Region had the smallest reduction in ED attendances in March 2020 (down by 16.5%) and June 2020 (down by 9.6%) compared with the same months in 2019. In April 2020, Central Region had the smallest reduction in ED attendances (down by 34.2%) and in May 2020 Midland had the smallest reduction (down by 23.8%)</w:t>
      </w:r>
      <w:r w:rsidRPr="00C8353F">
        <w:rPr>
          <w:color w:val="000000" w:themeColor="text1"/>
        </w:rPr>
        <w:t xml:space="preserve"> compared </w:t>
      </w:r>
      <w:r>
        <w:rPr>
          <w:color w:val="000000" w:themeColor="text1"/>
        </w:rPr>
        <w:t>with the same months in 2019</w:t>
      </w:r>
      <w:r w:rsidRPr="00FB590A">
        <w:rPr>
          <w:color w:val="000000" w:themeColor="text1"/>
        </w:rPr>
        <w:t>.</w:t>
      </w:r>
    </w:p>
    <w:p w14:paraId="3A4D45C0" w14:textId="77777777" w:rsidR="000478E1" w:rsidRPr="00FB590A" w:rsidRDefault="000478E1" w:rsidP="006A7630">
      <w:pPr>
        <w:rPr>
          <w:color w:val="000000" w:themeColor="text1"/>
          <w:highlight w:val="yellow"/>
        </w:rPr>
      </w:pPr>
    </w:p>
    <w:p w14:paraId="367AE3BC" w14:textId="19235CEB" w:rsidR="00AF4F0F" w:rsidRDefault="00B65BC8" w:rsidP="006A7630">
      <w:pPr>
        <w:rPr>
          <w:color w:val="000000" w:themeColor="text1"/>
        </w:rPr>
      </w:pPr>
      <w:r>
        <w:rPr>
          <w:color w:val="000000" w:themeColor="text1"/>
        </w:rPr>
        <w:lastRenderedPageBreak/>
        <w:fldChar w:fldCharType="begin"/>
      </w:r>
      <w:r>
        <w:rPr>
          <w:color w:val="000000" w:themeColor="text1"/>
        </w:rPr>
        <w:instrText xml:space="preserve"> REF _Ref53470604 \h </w:instrText>
      </w:r>
      <w:r>
        <w:rPr>
          <w:color w:val="000000" w:themeColor="text1"/>
        </w:rPr>
      </w:r>
      <w:r>
        <w:rPr>
          <w:color w:val="000000" w:themeColor="text1"/>
        </w:rPr>
        <w:fldChar w:fldCharType="separate"/>
      </w:r>
      <w:r w:rsidR="00CF2713" w:rsidRPr="005D0F25">
        <w:t xml:space="preserve">Figure </w:t>
      </w:r>
      <w:r w:rsidR="00CF2713">
        <w:rPr>
          <w:noProof/>
        </w:rPr>
        <w:t>29</w:t>
      </w:r>
      <w:r>
        <w:rPr>
          <w:color w:val="000000" w:themeColor="text1"/>
        </w:rPr>
        <w:fldChar w:fldCharType="end"/>
      </w:r>
      <w:r w:rsidR="006A7630" w:rsidRPr="00293D42">
        <w:rPr>
          <w:color w:val="000000" w:themeColor="text1"/>
        </w:rPr>
        <w:t xml:space="preserve"> shows the number of ED attendances</w:t>
      </w:r>
      <w:r w:rsidR="006A7630">
        <w:rPr>
          <w:color w:val="000000" w:themeColor="text1"/>
        </w:rPr>
        <w:t xml:space="preserve"> for each of the three ethnic groups</w:t>
      </w:r>
      <w:r w:rsidR="006A7630" w:rsidRPr="00293D42">
        <w:rPr>
          <w:color w:val="000000" w:themeColor="text1"/>
        </w:rPr>
        <w:t xml:space="preserve"> nationally from March to June 2018–2020. </w:t>
      </w:r>
      <w:r w:rsidR="006A7630">
        <w:rPr>
          <w:color w:val="000000" w:themeColor="text1"/>
        </w:rPr>
        <w:t xml:space="preserve">For all groups, </w:t>
      </w:r>
      <w:r w:rsidR="006A7630" w:rsidRPr="00293D42">
        <w:rPr>
          <w:color w:val="000000" w:themeColor="text1"/>
        </w:rPr>
        <w:t xml:space="preserve">ED attendances decreased </w:t>
      </w:r>
      <w:r w:rsidR="006A7630">
        <w:rPr>
          <w:color w:val="000000" w:themeColor="text1"/>
        </w:rPr>
        <w:t xml:space="preserve">in each of these months </w:t>
      </w:r>
      <w:r w:rsidR="006A7630" w:rsidRPr="00293D42">
        <w:rPr>
          <w:color w:val="000000" w:themeColor="text1"/>
        </w:rPr>
        <w:t xml:space="preserve">compared </w:t>
      </w:r>
      <w:r w:rsidR="006A7630">
        <w:rPr>
          <w:color w:val="000000" w:themeColor="text1"/>
        </w:rPr>
        <w:t>with</w:t>
      </w:r>
      <w:r w:rsidR="006A7630" w:rsidRPr="00293D42">
        <w:rPr>
          <w:color w:val="000000" w:themeColor="text1"/>
        </w:rPr>
        <w:t xml:space="preserve"> the same months in 2019. In March 2020</w:t>
      </w:r>
      <w:r w:rsidR="006A7630" w:rsidRPr="00263BB5">
        <w:rPr>
          <w:color w:val="000000" w:themeColor="text1"/>
        </w:rPr>
        <w:t xml:space="preserve"> </w:t>
      </w:r>
      <w:r w:rsidR="006A7630" w:rsidRPr="00293D42">
        <w:rPr>
          <w:color w:val="000000" w:themeColor="text1"/>
        </w:rPr>
        <w:t xml:space="preserve">compared </w:t>
      </w:r>
      <w:r w:rsidR="006A7630">
        <w:rPr>
          <w:color w:val="000000" w:themeColor="text1"/>
        </w:rPr>
        <w:t>with</w:t>
      </w:r>
      <w:r w:rsidR="006A7630" w:rsidRPr="00293D42">
        <w:rPr>
          <w:color w:val="000000" w:themeColor="text1"/>
        </w:rPr>
        <w:t xml:space="preserve"> March 2019</w:t>
      </w:r>
      <w:r w:rsidR="006A7630">
        <w:rPr>
          <w:color w:val="000000" w:themeColor="text1"/>
        </w:rPr>
        <w:t>, the reduction in</w:t>
      </w:r>
      <w:r w:rsidR="006A7630" w:rsidRPr="00293D42">
        <w:rPr>
          <w:color w:val="000000" w:themeColor="text1"/>
        </w:rPr>
        <w:t xml:space="preserve"> ED attendances </w:t>
      </w:r>
      <w:r w:rsidR="006A7630">
        <w:rPr>
          <w:color w:val="000000" w:themeColor="text1"/>
        </w:rPr>
        <w:t>was</w:t>
      </w:r>
      <w:r w:rsidR="006A7630" w:rsidRPr="00293D42">
        <w:rPr>
          <w:color w:val="000000" w:themeColor="text1"/>
        </w:rPr>
        <w:t xml:space="preserve"> </w:t>
      </w:r>
      <w:r w:rsidR="006A7630">
        <w:rPr>
          <w:color w:val="000000" w:themeColor="text1"/>
        </w:rPr>
        <w:t xml:space="preserve">greatest among </w:t>
      </w:r>
      <w:r w:rsidR="006A7630" w:rsidRPr="00293D42">
        <w:rPr>
          <w:color w:val="000000" w:themeColor="text1"/>
        </w:rPr>
        <w:t>non-Māori</w:t>
      </w:r>
      <w:r w:rsidR="006A7630">
        <w:rPr>
          <w:color w:val="000000" w:themeColor="text1"/>
        </w:rPr>
        <w:t>,</w:t>
      </w:r>
      <w:r w:rsidR="006A7630" w:rsidRPr="00293D42">
        <w:rPr>
          <w:color w:val="000000" w:themeColor="text1"/>
        </w:rPr>
        <w:t xml:space="preserve"> non-Pacific</w:t>
      </w:r>
      <w:r w:rsidR="006A7630">
        <w:rPr>
          <w:color w:val="000000" w:themeColor="text1"/>
        </w:rPr>
        <w:t>, with a decrease of</w:t>
      </w:r>
      <w:r w:rsidR="006A7630" w:rsidRPr="00293D42">
        <w:rPr>
          <w:color w:val="000000" w:themeColor="text1"/>
        </w:rPr>
        <w:t xml:space="preserve"> 1</w:t>
      </w:r>
      <w:r w:rsidR="006A7630">
        <w:rPr>
          <w:color w:val="000000" w:themeColor="text1"/>
        </w:rPr>
        <w:t>8.8</w:t>
      </w:r>
      <w:r w:rsidR="006A7630" w:rsidRPr="00293D42">
        <w:rPr>
          <w:color w:val="000000" w:themeColor="text1"/>
        </w:rPr>
        <w:t xml:space="preserve">%, </w:t>
      </w:r>
      <w:r w:rsidR="006A7630">
        <w:rPr>
          <w:color w:val="000000" w:themeColor="text1"/>
        </w:rPr>
        <w:t xml:space="preserve">while </w:t>
      </w:r>
      <w:r w:rsidR="006A7630" w:rsidRPr="00293D42">
        <w:rPr>
          <w:color w:val="000000" w:themeColor="text1"/>
        </w:rPr>
        <w:t>ED attendances decreased by 1</w:t>
      </w:r>
      <w:r w:rsidR="006A7630">
        <w:rPr>
          <w:color w:val="000000" w:themeColor="text1"/>
        </w:rPr>
        <w:t>4.5</w:t>
      </w:r>
      <w:r w:rsidR="006A7630" w:rsidRPr="00293D42">
        <w:rPr>
          <w:color w:val="000000" w:themeColor="text1"/>
        </w:rPr>
        <w:t xml:space="preserve">% </w:t>
      </w:r>
      <w:r w:rsidR="006A7630">
        <w:rPr>
          <w:color w:val="000000" w:themeColor="text1"/>
        </w:rPr>
        <w:t>for</w:t>
      </w:r>
      <w:r w:rsidR="006A7630" w:rsidRPr="00293D42">
        <w:rPr>
          <w:color w:val="000000" w:themeColor="text1"/>
        </w:rPr>
        <w:t xml:space="preserve"> M</w:t>
      </w:r>
      <w:r w:rsidR="006A7630">
        <w:rPr>
          <w:color w:val="000000" w:themeColor="text1"/>
        </w:rPr>
        <w:t>ā</w:t>
      </w:r>
      <w:r w:rsidR="006A7630" w:rsidRPr="00293D42">
        <w:rPr>
          <w:color w:val="000000" w:themeColor="text1"/>
        </w:rPr>
        <w:t>ori and by 14.</w:t>
      </w:r>
      <w:r w:rsidR="006A7630">
        <w:rPr>
          <w:color w:val="000000" w:themeColor="text1"/>
        </w:rPr>
        <w:t>6</w:t>
      </w:r>
      <w:r w:rsidR="006A7630" w:rsidRPr="00293D42">
        <w:rPr>
          <w:color w:val="000000" w:themeColor="text1"/>
        </w:rPr>
        <w:t>%</w:t>
      </w:r>
      <w:r w:rsidR="006A7630" w:rsidRPr="00263BB5">
        <w:rPr>
          <w:color w:val="000000" w:themeColor="text1"/>
        </w:rPr>
        <w:t xml:space="preserve"> </w:t>
      </w:r>
      <w:r w:rsidR="006A7630">
        <w:rPr>
          <w:color w:val="000000" w:themeColor="text1"/>
        </w:rPr>
        <w:t xml:space="preserve">for </w:t>
      </w:r>
      <w:r w:rsidR="006A7630" w:rsidRPr="00293D42">
        <w:rPr>
          <w:color w:val="000000" w:themeColor="text1"/>
        </w:rPr>
        <w:t>Pacific</w:t>
      </w:r>
      <w:r w:rsidR="006A7630">
        <w:rPr>
          <w:color w:val="000000" w:themeColor="text1"/>
        </w:rPr>
        <w:t xml:space="preserve"> peoples</w:t>
      </w:r>
      <w:r w:rsidR="006A7630" w:rsidRPr="00293D42">
        <w:rPr>
          <w:color w:val="000000" w:themeColor="text1"/>
        </w:rPr>
        <w:t xml:space="preserve">. </w:t>
      </w:r>
    </w:p>
    <w:p w14:paraId="6A137A5D" w14:textId="77777777" w:rsidR="00AF4F0F" w:rsidRDefault="00AF4F0F" w:rsidP="006A7630">
      <w:pPr>
        <w:rPr>
          <w:color w:val="000000" w:themeColor="text1"/>
        </w:rPr>
      </w:pPr>
    </w:p>
    <w:p w14:paraId="1227F9F5" w14:textId="237F6A08" w:rsidR="006A7630" w:rsidRDefault="006A7630" w:rsidP="006A7630">
      <w:pPr>
        <w:rPr>
          <w:color w:val="000000" w:themeColor="text1"/>
        </w:rPr>
      </w:pPr>
      <w:r w:rsidRPr="00293D42">
        <w:rPr>
          <w:color w:val="000000" w:themeColor="text1"/>
        </w:rPr>
        <w:t xml:space="preserve">April 2020 </w:t>
      </w:r>
      <w:r>
        <w:rPr>
          <w:color w:val="000000" w:themeColor="text1"/>
        </w:rPr>
        <w:t>saw</w:t>
      </w:r>
      <w:r w:rsidRPr="00293D42">
        <w:rPr>
          <w:color w:val="000000" w:themeColor="text1"/>
        </w:rPr>
        <w:t xml:space="preserve"> even larger reductions in ED attendances compared </w:t>
      </w:r>
      <w:r>
        <w:rPr>
          <w:color w:val="000000" w:themeColor="text1"/>
        </w:rPr>
        <w:t>with</w:t>
      </w:r>
      <w:r w:rsidRPr="00293D42">
        <w:rPr>
          <w:color w:val="000000" w:themeColor="text1"/>
        </w:rPr>
        <w:t xml:space="preserve"> April 2019</w:t>
      </w:r>
      <w:r>
        <w:rPr>
          <w:color w:val="000000" w:themeColor="text1"/>
        </w:rPr>
        <w:t>:</w:t>
      </w:r>
      <w:r w:rsidRPr="00293D42">
        <w:rPr>
          <w:color w:val="000000" w:themeColor="text1"/>
        </w:rPr>
        <w:t xml:space="preserve"> by 50.</w:t>
      </w:r>
      <w:r>
        <w:rPr>
          <w:color w:val="000000" w:themeColor="text1"/>
        </w:rPr>
        <w:t>2</w:t>
      </w:r>
      <w:r w:rsidRPr="00293D42">
        <w:rPr>
          <w:color w:val="000000" w:themeColor="text1"/>
        </w:rPr>
        <w:t xml:space="preserve">% for Pacific </w:t>
      </w:r>
      <w:r>
        <w:rPr>
          <w:color w:val="000000" w:themeColor="text1"/>
        </w:rPr>
        <w:t>peoples,</w:t>
      </w:r>
      <w:r w:rsidRPr="00293D42">
        <w:rPr>
          <w:color w:val="000000" w:themeColor="text1"/>
        </w:rPr>
        <w:t xml:space="preserve"> 4</w:t>
      </w:r>
      <w:r>
        <w:rPr>
          <w:color w:val="000000" w:themeColor="text1"/>
        </w:rPr>
        <w:t>2.0</w:t>
      </w:r>
      <w:r w:rsidRPr="00293D42">
        <w:rPr>
          <w:color w:val="000000" w:themeColor="text1"/>
        </w:rPr>
        <w:t xml:space="preserve">% </w:t>
      </w:r>
      <w:r>
        <w:rPr>
          <w:color w:val="000000" w:themeColor="text1"/>
        </w:rPr>
        <w:t xml:space="preserve">for </w:t>
      </w:r>
      <w:r w:rsidRPr="00293D42">
        <w:rPr>
          <w:color w:val="000000" w:themeColor="text1"/>
        </w:rPr>
        <w:t>M</w:t>
      </w:r>
      <w:r>
        <w:rPr>
          <w:color w:val="000000" w:themeColor="text1"/>
        </w:rPr>
        <w:t>ā</w:t>
      </w:r>
      <w:r w:rsidRPr="00293D42">
        <w:rPr>
          <w:color w:val="000000" w:themeColor="text1"/>
        </w:rPr>
        <w:t>ori and 3</w:t>
      </w:r>
      <w:r>
        <w:rPr>
          <w:color w:val="000000" w:themeColor="text1"/>
        </w:rPr>
        <w:t>4.6</w:t>
      </w:r>
      <w:r w:rsidRPr="00293D42">
        <w:rPr>
          <w:color w:val="000000" w:themeColor="text1"/>
        </w:rPr>
        <w:t xml:space="preserve">% </w:t>
      </w:r>
      <w:r>
        <w:rPr>
          <w:color w:val="000000" w:themeColor="text1"/>
        </w:rPr>
        <w:t>for</w:t>
      </w:r>
      <w:r w:rsidRPr="00293D42">
        <w:rPr>
          <w:color w:val="000000" w:themeColor="text1"/>
        </w:rPr>
        <w:t xml:space="preserve"> non-Māori</w:t>
      </w:r>
      <w:r>
        <w:rPr>
          <w:color w:val="000000" w:themeColor="text1"/>
        </w:rPr>
        <w:t>,</w:t>
      </w:r>
      <w:r w:rsidRPr="00293D42">
        <w:rPr>
          <w:color w:val="000000" w:themeColor="text1"/>
        </w:rPr>
        <w:t xml:space="preserve"> non-Pacific. In May 2020 Pacific continued to have the largest reduction in ED attendances (</w:t>
      </w:r>
      <w:r>
        <w:rPr>
          <w:color w:val="000000" w:themeColor="text1"/>
        </w:rPr>
        <w:t xml:space="preserve">down by </w:t>
      </w:r>
      <w:r w:rsidRPr="00293D42">
        <w:rPr>
          <w:color w:val="000000" w:themeColor="text1"/>
        </w:rPr>
        <w:t>4</w:t>
      </w:r>
      <w:r>
        <w:rPr>
          <w:color w:val="000000" w:themeColor="text1"/>
        </w:rPr>
        <w:t>4.9</w:t>
      </w:r>
      <w:r w:rsidRPr="00293D42">
        <w:rPr>
          <w:color w:val="000000" w:themeColor="text1"/>
        </w:rPr>
        <w:t>%)</w:t>
      </w:r>
      <w:r>
        <w:rPr>
          <w:color w:val="000000" w:themeColor="text1"/>
        </w:rPr>
        <w:t>, followed by</w:t>
      </w:r>
      <w:r w:rsidRPr="00293D42">
        <w:rPr>
          <w:color w:val="000000" w:themeColor="text1"/>
        </w:rPr>
        <w:t xml:space="preserve"> 3</w:t>
      </w:r>
      <w:r>
        <w:rPr>
          <w:color w:val="000000" w:themeColor="text1"/>
        </w:rPr>
        <w:t>0.8</w:t>
      </w:r>
      <w:r w:rsidRPr="00293D42">
        <w:rPr>
          <w:color w:val="000000" w:themeColor="text1"/>
        </w:rPr>
        <w:t>%</w:t>
      </w:r>
      <w:r>
        <w:rPr>
          <w:color w:val="000000" w:themeColor="text1"/>
        </w:rPr>
        <w:t xml:space="preserve"> for</w:t>
      </w:r>
      <w:r w:rsidRPr="00293D42">
        <w:rPr>
          <w:color w:val="000000" w:themeColor="text1"/>
        </w:rPr>
        <w:t xml:space="preserve"> M</w:t>
      </w:r>
      <w:r>
        <w:rPr>
          <w:color w:val="000000" w:themeColor="text1"/>
        </w:rPr>
        <w:t>ā</w:t>
      </w:r>
      <w:r w:rsidRPr="00293D42">
        <w:rPr>
          <w:color w:val="000000" w:themeColor="text1"/>
        </w:rPr>
        <w:t>ori and 2</w:t>
      </w:r>
      <w:r>
        <w:rPr>
          <w:color w:val="000000" w:themeColor="text1"/>
        </w:rPr>
        <w:t>2.4</w:t>
      </w:r>
      <w:r w:rsidRPr="00293D42">
        <w:rPr>
          <w:color w:val="000000" w:themeColor="text1"/>
        </w:rPr>
        <w:t xml:space="preserve">% </w:t>
      </w:r>
      <w:r>
        <w:rPr>
          <w:color w:val="000000" w:themeColor="text1"/>
        </w:rPr>
        <w:t xml:space="preserve">for </w:t>
      </w:r>
      <w:r w:rsidRPr="00293D42">
        <w:rPr>
          <w:color w:val="000000" w:themeColor="text1"/>
        </w:rPr>
        <w:t>non-Māori</w:t>
      </w:r>
      <w:r>
        <w:rPr>
          <w:color w:val="000000" w:themeColor="text1"/>
        </w:rPr>
        <w:t>,</w:t>
      </w:r>
      <w:r w:rsidRPr="00293D42">
        <w:rPr>
          <w:color w:val="000000" w:themeColor="text1"/>
        </w:rPr>
        <w:t xml:space="preserve"> non-Pacific</w:t>
      </w:r>
      <w:r>
        <w:rPr>
          <w:color w:val="000000" w:themeColor="text1"/>
        </w:rPr>
        <w:t xml:space="preserve">, </w:t>
      </w:r>
      <w:r w:rsidRPr="00293D42">
        <w:rPr>
          <w:color w:val="000000" w:themeColor="text1"/>
        </w:rPr>
        <w:t xml:space="preserve">compared </w:t>
      </w:r>
      <w:r>
        <w:rPr>
          <w:color w:val="000000" w:themeColor="text1"/>
        </w:rPr>
        <w:t>with</w:t>
      </w:r>
      <w:r w:rsidRPr="00293D42">
        <w:rPr>
          <w:color w:val="000000" w:themeColor="text1"/>
        </w:rPr>
        <w:t xml:space="preserve"> May 2019</w:t>
      </w:r>
      <w:r>
        <w:rPr>
          <w:color w:val="000000" w:themeColor="text1"/>
        </w:rPr>
        <w:t>.</w:t>
      </w:r>
      <w:r w:rsidRPr="00293D42">
        <w:rPr>
          <w:color w:val="000000" w:themeColor="text1"/>
        </w:rPr>
        <w:t xml:space="preserve"> Pacific </w:t>
      </w:r>
      <w:r>
        <w:rPr>
          <w:color w:val="000000" w:themeColor="text1"/>
        </w:rPr>
        <w:t>peoples again had</w:t>
      </w:r>
      <w:r w:rsidRPr="00293D42">
        <w:rPr>
          <w:color w:val="000000" w:themeColor="text1"/>
        </w:rPr>
        <w:t xml:space="preserve"> the largest reduction in ED attendances in June 2020 compared </w:t>
      </w:r>
      <w:r>
        <w:rPr>
          <w:color w:val="000000" w:themeColor="text1"/>
        </w:rPr>
        <w:t>with</w:t>
      </w:r>
      <w:r w:rsidRPr="00293D42">
        <w:rPr>
          <w:color w:val="000000" w:themeColor="text1"/>
        </w:rPr>
        <w:t xml:space="preserve"> June 2019</w:t>
      </w:r>
      <w:r>
        <w:rPr>
          <w:color w:val="000000" w:themeColor="text1"/>
        </w:rPr>
        <w:t xml:space="preserve">, with a fall of </w:t>
      </w:r>
      <w:r w:rsidRPr="00293D42">
        <w:rPr>
          <w:color w:val="000000" w:themeColor="text1"/>
        </w:rPr>
        <w:t>2</w:t>
      </w:r>
      <w:r>
        <w:rPr>
          <w:color w:val="000000" w:themeColor="text1"/>
        </w:rPr>
        <w:t>7.6</w:t>
      </w:r>
      <w:r w:rsidRPr="00293D42">
        <w:rPr>
          <w:color w:val="000000" w:themeColor="text1"/>
        </w:rPr>
        <w:t>%</w:t>
      </w:r>
      <w:r>
        <w:rPr>
          <w:color w:val="000000" w:themeColor="text1"/>
        </w:rPr>
        <w:t>, while the reduction was</w:t>
      </w:r>
      <w:r w:rsidRPr="00293D42">
        <w:rPr>
          <w:color w:val="000000" w:themeColor="text1"/>
        </w:rPr>
        <w:t xml:space="preserve"> 1</w:t>
      </w:r>
      <w:r>
        <w:rPr>
          <w:color w:val="000000" w:themeColor="text1"/>
        </w:rPr>
        <w:t>4.0</w:t>
      </w:r>
      <w:r w:rsidRPr="00293D42">
        <w:rPr>
          <w:color w:val="000000" w:themeColor="text1"/>
        </w:rPr>
        <w:t>% M</w:t>
      </w:r>
      <w:r>
        <w:rPr>
          <w:color w:val="000000" w:themeColor="text1"/>
        </w:rPr>
        <w:t>ā</w:t>
      </w:r>
      <w:r w:rsidRPr="00293D42">
        <w:rPr>
          <w:color w:val="000000" w:themeColor="text1"/>
        </w:rPr>
        <w:t xml:space="preserve">ori and </w:t>
      </w:r>
      <w:r>
        <w:rPr>
          <w:color w:val="000000" w:themeColor="text1"/>
        </w:rPr>
        <w:t>9.8</w:t>
      </w:r>
      <w:r w:rsidRPr="00293D42">
        <w:rPr>
          <w:color w:val="000000" w:themeColor="text1"/>
        </w:rPr>
        <w:t>%</w:t>
      </w:r>
      <w:r>
        <w:rPr>
          <w:color w:val="000000" w:themeColor="text1"/>
        </w:rPr>
        <w:t xml:space="preserve"> for </w:t>
      </w:r>
      <w:r w:rsidRPr="00293D42">
        <w:rPr>
          <w:color w:val="000000" w:themeColor="text1"/>
        </w:rPr>
        <w:t>non-Māori</w:t>
      </w:r>
      <w:r>
        <w:rPr>
          <w:color w:val="000000" w:themeColor="text1"/>
        </w:rPr>
        <w:t>,</w:t>
      </w:r>
      <w:r w:rsidRPr="00293D42">
        <w:rPr>
          <w:color w:val="000000" w:themeColor="text1"/>
        </w:rPr>
        <w:t xml:space="preserve"> non-Pacific. </w:t>
      </w:r>
    </w:p>
    <w:p w14:paraId="22ACDE35" w14:textId="77777777" w:rsidR="006A7630" w:rsidRPr="00822171" w:rsidRDefault="006A7630" w:rsidP="006A7630">
      <w:pPr>
        <w:rPr>
          <w:color w:val="000000" w:themeColor="text1"/>
        </w:rPr>
      </w:pPr>
    </w:p>
    <w:p w14:paraId="5CD5658D" w14:textId="29CD9584" w:rsidR="006A7630" w:rsidRPr="00E35305" w:rsidRDefault="006A7630" w:rsidP="006A7630">
      <w:pPr>
        <w:pStyle w:val="Caption"/>
        <w:rPr>
          <w:sz w:val="22"/>
        </w:rPr>
      </w:pPr>
      <w:bookmarkStart w:id="177" w:name="_Ref53470604"/>
      <w:bookmarkStart w:id="178" w:name="_Toc52420617"/>
      <w:bookmarkStart w:id="179" w:name="_Toc53585959"/>
      <w:r w:rsidRPr="005D0F25">
        <w:t xml:space="preserve">Figure </w:t>
      </w:r>
      <w:r w:rsidRPr="005D0F25">
        <w:rPr>
          <w:noProof/>
        </w:rPr>
        <w:fldChar w:fldCharType="begin"/>
      </w:r>
      <w:r w:rsidRPr="005D0F25">
        <w:rPr>
          <w:noProof/>
        </w:rPr>
        <w:instrText xml:space="preserve"> SEQ Figure \* ARABIC </w:instrText>
      </w:r>
      <w:r w:rsidRPr="005D0F25">
        <w:rPr>
          <w:noProof/>
        </w:rPr>
        <w:fldChar w:fldCharType="separate"/>
      </w:r>
      <w:r w:rsidR="00CF2713">
        <w:rPr>
          <w:noProof/>
        </w:rPr>
        <w:t>29</w:t>
      </w:r>
      <w:r w:rsidRPr="005D0F25">
        <w:rPr>
          <w:noProof/>
        </w:rPr>
        <w:fldChar w:fldCharType="end"/>
      </w:r>
      <w:bookmarkEnd w:id="177"/>
      <w:r w:rsidRPr="005D0F25">
        <w:t>: Number of emergency department (ED) attendances nationally from March to June 2018–2020, by ethnicity</w:t>
      </w:r>
      <w:bookmarkEnd w:id="178"/>
      <w:bookmarkEnd w:id="179"/>
    </w:p>
    <w:p w14:paraId="6713FE20" w14:textId="0FEAD866" w:rsidR="00EA5A7B" w:rsidRDefault="00CC05D7" w:rsidP="005D0F25">
      <w:pPr>
        <w:spacing w:before="120"/>
        <w:rPr>
          <w:rFonts w:cs="Segoe UI"/>
          <w:noProof/>
        </w:rPr>
      </w:pPr>
      <w:r>
        <w:rPr>
          <w:rFonts w:cs="Segoe UI"/>
          <w:noProof/>
        </w:rPr>
        <w:drawing>
          <wp:inline distT="0" distB="0" distL="0" distR="0" wp14:anchorId="5B4F0905" wp14:editId="06235469">
            <wp:extent cx="5715684" cy="2971800"/>
            <wp:effectExtent l="0" t="0" r="0" b="0"/>
            <wp:docPr id="46" name="Picture 46" descr="This bar graph shows that generally about 70% of emergency department attendances were in non-Māori, non-Pacific, about 21% were in Māori and about 9% were in Pacific peoples. In April 2020, 73.4% were in non-Māori, non-Pacific, 19.6% were in Māori and 7.1% were in Pac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l="2038" t="10379" r="14011" b="2323"/>
                    <a:stretch/>
                  </pic:blipFill>
                  <pic:spPr bwMode="auto">
                    <a:xfrm>
                      <a:off x="0" y="0"/>
                      <a:ext cx="5737415" cy="2983099"/>
                    </a:xfrm>
                    <a:prstGeom prst="rect">
                      <a:avLst/>
                    </a:prstGeom>
                    <a:noFill/>
                    <a:ln>
                      <a:noFill/>
                    </a:ln>
                    <a:extLst>
                      <a:ext uri="{53640926-AAD7-44D8-BBD7-CCE9431645EC}">
                        <a14:shadowObscured xmlns:a14="http://schemas.microsoft.com/office/drawing/2010/main"/>
                      </a:ext>
                    </a:extLst>
                  </pic:spPr>
                </pic:pic>
              </a:graphicData>
            </a:graphic>
          </wp:inline>
        </w:drawing>
      </w:r>
    </w:p>
    <w:p w14:paraId="4192F1D8" w14:textId="77777777" w:rsidR="006A7630" w:rsidRPr="00E35305" w:rsidRDefault="006A7630" w:rsidP="006A7630">
      <w:pPr>
        <w:pStyle w:val="Heading2"/>
        <w:rPr>
          <w:sz w:val="24"/>
          <w:szCs w:val="24"/>
        </w:rPr>
      </w:pPr>
      <w:bookmarkStart w:id="180" w:name="_Toc52430199"/>
      <w:bookmarkStart w:id="181" w:name="_Toc53471234"/>
      <w:r w:rsidRPr="00E35305">
        <w:t xml:space="preserve">Key </w:t>
      </w:r>
      <w:r>
        <w:t>p</w:t>
      </w:r>
      <w:r w:rsidRPr="00E35305">
        <w:t>oints</w:t>
      </w:r>
      <w:bookmarkEnd w:id="180"/>
      <w:bookmarkEnd w:id="181"/>
    </w:p>
    <w:p w14:paraId="3D54C7EE" w14:textId="77777777" w:rsidR="006A7630" w:rsidRPr="0013273D" w:rsidRDefault="006A7630" w:rsidP="006A7630">
      <w:pPr>
        <w:pStyle w:val="Bullet"/>
      </w:pPr>
      <w:bookmarkStart w:id="182" w:name="_Hlk44346091"/>
      <w:r>
        <w:t>The numbers of a</w:t>
      </w:r>
      <w:r w:rsidRPr="0013273D">
        <w:t xml:space="preserve">cute activity discharges and ED attendances were lower </w:t>
      </w:r>
      <w:r>
        <w:t xml:space="preserve">from </w:t>
      </w:r>
      <w:r w:rsidRPr="0013273D">
        <w:t>March</w:t>
      </w:r>
      <w:r>
        <w:t xml:space="preserve"> to </w:t>
      </w:r>
      <w:r w:rsidRPr="0013273D">
        <w:t>June</w:t>
      </w:r>
      <w:r>
        <w:t xml:space="preserve"> </w:t>
      </w:r>
      <w:r w:rsidRPr="0013273D">
        <w:t xml:space="preserve">2020 compared </w:t>
      </w:r>
      <w:r>
        <w:t>with</w:t>
      </w:r>
      <w:r w:rsidRPr="0013273D">
        <w:t xml:space="preserve"> the same months in 2019. The difference was greatest in April, reflecting the tim</w:t>
      </w:r>
      <w:r>
        <w:t>e</w:t>
      </w:r>
      <w:r w:rsidRPr="0013273D">
        <w:t xml:space="preserve"> </w:t>
      </w:r>
      <w:r>
        <w:t>during</w:t>
      </w:r>
      <w:r w:rsidRPr="0013273D">
        <w:t xml:space="preserve"> the lockdown </w:t>
      </w:r>
      <w:r>
        <w:t>period when</w:t>
      </w:r>
      <w:r w:rsidRPr="0013273D">
        <w:t xml:space="preserve"> hospital services</w:t>
      </w:r>
      <w:r>
        <w:t xml:space="preserve"> were most restricted</w:t>
      </w:r>
      <w:r w:rsidRPr="0013273D">
        <w:t>.</w:t>
      </w:r>
    </w:p>
    <w:p w14:paraId="7886D4D7" w14:textId="77777777" w:rsidR="006A7630" w:rsidRPr="0013273D" w:rsidRDefault="006A7630" w:rsidP="006A7630">
      <w:pPr>
        <w:pStyle w:val="Bullet"/>
      </w:pPr>
      <w:r>
        <w:t xml:space="preserve">Of the three ethnic groups, </w:t>
      </w:r>
      <w:r w:rsidRPr="0013273D">
        <w:t>Pacific people</w:t>
      </w:r>
      <w:r>
        <w:t>s experienced the</w:t>
      </w:r>
      <w:r w:rsidRPr="0013273D">
        <w:t xml:space="preserve"> highest reduction in acute activity by percentage. </w:t>
      </w:r>
      <w:bookmarkEnd w:id="182"/>
    </w:p>
    <w:p w14:paraId="67A04513" w14:textId="77777777" w:rsidR="006A7630" w:rsidRPr="0013273D" w:rsidRDefault="006A7630" w:rsidP="006A7630">
      <w:pPr>
        <w:pStyle w:val="Bullet"/>
      </w:pPr>
      <w:r>
        <w:t xml:space="preserve">From </w:t>
      </w:r>
      <w:r w:rsidRPr="0013273D">
        <w:t>March</w:t>
      </w:r>
      <w:r>
        <w:t xml:space="preserve"> to </w:t>
      </w:r>
      <w:r w:rsidRPr="0013273D">
        <w:t>June</w:t>
      </w:r>
      <w:r>
        <w:t xml:space="preserve"> </w:t>
      </w:r>
      <w:r w:rsidRPr="0013273D">
        <w:t>2020</w:t>
      </w:r>
      <w:r>
        <w:t>, the</w:t>
      </w:r>
      <w:r w:rsidRPr="0013273D">
        <w:t xml:space="preserve"> number of ED attendances </w:t>
      </w:r>
      <w:r>
        <w:t xml:space="preserve">decreased markedly but reductions were smaller </w:t>
      </w:r>
      <w:r w:rsidRPr="0013273D">
        <w:t xml:space="preserve">in </w:t>
      </w:r>
      <w:r>
        <w:t xml:space="preserve">the </w:t>
      </w:r>
      <w:r w:rsidRPr="0013273D">
        <w:t xml:space="preserve">average number of minutes </w:t>
      </w:r>
      <w:r>
        <w:t xml:space="preserve">a patient spent </w:t>
      </w:r>
      <w:r w:rsidRPr="0013273D">
        <w:t xml:space="preserve">in ED. </w:t>
      </w:r>
    </w:p>
    <w:p w14:paraId="0A86C53E" w14:textId="77777777" w:rsidR="006A7630" w:rsidRPr="00E35305" w:rsidRDefault="006A7630" w:rsidP="006A7630"/>
    <w:p w14:paraId="6F499F1B" w14:textId="77777777" w:rsidR="006A7630" w:rsidRPr="00E35305" w:rsidRDefault="006A7630" w:rsidP="006A7630">
      <w:pPr>
        <w:pStyle w:val="Heading1"/>
      </w:pPr>
      <w:bookmarkStart w:id="183" w:name="_Toc52430200"/>
      <w:bookmarkStart w:id="184" w:name="_Toc53471235"/>
      <w:r w:rsidRPr="00E35305">
        <w:lastRenderedPageBreak/>
        <w:t xml:space="preserve">Unmet </w:t>
      </w:r>
      <w:r>
        <w:t>n</w:t>
      </w:r>
      <w:r w:rsidRPr="00E35305">
        <w:t>eed</w:t>
      </w:r>
      <w:bookmarkEnd w:id="183"/>
      <w:bookmarkEnd w:id="184"/>
    </w:p>
    <w:p w14:paraId="7669C8DD" w14:textId="77777777" w:rsidR="006A7630" w:rsidRPr="00E35305" w:rsidRDefault="006A7630" w:rsidP="006A7630">
      <w:pPr>
        <w:pStyle w:val="Heading2"/>
      </w:pPr>
      <w:bookmarkStart w:id="185" w:name="_Toc52430201"/>
      <w:bookmarkStart w:id="186" w:name="_Toc53471236"/>
      <w:r w:rsidRPr="00E35305">
        <w:t>Notes on data</w:t>
      </w:r>
      <w:bookmarkEnd w:id="185"/>
      <w:bookmarkEnd w:id="186"/>
    </w:p>
    <w:p w14:paraId="534BC271" w14:textId="77777777" w:rsidR="006A7630" w:rsidRPr="00E35305" w:rsidRDefault="006A7630" w:rsidP="006A7630">
      <w:pPr>
        <w:pStyle w:val="Bullet"/>
      </w:pPr>
      <w:r w:rsidRPr="00E35305">
        <w:t xml:space="preserve">The daily Health and Wellbeing Survey </w:t>
      </w:r>
      <w:r>
        <w:t>has collected s</w:t>
      </w:r>
      <w:r w:rsidRPr="00E35305">
        <w:t xml:space="preserve">elf-reported data around unmet need since April, </w:t>
      </w:r>
      <w:r>
        <w:t>which is</w:t>
      </w:r>
      <w:r w:rsidRPr="00E35305">
        <w:t xml:space="preserve"> collated weekly.</w:t>
      </w:r>
    </w:p>
    <w:p w14:paraId="1C6F4225" w14:textId="77777777" w:rsidR="006A7630" w:rsidRPr="00E35305" w:rsidRDefault="006A7630" w:rsidP="006A7630">
      <w:pPr>
        <w:pStyle w:val="Bullet"/>
      </w:pPr>
      <w:r w:rsidRPr="00E35305">
        <w:t xml:space="preserve">Data </w:t>
      </w:r>
      <w:r>
        <w:t>is</w:t>
      </w:r>
      <w:r w:rsidRPr="00E35305">
        <w:t xml:space="preserve"> currently available from the beginning of Alert Level 4</w:t>
      </w:r>
      <w:r>
        <w:t xml:space="preserve"> but not</w:t>
      </w:r>
      <w:r w:rsidRPr="00E35305">
        <w:t xml:space="preserve"> </w:t>
      </w:r>
      <w:r>
        <w:t xml:space="preserve">yet </w:t>
      </w:r>
      <w:r w:rsidRPr="00E35305">
        <w:t>before this point.</w:t>
      </w:r>
    </w:p>
    <w:p w14:paraId="734937CA" w14:textId="77777777" w:rsidR="006A7630" w:rsidRPr="00E35305" w:rsidRDefault="006A7630" w:rsidP="006A7630">
      <w:pPr>
        <w:pStyle w:val="Bullet"/>
      </w:pPr>
      <w:r w:rsidRPr="00E35305">
        <w:t>Th</w:t>
      </w:r>
      <w:r>
        <w:t>e</w:t>
      </w:r>
      <w:r w:rsidRPr="00E35305">
        <w:t xml:space="preserve"> data </w:t>
      </w:r>
      <w:r>
        <w:t xml:space="preserve">below is </w:t>
      </w:r>
      <w:r w:rsidRPr="00E35305">
        <w:t>provisional</w:t>
      </w:r>
      <w:r>
        <w:t>. We</w:t>
      </w:r>
      <w:r w:rsidRPr="00E35305">
        <w:t xml:space="preserve"> </w:t>
      </w:r>
      <w:r>
        <w:t xml:space="preserve">will undertake </w:t>
      </w:r>
      <w:r w:rsidRPr="00E35305">
        <w:t>further analysis as more data become</w:t>
      </w:r>
      <w:r>
        <w:t>s</w:t>
      </w:r>
      <w:r w:rsidRPr="00E35305">
        <w:t xml:space="preserve"> available.</w:t>
      </w:r>
    </w:p>
    <w:p w14:paraId="5AEE42FB" w14:textId="77777777" w:rsidR="006A7630" w:rsidRPr="00E35305" w:rsidRDefault="006A7630" w:rsidP="006A7630">
      <w:pPr>
        <w:pStyle w:val="Heading2"/>
      </w:pPr>
      <w:bookmarkStart w:id="187" w:name="_Toc52430202"/>
      <w:bookmarkStart w:id="188" w:name="_Toc53471237"/>
      <w:r w:rsidRPr="00E35305">
        <w:t>Results</w:t>
      </w:r>
      <w:bookmarkEnd w:id="187"/>
      <w:bookmarkEnd w:id="188"/>
    </w:p>
    <w:p w14:paraId="018C881B" w14:textId="77777777" w:rsidR="006A7630" w:rsidRDefault="006A7630" w:rsidP="006A7630">
      <w:bookmarkStart w:id="189" w:name="_Hlk50467888"/>
      <w:r>
        <w:t xml:space="preserve">From 27 April to 28 June 2020, about 9% of the adult population agreed with the statement that ‘Since the beginning of COVID-19 Alert Level 4 until now there had been a time when you </w:t>
      </w:r>
      <w:r>
        <w:rPr>
          <w:b/>
          <w:bCs/>
        </w:rPr>
        <w:t>needed</w:t>
      </w:r>
      <w:r>
        <w:t xml:space="preserve"> health care but could</w:t>
      </w:r>
      <w:r>
        <w:rPr>
          <w:b/>
          <w:bCs/>
        </w:rPr>
        <w:t xml:space="preserve"> not</w:t>
      </w:r>
      <w:r>
        <w:t xml:space="preserve"> get it’. Although the length of time that this question covered increased as Alert Level 4 continued, there was not much variation on a week-by-week basis.</w:t>
      </w:r>
    </w:p>
    <w:p w14:paraId="083DD1A1" w14:textId="77777777" w:rsidR="00273DBF" w:rsidRDefault="00273DBF" w:rsidP="006A7630"/>
    <w:p w14:paraId="074E1D06" w14:textId="128EB837" w:rsidR="006A7630" w:rsidRDefault="006A7630" w:rsidP="006A7630">
      <w:r w:rsidRPr="008C4724">
        <w:t xml:space="preserve">Of those who reported </w:t>
      </w:r>
      <w:r>
        <w:t xml:space="preserve">having </w:t>
      </w:r>
      <w:r w:rsidRPr="008C4724">
        <w:t>unmet need, each week between 36</w:t>
      </w:r>
      <w:r>
        <w:t xml:space="preserve">% and </w:t>
      </w:r>
      <w:r w:rsidRPr="008C4724">
        <w:t xml:space="preserve">50% stated that they required care from a </w:t>
      </w:r>
      <w:r>
        <w:t>g</w:t>
      </w:r>
      <w:r w:rsidRPr="008C4724">
        <w:t xml:space="preserve">eneral </w:t>
      </w:r>
      <w:r>
        <w:t>p</w:t>
      </w:r>
      <w:r w:rsidRPr="008C4724">
        <w:t>ractitioner</w:t>
      </w:r>
      <w:r>
        <w:t xml:space="preserve"> (GP)</w:t>
      </w:r>
      <w:r w:rsidRPr="008C4724">
        <w:t xml:space="preserve"> or nurse.</w:t>
      </w:r>
    </w:p>
    <w:p w14:paraId="0854F331" w14:textId="77777777" w:rsidR="006A7630" w:rsidRPr="00700ABC" w:rsidRDefault="006A7630" w:rsidP="006A7630"/>
    <w:p w14:paraId="5ABC1EE9" w14:textId="77777777" w:rsidR="006A7630" w:rsidRDefault="006A7630" w:rsidP="006A7630">
      <w:r>
        <w:t>The New Zealand Health Survey contains a similar indicator of unmet need. In 2018/19, about 30% of adults responding to the survey reported that in the last year they’d been unable to access health care, either at a GP clinic or an after-hours service, due to cost or transport requirements, or were unable to access a GP within 24 hours when they wanted to</w:t>
      </w:r>
      <w:r w:rsidRPr="008C4724">
        <w:t>.</w:t>
      </w:r>
    </w:p>
    <w:p w14:paraId="1472585C" w14:textId="77777777" w:rsidR="006A7630" w:rsidRPr="00E35305" w:rsidRDefault="006A7630" w:rsidP="006A7630">
      <w:pPr>
        <w:pStyle w:val="Heading2"/>
      </w:pPr>
      <w:bookmarkStart w:id="190" w:name="_Toc52430203"/>
      <w:bookmarkStart w:id="191" w:name="_Toc53471238"/>
      <w:bookmarkEnd w:id="189"/>
      <w:r w:rsidRPr="00E35305">
        <w:t xml:space="preserve">Key </w:t>
      </w:r>
      <w:r>
        <w:t>p</w:t>
      </w:r>
      <w:r w:rsidRPr="00E35305">
        <w:t>oints</w:t>
      </w:r>
      <w:bookmarkEnd w:id="190"/>
      <w:bookmarkEnd w:id="191"/>
    </w:p>
    <w:p w14:paraId="01B48D2E" w14:textId="77777777" w:rsidR="006A7630" w:rsidRPr="0051330B" w:rsidRDefault="006A7630" w:rsidP="006A7630">
      <w:pPr>
        <w:pStyle w:val="Bullet"/>
        <w:rPr>
          <w:b/>
        </w:rPr>
      </w:pPr>
      <w:r w:rsidRPr="00E35305">
        <w:t xml:space="preserve">The amount of self-reported unmet need remained steady over </w:t>
      </w:r>
      <w:r>
        <w:t>the lockdown period.</w:t>
      </w:r>
    </w:p>
    <w:p w14:paraId="0698C354" w14:textId="77777777" w:rsidR="006A7630" w:rsidRPr="00945A7C" w:rsidRDefault="006A7630" w:rsidP="006A7630">
      <w:pPr>
        <w:pStyle w:val="Bullet"/>
        <w:rPr>
          <w:b/>
        </w:rPr>
      </w:pPr>
      <w:r>
        <w:t>We will undertake f</w:t>
      </w:r>
      <w:r w:rsidRPr="00E35305">
        <w:t>urther analysis as more data becomes available.</w:t>
      </w:r>
    </w:p>
    <w:p w14:paraId="2D8A280A" w14:textId="77777777" w:rsidR="006A7630" w:rsidRPr="00945A7C" w:rsidRDefault="006A7630" w:rsidP="006A7630">
      <w:pPr>
        <w:rPr>
          <w:b/>
        </w:rPr>
      </w:pPr>
    </w:p>
    <w:p w14:paraId="282ECCC9" w14:textId="77777777" w:rsidR="006A7630" w:rsidRPr="00E35305" w:rsidRDefault="006A7630" w:rsidP="006A7630">
      <w:pPr>
        <w:pStyle w:val="Heading1"/>
      </w:pPr>
      <w:bookmarkStart w:id="192" w:name="_Toc52430204"/>
      <w:bookmarkStart w:id="193" w:name="_Toc53471239"/>
      <w:r w:rsidRPr="00E35305">
        <w:lastRenderedPageBreak/>
        <w:t>Conclusions</w:t>
      </w:r>
      <w:bookmarkEnd w:id="192"/>
      <w:bookmarkEnd w:id="193"/>
    </w:p>
    <w:p w14:paraId="2672F85A" w14:textId="77777777" w:rsidR="006A7630" w:rsidRPr="0013273D" w:rsidRDefault="006A7630" w:rsidP="006A7630">
      <w:pPr>
        <w:pStyle w:val="Bullet"/>
      </w:pPr>
      <w:r w:rsidRPr="0013273D">
        <w:t>The COVID-19 lockdown period resulted in changes to health</w:t>
      </w:r>
      <w:r>
        <w:t xml:space="preserve"> </w:t>
      </w:r>
      <w:r w:rsidRPr="0013273D">
        <w:t xml:space="preserve">care </w:t>
      </w:r>
      <w:r>
        <w:t>activity levels</w:t>
      </w:r>
      <w:r w:rsidRPr="0013273D">
        <w:t xml:space="preserve"> across New Zealand</w:t>
      </w:r>
      <w:r>
        <w:t>.</w:t>
      </w:r>
    </w:p>
    <w:p w14:paraId="23AE4ECE" w14:textId="77777777" w:rsidR="006A7630" w:rsidRPr="00822171" w:rsidRDefault="006A7630" w:rsidP="006A7630">
      <w:pPr>
        <w:pStyle w:val="Bullet"/>
      </w:pPr>
      <w:r>
        <w:t>A</w:t>
      </w:r>
      <w:r w:rsidRPr="00822171">
        <w:t xml:space="preserve">ctivity levels </w:t>
      </w:r>
      <w:r>
        <w:t xml:space="preserve">decreased </w:t>
      </w:r>
      <w:r w:rsidRPr="00822171">
        <w:t xml:space="preserve">across planned care, unplanned care and primary care </w:t>
      </w:r>
      <w:r>
        <w:t>during March, April, May and June</w:t>
      </w:r>
      <w:r w:rsidRPr="00822171">
        <w:t xml:space="preserve"> 2020 compared with the same months in 2018 and 2019.</w:t>
      </w:r>
      <w:r w:rsidRPr="00EF7EC4">
        <w:t xml:space="preserve"> </w:t>
      </w:r>
      <w:r w:rsidRPr="00822171">
        <w:t>April had the greatest reduction in activity levels. In June 2020, some activity returned to</w:t>
      </w:r>
      <w:r>
        <w:t xml:space="preserve"> or was higher than</w:t>
      </w:r>
      <w:r w:rsidRPr="00822171">
        <w:t xml:space="preserve"> the levels reported in 2018 and 2019</w:t>
      </w:r>
      <w:r>
        <w:t>;</w:t>
      </w:r>
      <w:r w:rsidRPr="00822171">
        <w:t xml:space="preserve"> however</w:t>
      </w:r>
      <w:r>
        <w:t>,</w:t>
      </w:r>
      <w:r w:rsidRPr="00822171">
        <w:t xml:space="preserve"> some activity remained lower than June 2019</w:t>
      </w:r>
      <w:r>
        <w:t xml:space="preserve"> levels</w:t>
      </w:r>
      <w:r w:rsidRPr="00822171">
        <w:t>.</w:t>
      </w:r>
    </w:p>
    <w:p w14:paraId="7111F635" w14:textId="77777777" w:rsidR="006A7630" w:rsidRDefault="006A7630" w:rsidP="006A7630">
      <w:pPr>
        <w:pStyle w:val="Bullet"/>
      </w:pPr>
      <w:r w:rsidRPr="00822171">
        <w:t xml:space="preserve">Despite the </w:t>
      </w:r>
      <w:r>
        <w:t>decrease in</w:t>
      </w:r>
      <w:r w:rsidRPr="00822171">
        <w:t xml:space="preserve"> health</w:t>
      </w:r>
      <w:r>
        <w:t xml:space="preserve"> </w:t>
      </w:r>
      <w:r w:rsidRPr="00822171">
        <w:t xml:space="preserve">care </w:t>
      </w:r>
      <w:r>
        <w:t>activity</w:t>
      </w:r>
      <w:r w:rsidRPr="00822171">
        <w:t>, early data suggest</w:t>
      </w:r>
      <w:r>
        <w:t>s</w:t>
      </w:r>
      <w:r w:rsidRPr="00822171">
        <w:t xml:space="preserve"> that the mortality rate from March to </w:t>
      </w:r>
      <w:r>
        <w:t>May</w:t>
      </w:r>
      <w:r w:rsidRPr="00822171">
        <w:t xml:space="preserve"> was lower than</w:t>
      </w:r>
      <w:r>
        <w:t xml:space="preserve"> the same months in</w:t>
      </w:r>
      <w:r w:rsidRPr="00822171">
        <w:t xml:space="preserve"> 2019 and</w:t>
      </w:r>
      <w:r>
        <w:t xml:space="preserve"> lower than</w:t>
      </w:r>
      <w:r w:rsidRPr="00822171">
        <w:t xml:space="preserve"> the expected rate based on the average of the last five years.</w:t>
      </w:r>
    </w:p>
    <w:p w14:paraId="591F4EBE" w14:textId="77777777" w:rsidR="006A7630" w:rsidRPr="00BC219F" w:rsidRDefault="006A7630" w:rsidP="006A7630">
      <w:pPr>
        <w:pStyle w:val="Bullet"/>
      </w:pPr>
      <w:r w:rsidRPr="00822171">
        <w:t>The percentage of people waiting longer than four months for treatment o</w:t>
      </w:r>
      <w:r>
        <w:t>r their</w:t>
      </w:r>
      <w:r w:rsidRPr="00822171">
        <w:t xml:space="preserve"> FSA increased over the period of March </w:t>
      </w:r>
      <w:r>
        <w:t>to</w:t>
      </w:r>
      <w:r w:rsidRPr="00822171">
        <w:t xml:space="preserve"> June 2020.</w:t>
      </w:r>
      <w:r w:rsidRPr="00BC219F">
        <w:t xml:space="preserve"> </w:t>
      </w:r>
    </w:p>
    <w:p w14:paraId="211CBE72" w14:textId="77777777" w:rsidR="006A7630" w:rsidRPr="00822171" w:rsidRDefault="006A7630" w:rsidP="006A7630">
      <w:pPr>
        <w:pStyle w:val="Bullet"/>
      </w:pPr>
      <w:r w:rsidRPr="00822171">
        <w:t>A</w:t>
      </w:r>
      <w:r>
        <w:t>ccording to a</w:t>
      </w:r>
      <w:r w:rsidRPr="00822171">
        <w:t>vailable data</w:t>
      </w:r>
      <w:r>
        <w:t>,</w:t>
      </w:r>
      <w:r w:rsidRPr="00822171">
        <w:t xml:space="preserve"> some ethnic groups </w:t>
      </w:r>
      <w:r>
        <w:t>experienced</w:t>
      </w:r>
      <w:r w:rsidRPr="00822171">
        <w:t xml:space="preserve"> more disruption than others across different services in the health system. More analysis is needed to determine the extent to which COVID-19 and the lockdown</w:t>
      </w:r>
      <w:r>
        <w:t xml:space="preserve"> period</w:t>
      </w:r>
      <w:r w:rsidRPr="00822171">
        <w:t xml:space="preserve"> increased inequities in health.</w:t>
      </w:r>
    </w:p>
    <w:p w14:paraId="66C2D2B6" w14:textId="77777777" w:rsidR="006A7630" w:rsidRPr="00822171" w:rsidRDefault="006A7630" w:rsidP="006A7630">
      <w:pPr>
        <w:pStyle w:val="Bullet"/>
      </w:pPr>
      <w:r w:rsidRPr="00822171">
        <w:t>The purpose of this analysis was to measure the impact of the COVID-19 lockdown on existing service delivery. Th</w:t>
      </w:r>
      <w:r>
        <w:t>e analysis</w:t>
      </w:r>
      <w:r w:rsidRPr="00822171">
        <w:t xml:space="preserve"> does not take into account pre-existing unmet need, any projected increase in </w:t>
      </w:r>
      <w:r>
        <w:t>need</w:t>
      </w:r>
      <w:r w:rsidRPr="00822171">
        <w:t xml:space="preserve"> over time</w:t>
      </w:r>
      <w:r w:rsidRPr="00C6005A">
        <w:t xml:space="preserve"> </w:t>
      </w:r>
      <w:r w:rsidRPr="00E35305">
        <w:t>or variables outside of COVID-19 and the lockdown</w:t>
      </w:r>
      <w:r>
        <w:t xml:space="preserve"> period</w:t>
      </w:r>
      <w:r w:rsidRPr="00822171">
        <w:t xml:space="preserve">. </w:t>
      </w:r>
    </w:p>
    <w:p w14:paraId="5B1A6BE7" w14:textId="77777777" w:rsidR="006A7630" w:rsidRPr="00822171" w:rsidRDefault="006A7630" w:rsidP="006A7630">
      <w:pPr>
        <w:pStyle w:val="Bullet"/>
      </w:pPr>
      <w:r w:rsidRPr="00822171">
        <w:t>This is a working report, develope</w:t>
      </w:r>
      <w:r>
        <w:t>d</w:t>
      </w:r>
      <w:r w:rsidRPr="00822171">
        <w:t xml:space="preserve"> to </w:t>
      </w:r>
      <w:r>
        <w:t>help</w:t>
      </w:r>
      <w:r w:rsidRPr="00822171">
        <w:t xml:space="preserve"> with recovery planning. </w:t>
      </w:r>
      <w:r>
        <w:t>We will undertake f</w:t>
      </w:r>
      <w:r w:rsidRPr="00822171">
        <w:t>urther analysis as more data become</w:t>
      </w:r>
      <w:r>
        <w:t>s</w:t>
      </w:r>
      <w:r w:rsidRPr="00822171">
        <w:t xml:space="preserve"> available. </w:t>
      </w:r>
    </w:p>
    <w:p w14:paraId="1FAA6A51" w14:textId="77777777" w:rsidR="006A7630" w:rsidRPr="00822171" w:rsidRDefault="006A7630" w:rsidP="006A7630">
      <w:pPr>
        <w:pStyle w:val="Bullet"/>
      </w:pPr>
      <w:r w:rsidRPr="00822171">
        <w:t>Clear planning is needed to</w:t>
      </w:r>
      <w:r>
        <w:t xml:space="preserve"> keep</w:t>
      </w:r>
      <w:r w:rsidRPr="00822171">
        <w:t xml:space="preserve"> reducing inequities </w:t>
      </w:r>
      <w:r>
        <w:t xml:space="preserve">as </w:t>
      </w:r>
      <w:r w:rsidRPr="00822171">
        <w:t xml:space="preserve">a key focus during the recovery phase. </w:t>
      </w:r>
    </w:p>
    <w:p w14:paraId="67BD6064" w14:textId="1AAA7F48" w:rsidR="006A7630" w:rsidRDefault="006A7630" w:rsidP="006A7630">
      <w:pPr>
        <w:rPr>
          <w:rFonts w:cs="Segoe UI"/>
        </w:rPr>
      </w:pPr>
      <w:r>
        <w:rPr>
          <w:rFonts w:cs="Segoe UI"/>
        </w:rPr>
        <w:br w:type="page"/>
      </w:r>
    </w:p>
    <w:p w14:paraId="6727DAA8" w14:textId="77777777" w:rsidR="006A7630" w:rsidRDefault="006A7630" w:rsidP="006A7630">
      <w:pPr>
        <w:pStyle w:val="Caption"/>
        <w:sectPr w:rsidR="006A7630" w:rsidSect="006A7630">
          <w:pgSz w:w="11906" w:h="16838"/>
          <w:pgMar w:top="1440" w:right="1440" w:bottom="1440" w:left="1440" w:header="708" w:footer="708" w:gutter="0"/>
          <w:cols w:space="708"/>
          <w:docGrid w:linePitch="360"/>
        </w:sectPr>
      </w:pPr>
    </w:p>
    <w:p w14:paraId="7EFC424F" w14:textId="5DC75732" w:rsidR="006A7630" w:rsidRDefault="006A7630" w:rsidP="006A7630">
      <w:pPr>
        <w:pStyle w:val="Heading1"/>
        <w:spacing w:after="120"/>
        <w:rPr>
          <w:sz w:val="40"/>
        </w:rPr>
      </w:pPr>
      <w:bookmarkStart w:id="194" w:name="_Toc52430205"/>
      <w:bookmarkStart w:id="195" w:name="_Toc53471240"/>
      <w:r w:rsidRPr="006A7630">
        <w:rPr>
          <w:sz w:val="56"/>
        </w:rPr>
        <w:lastRenderedPageBreak/>
        <w:t xml:space="preserve">Appendix </w:t>
      </w:r>
      <w:r w:rsidRPr="006A7630">
        <w:rPr>
          <w:noProof/>
          <w:sz w:val="56"/>
        </w:rPr>
        <w:fldChar w:fldCharType="begin"/>
      </w:r>
      <w:r w:rsidRPr="006A7630">
        <w:rPr>
          <w:noProof/>
          <w:sz w:val="56"/>
        </w:rPr>
        <w:instrText xml:space="preserve"> SEQ Appendix \* ARABIC </w:instrText>
      </w:r>
      <w:r w:rsidRPr="006A7630">
        <w:rPr>
          <w:noProof/>
          <w:sz w:val="56"/>
        </w:rPr>
        <w:fldChar w:fldCharType="separate"/>
      </w:r>
      <w:r w:rsidR="00CF2713">
        <w:rPr>
          <w:noProof/>
          <w:sz w:val="56"/>
        </w:rPr>
        <w:t>1</w:t>
      </w:r>
      <w:r w:rsidRPr="006A7630">
        <w:rPr>
          <w:noProof/>
          <w:sz w:val="56"/>
        </w:rPr>
        <w:fldChar w:fldCharType="end"/>
      </w:r>
      <w:r w:rsidRPr="006A7630">
        <w:rPr>
          <w:sz w:val="56"/>
        </w:rPr>
        <w:t xml:space="preserve">: </w:t>
      </w:r>
      <w:r w:rsidRPr="006A7630">
        <w:rPr>
          <w:sz w:val="56"/>
        </w:rPr>
        <w:br/>
      </w:r>
      <w:r w:rsidRPr="006A7630">
        <w:rPr>
          <w:sz w:val="40"/>
        </w:rPr>
        <w:t>Number of qualifying encounters per 1,000 enrolees by age group, 7 March to 12 July in 2019 and 2020</w:t>
      </w:r>
      <w:bookmarkEnd w:id="194"/>
      <w:bookmarkEnd w:id="195"/>
    </w:p>
    <w:p w14:paraId="4FE2F530" w14:textId="3E244617" w:rsidR="006A7630" w:rsidRDefault="00FB34EF" w:rsidP="00D15AEB">
      <w:pPr>
        <w:spacing w:before="120" w:line="360" w:lineRule="auto"/>
      </w:pPr>
      <w:r>
        <w:rPr>
          <w:noProof/>
        </w:rPr>
        <w:drawing>
          <wp:anchor distT="0" distB="0" distL="114300" distR="114300" simplePos="0" relativeHeight="251680768" behindDoc="0" locked="0" layoutInCell="1" allowOverlap="1" wp14:anchorId="06D28F14" wp14:editId="7ABC59EC">
            <wp:simplePos x="0" y="0"/>
            <wp:positionH relativeFrom="column">
              <wp:posOffset>3787765</wp:posOffset>
            </wp:positionH>
            <wp:positionV relativeFrom="paragraph">
              <wp:posOffset>2452004</wp:posOffset>
            </wp:positionV>
            <wp:extent cx="3673870" cy="2397056"/>
            <wp:effectExtent l="0" t="0" r="3175" b="3810"/>
            <wp:wrapNone/>
            <wp:docPr id="9" name="Picture 9" descr="This line graph shows that qualifying encounters among those 14-17 years old were lower throughout lockdown than in 2019, but about the same before lockdown and in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830" t="1057" r="897" b="951"/>
                    <a:stretch/>
                  </pic:blipFill>
                  <pic:spPr bwMode="auto">
                    <a:xfrm>
                      <a:off x="0" y="0"/>
                      <a:ext cx="3678474" cy="240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630" w:rsidRPr="00A9738F">
        <w:rPr>
          <w:noProof/>
        </w:rPr>
        <w:drawing>
          <wp:inline distT="0" distB="0" distL="0" distR="0" wp14:anchorId="13975557" wp14:editId="0221B76F">
            <wp:extent cx="3678288" cy="2353945"/>
            <wp:effectExtent l="0" t="0" r="0" b="8255"/>
            <wp:docPr id="32" name="Picture 32" descr="This line graph shows that qualifying encounters among those under 12 months old were lower throughout 2020 than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76" t="2237" r="630" b="1287"/>
                    <a:stretch/>
                  </pic:blipFill>
                  <pic:spPr bwMode="auto">
                    <a:xfrm>
                      <a:off x="0" y="0"/>
                      <a:ext cx="3729077" cy="2386448"/>
                    </a:xfrm>
                    <a:prstGeom prst="rect">
                      <a:avLst/>
                    </a:prstGeom>
                    <a:ln>
                      <a:noFill/>
                    </a:ln>
                    <a:extLst>
                      <a:ext uri="{53640926-AAD7-44D8-BBD7-CCE9431645EC}">
                        <a14:shadowObscured xmlns:a14="http://schemas.microsoft.com/office/drawing/2010/main"/>
                      </a:ext>
                    </a:extLst>
                  </pic:spPr>
                </pic:pic>
              </a:graphicData>
            </a:graphic>
          </wp:inline>
        </w:drawing>
      </w:r>
      <w:r w:rsidR="006A7630" w:rsidRPr="00A9738F">
        <w:t xml:space="preserve"> </w:t>
      </w:r>
      <w:r w:rsidR="006A7630" w:rsidRPr="007C1DB0">
        <w:rPr>
          <w:noProof/>
        </w:rPr>
        <w:t xml:space="preserve"> </w:t>
      </w:r>
      <w:r w:rsidR="006A7630">
        <w:rPr>
          <w:noProof/>
        </w:rPr>
        <w:t xml:space="preserve"> </w:t>
      </w:r>
      <w:r w:rsidR="006A7630" w:rsidRPr="00222C1A">
        <w:rPr>
          <w:noProof/>
        </w:rPr>
        <w:drawing>
          <wp:inline distT="0" distB="0" distL="0" distR="0" wp14:anchorId="4F3AB892" wp14:editId="58AA30CE">
            <wp:extent cx="3654304" cy="2322195"/>
            <wp:effectExtent l="0" t="0" r="3810" b="1905"/>
            <wp:docPr id="39" name="Picture 39" descr="This line graph shows that qualifying encounters among those 1-4 years old were lower throughout 2020 than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907" t="2543" r="523" b="1681"/>
                    <a:stretch/>
                  </pic:blipFill>
                  <pic:spPr bwMode="auto">
                    <a:xfrm>
                      <a:off x="0" y="0"/>
                      <a:ext cx="3681448" cy="2339444"/>
                    </a:xfrm>
                    <a:prstGeom prst="rect">
                      <a:avLst/>
                    </a:prstGeom>
                    <a:ln>
                      <a:noFill/>
                    </a:ln>
                    <a:extLst>
                      <a:ext uri="{53640926-AAD7-44D8-BBD7-CCE9431645EC}">
                        <a14:shadowObscured xmlns:a14="http://schemas.microsoft.com/office/drawing/2010/main"/>
                      </a:ext>
                    </a:extLst>
                  </pic:spPr>
                </pic:pic>
              </a:graphicData>
            </a:graphic>
          </wp:inline>
        </w:drawing>
      </w:r>
      <w:r w:rsidR="006A7630" w:rsidRPr="00222C1A">
        <w:t xml:space="preserve"> </w:t>
      </w:r>
      <w:r w:rsidR="006A7630" w:rsidRPr="007611F2">
        <w:t xml:space="preserve"> </w:t>
      </w:r>
      <w:r w:rsidR="006A7630">
        <w:t xml:space="preserve">  </w:t>
      </w:r>
      <w:r w:rsidR="006A7630" w:rsidRPr="005B054A">
        <w:rPr>
          <w:noProof/>
        </w:rPr>
        <w:drawing>
          <wp:inline distT="0" distB="0" distL="0" distR="0" wp14:anchorId="781DB398" wp14:editId="0C2B1164">
            <wp:extent cx="3677920" cy="2361809"/>
            <wp:effectExtent l="0" t="0" r="0" b="635"/>
            <wp:docPr id="63" name="Picture 63" descr="This line graph shows that qualifying encounters among those 5-13 years old were lower throughout 2020 than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851" t="1950" r="561" b="1249"/>
                    <a:stretch/>
                  </pic:blipFill>
                  <pic:spPr bwMode="auto">
                    <a:xfrm>
                      <a:off x="0" y="0"/>
                      <a:ext cx="3719373" cy="2388428"/>
                    </a:xfrm>
                    <a:prstGeom prst="rect">
                      <a:avLst/>
                    </a:prstGeom>
                    <a:ln>
                      <a:noFill/>
                    </a:ln>
                    <a:extLst>
                      <a:ext uri="{53640926-AAD7-44D8-BBD7-CCE9431645EC}">
                        <a14:shadowObscured xmlns:a14="http://schemas.microsoft.com/office/drawing/2010/main"/>
                      </a:ext>
                    </a:extLst>
                  </pic:spPr>
                </pic:pic>
              </a:graphicData>
            </a:graphic>
          </wp:inline>
        </w:drawing>
      </w:r>
      <w:r w:rsidR="006A7630" w:rsidRPr="005B054A">
        <w:t xml:space="preserve"> </w:t>
      </w:r>
      <w:r w:rsidR="006A7630">
        <w:t xml:space="preserve">  </w:t>
      </w:r>
    </w:p>
    <w:p w14:paraId="79B0BB63" w14:textId="7D707F27" w:rsidR="00362438" w:rsidRDefault="00362438" w:rsidP="00362438">
      <w:pPr>
        <w:spacing w:before="240" w:after="240"/>
      </w:pPr>
    </w:p>
    <w:p w14:paraId="50E50981" w14:textId="0EBEF715" w:rsidR="006A7630" w:rsidRDefault="001A6A32" w:rsidP="00362438">
      <w:pPr>
        <w:spacing w:before="240" w:after="240"/>
      </w:pPr>
      <w:r>
        <w:rPr>
          <w:noProof/>
        </w:rPr>
        <w:drawing>
          <wp:anchor distT="0" distB="0" distL="114300" distR="114300" simplePos="0" relativeHeight="251681792" behindDoc="1" locked="0" layoutInCell="1" allowOverlap="1" wp14:anchorId="4A1C310C" wp14:editId="4BE518FA">
            <wp:simplePos x="0" y="0"/>
            <wp:positionH relativeFrom="column">
              <wp:posOffset>155575</wp:posOffset>
            </wp:positionH>
            <wp:positionV relativeFrom="paragraph">
              <wp:posOffset>117475</wp:posOffset>
            </wp:positionV>
            <wp:extent cx="4164330" cy="2689860"/>
            <wp:effectExtent l="0" t="0" r="7620" b="0"/>
            <wp:wrapTight wrapText="bothSides">
              <wp:wrapPolygon edited="0">
                <wp:start x="0" y="0"/>
                <wp:lineTo x="0" y="21416"/>
                <wp:lineTo x="21541" y="21416"/>
                <wp:lineTo x="2154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87" t="1143" r="590" b="1190"/>
                    <a:stretch/>
                  </pic:blipFill>
                  <pic:spPr bwMode="auto">
                    <a:xfrm>
                      <a:off x="0" y="0"/>
                      <a:ext cx="4164330" cy="268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8AF" w:rsidRPr="00C2431B">
        <w:rPr>
          <w:noProof/>
        </w:rPr>
        <w:drawing>
          <wp:anchor distT="0" distB="0" distL="114300" distR="114300" simplePos="0" relativeHeight="251672576" behindDoc="0" locked="0" layoutInCell="1" allowOverlap="1" wp14:anchorId="43D3AB51" wp14:editId="24ABEBA0">
            <wp:simplePos x="0" y="0"/>
            <wp:positionH relativeFrom="column">
              <wp:posOffset>4416425</wp:posOffset>
            </wp:positionH>
            <wp:positionV relativeFrom="paragraph">
              <wp:posOffset>116840</wp:posOffset>
            </wp:positionV>
            <wp:extent cx="4140475" cy="2660341"/>
            <wp:effectExtent l="0" t="0" r="0" b="6985"/>
            <wp:wrapNone/>
            <wp:docPr id="74" name="Picture 74" descr="This line graph shows that qualifying encounters among those 25-44  years old were lower throughout lockdown than in 2019, but about the same before lockdown and from mid-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424" t="1729" r="953" b="1376"/>
                    <a:stretch/>
                  </pic:blipFill>
                  <pic:spPr bwMode="auto">
                    <a:xfrm>
                      <a:off x="0" y="0"/>
                      <a:ext cx="4140475" cy="2660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630" w:rsidRPr="00C2431B">
        <w:rPr>
          <w:noProof/>
        </w:rPr>
        <w:t xml:space="preserve"> </w:t>
      </w:r>
    </w:p>
    <w:p w14:paraId="7DAA763F" w14:textId="2FD8AEBB" w:rsidR="006A7630" w:rsidRDefault="006A7630" w:rsidP="006A7630">
      <w:r>
        <w:t xml:space="preserve">   </w:t>
      </w:r>
    </w:p>
    <w:p w14:paraId="0F874DAB" w14:textId="6D92DAC4" w:rsidR="006A7630" w:rsidRDefault="006A7630" w:rsidP="006A7630"/>
    <w:p w14:paraId="58548712" w14:textId="77777777" w:rsidR="00362438" w:rsidRDefault="00362438" w:rsidP="006A7630"/>
    <w:p w14:paraId="3C63B573" w14:textId="35E3DE96" w:rsidR="00362438" w:rsidRDefault="006808AF" w:rsidP="006A7630">
      <w:r w:rsidRPr="005F210A">
        <w:rPr>
          <w:noProof/>
        </w:rPr>
        <w:drawing>
          <wp:anchor distT="0" distB="0" distL="114300" distR="114300" simplePos="0" relativeHeight="251671552" behindDoc="0" locked="0" layoutInCell="1" allowOverlap="1" wp14:anchorId="50C43AB7" wp14:editId="7113FF72">
            <wp:simplePos x="0" y="0"/>
            <wp:positionH relativeFrom="column">
              <wp:posOffset>4416388</wp:posOffset>
            </wp:positionH>
            <wp:positionV relativeFrom="paragraph">
              <wp:posOffset>2078113</wp:posOffset>
            </wp:positionV>
            <wp:extent cx="4042425" cy="2641676"/>
            <wp:effectExtent l="0" t="0" r="0" b="6350"/>
            <wp:wrapNone/>
            <wp:docPr id="76" name="Picture 76" descr="This line graph shows that qualifying encounters among those 65-69 increased above 2019 levels throughout March and then declined to below 2019 levels for most of the lockdown. Normal levels resumed after the Queen's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914" t="1729" r="1035" b="293"/>
                    <a:stretch/>
                  </pic:blipFill>
                  <pic:spPr bwMode="auto">
                    <a:xfrm>
                      <a:off x="0" y="0"/>
                      <a:ext cx="4042425" cy="2641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5970">
        <w:rPr>
          <w:noProof/>
        </w:rPr>
        <w:drawing>
          <wp:anchor distT="0" distB="0" distL="114300" distR="114300" simplePos="0" relativeHeight="251651072" behindDoc="0" locked="0" layoutInCell="1" allowOverlap="1" wp14:anchorId="427CE1A5" wp14:editId="2F458E74">
            <wp:simplePos x="0" y="0"/>
            <wp:positionH relativeFrom="column">
              <wp:posOffset>98226</wp:posOffset>
            </wp:positionH>
            <wp:positionV relativeFrom="paragraph">
              <wp:posOffset>2112059</wp:posOffset>
            </wp:positionV>
            <wp:extent cx="4084390" cy="2637285"/>
            <wp:effectExtent l="0" t="0" r="0" b="0"/>
            <wp:wrapNone/>
            <wp:docPr id="75" name="Picture 75" descr="This line graph shows that qualifying encounters among those 45-64 years old increased above 2019 levels around the time lockdown was announced, then dropped to below 2019 levels for the rest of the lockdown. Normal levels resumed just after the Queen's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891" t="1751" r="712" b="1104"/>
                    <a:stretch/>
                  </pic:blipFill>
                  <pic:spPr bwMode="auto">
                    <a:xfrm>
                      <a:off x="0" y="0"/>
                      <a:ext cx="4084390" cy="2637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B597C" w14:textId="40E359BD" w:rsidR="006A7630" w:rsidRPr="00400107" w:rsidRDefault="006A7630" w:rsidP="006A7630">
      <w:pPr>
        <w:sectPr w:rsidR="006A7630" w:rsidRPr="00400107" w:rsidSect="00607084">
          <w:headerReference w:type="default" r:id="rId67"/>
          <w:footerReference w:type="even" r:id="rId68"/>
          <w:footerReference w:type="default" r:id="rId69"/>
          <w:pgSz w:w="16838" w:h="11906" w:orient="landscape"/>
          <w:pgMar w:top="851" w:right="1440" w:bottom="851" w:left="1440" w:header="454" w:footer="850" w:gutter="0"/>
          <w:cols w:space="708"/>
          <w:docGrid w:linePitch="360"/>
        </w:sectPr>
      </w:pPr>
    </w:p>
    <w:p w14:paraId="210E65B1" w14:textId="7DC3F4F7" w:rsidR="006808AF" w:rsidRDefault="006808AF" w:rsidP="00D932D7">
      <w:pPr>
        <w:sectPr w:rsidR="006808AF" w:rsidSect="00C46B46">
          <w:pgSz w:w="16838" w:h="11906" w:orient="landscape"/>
          <w:pgMar w:top="851" w:right="1440" w:bottom="851" w:left="1440" w:header="454" w:footer="709" w:gutter="0"/>
          <w:cols w:space="708"/>
          <w:docGrid w:linePitch="360"/>
        </w:sectPr>
      </w:pPr>
      <w:bookmarkStart w:id="196" w:name="_Toc52430206"/>
      <w:bookmarkStart w:id="197" w:name="_Toc53471241"/>
      <w:bookmarkStart w:id="198" w:name="_Hlk48210784"/>
      <w:r w:rsidRPr="00883DF5">
        <w:rPr>
          <w:noProof/>
        </w:rPr>
        <w:lastRenderedPageBreak/>
        <w:drawing>
          <wp:anchor distT="0" distB="0" distL="114300" distR="114300" simplePos="0" relativeHeight="251633664" behindDoc="0" locked="0" layoutInCell="1" allowOverlap="1" wp14:anchorId="03CB1EE7" wp14:editId="16ADD0C5">
            <wp:simplePos x="0" y="0"/>
            <wp:positionH relativeFrom="column">
              <wp:posOffset>63746</wp:posOffset>
            </wp:positionH>
            <wp:positionV relativeFrom="paragraph">
              <wp:posOffset>595861</wp:posOffset>
            </wp:positionV>
            <wp:extent cx="4339436" cy="2825041"/>
            <wp:effectExtent l="0" t="0" r="4445" b="0"/>
            <wp:wrapNone/>
            <wp:docPr id="78" name="Picture 78" descr="This line graph shows that qualifying encounters among those over 70 years old increased above 2019 levels throughout March and then declined to below 2019 levels for most of the lockdown. Normal levels resumed after the Queen's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491" t="1080" r="616" b="481"/>
                    <a:stretch/>
                  </pic:blipFill>
                  <pic:spPr bwMode="auto">
                    <a:xfrm>
                      <a:off x="0" y="0"/>
                      <a:ext cx="4339436" cy="2825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4C503" w14:textId="1947C6F1" w:rsidR="006A7630" w:rsidRPr="00087C7C" w:rsidRDefault="006A7630" w:rsidP="006A7630">
      <w:pPr>
        <w:pStyle w:val="Heading1"/>
      </w:pPr>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2</w:t>
      </w:r>
      <w:r w:rsidRPr="006A7630">
        <w:rPr>
          <w:noProof/>
          <w:sz w:val="56"/>
          <w:szCs w:val="56"/>
        </w:rPr>
        <w:fldChar w:fldCharType="end"/>
      </w:r>
      <w:r w:rsidRPr="006A7630">
        <w:rPr>
          <w:sz w:val="56"/>
          <w:szCs w:val="56"/>
        </w:rPr>
        <w:t xml:space="preserve">: </w:t>
      </w:r>
      <w:r>
        <w:br/>
      </w:r>
      <w:r w:rsidRPr="006A7630">
        <w:rPr>
          <w:sz w:val="40"/>
          <w:szCs w:val="40"/>
        </w:rPr>
        <w:t>Number of discharges year to date February, and by month from March to June 2018–2020</w:t>
      </w:r>
      <w:bookmarkEnd w:id="196"/>
      <w:bookmarkEnd w:id="197"/>
    </w:p>
    <w:tbl>
      <w:tblPr>
        <w:tblW w:w="12840" w:type="dxa"/>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400"/>
        <w:gridCol w:w="1418"/>
        <w:gridCol w:w="1559"/>
        <w:gridCol w:w="1535"/>
        <w:gridCol w:w="1526"/>
        <w:gridCol w:w="1500"/>
        <w:gridCol w:w="1500"/>
        <w:gridCol w:w="1402"/>
      </w:tblGrid>
      <w:tr w:rsidR="00841915" w:rsidRPr="00841915" w14:paraId="0275A299" w14:textId="77777777" w:rsidTr="00841915">
        <w:trPr>
          <w:trHeight w:val="315"/>
        </w:trPr>
        <w:tc>
          <w:tcPr>
            <w:tcW w:w="2400" w:type="dxa"/>
            <w:vMerge w:val="restart"/>
            <w:shd w:val="clear" w:color="auto" w:fill="D9D9D9" w:themeFill="background1" w:themeFillShade="D9"/>
            <w:noWrap/>
            <w:vAlign w:val="center"/>
            <w:hideMark/>
          </w:tcPr>
          <w:p w14:paraId="302E426D"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79B7278F"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YTD February</w:t>
            </w:r>
          </w:p>
        </w:tc>
      </w:tr>
      <w:tr w:rsidR="00841915" w:rsidRPr="00841915" w14:paraId="10A7C0B9" w14:textId="77777777" w:rsidTr="00841915">
        <w:trPr>
          <w:trHeight w:val="315"/>
        </w:trPr>
        <w:tc>
          <w:tcPr>
            <w:tcW w:w="2400" w:type="dxa"/>
            <w:vMerge/>
            <w:shd w:val="clear" w:color="auto" w:fill="D9D9D9" w:themeFill="background1" w:themeFillShade="D9"/>
            <w:vAlign w:val="center"/>
            <w:hideMark/>
          </w:tcPr>
          <w:p w14:paraId="75EB6E9E" w14:textId="77777777" w:rsidR="00841915" w:rsidRPr="00841915" w:rsidRDefault="00841915" w:rsidP="00841915">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63FF959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5F1AABE1"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1D40B16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55E28E04"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6F6F01DF"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841915" w:rsidRPr="00841915" w14:paraId="0B5615FF" w14:textId="77777777" w:rsidTr="00841915">
        <w:trPr>
          <w:trHeight w:val="300"/>
        </w:trPr>
        <w:tc>
          <w:tcPr>
            <w:tcW w:w="2400" w:type="dxa"/>
            <w:vMerge/>
            <w:shd w:val="clear" w:color="auto" w:fill="D9D9D9" w:themeFill="background1" w:themeFillShade="D9"/>
            <w:vAlign w:val="center"/>
            <w:hideMark/>
          </w:tcPr>
          <w:p w14:paraId="0E9944AA" w14:textId="77777777" w:rsidR="00841915" w:rsidRPr="00841915" w:rsidRDefault="00841915" w:rsidP="00841915">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28EBDDDD"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7BAB3249"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71B513E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4AC968A6"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2BC07927"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11F4A6A3" w14:textId="77777777" w:rsidR="00841915" w:rsidRPr="00841915" w:rsidRDefault="00841915" w:rsidP="00841915">
            <w:pPr>
              <w:rPr>
                <w:rFonts w:ascii="Calibri" w:hAnsi="Calibri" w:cs="Calibri"/>
                <w:b/>
                <w:bCs/>
                <w:color w:val="000000"/>
                <w:sz w:val="22"/>
                <w:szCs w:val="22"/>
                <w:lang w:val="en-AU" w:eastAsia="en-AU"/>
              </w:rPr>
            </w:pPr>
          </w:p>
        </w:tc>
        <w:tc>
          <w:tcPr>
            <w:tcW w:w="1402" w:type="dxa"/>
            <w:vMerge/>
            <w:vAlign w:val="center"/>
            <w:hideMark/>
          </w:tcPr>
          <w:p w14:paraId="71A96A0B" w14:textId="77777777" w:rsidR="00841915" w:rsidRPr="00841915" w:rsidRDefault="00841915" w:rsidP="00841915">
            <w:pPr>
              <w:rPr>
                <w:rFonts w:ascii="Calibri" w:hAnsi="Calibri" w:cs="Calibri"/>
                <w:b/>
                <w:bCs/>
                <w:color w:val="000000"/>
                <w:sz w:val="22"/>
                <w:szCs w:val="22"/>
                <w:lang w:val="en-AU" w:eastAsia="en-AU"/>
              </w:rPr>
            </w:pPr>
          </w:p>
        </w:tc>
      </w:tr>
      <w:tr w:rsidR="00841915" w:rsidRPr="00841915" w14:paraId="76DCD881" w14:textId="77777777" w:rsidTr="00841915">
        <w:trPr>
          <w:trHeight w:val="300"/>
        </w:trPr>
        <w:tc>
          <w:tcPr>
            <w:tcW w:w="2400" w:type="dxa"/>
            <w:shd w:val="clear" w:color="auto" w:fill="auto"/>
            <w:noWrap/>
            <w:vAlign w:val="center"/>
            <w:hideMark/>
          </w:tcPr>
          <w:p w14:paraId="00967DA1"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center"/>
            <w:hideMark/>
          </w:tcPr>
          <w:p w14:paraId="285E407D" w14:textId="55133F71"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143,179 </w:t>
            </w:r>
          </w:p>
        </w:tc>
        <w:tc>
          <w:tcPr>
            <w:tcW w:w="1559" w:type="dxa"/>
            <w:shd w:val="clear" w:color="auto" w:fill="auto"/>
            <w:noWrap/>
            <w:vAlign w:val="center"/>
            <w:hideMark/>
          </w:tcPr>
          <w:p w14:paraId="42DCBB53" w14:textId="2D1AA6CD"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146,366 </w:t>
            </w:r>
          </w:p>
        </w:tc>
        <w:tc>
          <w:tcPr>
            <w:tcW w:w="1535" w:type="dxa"/>
            <w:shd w:val="clear" w:color="auto" w:fill="auto"/>
            <w:noWrap/>
            <w:vAlign w:val="center"/>
            <w:hideMark/>
          </w:tcPr>
          <w:p w14:paraId="290B422C" w14:textId="59E231F5"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146,250 </w:t>
            </w:r>
          </w:p>
        </w:tc>
        <w:tc>
          <w:tcPr>
            <w:tcW w:w="1526" w:type="dxa"/>
            <w:shd w:val="clear" w:color="auto" w:fill="auto"/>
            <w:noWrap/>
            <w:vAlign w:val="center"/>
            <w:hideMark/>
          </w:tcPr>
          <w:p w14:paraId="2FF65A11" w14:textId="2E5D9CDF"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3,187 </w:t>
            </w:r>
          </w:p>
        </w:tc>
        <w:tc>
          <w:tcPr>
            <w:tcW w:w="1500" w:type="dxa"/>
            <w:shd w:val="clear" w:color="000000" w:fill="D9E1F2"/>
            <w:noWrap/>
            <w:vAlign w:val="center"/>
            <w:hideMark/>
          </w:tcPr>
          <w:p w14:paraId="18EA0DFA"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2.2%</w:t>
            </w:r>
          </w:p>
        </w:tc>
        <w:tc>
          <w:tcPr>
            <w:tcW w:w="1500" w:type="dxa"/>
            <w:shd w:val="clear" w:color="auto" w:fill="auto"/>
            <w:noWrap/>
            <w:vAlign w:val="center"/>
            <w:hideMark/>
          </w:tcPr>
          <w:p w14:paraId="6626F474"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-116</w:t>
            </w:r>
          </w:p>
        </w:tc>
        <w:tc>
          <w:tcPr>
            <w:tcW w:w="1402" w:type="dxa"/>
            <w:shd w:val="clear" w:color="000000" w:fill="D9E1F2"/>
            <w:noWrap/>
            <w:vAlign w:val="center"/>
            <w:hideMark/>
          </w:tcPr>
          <w:p w14:paraId="7F7CEEA9"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-0.1%</w:t>
            </w:r>
          </w:p>
        </w:tc>
      </w:tr>
      <w:tr w:rsidR="00841915" w:rsidRPr="00841915" w14:paraId="18980783" w14:textId="77777777" w:rsidTr="00841915">
        <w:trPr>
          <w:trHeight w:val="300"/>
        </w:trPr>
        <w:tc>
          <w:tcPr>
            <w:tcW w:w="2400" w:type="dxa"/>
            <w:shd w:val="clear" w:color="auto" w:fill="auto"/>
            <w:noWrap/>
            <w:vAlign w:val="center"/>
            <w:hideMark/>
          </w:tcPr>
          <w:p w14:paraId="116ACAAC"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center"/>
            <w:hideMark/>
          </w:tcPr>
          <w:p w14:paraId="48EDDB10" w14:textId="75D00EFC"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60,868 </w:t>
            </w:r>
          </w:p>
        </w:tc>
        <w:tc>
          <w:tcPr>
            <w:tcW w:w="1559" w:type="dxa"/>
            <w:shd w:val="clear" w:color="auto" w:fill="auto"/>
            <w:noWrap/>
            <w:vAlign w:val="center"/>
            <w:hideMark/>
          </w:tcPr>
          <w:p w14:paraId="67F9BF97" w14:textId="53FCEBA4"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62,300 </w:t>
            </w:r>
          </w:p>
        </w:tc>
        <w:tc>
          <w:tcPr>
            <w:tcW w:w="1535" w:type="dxa"/>
            <w:shd w:val="clear" w:color="auto" w:fill="auto"/>
            <w:noWrap/>
            <w:vAlign w:val="center"/>
            <w:hideMark/>
          </w:tcPr>
          <w:p w14:paraId="7337E855" w14:textId="176BE08F"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62,203 </w:t>
            </w:r>
          </w:p>
        </w:tc>
        <w:tc>
          <w:tcPr>
            <w:tcW w:w="1526" w:type="dxa"/>
            <w:shd w:val="clear" w:color="auto" w:fill="auto"/>
            <w:noWrap/>
            <w:vAlign w:val="center"/>
            <w:hideMark/>
          </w:tcPr>
          <w:p w14:paraId="42D8F4F9" w14:textId="1A4161E9"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1,432 </w:t>
            </w:r>
          </w:p>
        </w:tc>
        <w:tc>
          <w:tcPr>
            <w:tcW w:w="1500" w:type="dxa"/>
            <w:shd w:val="clear" w:color="000000" w:fill="D9E1F2"/>
            <w:noWrap/>
            <w:vAlign w:val="center"/>
            <w:hideMark/>
          </w:tcPr>
          <w:p w14:paraId="183AC41C"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2.4%</w:t>
            </w:r>
          </w:p>
        </w:tc>
        <w:tc>
          <w:tcPr>
            <w:tcW w:w="1500" w:type="dxa"/>
            <w:shd w:val="clear" w:color="auto" w:fill="auto"/>
            <w:noWrap/>
            <w:vAlign w:val="center"/>
            <w:hideMark/>
          </w:tcPr>
          <w:p w14:paraId="21821CDF"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-97</w:t>
            </w:r>
          </w:p>
        </w:tc>
        <w:tc>
          <w:tcPr>
            <w:tcW w:w="1402" w:type="dxa"/>
            <w:shd w:val="clear" w:color="000000" w:fill="D9E1F2"/>
            <w:noWrap/>
            <w:vAlign w:val="center"/>
            <w:hideMark/>
          </w:tcPr>
          <w:p w14:paraId="179A616B"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-0.2%</w:t>
            </w:r>
          </w:p>
        </w:tc>
      </w:tr>
      <w:tr w:rsidR="00841915" w:rsidRPr="00841915" w14:paraId="7385332F" w14:textId="77777777" w:rsidTr="00841915">
        <w:trPr>
          <w:trHeight w:val="300"/>
        </w:trPr>
        <w:tc>
          <w:tcPr>
            <w:tcW w:w="2400" w:type="dxa"/>
            <w:shd w:val="clear" w:color="auto" w:fill="auto"/>
            <w:noWrap/>
            <w:vAlign w:val="center"/>
            <w:hideMark/>
          </w:tcPr>
          <w:p w14:paraId="1B64E490" w14:textId="4FBE374F"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vAlign w:val="center"/>
            <w:hideMark/>
          </w:tcPr>
          <w:p w14:paraId="08A13617" w14:textId="49DBC4FE"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613,241 </w:t>
            </w:r>
          </w:p>
        </w:tc>
        <w:tc>
          <w:tcPr>
            <w:tcW w:w="1559" w:type="dxa"/>
            <w:shd w:val="clear" w:color="auto" w:fill="auto"/>
            <w:noWrap/>
            <w:vAlign w:val="center"/>
            <w:hideMark/>
          </w:tcPr>
          <w:p w14:paraId="2BA4D8AA" w14:textId="4DD087F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615,905 </w:t>
            </w:r>
          </w:p>
        </w:tc>
        <w:tc>
          <w:tcPr>
            <w:tcW w:w="1535" w:type="dxa"/>
            <w:shd w:val="clear" w:color="auto" w:fill="auto"/>
            <w:noWrap/>
            <w:vAlign w:val="center"/>
            <w:hideMark/>
          </w:tcPr>
          <w:p w14:paraId="6E18B018" w14:textId="61D09E04"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611,032 </w:t>
            </w:r>
          </w:p>
        </w:tc>
        <w:tc>
          <w:tcPr>
            <w:tcW w:w="1526" w:type="dxa"/>
            <w:shd w:val="clear" w:color="auto" w:fill="auto"/>
            <w:noWrap/>
            <w:vAlign w:val="center"/>
            <w:hideMark/>
          </w:tcPr>
          <w:p w14:paraId="44288DB7" w14:textId="533413B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2,664 </w:t>
            </w:r>
          </w:p>
        </w:tc>
        <w:tc>
          <w:tcPr>
            <w:tcW w:w="1500" w:type="dxa"/>
            <w:shd w:val="clear" w:color="000000" w:fill="D9E1F2"/>
            <w:noWrap/>
            <w:vAlign w:val="center"/>
            <w:hideMark/>
          </w:tcPr>
          <w:p w14:paraId="62D18F34"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0.4%</w:t>
            </w:r>
          </w:p>
        </w:tc>
        <w:tc>
          <w:tcPr>
            <w:tcW w:w="1500" w:type="dxa"/>
            <w:shd w:val="clear" w:color="auto" w:fill="auto"/>
            <w:noWrap/>
            <w:vAlign w:val="center"/>
            <w:hideMark/>
          </w:tcPr>
          <w:p w14:paraId="1C6FA30C"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-4,873</w:t>
            </w:r>
          </w:p>
        </w:tc>
        <w:tc>
          <w:tcPr>
            <w:tcW w:w="1402" w:type="dxa"/>
            <w:shd w:val="clear" w:color="000000" w:fill="D9E1F2"/>
            <w:noWrap/>
            <w:vAlign w:val="center"/>
            <w:hideMark/>
          </w:tcPr>
          <w:p w14:paraId="01CEBF15"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-0.8%</w:t>
            </w:r>
          </w:p>
        </w:tc>
      </w:tr>
      <w:tr w:rsidR="00841915" w:rsidRPr="00841915" w14:paraId="29C84F1D" w14:textId="77777777" w:rsidTr="00841915">
        <w:trPr>
          <w:trHeight w:val="315"/>
        </w:trPr>
        <w:tc>
          <w:tcPr>
            <w:tcW w:w="2400" w:type="dxa"/>
            <w:shd w:val="clear" w:color="auto" w:fill="auto"/>
            <w:noWrap/>
            <w:vAlign w:val="center"/>
            <w:hideMark/>
          </w:tcPr>
          <w:p w14:paraId="580998DF"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center"/>
            <w:hideMark/>
          </w:tcPr>
          <w:p w14:paraId="033A8B17" w14:textId="0F213066"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 817,288 </w:t>
            </w:r>
          </w:p>
        </w:tc>
        <w:tc>
          <w:tcPr>
            <w:tcW w:w="1559" w:type="dxa"/>
            <w:shd w:val="clear" w:color="auto" w:fill="auto"/>
            <w:noWrap/>
            <w:vAlign w:val="center"/>
            <w:hideMark/>
          </w:tcPr>
          <w:p w14:paraId="77F6B04B" w14:textId="074A70A8"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824,571 </w:t>
            </w:r>
          </w:p>
        </w:tc>
        <w:tc>
          <w:tcPr>
            <w:tcW w:w="1535" w:type="dxa"/>
            <w:shd w:val="clear" w:color="auto" w:fill="auto"/>
            <w:noWrap/>
            <w:vAlign w:val="center"/>
            <w:hideMark/>
          </w:tcPr>
          <w:p w14:paraId="4DD61D44" w14:textId="6408BE93"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819,485 </w:t>
            </w:r>
          </w:p>
        </w:tc>
        <w:tc>
          <w:tcPr>
            <w:tcW w:w="1526" w:type="dxa"/>
            <w:shd w:val="clear" w:color="auto" w:fill="auto"/>
            <w:noWrap/>
            <w:vAlign w:val="center"/>
            <w:hideMark/>
          </w:tcPr>
          <w:p w14:paraId="2A2D9963" w14:textId="05814A96"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7,283 </w:t>
            </w:r>
          </w:p>
        </w:tc>
        <w:tc>
          <w:tcPr>
            <w:tcW w:w="1500" w:type="dxa"/>
            <w:shd w:val="clear" w:color="000000" w:fill="D9E1F2"/>
            <w:noWrap/>
            <w:vAlign w:val="center"/>
            <w:hideMark/>
          </w:tcPr>
          <w:p w14:paraId="32624315"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0.9%</w:t>
            </w:r>
          </w:p>
        </w:tc>
        <w:tc>
          <w:tcPr>
            <w:tcW w:w="1500" w:type="dxa"/>
            <w:shd w:val="clear" w:color="auto" w:fill="auto"/>
            <w:noWrap/>
            <w:vAlign w:val="center"/>
            <w:hideMark/>
          </w:tcPr>
          <w:p w14:paraId="7EB4477B"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-5,086</w:t>
            </w:r>
          </w:p>
        </w:tc>
        <w:tc>
          <w:tcPr>
            <w:tcW w:w="1402" w:type="dxa"/>
            <w:shd w:val="clear" w:color="000000" w:fill="D9E1F2"/>
            <w:noWrap/>
            <w:vAlign w:val="center"/>
            <w:hideMark/>
          </w:tcPr>
          <w:p w14:paraId="65272521"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-0.6%</w:t>
            </w:r>
          </w:p>
        </w:tc>
      </w:tr>
      <w:tr w:rsidR="00841915" w:rsidRPr="00841915" w14:paraId="550DC8C6" w14:textId="77777777" w:rsidTr="00841915">
        <w:trPr>
          <w:trHeight w:val="315"/>
        </w:trPr>
        <w:tc>
          <w:tcPr>
            <w:tcW w:w="2400" w:type="dxa"/>
            <w:shd w:val="clear" w:color="auto" w:fill="auto"/>
            <w:noWrap/>
            <w:vAlign w:val="bottom"/>
            <w:hideMark/>
          </w:tcPr>
          <w:p w14:paraId="048FC323" w14:textId="77777777" w:rsidR="00841915" w:rsidRPr="00841915" w:rsidRDefault="00841915" w:rsidP="00841915">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1A3DC0A7" w14:textId="77777777" w:rsidR="00841915" w:rsidRPr="00841915" w:rsidRDefault="00841915" w:rsidP="00841915">
            <w:pPr>
              <w:rPr>
                <w:rFonts w:ascii="Times New Roman" w:hAnsi="Times New Roman"/>
                <w:sz w:val="20"/>
                <w:lang w:val="en-AU" w:eastAsia="en-AU"/>
              </w:rPr>
            </w:pPr>
          </w:p>
        </w:tc>
        <w:tc>
          <w:tcPr>
            <w:tcW w:w="1559" w:type="dxa"/>
            <w:shd w:val="clear" w:color="auto" w:fill="auto"/>
            <w:noWrap/>
            <w:vAlign w:val="bottom"/>
            <w:hideMark/>
          </w:tcPr>
          <w:p w14:paraId="4E147D37" w14:textId="77777777" w:rsidR="00841915" w:rsidRPr="00841915" w:rsidRDefault="00841915" w:rsidP="00841915">
            <w:pPr>
              <w:rPr>
                <w:rFonts w:ascii="Times New Roman" w:hAnsi="Times New Roman"/>
                <w:sz w:val="20"/>
                <w:lang w:val="en-AU" w:eastAsia="en-AU"/>
              </w:rPr>
            </w:pPr>
          </w:p>
        </w:tc>
        <w:tc>
          <w:tcPr>
            <w:tcW w:w="1535" w:type="dxa"/>
            <w:shd w:val="clear" w:color="auto" w:fill="auto"/>
            <w:noWrap/>
            <w:vAlign w:val="bottom"/>
            <w:hideMark/>
          </w:tcPr>
          <w:p w14:paraId="031489D1" w14:textId="77777777" w:rsidR="00841915" w:rsidRPr="00841915" w:rsidRDefault="00841915" w:rsidP="00841915">
            <w:pPr>
              <w:rPr>
                <w:rFonts w:ascii="Times New Roman" w:hAnsi="Times New Roman"/>
                <w:sz w:val="20"/>
                <w:lang w:val="en-AU" w:eastAsia="en-AU"/>
              </w:rPr>
            </w:pPr>
          </w:p>
        </w:tc>
        <w:tc>
          <w:tcPr>
            <w:tcW w:w="1526" w:type="dxa"/>
            <w:shd w:val="clear" w:color="auto" w:fill="auto"/>
            <w:noWrap/>
            <w:vAlign w:val="bottom"/>
            <w:hideMark/>
          </w:tcPr>
          <w:p w14:paraId="45F7BA71"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4BB85EA3"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7B137F09" w14:textId="77777777" w:rsidR="00841915" w:rsidRPr="00841915" w:rsidRDefault="00841915" w:rsidP="00841915">
            <w:pPr>
              <w:rPr>
                <w:rFonts w:ascii="Times New Roman" w:hAnsi="Times New Roman"/>
                <w:sz w:val="20"/>
                <w:lang w:val="en-AU" w:eastAsia="en-AU"/>
              </w:rPr>
            </w:pPr>
          </w:p>
        </w:tc>
        <w:tc>
          <w:tcPr>
            <w:tcW w:w="1402" w:type="dxa"/>
            <w:shd w:val="clear" w:color="auto" w:fill="auto"/>
            <w:noWrap/>
            <w:vAlign w:val="bottom"/>
            <w:hideMark/>
          </w:tcPr>
          <w:p w14:paraId="35FD64B8" w14:textId="77777777" w:rsidR="00841915" w:rsidRPr="00841915" w:rsidRDefault="00841915" w:rsidP="00841915">
            <w:pPr>
              <w:rPr>
                <w:rFonts w:ascii="Times New Roman" w:hAnsi="Times New Roman"/>
                <w:sz w:val="20"/>
                <w:lang w:val="en-AU" w:eastAsia="en-AU"/>
              </w:rPr>
            </w:pPr>
          </w:p>
        </w:tc>
      </w:tr>
      <w:tr w:rsidR="00841915" w:rsidRPr="00841915" w14:paraId="26698CEB" w14:textId="77777777" w:rsidTr="00841915">
        <w:trPr>
          <w:trHeight w:val="315"/>
        </w:trPr>
        <w:tc>
          <w:tcPr>
            <w:tcW w:w="2400" w:type="dxa"/>
            <w:vMerge w:val="restart"/>
            <w:shd w:val="clear" w:color="auto" w:fill="D9D9D9" w:themeFill="background1" w:themeFillShade="D9"/>
            <w:noWrap/>
            <w:vAlign w:val="center"/>
            <w:hideMark/>
          </w:tcPr>
          <w:p w14:paraId="0CDC3D48"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7827B57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March</w:t>
            </w:r>
          </w:p>
        </w:tc>
      </w:tr>
      <w:tr w:rsidR="00841915" w:rsidRPr="00841915" w14:paraId="57BEFC6D" w14:textId="77777777" w:rsidTr="00841915">
        <w:trPr>
          <w:trHeight w:val="315"/>
        </w:trPr>
        <w:tc>
          <w:tcPr>
            <w:tcW w:w="2400" w:type="dxa"/>
            <w:vMerge/>
            <w:shd w:val="clear" w:color="auto" w:fill="D9D9D9" w:themeFill="background1" w:themeFillShade="D9"/>
            <w:vAlign w:val="center"/>
            <w:hideMark/>
          </w:tcPr>
          <w:p w14:paraId="3A4FE26C" w14:textId="77777777" w:rsidR="00841915" w:rsidRPr="00841915" w:rsidRDefault="00841915" w:rsidP="00841915">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25AE14EA"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22651A05"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1BA3F076"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7B4C8CA5"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42BC9578"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841915" w:rsidRPr="00841915" w14:paraId="3E6376FC" w14:textId="77777777" w:rsidTr="00841915">
        <w:trPr>
          <w:trHeight w:val="315"/>
        </w:trPr>
        <w:tc>
          <w:tcPr>
            <w:tcW w:w="2400" w:type="dxa"/>
            <w:vMerge/>
            <w:shd w:val="clear" w:color="auto" w:fill="D9D9D9" w:themeFill="background1" w:themeFillShade="D9"/>
            <w:vAlign w:val="center"/>
            <w:hideMark/>
          </w:tcPr>
          <w:p w14:paraId="54E6C7A6" w14:textId="77777777" w:rsidR="00841915" w:rsidRPr="00841915" w:rsidRDefault="00841915" w:rsidP="00841915">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34861448"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16C4D3FE"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180575D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24868649"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57DA5571"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6E0CAF5B" w14:textId="77777777" w:rsidR="00841915" w:rsidRPr="00841915" w:rsidRDefault="00841915" w:rsidP="00841915">
            <w:pPr>
              <w:rPr>
                <w:rFonts w:ascii="Calibri" w:hAnsi="Calibri" w:cs="Calibri"/>
                <w:b/>
                <w:bCs/>
                <w:color w:val="000000"/>
                <w:sz w:val="22"/>
                <w:szCs w:val="22"/>
                <w:lang w:val="en-AU" w:eastAsia="en-AU"/>
              </w:rPr>
            </w:pPr>
          </w:p>
        </w:tc>
        <w:tc>
          <w:tcPr>
            <w:tcW w:w="1402" w:type="dxa"/>
            <w:vMerge/>
            <w:vAlign w:val="center"/>
            <w:hideMark/>
          </w:tcPr>
          <w:p w14:paraId="77B0380E" w14:textId="77777777" w:rsidR="00841915" w:rsidRPr="00841915" w:rsidRDefault="00841915" w:rsidP="00841915">
            <w:pPr>
              <w:rPr>
                <w:rFonts w:ascii="Calibri" w:hAnsi="Calibri" w:cs="Calibri"/>
                <w:b/>
                <w:bCs/>
                <w:color w:val="000000"/>
                <w:sz w:val="22"/>
                <w:szCs w:val="22"/>
                <w:lang w:val="en-AU" w:eastAsia="en-AU"/>
              </w:rPr>
            </w:pPr>
          </w:p>
        </w:tc>
      </w:tr>
      <w:tr w:rsidR="00841915" w:rsidRPr="00841915" w14:paraId="0C434A04" w14:textId="77777777" w:rsidTr="00841915">
        <w:trPr>
          <w:trHeight w:val="330"/>
        </w:trPr>
        <w:tc>
          <w:tcPr>
            <w:tcW w:w="2400" w:type="dxa"/>
            <w:shd w:val="clear" w:color="auto" w:fill="auto"/>
            <w:noWrap/>
            <w:vAlign w:val="bottom"/>
            <w:hideMark/>
          </w:tcPr>
          <w:p w14:paraId="08D86BCE"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bottom"/>
            <w:hideMark/>
          </w:tcPr>
          <w:p w14:paraId="71AC7189" w14:textId="290CFB3C"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18,470 </w:t>
            </w:r>
          </w:p>
        </w:tc>
        <w:tc>
          <w:tcPr>
            <w:tcW w:w="1559" w:type="dxa"/>
            <w:shd w:val="clear" w:color="auto" w:fill="auto"/>
            <w:noWrap/>
            <w:vAlign w:val="bottom"/>
            <w:hideMark/>
          </w:tcPr>
          <w:p w14:paraId="7F8C7B58" w14:textId="0A3C5C7D"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18,681 </w:t>
            </w:r>
          </w:p>
        </w:tc>
        <w:tc>
          <w:tcPr>
            <w:tcW w:w="1535" w:type="dxa"/>
            <w:shd w:val="clear" w:color="auto" w:fill="auto"/>
            <w:noWrap/>
            <w:vAlign w:val="bottom"/>
            <w:hideMark/>
          </w:tcPr>
          <w:p w14:paraId="4B64D26F" w14:textId="16E73356"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16,188 </w:t>
            </w:r>
          </w:p>
        </w:tc>
        <w:tc>
          <w:tcPr>
            <w:tcW w:w="1526" w:type="dxa"/>
            <w:shd w:val="clear" w:color="auto" w:fill="auto"/>
            <w:noWrap/>
            <w:vAlign w:val="bottom"/>
            <w:hideMark/>
          </w:tcPr>
          <w:p w14:paraId="75E9C2B7"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211</w:t>
            </w:r>
          </w:p>
        </w:tc>
        <w:tc>
          <w:tcPr>
            <w:tcW w:w="1500" w:type="dxa"/>
            <w:shd w:val="clear" w:color="000000" w:fill="D9E1F2"/>
            <w:noWrap/>
            <w:vAlign w:val="bottom"/>
            <w:hideMark/>
          </w:tcPr>
          <w:p w14:paraId="23DFD0E1"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1.1%</w:t>
            </w:r>
          </w:p>
        </w:tc>
        <w:tc>
          <w:tcPr>
            <w:tcW w:w="1500" w:type="dxa"/>
            <w:shd w:val="clear" w:color="auto" w:fill="auto"/>
            <w:noWrap/>
            <w:vAlign w:val="bottom"/>
            <w:hideMark/>
          </w:tcPr>
          <w:p w14:paraId="5C5D1EE1"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-2,493</w:t>
            </w:r>
          </w:p>
        </w:tc>
        <w:tc>
          <w:tcPr>
            <w:tcW w:w="1402" w:type="dxa"/>
            <w:shd w:val="clear" w:color="000000" w:fill="D9E1F2"/>
            <w:noWrap/>
            <w:vAlign w:val="bottom"/>
            <w:hideMark/>
          </w:tcPr>
          <w:p w14:paraId="7B768117"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-13.3%</w:t>
            </w:r>
          </w:p>
        </w:tc>
      </w:tr>
      <w:tr w:rsidR="00841915" w:rsidRPr="00841915" w14:paraId="1976832C" w14:textId="77777777" w:rsidTr="00841915">
        <w:trPr>
          <w:trHeight w:val="300"/>
        </w:trPr>
        <w:tc>
          <w:tcPr>
            <w:tcW w:w="2400" w:type="dxa"/>
            <w:shd w:val="clear" w:color="auto" w:fill="auto"/>
            <w:noWrap/>
            <w:vAlign w:val="bottom"/>
            <w:hideMark/>
          </w:tcPr>
          <w:p w14:paraId="0C7B3C45"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bottom"/>
            <w:hideMark/>
          </w:tcPr>
          <w:p w14:paraId="6EC3DB1C" w14:textId="720EED15"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8,020 </w:t>
            </w:r>
          </w:p>
        </w:tc>
        <w:tc>
          <w:tcPr>
            <w:tcW w:w="1559" w:type="dxa"/>
            <w:shd w:val="clear" w:color="auto" w:fill="auto"/>
            <w:noWrap/>
            <w:vAlign w:val="bottom"/>
            <w:hideMark/>
          </w:tcPr>
          <w:p w14:paraId="6AB9BC47" w14:textId="48B4D56A"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8,114 </w:t>
            </w:r>
          </w:p>
        </w:tc>
        <w:tc>
          <w:tcPr>
            <w:tcW w:w="1535" w:type="dxa"/>
            <w:shd w:val="clear" w:color="auto" w:fill="auto"/>
            <w:noWrap/>
            <w:vAlign w:val="bottom"/>
            <w:hideMark/>
          </w:tcPr>
          <w:p w14:paraId="7278DA6A" w14:textId="5CCC9131"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7,035 </w:t>
            </w:r>
          </w:p>
        </w:tc>
        <w:tc>
          <w:tcPr>
            <w:tcW w:w="1526" w:type="dxa"/>
            <w:shd w:val="clear" w:color="auto" w:fill="auto"/>
            <w:noWrap/>
            <w:vAlign w:val="bottom"/>
            <w:hideMark/>
          </w:tcPr>
          <w:p w14:paraId="2160008E"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94</w:t>
            </w:r>
          </w:p>
        </w:tc>
        <w:tc>
          <w:tcPr>
            <w:tcW w:w="1500" w:type="dxa"/>
            <w:shd w:val="clear" w:color="000000" w:fill="D9E1F2"/>
            <w:noWrap/>
            <w:vAlign w:val="bottom"/>
            <w:hideMark/>
          </w:tcPr>
          <w:p w14:paraId="7B021EB9"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1.2%</w:t>
            </w:r>
          </w:p>
        </w:tc>
        <w:tc>
          <w:tcPr>
            <w:tcW w:w="1500" w:type="dxa"/>
            <w:shd w:val="clear" w:color="auto" w:fill="auto"/>
            <w:noWrap/>
            <w:vAlign w:val="bottom"/>
            <w:hideMark/>
          </w:tcPr>
          <w:p w14:paraId="1B61A8EE"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-1,079</w:t>
            </w:r>
          </w:p>
        </w:tc>
        <w:tc>
          <w:tcPr>
            <w:tcW w:w="1402" w:type="dxa"/>
            <w:shd w:val="clear" w:color="000000" w:fill="D9E1F2"/>
            <w:noWrap/>
            <w:vAlign w:val="bottom"/>
            <w:hideMark/>
          </w:tcPr>
          <w:p w14:paraId="0C9A608C"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-13.3%</w:t>
            </w:r>
          </w:p>
        </w:tc>
      </w:tr>
      <w:tr w:rsidR="00841915" w:rsidRPr="00841915" w14:paraId="26C8E1D5" w14:textId="77777777" w:rsidTr="00841915">
        <w:trPr>
          <w:trHeight w:val="300"/>
        </w:trPr>
        <w:tc>
          <w:tcPr>
            <w:tcW w:w="2400" w:type="dxa"/>
            <w:shd w:val="clear" w:color="auto" w:fill="auto"/>
            <w:noWrap/>
            <w:vAlign w:val="bottom"/>
            <w:hideMark/>
          </w:tcPr>
          <w:p w14:paraId="7292FE2E" w14:textId="4F5CA77E"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vAlign w:val="bottom"/>
            <w:hideMark/>
          </w:tcPr>
          <w:p w14:paraId="0C2E2AB1" w14:textId="41AA38FD"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79,565 </w:t>
            </w:r>
          </w:p>
        </w:tc>
        <w:tc>
          <w:tcPr>
            <w:tcW w:w="1559" w:type="dxa"/>
            <w:shd w:val="clear" w:color="auto" w:fill="auto"/>
            <w:noWrap/>
            <w:vAlign w:val="bottom"/>
            <w:hideMark/>
          </w:tcPr>
          <w:p w14:paraId="62288511" w14:textId="5C6C3193"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79,453 </w:t>
            </w:r>
          </w:p>
        </w:tc>
        <w:tc>
          <w:tcPr>
            <w:tcW w:w="1535" w:type="dxa"/>
            <w:shd w:val="clear" w:color="auto" w:fill="auto"/>
            <w:noWrap/>
            <w:vAlign w:val="bottom"/>
            <w:hideMark/>
          </w:tcPr>
          <w:p w14:paraId="4785C2EE" w14:textId="7CBA8449"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68,066 </w:t>
            </w:r>
          </w:p>
        </w:tc>
        <w:tc>
          <w:tcPr>
            <w:tcW w:w="1526" w:type="dxa"/>
            <w:shd w:val="clear" w:color="auto" w:fill="auto"/>
            <w:noWrap/>
            <w:vAlign w:val="bottom"/>
            <w:hideMark/>
          </w:tcPr>
          <w:p w14:paraId="7193F18F"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-112</w:t>
            </w:r>
          </w:p>
        </w:tc>
        <w:tc>
          <w:tcPr>
            <w:tcW w:w="1500" w:type="dxa"/>
            <w:shd w:val="clear" w:color="000000" w:fill="D9E1F2"/>
            <w:noWrap/>
            <w:vAlign w:val="bottom"/>
            <w:hideMark/>
          </w:tcPr>
          <w:p w14:paraId="53A6F7A1"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-0.1%</w:t>
            </w:r>
          </w:p>
        </w:tc>
        <w:tc>
          <w:tcPr>
            <w:tcW w:w="1500" w:type="dxa"/>
            <w:shd w:val="clear" w:color="auto" w:fill="auto"/>
            <w:noWrap/>
            <w:vAlign w:val="bottom"/>
            <w:hideMark/>
          </w:tcPr>
          <w:p w14:paraId="4776BEEB"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-11,387</w:t>
            </w:r>
          </w:p>
        </w:tc>
        <w:tc>
          <w:tcPr>
            <w:tcW w:w="1402" w:type="dxa"/>
            <w:shd w:val="clear" w:color="000000" w:fill="D9E1F2"/>
            <w:noWrap/>
            <w:vAlign w:val="bottom"/>
            <w:hideMark/>
          </w:tcPr>
          <w:p w14:paraId="318718A3"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-14.3%</w:t>
            </w:r>
          </w:p>
        </w:tc>
      </w:tr>
      <w:tr w:rsidR="00841915" w:rsidRPr="00841915" w14:paraId="39976458" w14:textId="77777777" w:rsidTr="00841915">
        <w:trPr>
          <w:trHeight w:val="315"/>
        </w:trPr>
        <w:tc>
          <w:tcPr>
            <w:tcW w:w="2400" w:type="dxa"/>
            <w:shd w:val="clear" w:color="auto" w:fill="auto"/>
            <w:noWrap/>
            <w:vAlign w:val="bottom"/>
            <w:hideMark/>
          </w:tcPr>
          <w:p w14:paraId="038C8033"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bottom"/>
            <w:hideMark/>
          </w:tcPr>
          <w:p w14:paraId="401ED382" w14:textId="3A590D3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106,055 </w:t>
            </w:r>
          </w:p>
        </w:tc>
        <w:tc>
          <w:tcPr>
            <w:tcW w:w="1559" w:type="dxa"/>
            <w:shd w:val="clear" w:color="auto" w:fill="auto"/>
            <w:noWrap/>
            <w:vAlign w:val="bottom"/>
            <w:hideMark/>
          </w:tcPr>
          <w:p w14:paraId="79A4F7CB" w14:textId="3DB6CE16"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106,248 </w:t>
            </w:r>
          </w:p>
        </w:tc>
        <w:tc>
          <w:tcPr>
            <w:tcW w:w="1535" w:type="dxa"/>
            <w:shd w:val="clear" w:color="auto" w:fill="auto"/>
            <w:noWrap/>
            <w:vAlign w:val="bottom"/>
            <w:hideMark/>
          </w:tcPr>
          <w:p w14:paraId="48C31138" w14:textId="302B5A85"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91,289 </w:t>
            </w:r>
          </w:p>
        </w:tc>
        <w:tc>
          <w:tcPr>
            <w:tcW w:w="1526" w:type="dxa"/>
            <w:shd w:val="clear" w:color="auto" w:fill="auto"/>
            <w:noWrap/>
            <w:vAlign w:val="bottom"/>
            <w:hideMark/>
          </w:tcPr>
          <w:p w14:paraId="7E786F86"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193</w:t>
            </w:r>
          </w:p>
        </w:tc>
        <w:tc>
          <w:tcPr>
            <w:tcW w:w="1500" w:type="dxa"/>
            <w:shd w:val="clear" w:color="000000" w:fill="D9E1F2"/>
            <w:noWrap/>
            <w:vAlign w:val="bottom"/>
            <w:hideMark/>
          </w:tcPr>
          <w:p w14:paraId="6D5B743E"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0.2%</w:t>
            </w:r>
          </w:p>
        </w:tc>
        <w:tc>
          <w:tcPr>
            <w:tcW w:w="1500" w:type="dxa"/>
            <w:shd w:val="clear" w:color="auto" w:fill="auto"/>
            <w:noWrap/>
            <w:vAlign w:val="bottom"/>
            <w:hideMark/>
          </w:tcPr>
          <w:p w14:paraId="6887656F"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-14,959</w:t>
            </w:r>
          </w:p>
        </w:tc>
        <w:tc>
          <w:tcPr>
            <w:tcW w:w="1402" w:type="dxa"/>
            <w:shd w:val="clear" w:color="000000" w:fill="D9E1F2"/>
            <w:noWrap/>
            <w:vAlign w:val="bottom"/>
            <w:hideMark/>
          </w:tcPr>
          <w:p w14:paraId="2D4B375B" w14:textId="77777777" w:rsidR="00841915" w:rsidRPr="00841915" w:rsidRDefault="00841915" w:rsidP="00841915">
            <w:pPr>
              <w:spacing w:before="20" w:after="20"/>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-14.1%</w:t>
            </w:r>
          </w:p>
        </w:tc>
      </w:tr>
      <w:tr w:rsidR="00841915" w:rsidRPr="00841915" w14:paraId="7691D7C4" w14:textId="77777777" w:rsidTr="00841915">
        <w:trPr>
          <w:trHeight w:val="315"/>
        </w:trPr>
        <w:tc>
          <w:tcPr>
            <w:tcW w:w="2400" w:type="dxa"/>
            <w:shd w:val="clear" w:color="auto" w:fill="auto"/>
            <w:noWrap/>
            <w:vAlign w:val="bottom"/>
            <w:hideMark/>
          </w:tcPr>
          <w:p w14:paraId="7FF145FA" w14:textId="77777777" w:rsidR="00841915" w:rsidRPr="00841915" w:rsidRDefault="00841915" w:rsidP="00841915">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661688FF" w14:textId="77777777" w:rsidR="00841915" w:rsidRPr="00841915" w:rsidRDefault="00841915" w:rsidP="00841915">
            <w:pPr>
              <w:rPr>
                <w:rFonts w:ascii="Times New Roman" w:hAnsi="Times New Roman"/>
                <w:sz w:val="20"/>
                <w:lang w:val="en-AU" w:eastAsia="en-AU"/>
              </w:rPr>
            </w:pPr>
          </w:p>
        </w:tc>
        <w:tc>
          <w:tcPr>
            <w:tcW w:w="1559" w:type="dxa"/>
            <w:shd w:val="clear" w:color="auto" w:fill="auto"/>
            <w:noWrap/>
            <w:vAlign w:val="bottom"/>
            <w:hideMark/>
          </w:tcPr>
          <w:p w14:paraId="09927E2D" w14:textId="77777777" w:rsidR="00841915" w:rsidRPr="00841915" w:rsidRDefault="00841915" w:rsidP="00841915">
            <w:pPr>
              <w:rPr>
                <w:rFonts w:ascii="Times New Roman" w:hAnsi="Times New Roman"/>
                <w:sz w:val="20"/>
                <w:lang w:val="en-AU" w:eastAsia="en-AU"/>
              </w:rPr>
            </w:pPr>
          </w:p>
        </w:tc>
        <w:tc>
          <w:tcPr>
            <w:tcW w:w="1535" w:type="dxa"/>
            <w:shd w:val="clear" w:color="auto" w:fill="auto"/>
            <w:noWrap/>
            <w:vAlign w:val="bottom"/>
            <w:hideMark/>
          </w:tcPr>
          <w:p w14:paraId="53FF282A" w14:textId="77777777" w:rsidR="00841915" w:rsidRPr="00841915" w:rsidRDefault="00841915" w:rsidP="00841915">
            <w:pPr>
              <w:rPr>
                <w:rFonts w:ascii="Times New Roman" w:hAnsi="Times New Roman"/>
                <w:sz w:val="20"/>
                <w:lang w:val="en-AU" w:eastAsia="en-AU"/>
              </w:rPr>
            </w:pPr>
          </w:p>
        </w:tc>
        <w:tc>
          <w:tcPr>
            <w:tcW w:w="1526" w:type="dxa"/>
            <w:shd w:val="clear" w:color="auto" w:fill="auto"/>
            <w:noWrap/>
            <w:vAlign w:val="bottom"/>
            <w:hideMark/>
          </w:tcPr>
          <w:p w14:paraId="7EB4A65A"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735EB564"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1361B059" w14:textId="77777777" w:rsidR="00841915" w:rsidRPr="00841915" w:rsidRDefault="00841915" w:rsidP="00841915">
            <w:pPr>
              <w:rPr>
                <w:rFonts w:ascii="Times New Roman" w:hAnsi="Times New Roman"/>
                <w:sz w:val="20"/>
                <w:lang w:val="en-AU" w:eastAsia="en-AU"/>
              </w:rPr>
            </w:pPr>
          </w:p>
        </w:tc>
        <w:tc>
          <w:tcPr>
            <w:tcW w:w="1402" w:type="dxa"/>
            <w:shd w:val="clear" w:color="auto" w:fill="auto"/>
            <w:noWrap/>
            <w:vAlign w:val="bottom"/>
            <w:hideMark/>
          </w:tcPr>
          <w:p w14:paraId="25B6F2EB" w14:textId="77777777" w:rsidR="00841915" w:rsidRPr="00841915" w:rsidRDefault="00841915" w:rsidP="00841915">
            <w:pPr>
              <w:rPr>
                <w:rFonts w:ascii="Times New Roman" w:hAnsi="Times New Roman"/>
                <w:sz w:val="20"/>
                <w:lang w:val="en-AU" w:eastAsia="en-AU"/>
              </w:rPr>
            </w:pPr>
          </w:p>
        </w:tc>
      </w:tr>
    </w:tbl>
    <w:p w14:paraId="6CAA55A5" w14:textId="5DA489FC" w:rsidR="006C0C07" w:rsidRDefault="006C0C07"/>
    <w:p w14:paraId="188BD337" w14:textId="6B367732" w:rsidR="006C0C07" w:rsidRDefault="006C0C07"/>
    <w:p w14:paraId="23879B06" w14:textId="2452F159" w:rsidR="00C46B46" w:rsidRDefault="00C46B46"/>
    <w:p w14:paraId="1D01B7B4" w14:textId="65F13C18" w:rsidR="00C46B46" w:rsidRDefault="00C46B46"/>
    <w:p w14:paraId="729B5E66" w14:textId="4D816EA8" w:rsidR="00C46B46" w:rsidRDefault="00C46B46"/>
    <w:p w14:paraId="797F09C1" w14:textId="19A63271" w:rsidR="00C46B46" w:rsidRDefault="00C46B46"/>
    <w:p w14:paraId="17E9E04F" w14:textId="024F0694" w:rsidR="00C46B46" w:rsidRDefault="00C46B46"/>
    <w:p w14:paraId="2CBC0102" w14:textId="437F67C5" w:rsidR="00C46B46" w:rsidRDefault="00C46B46"/>
    <w:p w14:paraId="09BCCA56" w14:textId="77777777" w:rsidR="00C46B46" w:rsidRDefault="00C46B46"/>
    <w:tbl>
      <w:tblPr>
        <w:tblW w:w="12840" w:type="dxa"/>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400"/>
        <w:gridCol w:w="1418"/>
        <w:gridCol w:w="1559"/>
        <w:gridCol w:w="1535"/>
        <w:gridCol w:w="1526"/>
        <w:gridCol w:w="1500"/>
        <w:gridCol w:w="1500"/>
        <w:gridCol w:w="1402"/>
      </w:tblGrid>
      <w:tr w:rsidR="00841915" w:rsidRPr="00841915" w14:paraId="30CE039E" w14:textId="77777777" w:rsidTr="006C0C07">
        <w:trPr>
          <w:trHeight w:val="315"/>
        </w:trPr>
        <w:tc>
          <w:tcPr>
            <w:tcW w:w="2400" w:type="dxa"/>
            <w:vMerge w:val="restart"/>
            <w:shd w:val="clear" w:color="auto" w:fill="D9D9D9" w:themeFill="background1" w:themeFillShade="D9"/>
            <w:noWrap/>
            <w:vAlign w:val="center"/>
            <w:hideMark/>
          </w:tcPr>
          <w:p w14:paraId="540F7576"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701A0210"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April</w:t>
            </w:r>
          </w:p>
        </w:tc>
      </w:tr>
      <w:tr w:rsidR="00841915" w:rsidRPr="00841915" w14:paraId="7C87E7BF" w14:textId="77777777" w:rsidTr="006C0C07">
        <w:trPr>
          <w:trHeight w:val="315"/>
        </w:trPr>
        <w:tc>
          <w:tcPr>
            <w:tcW w:w="2400" w:type="dxa"/>
            <w:vMerge/>
            <w:shd w:val="clear" w:color="auto" w:fill="D9D9D9" w:themeFill="background1" w:themeFillShade="D9"/>
            <w:vAlign w:val="center"/>
            <w:hideMark/>
          </w:tcPr>
          <w:p w14:paraId="6A6D9C23" w14:textId="77777777" w:rsidR="00841915" w:rsidRPr="00841915" w:rsidRDefault="00841915" w:rsidP="00841915">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0A0BDF75"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04883ED5"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79DF351C"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03057B2C"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0452EE2D"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841915" w:rsidRPr="00841915" w14:paraId="0CCC5C9B" w14:textId="77777777" w:rsidTr="006C0C07">
        <w:trPr>
          <w:trHeight w:val="315"/>
        </w:trPr>
        <w:tc>
          <w:tcPr>
            <w:tcW w:w="2400" w:type="dxa"/>
            <w:vMerge/>
            <w:shd w:val="clear" w:color="auto" w:fill="D9D9D9" w:themeFill="background1" w:themeFillShade="D9"/>
            <w:vAlign w:val="center"/>
            <w:hideMark/>
          </w:tcPr>
          <w:p w14:paraId="04D29273" w14:textId="77777777" w:rsidR="00841915" w:rsidRPr="00841915" w:rsidRDefault="00841915" w:rsidP="00841915">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1D490B1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163B2582"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761AAFE2"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78DA7220"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6F592DBC"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4B3C65BB" w14:textId="77777777" w:rsidR="00841915" w:rsidRPr="00841915" w:rsidRDefault="00841915" w:rsidP="00841915">
            <w:pPr>
              <w:rPr>
                <w:rFonts w:ascii="Calibri" w:hAnsi="Calibri" w:cs="Calibri"/>
                <w:b/>
                <w:bCs/>
                <w:color w:val="000000"/>
                <w:sz w:val="22"/>
                <w:szCs w:val="22"/>
                <w:lang w:val="en-AU" w:eastAsia="en-AU"/>
              </w:rPr>
            </w:pPr>
          </w:p>
        </w:tc>
        <w:tc>
          <w:tcPr>
            <w:tcW w:w="1402" w:type="dxa"/>
            <w:vMerge/>
            <w:vAlign w:val="center"/>
            <w:hideMark/>
          </w:tcPr>
          <w:p w14:paraId="67178814" w14:textId="77777777" w:rsidR="00841915" w:rsidRPr="00841915" w:rsidRDefault="00841915" w:rsidP="00841915">
            <w:pPr>
              <w:rPr>
                <w:rFonts w:ascii="Calibri" w:hAnsi="Calibri" w:cs="Calibri"/>
                <w:b/>
                <w:bCs/>
                <w:color w:val="000000"/>
                <w:sz w:val="22"/>
                <w:szCs w:val="22"/>
                <w:lang w:val="en-AU" w:eastAsia="en-AU"/>
              </w:rPr>
            </w:pPr>
          </w:p>
        </w:tc>
      </w:tr>
      <w:tr w:rsidR="00841915" w:rsidRPr="00841915" w14:paraId="4351999D" w14:textId="77777777" w:rsidTr="00841915">
        <w:trPr>
          <w:trHeight w:val="315"/>
        </w:trPr>
        <w:tc>
          <w:tcPr>
            <w:tcW w:w="2400" w:type="dxa"/>
            <w:shd w:val="clear" w:color="auto" w:fill="auto"/>
            <w:noWrap/>
            <w:vAlign w:val="bottom"/>
            <w:hideMark/>
          </w:tcPr>
          <w:p w14:paraId="17096B05"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bottom"/>
            <w:hideMark/>
          </w:tcPr>
          <w:p w14:paraId="5F5B67F2" w14:textId="75C5D9A9"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16,999 </w:t>
            </w:r>
          </w:p>
        </w:tc>
        <w:tc>
          <w:tcPr>
            <w:tcW w:w="1559" w:type="dxa"/>
            <w:shd w:val="clear" w:color="auto" w:fill="auto"/>
            <w:noWrap/>
            <w:vAlign w:val="bottom"/>
            <w:hideMark/>
          </w:tcPr>
          <w:p w14:paraId="50AF938B" w14:textId="423C229A"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16,950 </w:t>
            </w:r>
          </w:p>
        </w:tc>
        <w:tc>
          <w:tcPr>
            <w:tcW w:w="1535" w:type="dxa"/>
            <w:shd w:val="clear" w:color="auto" w:fill="auto"/>
            <w:noWrap/>
            <w:vAlign w:val="bottom"/>
            <w:hideMark/>
          </w:tcPr>
          <w:p w14:paraId="7ABC1329" w14:textId="2A5A41BF"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10,564 </w:t>
            </w:r>
          </w:p>
        </w:tc>
        <w:tc>
          <w:tcPr>
            <w:tcW w:w="1526" w:type="dxa"/>
            <w:shd w:val="clear" w:color="auto" w:fill="auto"/>
            <w:noWrap/>
            <w:vAlign w:val="bottom"/>
            <w:hideMark/>
          </w:tcPr>
          <w:p w14:paraId="1C37F9AB"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-49</w:t>
            </w:r>
          </w:p>
        </w:tc>
        <w:tc>
          <w:tcPr>
            <w:tcW w:w="1500" w:type="dxa"/>
            <w:shd w:val="clear" w:color="000000" w:fill="D9E1F2"/>
            <w:noWrap/>
            <w:vAlign w:val="bottom"/>
            <w:hideMark/>
          </w:tcPr>
          <w:p w14:paraId="2A71CCA5"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-0.3%</w:t>
            </w:r>
          </w:p>
        </w:tc>
        <w:tc>
          <w:tcPr>
            <w:tcW w:w="1500" w:type="dxa"/>
            <w:shd w:val="clear" w:color="auto" w:fill="auto"/>
            <w:noWrap/>
            <w:vAlign w:val="bottom"/>
            <w:hideMark/>
          </w:tcPr>
          <w:p w14:paraId="6AC4A045"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-6,386</w:t>
            </w:r>
          </w:p>
        </w:tc>
        <w:tc>
          <w:tcPr>
            <w:tcW w:w="1402" w:type="dxa"/>
            <w:shd w:val="clear" w:color="000000" w:fill="D9E1F2"/>
            <w:noWrap/>
            <w:vAlign w:val="bottom"/>
            <w:hideMark/>
          </w:tcPr>
          <w:p w14:paraId="1445581A"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-37.7%</w:t>
            </w:r>
          </w:p>
        </w:tc>
      </w:tr>
      <w:tr w:rsidR="00841915" w:rsidRPr="00841915" w14:paraId="31BADF0F" w14:textId="77777777" w:rsidTr="00841915">
        <w:trPr>
          <w:trHeight w:val="300"/>
        </w:trPr>
        <w:tc>
          <w:tcPr>
            <w:tcW w:w="2400" w:type="dxa"/>
            <w:shd w:val="clear" w:color="auto" w:fill="auto"/>
            <w:noWrap/>
            <w:vAlign w:val="bottom"/>
            <w:hideMark/>
          </w:tcPr>
          <w:p w14:paraId="2C7EF068"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bottom"/>
            <w:hideMark/>
          </w:tcPr>
          <w:p w14:paraId="1CD98D7D" w14:textId="7A4C7489"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7,374 </w:t>
            </w:r>
          </w:p>
        </w:tc>
        <w:tc>
          <w:tcPr>
            <w:tcW w:w="1559" w:type="dxa"/>
            <w:shd w:val="clear" w:color="auto" w:fill="auto"/>
            <w:noWrap/>
            <w:vAlign w:val="bottom"/>
            <w:hideMark/>
          </w:tcPr>
          <w:p w14:paraId="6115C7BB" w14:textId="27120B69"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7,658 </w:t>
            </w:r>
          </w:p>
        </w:tc>
        <w:tc>
          <w:tcPr>
            <w:tcW w:w="1535" w:type="dxa"/>
            <w:shd w:val="clear" w:color="auto" w:fill="auto"/>
            <w:noWrap/>
            <w:vAlign w:val="bottom"/>
            <w:hideMark/>
          </w:tcPr>
          <w:p w14:paraId="1B9C2A2D" w14:textId="63008C44"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4,557 </w:t>
            </w:r>
          </w:p>
        </w:tc>
        <w:tc>
          <w:tcPr>
            <w:tcW w:w="1526" w:type="dxa"/>
            <w:shd w:val="clear" w:color="auto" w:fill="auto"/>
            <w:noWrap/>
            <w:vAlign w:val="bottom"/>
            <w:hideMark/>
          </w:tcPr>
          <w:p w14:paraId="510AC0A3"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284</w:t>
            </w:r>
          </w:p>
        </w:tc>
        <w:tc>
          <w:tcPr>
            <w:tcW w:w="1500" w:type="dxa"/>
            <w:shd w:val="clear" w:color="000000" w:fill="D9E1F2"/>
            <w:noWrap/>
            <w:vAlign w:val="bottom"/>
            <w:hideMark/>
          </w:tcPr>
          <w:p w14:paraId="248D0136"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3.9%</w:t>
            </w:r>
          </w:p>
        </w:tc>
        <w:tc>
          <w:tcPr>
            <w:tcW w:w="1500" w:type="dxa"/>
            <w:shd w:val="clear" w:color="auto" w:fill="auto"/>
            <w:noWrap/>
            <w:vAlign w:val="bottom"/>
            <w:hideMark/>
          </w:tcPr>
          <w:p w14:paraId="50743FD8"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-3,101</w:t>
            </w:r>
          </w:p>
        </w:tc>
        <w:tc>
          <w:tcPr>
            <w:tcW w:w="1402" w:type="dxa"/>
            <w:shd w:val="clear" w:color="000000" w:fill="D9E1F2"/>
            <w:noWrap/>
            <w:vAlign w:val="bottom"/>
            <w:hideMark/>
          </w:tcPr>
          <w:p w14:paraId="16C22966"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-40.5%</w:t>
            </w:r>
          </w:p>
        </w:tc>
      </w:tr>
      <w:tr w:rsidR="00841915" w:rsidRPr="00841915" w14:paraId="6BC9D88B" w14:textId="77777777" w:rsidTr="00841915">
        <w:trPr>
          <w:trHeight w:val="300"/>
        </w:trPr>
        <w:tc>
          <w:tcPr>
            <w:tcW w:w="2400" w:type="dxa"/>
            <w:shd w:val="clear" w:color="auto" w:fill="auto"/>
            <w:noWrap/>
            <w:vAlign w:val="bottom"/>
            <w:hideMark/>
          </w:tcPr>
          <w:p w14:paraId="690C1458" w14:textId="309265CA"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vAlign w:val="bottom"/>
            <w:hideMark/>
          </w:tcPr>
          <w:p w14:paraId="0F756244" w14:textId="621FB13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72,679 </w:t>
            </w:r>
          </w:p>
        </w:tc>
        <w:tc>
          <w:tcPr>
            <w:tcW w:w="1559" w:type="dxa"/>
            <w:shd w:val="clear" w:color="auto" w:fill="auto"/>
            <w:noWrap/>
            <w:vAlign w:val="bottom"/>
            <w:hideMark/>
          </w:tcPr>
          <w:p w14:paraId="25478C91" w14:textId="15B43C99"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73,765 </w:t>
            </w:r>
          </w:p>
        </w:tc>
        <w:tc>
          <w:tcPr>
            <w:tcW w:w="1535" w:type="dxa"/>
            <w:shd w:val="clear" w:color="auto" w:fill="auto"/>
            <w:noWrap/>
            <w:vAlign w:val="bottom"/>
            <w:hideMark/>
          </w:tcPr>
          <w:p w14:paraId="44E8638D" w14:textId="229C51DF"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 45,293 </w:t>
            </w:r>
          </w:p>
        </w:tc>
        <w:tc>
          <w:tcPr>
            <w:tcW w:w="1526" w:type="dxa"/>
            <w:shd w:val="clear" w:color="auto" w:fill="auto"/>
            <w:noWrap/>
            <w:vAlign w:val="bottom"/>
            <w:hideMark/>
          </w:tcPr>
          <w:p w14:paraId="22400000"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1,086</w:t>
            </w:r>
          </w:p>
        </w:tc>
        <w:tc>
          <w:tcPr>
            <w:tcW w:w="1500" w:type="dxa"/>
            <w:shd w:val="clear" w:color="000000" w:fill="D9E1F2"/>
            <w:noWrap/>
            <w:vAlign w:val="bottom"/>
            <w:hideMark/>
          </w:tcPr>
          <w:p w14:paraId="0C4CC96F"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1.5%</w:t>
            </w:r>
          </w:p>
        </w:tc>
        <w:tc>
          <w:tcPr>
            <w:tcW w:w="1500" w:type="dxa"/>
            <w:shd w:val="clear" w:color="auto" w:fill="auto"/>
            <w:noWrap/>
            <w:vAlign w:val="bottom"/>
            <w:hideMark/>
          </w:tcPr>
          <w:p w14:paraId="78D85B19"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-28,472</w:t>
            </w:r>
          </w:p>
        </w:tc>
        <w:tc>
          <w:tcPr>
            <w:tcW w:w="1402" w:type="dxa"/>
            <w:shd w:val="clear" w:color="000000" w:fill="D9E1F2"/>
            <w:noWrap/>
            <w:vAlign w:val="bottom"/>
            <w:hideMark/>
          </w:tcPr>
          <w:p w14:paraId="1F2BBBA1"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-38.6%</w:t>
            </w:r>
          </w:p>
        </w:tc>
      </w:tr>
      <w:tr w:rsidR="00841915" w:rsidRPr="00841915" w14:paraId="21A7920D" w14:textId="77777777" w:rsidTr="00841915">
        <w:trPr>
          <w:trHeight w:val="315"/>
        </w:trPr>
        <w:tc>
          <w:tcPr>
            <w:tcW w:w="2400" w:type="dxa"/>
            <w:shd w:val="clear" w:color="auto" w:fill="auto"/>
            <w:noWrap/>
            <w:vAlign w:val="bottom"/>
            <w:hideMark/>
          </w:tcPr>
          <w:p w14:paraId="39852A28"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bottom"/>
            <w:hideMark/>
          </w:tcPr>
          <w:p w14:paraId="44AF1C78" w14:textId="74DE7826"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97,052 </w:t>
            </w:r>
          </w:p>
        </w:tc>
        <w:tc>
          <w:tcPr>
            <w:tcW w:w="1559" w:type="dxa"/>
            <w:shd w:val="clear" w:color="auto" w:fill="auto"/>
            <w:noWrap/>
            <w:vAlign w:val="bottom"/>
            <w:hideMark/>
          </w:tcPr>
          <w:p w14:paraId="0CE3FC91" w14:textId="3E85778C"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98,373 </w:t>
            </w:r>
          </w:p>
        </w:tc>
        <w:tc>
          <w:tcPr>
            <w:tcW w:w="1535" w:type="dxa"/>
            <w:shd w:val="clear" w:color="auto" w:fill="auto"/>
            <w:noWrap/>
            <w:vAlign w:val="bottom"/>
            <w:hideMark/>
          </w:tcPr>
          <w:p w14:paraId="215CF968" w14:textId="704126EB"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 60,414 </w:t>
            </w:r>
          </w:p>
        </w:tc>
        <w:tc>
          <w:tcPr>
            <w:tcW w:w="1526" w:type="dxa"/>
            <w:shd w:val="clear" w:color="auto" w:fill="auto"/>
            <w:noWrap/>
            <w:vAlign w:val="bottom"/>
            <w:hideMark/>
          </w:tcPr>
          <w:p w14:paraId="06D8BD23"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1,321</w:t>
            </w:r>
          </w:p>
        </w:tc>
        <w:tc>
          <w:tcPr>
            <w:tcW w:w="1500" w:type="dxa"/>
            <w:shd w:val="clear" w:color="000000" w:fill="D9E1F2"/>
            <w:noWrap/>
            <w:vAlign w:val="bottom"/>
            <w:hideMark/>
          </w:tcPr>
          <w:p w14:paraId="43DC9D97"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1.4%</w:t>
            </w:r>
          </w:p>
        </w:tc>
        <w:tc>
          <w:tcPr>
            <w:tcW w:w="1500" w:type="dxa"/>
            <w:shd w:val="clear" w:color="auto" w:fill="auto"/>
            <w:noWrap/>
            <w:vAlign w:val="bottom"/>
            <w:hideMark/>
          </w:tcPr>
          <w:p w14:paraId="01967457"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-37,959</w:t>
            </w:r>
          </w:p>
        </w:tc>
        <w:tc>
          <w:tcPr>
            <w:tcW w:w="1402" w:type="dxa"/>
            <w:shd w:val="clear" w:color="000000" w:fill="D9E1F2"/>
            <w:noWrap/>
            <w:vAlign w:val="bottom"/>
            <w:hideMark/>
          </w:tcPr>
          <w:p w14:paraId="03F9CFDA"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-38.6%</w:t>
            </w:r>
          </w:p>
        </w:tc>
      </w:tr>
      <w:tr w:rsidR="00841915" w:rsidRPr="00841915" w14:paraId="7B156A45" w14:textId="77777777" w:rsidTr="00841915">
        <w:trPr>
          <w:trHeight w:val="315"/>
        </w:trPr>
        <w:tc>
          <w:tcPr>
            <w:tcW w:w="2400" w:type="dxa"/>
            <w:shd w:val="clear" w:color="auto" w:fill="auto"/>
            <w:noWrap/>
            <w:vAlign w:val="bottom"/>
            <w:hideMark/>
          </w:tcPr>
          <w:p w14:paraId="349AB002" w14:textId="77777777" w:rsidR="00841915" w:rsidRPr="00841915" w:rsidRDefault="00841915" w:rsidP="00841915">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2D5F0885" w14:textId="77777777" w:rsidR="00841915" w:rsidRPr="00841915" w:rsidRDefault="00841915" w:rsidP="00841915">
            <w:pPr>
              <w:rPr>
                <w:rFonts w:ascii="Times New Roman" w:hAnsi="Times New Roman"/>
                <w:sz w:val="20"/>
                <w:lang w:val="en-AU" w:eastAsia="en-AU"/>
              </w:rPr>
            </w:pPr>
          </w:p>
        </w:tc>
        <w:tc>
          <w:tcPr>
            <w:tcW w:w="1559" w:type="dxa"/>
            <w:shd w:val="clear" w:color="auto" w:fill="auto"/>
            <w:noWrap/>
            <w:vAlign w:val="bottom"/>
            <w:hideMark/>
          </w:tcPr>
          <w:p w14:paraId="31D69299" w14:textId="77777777" w:rsidR="00841915" w:rsidRPr="00841915" w:rsidRDefault="00841915" w:rsidP="00841915">
            <w:pPr>
              <w:rPr>
                <w:rFonts w:ascii="Times New Roman" w:hAnsi="Times New Roman"/>
                <w:sz w:val="20"/>
                <w:lang w:val="en-AU" w:eastAsia="en-AU"/>
              </w:rPr>
            </w:pPr>
          </w:p>
        </w:tc>
        <w:tc>
          <w:tcPr>
            <w:tcW w:w="1535" w:type="dxa"/>
            <w:shd w:val="clear" w:color="auto" w:fill="auto"/>
            <w:noWrap/>
            <w:vAlign w:val="bottom"/>
            <w:hideMark/>
          </w:tcPr>
          <w:p w14:paraId="0FC2C33A" w14:textId="77777777" w:rsidR="00841915" w:rsidRPr="00841915" w:rsidRDefault="00841915" w:rsidP="00841915">
            <w:pPr>
              <w:rPr>
                <w:rFonts w:ascii="Times New Roman" w:hAnsi="Times New Roman"/>
                <w:sz w:val="20"/>
                <w:lang w:val="en-AU" w:eastAsia="en-AU"/>
              </w:rPr>
            </w:pPr>
          </w:p>
        </w:tc>
        <w:tc>
          <w:tcPr>
            <w:tcW w:w="1526" w:type="dxa"/>
            <w:shd w:val="clear" w:color="auto" w:fill="auto"/>
            <w:noWrap/>
            <w:vAlign w:val="bottom"/>
            <w:hideMark/>
          </w:tcPr>
          <w:p w14:paraId="3DC8366A"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44DC5464"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539E543F" w14:textId="77777777" w:rsidR="00841915" w:rsidRPr="00841915" w:rsidRDefault="00841915" w:rsidP="00841915">
            <w:pPr>
              <w:rPr>
                <w:rFonts w:ascii="Times New Roman" w:hAnsi="Times New Roman"/>
                <w:sz w:val="20"/>
                <w:lang w:val="en-AU" w:eastAsia="en-AU"/>
              </w:rPr>
            </w:pPr>
          </w:p>
        </w:tc>
        <w:tc>
          <w:tcPr>
            <w:tcW w:w="1402" w:type="dxa"/>
            <w:shd w:val="clear" w:color="auto" w:fill="auto"/>
            <w:noWrap/>
            <w:vAlign w:val="bottom"/>
            <w:hideMark/>
          </w:tcPr>
          <w:p w14:paraId="7C12DF82" w14:textId="77777777" w:rsidR="00841915" w:rsidRPr="00841915" w:rsidRDefault="00841915" w:rsidP="00841915">
            <w:pPr>
              <w:rPr>
                <w:rFonts w:ascii="Times New Roman" w:hAnsi="Times New Roman"/>
                <w:sz w:val="20"/>
                <w:lang w:val="en-AU" w:eastAsia="en-AU"/>
              </w:rPr>
            </w:pPr>
          </w:p>
        </w:tc>
      </w:tr>
      <w:tr w:rsidR="00841915" w:rsidRPr="00841915" w14:paraId="4A6810EE" w14:textId="77777777" w:rsidTr="006C0C07">
        <w:trPr>
          <w:trHeight w:val="315"/>
        </w:trPr>
        <w:tc>
          <w:tcPr>
            <w:tcW w:w="2400" w:type="dxa"/>
            <w:vMerge w:val="restart"/>
            <w:shd w:val="clear" w:color="auto" w:fill="D9D9D9" w:themeFill="background1" w:themeFillShade="D9"/>
            <w:noWrap/>
            <w:vAlign w:val="center"/>
            <w:hideMark/>
          </w:tcPr>
          <w:p w14:paraId="7F9AD691"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7226827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May</w:t>
            </w:r>
          </w:p>
        </w:tc>
      </w:tr>
      <w:tr w:rsidR="00841915" w:rsidRPr="00841915" w14:paraId="680AF520" w14:textId="77777777" w:rsidTr="006C0C07">
        <w:trPr>
          <w:trHeight w:val="315"/>
        </w:trPr>
        <w:tc>
          <w:tcPr>
            <w:tcW w:w="2400" w:type="dxa"/>
            <w:vMerge/>
            <w:shd w:val="clear" w:color="auto" w:fill="D9D9D9" w:themeFill="background1" w:themeFillShade="D9"/>
            <w:vAlign w:val="center"/>
            <w:hideMark/>
          </w:tcPr>
          <w:p w14:paraId="155E647D" w14:textId="77777777" w:rsidR="00841915" w:rsidRPr="00841915" w:rsidRDefault="00841915" w:rsidP="00841915">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6141C3B5"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32FDEEB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52BBB4E7"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0617D445"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5B370014"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6C0C07" w:rsidRPr="00841915" w14:paraId="7AD818A9" w14:textId="77777777" w:rsidTr="006C0C07">
        <w:trPr>
          <w:trHeight w:val="315"/>
        </w:trPr>
        <w:tc>
          <w:tcPr>
            <w:tcW w:w="2400" w:type="dxa"/>
            <w:vMerge/>
            <w:shd w:val="clear" w:color="auto" w:fill="D9D9D9" w:themeFill="background1" w:themeFillShade="D9"/>
            <w:vAlign w:val="center"/>
            <w:hideMark/>
          </w:tcPr>
          <w:p w14:paraId="076AC21E" w14:textId="77777777" w:rsidR="00841915" w:rsidRPr="00841915" w:rsidRDefault="00841915" w:rsidP="00841915">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25A5A52F"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5EBEBCF6"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56640EBE"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57968602"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449FE5A6"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4539F2DD" w14:textId="77777777" w:rsidR="00841915" w:rsidRPr="00841915" w:rsidRDefault="00841915" w:rsidP="00841915">
            <w:pPr>
              <w:rPr>
                <w:rFonts w:ascii="Calibri" w:hAnsi="Calibri" w:cs="Calibri"/>
                <w:b/>
                <w:bCs/>
                <w:color w:val="000000"/>
                <w:sz w:val="22"/>
                <w:szCs w:val="22"/>
                <w:lang w:val="en-AU" w:eastAsia="en-AU"/>
              </w:rPr>
            </w:pPr>
          </w:p>
        </w:tc>
        <w:tc>
          <w:tcPr>
            <w:tcW w:w="1402" w:type="dxa"/>
            <w:vMerge/>
            <w:vAlign w:val="center"/>
            <w:hideMark/>
          </w:tcPr>
          <w:p w14:paraId="5B26CECB" w14:textId="77777777" w:rsidR="00841915" w:rsidRPr="00841915" w:rsidRDefault="00841915" w:rsidP="00841915">
            <w:pPr>
              <w:rPr>
                <w:rFonts w:ascii="Calibri" w:hAnsi="Calibri" w:cs="Calibri"/>
                <w:b/>
                <w:bCs/>
                <w:color w:val="000000"/>
                <w:sz w:val="22"/>
                <w:szCs w:val="22"/>
                <w:lang w:val="en-AU" w:eastAsia="en-AU"/>
              </w:rPr>
            </w:pPr>
          </w:p>
        </w:tc>
      </w:tr>
      <w:tr w:rsidR="00841915" w:rsidRPr="00841915" w14:paraId="148A634E" w14:textId="77777777" w:rsidTr="00841915">
        <w:trPr>
          <w:trHeight w:val="315"/>
        </w:trPr>
        <w:tc>
          <w:tcPr>
            <w:tcW w:w="2400" w:type="dxa"/>
            <w:shd w:val="clear" w:color="auto" w:fill="auto"/>
            <w:noWrap/>
            <w:vAlign w:val="bottom"/>
            <w:hideMark/>
          </w:tcPr>
          <w:p w14:paraId="4F370035"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bottom"/>
            <w:hideMark/>
          </w:tcPr>
          <w:p w14:paraId="0C0FD1FD" w14:textId="2D550B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18,832 </w:t>
            </w:r>
          </w:p>
        </w:tc>
        <w:tc>
          <w:tcPr>
            <w:tcW w:w="1559" w:type="dxa"/>
            <w:shd w:val="clear" w:color="auto" w:fill="auto"/>
            <w:noWrap/>
            <w:vAlign w:val="bottom"/>
            <w:hideMark/>
          </w:tcPr>
          <w:p w14:paraId="55F79D7E" w14:textId="2DD707DA"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19,044 </w:t>
            </w:r>
          </w:p>
        </w:tc>
        <w:tc>
          <w:tcPr>
            <w:tcW w:w="1535" w:type="dxa"/>
            <w:shd w:val="clear" w:color="auto" w:fill="auto"/>
            <w:noWrap/>
            <w:vAlign w:val="bottom"/>
            <w:hideMark/>
          </w:tcPr>
          <w:p w14:paraId="1761C8A9" w14:textId="522BCC48"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14,759 </w:t>
            </w:r>
          </w:p>
        </w:tc>
        <w:tc>
          <w:tcPr>
            <w:tcW w:w="1526" w:type="dxa"/>
            <w:shd w:val="clear" w:color="auto" w:fill="auto"/>
            <w:noWrap/>
            <w:vAlign w:val="bottom"/>
            <w:hideMark/>
          </w:tcPr>
          <w:p w14:paraId="1D5BC5BA"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212</w:t>
            </w:r>
          </w:p>
        </w:tc>
        <w:tc>
          <w:tcPr>
            <w:tcW w:w="1500" w:type="dxa"/>
            <w:shd w:val="clear" w:color="000000" w:fill="D9E1F2"/>
            <w:noWrap/>
            <w:vAlign w:val="bottom"/>
            <w:hideMark/>
          </w:tcPr>
          <w:p w14:paraId="64BD2B3D"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1.1%</w:t>
            </w:r>
          </w:p>
        </w:tc>
        <w:tc>
          <w:tcPr>
            <w:tcW w:w="1500" w:type="dxa"/>
            <w:shd w:val="clear" w:color="auto" w:fill="auto"/>
            <w:noWrap/>
            <w:vAlign w:val="bottom"/>
            <w:hideMark/>
          </w:tcPr>
          <w:p w14:paraId="4830A59E"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-4,285</w:t>
            </w:r>
          </w:p>
        </w:tc>
        <w:tc>
          <w:tcPr>
            <w:tcW w:w="1402" w:type="dxa"/>
            <w:shd w:val="clear" w:color="000000" w:fill="D9E1F2"/>
            <w:noWrap/>
            <w:vAlign w:val="bottom"/>
            <w:hideMark/>
          </w:tcPr>
          <w:p w14:paraId="0D4E6BCE"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-22.5%</w:t>
            </w:r>
          </w:p>
        </w:tc>
      </w:tr>
      <w:tr w:rsidR="00841915" w:rsidRPr="00841915" w14:paraId="3E6D9F9E" w14:textId="77777777" w:rsidTr="00841915">
        <w:trPr>
          <w:trHeight w:val="315"/>
        </w:trPr>
        <w:tc>
          <w:tcPr>
            <w:tcW w:w="2400" w:type="dxa"/>
            <w:shd w:val="clear" w:color="auto" w:fill="auto"/>
            <w:noWrap/>
            <w:vAlign w:val="bottom"/>
            <w:hideMark/>
          </w:tcPr>
          <w:p w14:paraId="1C1053EC"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bottom"/>
            <w:hideMark/>
          </w:tcPr>
          <w:p w14:paraId="39703B22" w14:textId="32A5A2D5"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8,138 </w:t>
            </w:r>
          </w:p>
        </w:tc>
        <w:tc>
          <w:tcPr>
            <w:tcW w:w="1559" w:type="dxa"/>
            <w:shd w:val="clear" w:color="auto" w:fill="auto"/>
            <w:noWrap/>
            <w:vAlign w:val="bottom"/>
            <w:hideMark/>
          </w:tcPr>
          <w:p w14:paraId="21995C3F" w14:textId="06B6CCAF"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8,531 </w:t>
            </w:r>
          </w:p>
        </w:tc>
        <w:tc>
          <w:tcPr>
            <w:tcW w:w="1535" w:type="dxa"/>
            <w:shd w:val="clear" w:color="auto" w:fill="auto"/>
            <w:noWrap/>
            <w:vAlign w:val="bottom"/>
            <w:hideMark/>
          </w:tcPr>
          <w:p w14:paraId="1374AF03" w14:textId="2CC108F3"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6,233 </w:t>
            </w:r>
          </w:p>
        </w:tc>
        <w:tc>
          <w:tcPr>
            <w:tcW w:w="1526" w:type="dxa"/>
            <w:shd w:val="clear" w:color="auto" w:fill="auto"/>
            <w:noWrap/>
            <w:vAlign w:val="bottom"/>
            <w:hideMark/>
          </w:tcPr>
          <w:p w14:paraId="7E6ABC8F"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393</w:t>
            </w:r>
          </w:p>
        </w:tc>
        <w:tc>
          <w:tcPr>
            <w:tcW w:w="1500" w:type="dxa"/>
            <w:shd w:val="clear" w:color="000000" w:fill="D9E1F2"/>
            <w:noWrap/>
            <w:vAlign w:val="bottom"/>
            <w:hideMark/>
          </w:tcPr>
          <w:p w14:paraId="5FD0BC2C"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4.8%</w:t>
            </w:r>
          </w:p>
        </w:tc>
        <w:tc>
          <w:tcPr>
            <w:tcW w:w="1500" w:type="dxa"/>
            <w:shd w:val="clear" w:color="auto" w:fill="auto"/>
            <w:noWrap/>
            <w:vAlign w:val="bottom"/>
            <w:hideMark/>
          </w:tcPr>
          <w:p w14:paraId="65CFD87F"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-2,298</w:t>
            </w:r>
          </w:p>
        </w:tc>
        <w:tc>
          <w:tcPr>
            <w:tcW w:w="1402" w:type="dxa"/>
            <w:shd w:val="clear" w:color="000000" w:fill="D9E1F2"/>
            <w:noWrap/>
            <w:vAlign w:val="bottom"/>
            <w:hideMark/>
          </w:tcPr>
          <w:p w14:paraId="71B16B48"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-26.9%</w:t>
            </w:r>
          </w:p>
        </w:tc>
      </w:tr>
      <w:tr w:rsidR="00841915" w:rsidRPr="00841915" w14:paraId="27986364" w14:textId="77777777" w:rsidTr="00841915">
        <w:trPr>
          <w:trHeight w:val="300"/>
        </w:trPr>
        <w:tc>
          <w:tcPr>
            <w:tcW w:w="2400" w:type="dxa"/>
            <w:shd w:val="clear" w:color="auto" w:fill="auto"/>
            <w:noWrap/>
            <w:vAlign w:val="bottom"/>
            <w:hideMark/>
          </w:tcPr>
          <w:p w14:paraId="0E9150FC" w14:textId="7B57C820"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vAlign w:val="bottom"/>
            <w:hideMark/>
          </w:tcPr>
          <w:p w14:paraId="77DC8C31" w14:textId="17648D9D"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80,616 </w:t>
            </w:r>
          </w:p>
        </w:tc>
        <w:tc>
          <w:tcPr>
            <w:tcW w:w="1559" w:type="dxa"/>
            <w:shd w:val="clear" w:color="auto" w:fill="auto"/>
            <w:noWrap/>
            <w:vAlign w:val="bottom"/>
            <w:hideMark/>
          </w:tcPr>
          <w:p w14:paraId="62FB19ED" w14:textId="2A7C8994"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81,833 </w:t>
            </w:r>
          </w:p>
        </w:tc>
        <w:tc>
          <w:tcPr>
            <w:tcW w:w="1535" w:type="dxa"/>
            <w:shd w:val="clear" w:color="auto" w:fill="auto"/>
            <w:noWrap/>
            <w:vAlign w:val="bottom"/>
            <w:hideMark/>
          </w:tcPr>
          <w:p w14:paraId="561E891D" w14:textId="13B4A226"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65,110 </w:t>
            </w:r>
          </w:p>
        </w:tc>
        <w:tc>
          <w:tcPr>
            <w:tcW w:w="1526" w:type="dxa"/>
            <w:shd w:val="clear" w:color="auto" w:fill="auto"/>
            <w:noWrap/>
            <w:vAlign w:val="bottom"/>
            <w:hideMark/>
          </w:tcPr>
          <w:p w14:paraId="6C7F0C94"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1,217</w:t>
            </w:r>
          </w:p>
        </w:tc>
        <w:tc>
          <w:tcPr>
            <w:tcW w:w="1500" w:type="dxa"/>
            <w:shd w:val="clear" w:color="000000" w:fill="D9E1F2"/>
            <w:noWrap/>
            <w:vAlign w:val="bottom"/>
            <w:hideMark/>
          </w:tcPr>
          <w:p w14:paraId="61126AF2"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1.5%</w:t>
            </w:r>
          </w:p>
        </w:tc>
        <w:tc>
          <w:tcPr>
            <w:tcW w:w="1500" w:type="dxa"/>
            <w:shd w:val="clear" w:color="auto" w:fill="auto"/>
            <w:noWrap/>
            <w:vAlign w:val="bottom"/>
            <w:hideMark/>
          </w:tcPr>
          <w:p w14:paraId="1A9DB662"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-16,723</w:t>
            </w:r>
          </w:p>
        </w:tc>
        <w:tc>
          <w:tcPr>
            <w:tcW w:w="1402" w:type="dxa"/>
            <w:shd w:val="clear" w:color="000000" w:fill="D9E1F2"/>
            <w:noWrap/>
            <w:vAlign w:val="bottom"/>
            <w:hideMark/>
          </w:tcPr>
          <w:p w14:paraId="2F6A99BB"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-20.4%</w:t>
            </w:r>
          </w:p>
        </w:tc>
      </w:tr>
      <w:tr w:rsidR="00841915" w:rsidRPr="00841915" w14:paraId="3C28135C" w14:textId="77777777" w:rsidTr="00841915">
        <w:trPr>
          <w:trHeight w:val="315"/>
        </w:trPr>
        <w:tc>
          <w:tcPr>
            <w:tcW w:w="2400" w:type="dxa"/>
            <w:shd w:val="clear" w:color="auto" w:fill="auto"/>
            <w:noWrap/>
            <w:vAlign w:val="bottom"/>
            <w:hideMark/>
          </w:tcPr>
          <w:p w14:paraId="1C29BF9C"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bottom"/>
            <w:hideMark/>
          </w:tcPr>
          <w:p w14:paraId="08A873B4" w14:textId="07997769"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107,586 </w:t>
            </w:r>
          </w:p>
        </w:tc>
        <w:tc>
          <w:tcPr>
            <w:tcW w:w="1559" w:type="dxa"/>
            <w:shd w:val="clear" w:color="auto" w:fill="auto"/>
            <w:noWrap/>
            <w:vAlign w:val="bottom"/>
            <w:hideMark/>
          </w:tcPr>
          <w:p w14:paraId="416B846D" w14:textId="08BBDF92"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109,408 </w:t>
            </w:r>
          </w:p>
        </w:tc>
        <w:tc>
          <w:tcPr>
            <w:tcW w:w="1535" w:type="dxa"/>
            <w:shd w:val="clear" w:color="auto" w:fill="auto"/>
            <w:noWrap/>
            <w:vAlign w:val="bottom"/>
            <w:hideMark/>
          </w:tcPr>
          <w:p w14:paraId="54C420BD" w14:textId="534E9520"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86,102 </w:t>
            </w:r>
          </w:p>
        </w:tc>
        <w:tc>
          <w:tcPr>
            <w:tcW w:w="1526" w:type="dxa"/>
            <w:shd w:val="clear" w:color="auto" w:fill="auto"/>
            <w:noWrap/>
            <w:vAlign w:val="bottom"/>
            <w:hideMark/>
          </w:tcPr>
          <w:p w14:paraId="0328D605"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1,822</w:t>
            </w:r>
          </w:p>
        </w:tc>
        <w:tc>
          <w:tcPr>
            <w:tcW w:w="1500" w:type="dxa"/>
            <w:shd w:val="clear" w:color="000000" w:fill="D9E1F2"/>
            <w:noWrap/>
            <w:vAlign w:val="bottom"/>
            <w:hideMark/>
          </w:tcPr>
          <w:p w14:paraId="50A72BBF"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1.7%</w:t>
            </w:r>
          </w:p>
        </w:tc>
        <w:tc>
          <w:tcPr>
            <w:tcW w:w="1500" w:type="dxa"/>
            <w:shd w:val="clear" w:color="auto" w:fill="auto"/>
            <w:noWrap/>
            <w:vAlign w:val="bottom"/>
            <w:hideMark/>
          </w:tcPr>
          <w:p w14:paraId="3846257E"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-23,306</w:t>
            </w:r>
          </w:p>
        </w:tc>
        <w:tc>
          <w:tcPr>
            <w:tcW w:w="1402" w:type="dxa"/>
            <w:shd w:val="clear" w:color="000000" w:fill="D9E1F2"/>
            <w:noWrap/>
            <w:vAlign w:val="bottom"/>
            <w:hideMark/>
          </w:tcPr>
          <w:p w14:paraId="76191ADA"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-21.3%</w:t>
            </w:r>
          </w:p>
        </w:tc>
      </w:tr>
      <w:tr w:rsidR="00841915" w:rsidRPr="00841915" w14:paraId="385B1D93" w14:textId="77777777" w:rsidTr="00841915">
        <w:trPr>
          <w:trHeight w:val="315"/>
        </w:trPr>
        <w:tc>
          <w:tcPr>
            <w:tcW w:w="2400" w:type="dxa"/>
            <w:shd w:val="clear" w:color="auto" w:fill="auto"/>
            <w:noWrap/>
            <w:vAlign w:val="bottom"/>
            <w:hideMark/>
          </w:tcPr>
          <w:p w14:paraId="687B7521" w14:textId="77777777" w:rsidR="00841915" w:rsidRPr="00841915" w:rsidRDefault="00841915" w:rsidP="00841915">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6349627B" w14:textId="77777777" w:rsidR="00841915" w:rsidRPr="00841915" w:rsidRDefault="00841915" w:rsidP="00841915">
            <w:pPr>
              <w:rPr>
                <w:rFonts w:ascii="Times New Roman" w:hAnsi="Times New Roman"/>
                <w:sz w:val="20"/>
                <w:lang w:val="en-AU" w:eastAsia="en-AU"/>
              </w:rPr>
            </w:pPr>
          </w:p>
        </w:tc>
        <w:tc>
          <w:tcPr>
            <w:tcW w:w="1559" w:type="dxa"/>
            <w:shd w:val="clear" w:color="auto" w:fill="auto"/>
            <w:noWrap/>
            <w:vAlign w:val="bottom"/>
            <w:hideMark/>
          </w:tcPr>
          <w:p w14:paraId="1153ED51" w14:textId="77777777" w:rsidR="00841915" w:rsidRPr="00841915" w:rsidRDefault="00841915" w:rsidP="00841915">
            <w:pPr>
              <w:rPr>
                <w:rFonts w:ascii="Times New Roman" w:hAnsi="Times New Roman"/>
                <w:sz w:val="20"/>
                <w:lang w:val="en-AU" w:eastAsia="en-AU"/>
              </w:rPr>
            </w:pPr>
          </w:p>
        </w:tc>
        <w:tc>
          <w:tcPr>
            <w:tcW w:w="1535" w:type="dxa"/>
            <w:shd w:val="clear" w:color="auto" w:fill="auto"/>
            <w:noWrap/>
            <w:vAlign w:val="bottom"/>
            <w:hideMark/>
          </w:tcPr>
          <w:p w14:paraId="5BC3EDBA" w14:textId="77777777" w:rsidR="00841915" w:rsidRPr="00841915" w:rsidRDefault="00841915" w:rsidP="00841915">
            <w:pPr>
              <w:rPr>
                <w:rFonts w:ascii="Times New Roman" w:hAnsi="Times New Roman"/>
                <w:sz w:val="20"/>
                <w:lang w:val="en-AU" w:eastAsia="en-AU"/>
              </w:rPr>
            </w:pPr>
          </w:p>
        </w:tc>
        <w:tc>
          <w:tcPr>
            <w:tcW w:w="1526" w:type="dxa"/>
            <w:shd w:val="clear" w:color="auto" w:fill="auto"/>
            <w:noWrap/>
            <w:vAlign w:val="bottom"/>
            <w:hideMark/>
          </w:tcPr>
          <w:p w14:paraId="0683E658"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0D28756B" w14:textId="77777777" w:rsidR="00841915" w:rsidRPr="00841915" w:rsidRDefault="00841915" w:rsidP="00841915">
            <w:pPr>
              <w:rPr>
                <w:rFonts w:ascii="Times New Roman" w:hAnsi="Times New Roman"/>
                <w:sz w:val="20"/>
                <w:lang w:val="en-AU" w:eastAsia="en-AU"/>
              </w:rPr>
            </w:pPr>
          </w:p>
        </w:tc>
        <w:tc>
          <w:tcPr>
            <w:tcW w:w="1500" w:type="dxa"/>
            <w:shd w:val="clear" w:color="auto" w:fill="auto"/>
            <w:noWrap/>
            <w:vAlign w:val="bottom"/>
            <w:hideMark/>
          </w:tcPr>
          <w:p w14:paraId="642D4D3B" w14:textId="77777777" w:rsidR="00841915" w:rsidRPr="00841915" w:rsidRDefault="00841915" w:rsidP="00841915">
            <w:pPr>
              <w:rPr>
                <w:rFonts w:ascii="Times New Roman" w:hAnsi="Times New Roman"/>
                <w:sz w:val="20"/>
                <w:lang w:val="en-AU" w:eastAsia="en-AU"/>
              </w:rPr>
            </w:pPr>
          </w:p>
        </w:tc>
        <w:tc>
          <w:tcPr>
            <w:tcW w:w="1402" w:type="dxa"/>
            <w:shd w:val="clear" w:color="auto" w:fill="auto"/>
            <w:noWrap/>
            <w:vAlign w:val="bottom"/>
            <w:hideMark/>
          </w:tcPr>
          <w:p w14:paraId="38F8B596" w14:textId="77777777" w:rsidR="00841915" w:rsidRPr="00841915" w:rsidRDefault="00841915" w:rsidP="00841915">
            <w:pPr>
              <w:rPr>
                <w:rFonts w:ascii="Times New Roman" w:hAnsi="Times New Roman"/>
                <w:sz w:val="20"/>
                <w:lang w:val="en-AU" w:eastAsia="en-AU"/>
              </w:rPr>
            </w:pPr>
          </w:p>
        </w:tc>
      </w:tr>
      <w:tr w:rsidR="00841915" w:rsidRPr="00841915" w14:paraId="14788491" w14:textId="77777777" w:rsidTr="006C0C07">
        <w:trPr>
          <w:trHeight w:val="315"/>
        </w:trPr>
        <w:tc>
          <w:tcPr>
            <w:tcW w:w="2400" w:type="dxa"/>
            <w:vMerge w:val="restart"/>
            <w:shd w:val="clear" w:color="auto" w:fill="D9D9D9" w:themeFill="background1" w:themeFillShade="D9"/>
            <w:noWrap/>
            <w:vAlign w:val="center"/>
            <w:hideMark/>
          </w:tcPr>
          <w:p w14:paraId="1A8A6154"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49C48D96"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June</w:t>
            </w:r>
          </w:p>
        </w:tc>
      </w:tr>
      <w:tr w:rsidR="00841915" w:rsidRPr="00841915" w14:paraId="34C6F860" w14:textId="77777777" w:rsidTr="006C0C07">
        <w:trPr>
          <w:trHeight w:val="315"/>
        </w:trPr>
        <w:tc>
          <w:tcPr>
            <w:tcW w:w="2400" w:type="dxa"/>
            <w:vMerge/>
            <w:shd w:val="clear" w:color="auto" w:fill="D9D9D9" w:themeFill="background1" w:themeFillShade="D9"/>
            <w:vAlign w:val="center"/>
            <w:hideMark/>
          </w:tcPr>
          <w:p w14:paraId="6E8276AE" w14:textId="77777777" w:rsidR="00841915" w:rsidRPr="00841915" w:rsidRDefault="00841915" w:rsidP="00841915">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1E0FE068"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6220BE89"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1D3A75EC"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66CAA4A4"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071B137B"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6C0C07" w:rsidRPr="00841915" w14:paraId="2B8F1293" w14:textId="77777777" w:rsidTr="006C0C07">
        <w:trPr>
          <w:trHeight w:val="315"/>
        </w:trPr>
        <w:tc>
          <w:tcPr>
            <w:tcW w:w="2400" w:type="dxa"/>
            <w:vMerge/>
            <w:shd w:val="clear" w:color="auto" w:fill="D9D9D9" w:themeFill="background1" w:themeFillShade="D9"/>
            <w:vAlign w:val="center"/>
            <w:hideMark/>
          </w:tcPr>
          <w:p w14:paraId="50335889" w14:textId="77777777" w:rsidR="00841915" w:rsidRPr="00841915" w:rsidRDefault="00841915" w:rsidP="00841915">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5CD85B8E"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733D43FA"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1065D585" w14:textId="77777777" w:rsidR="00841915" w:rsidRPr="00841915" w:rsidRDefault="00841915" w:rsidP="00841915">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2DBD00FF"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46DBFA86" w14:textId="77777777" w:rsidR="00841915" w:rsidRPr="00841915" w:rsidRDefault="00841915" w:rsidP="00841915">
            <w:pPr>
              <w:rPr>
                <w:rFonts w:ascii="Calibri" w:hAnsi="Calibri" w:cs="Calibri"/>
                <w:b/>
                <w:bCs/>
                <w:color w:val="000000"/>
                <w:sz w:val="22"/>
                <w:szCs w:val="22"/>
                <w:lang w:val="en-AU" w:eastAsia="en-AU"/>
              </w:rPr>
            </w:pPr>
          </w:p>
        </w:tc>
        <w:tc>
          <w:tcPr>
            <w:tcW w:w="1500" w:type="dxa"/>
            <w:vMerge/>
            <w:vAlign w:val="center"/>
            <w:hideMark/>
          </w:tcPr>
          <w:p w14:paraId="0026AFE4" w14:textId="77777777" w:rsidR="00841915" w:rsidRPr="00841915" w:rsidRDefault="00841915" w:rsidP="00841915">
            <w:pPr>
              <w:rPr>
                <w:rFonts w:ascii="Calibri" w:hAnsi="Calibri" w:cs="Calibri"/>
                <w:b/>
                <w:bCs/>
                <w:color w:val="000000"/>
                <w:sz w:val="22"/>
                <w:szCs w:val="22"/>
                <w:lang w:val="en-AU" w:eastAsia="en-AU"/>
              </w:rPr>
            </w:pPr>
          </w:p>
        </w:tc>
        <w:tc>
          <w:tcPr>
            <w:tcW w:w="1402" w:type="dxa"/>
            <w:vMerge/>
            <w:vAlign w:val="center"/>
            <w:hideMark/>
          </w:tcPr>
          <w:p w14:paraId="67365CB2" w14:textId="77777777" w:rsidR="00841915" w:rsidRPr="00841915" w:rsidRDefault="00841915" w:rsidP="00841915">
            <w:pPr>
              <w:rPr>
                <w:rFonts w:ascii="Calibri" w:hAnsi="Calibri" w:cs="Calibri"/>
                <w:b/>
                <w:bCs/>
                <w:color w:val="000000"/>
                <w:sz w:val="22"/>
                <w:szCs w:val="22"/>
                <w:lang w:val="en-AU" w:eastAsia="en-AU"/>
              </w:rPr>
            </w:pPr>
          </w:p>
        </w:tc>
      </w:tr>
      <w:tr w:rsidR="00841915" w:rsidRPr="00841915" w14:paraId="05DF9872" w14:textId="77777777" w:rsidTr="00841915">
        <w:trPr>
          <w:trHeight w:val="300"/>
        </w:trPr>
        <w:tc>
          <w:tcPr>
            <w:tcW w:w="2400" w:type="dxa"/>
            <w:shd w:val="clear" w:color="auto" w:fill="auto"/>
            <w:noWrap/>
            <w:vAlign w:val="bottom"/>
            <w:hideMark/>
          </w:tcPr>
          <w:p w14:paraId="2AC86792"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bottom"/>
            <w:hideMark/>
          </w:tcPr>
          <w:p w14:paraId="653A2188" w14:textId="2DD77E6B"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18,164 </w:t>
            </w:r>
          </w:p>
        </w:tc>
        <w:tc>
          <w:tcPr>
            <w:tcW w:w="1559" w:type="dxa"/>
            <w:shd w:val="clear" w:color="auto" w:fill="auto"/>
            <w:noWrap/>
            <w:vAlign w:val="bottom"/>
            <w:hideMark/>
          </w:tcPr>
          <w:p w14:paraId="022541EA" w14:textId="0CA4EAFC"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18,509 </w:t>
            </w:r>
          </w:p>
        </w:tc>
        <w:tc>
          <w:tcPr>
            <w:tcW w:w="1535" w:type="dxa"/>
            <w:shd w:val="clear" w:color="auto" w:fill="auto"/>
            <w:noWrap/>
            <w:vAlign w:val="bottom"/>
            <w:hideMark/>
          </w:tcPr>
          <w:p w14:paraId="6A5E69E0" w14:textId="3BA2780B"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17,233 </w:t>
            </w:r>
          </w:p>
        </w:tc>
        <w:tc>
          <w:tcPr>
            <w:tcW w:w="1526" w:type="dxa"/>
            <w:shd w:val="clear" w:color="auto" w:fill="auto"/>
            <w:noWrap/>
            <w:vAlign w:val="bottom"/>
            <w:hideMark/>
          </w:tcPr>
          <w:p w14:paraId="4310953D"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345</w:t>
            </w:r>
          </w:p>
        </w:tc>
        <w:tc>
          <w:tcPr>
            <w:tcW w:w="1500" w:type="dxa"/>
            <w:shd w:val="clear" w:color="000000" w:fill="D9E1F2"/>
            <w:noWrap/>
            <w:vAlign w:val="bottom"/>
            <w:hideMark/>
          </w:tcPr>
          <w:p w14:paraId="6E3A0DFD"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1.9%</w:t>
            </w:r>
          </w:p>
        </w:tc>
        <w:tc>
          <w:tcPr>
            <w:tcW w:w="1500" w:type="dxa"/>
            <w:shd w:val="clear" w:color="auto" w:fill="auto"/>
            <w:noWrap/>
            <w:vAlign w:val="bottom"/>
            <w:hideMark/>
          </w:tcPr>
          <w:p w14:paraId="44379207"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-1,276</w:t>
            </w:r>
          </w:p>
        </w:tc>
        <w:tc>
          <w:tcPr>
            <w:tcW w:w="1402" w:type="dxa"/>
            <w:shd w:val="clear" w:color="000000" w:fill="D9E1F2"/>
            <w:noWrap/>
            <w:vAlign w:val="bottom"/>
            <w:hideMark/>
          </w:tcPr>
          <w:p w14:paraId="22E9FEC5"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-6.9%</w:t>
            </w:r>
          </w:p>
        </w:tc>
      </w:tr>
      <w:tr w:rsidR="00841915" w:rsidRPr="00841915" w14:paraId="23235703" w14:textId="77777777" w:rsidTr="00841915">
        <w:trPr>
          <w:trHeight w:val="315"/>
        </w:trPr>
        <w:tc>
          <w:tcPr>
            <w:tcW w:w="2400" w:type="dxa"/>
            <w:shd w:val="clear" w:color="auto" w:fill="auto"/>
            <w:noWrap/>
            <w:vAlign w:val="bottom"/>
            <w:hideMark/>
          </w:tcPr>
          <w:p w14:paraId="6DE80ED3"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bottom"/>
            <w:hideMark/>
          </w:tcPr>
          <w:p w14:paraId="7A8DA471" w14:textId="2F8E38D3"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7,825 </w:t>
            </w:r>
          </w:p>
        </w:tc>
        <w:tc>
          <w:tcPr>
            <w:tcW w:w="1559" w:type="dxa"/>
            <w:shd w:val="clear" w:color="auto" w:fill="auto"/>
            <w:noWrap/>
            <w:vAlign w:val="bottom"/>
            <w:hideMark/>
          </w:tcPr>
          <w:p w14:paraId="26EA838E" w14:textId="169FD46C"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7,984 </w:t>
            </w:r>
          </w:p>
        </w:tc>
        <w:tc>
          <w:tcPr>
            <w:tcW w:w="1535" w:type="dxa"/>
            <w:shd w:val="clear" w:color="auto" w:fill="auto"/>
            <w:noWrap/>
            <w:vAlign w:val="bottom"/>
            <w:hideMark/>
          </w:tcPr>
          <w:p w14:paraId="0DC5A5D9" w14:textId="451A92C8"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7,131 </w:t>
            </w:r>
          </w:p>
        </w:tc>
        <w:tc>
          <w:tcPr>
            <w:tcW w:w="1526" w:type="dxa"/>
            <w:shd w:val="clear" w:color="auto" w:fill="auto"/>
            <w:noWrap/>
            <w:vAlign w:val="bottom"/>
            <w:hideMark/>
          </w:tcPr>
          <w:p w14:paraId="72781F57"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159</w:t>
            </w:r>
          </w:p>
        </w:tc>
        <w:tc>
          <w:tcPr>
            <w:tcW w:w="1500" w:type="dxa"/>
            <w:shd w:val="clear" w:color="000000" w:fill="D9E1F2"/>
            <w:noWrap/>
            <w:vAlign w:val="bottom"/>
            <w:hideMark/>
          </w:tcPr>
          <w:p w14:paraId="05573E93"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2.0%</w:t>
            </w:r>
          </w:p>
        </w:tc>
        <w:tc>
          <w:tcPr>
            <w:tcW w:w="1500" w:type="dxa"/>
            <w:shd w:val="clear" w:color="auto" w:fill="auto"/>
            <w:noWrap/>
            <w:vAlign w:val="bottom"/>
            <w:hideMark/>
          </w:tcPr>
          <w:p w14:paraId="7F084B84"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-853</w:t>
            </w:r>
          </w:p>
        </w:tc>
        <w:tc>
          <w:tcPr>
            <w:tcW w:w="1402" w:type="dxa"/>
            <w:shd w:val="clear" w:color="000000" w:fill="D9E1F2"/>
            <w:noWrap/>
            <w:vAlign w:val="bottom"/>
            <w:hideMark/>
          </w:tcPr>
          <w:p w14:paraId="7C45F70B"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-10.7%</w:t>
            </w:r>
          </w:p>
        </w:tc>
      </w:tr>
      <w:tr w:rsidR="00841915" w:rsidRPr="00841915" w14:paraId="08D10485" w14:textId="77777777" w:rsidTr="00841915">
        <w:trPr>
          <w:trHeight w:val="315"/>
        </w:trPr>
        <w:tc>
          <w:tcPr>
            <w:tcW w:w="2400" w:type="dxa"/>
            <w:shd w:val="clear" w:color="auto" w:fill="auto"/>
            <w:noWrap/>
            <w:vAlign w:val="bottom"/>
            <w:hideMark/>
          </w:tcPr>
          <w:p w14:paraId="1DCDC4DD" w14:textId="71A57A58"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vAlign w:val="bottom"/>
            <w:hideMark/>
          </w:tcPr>
          <w:p w14:paraId="7A0623A7" w14:textId="7E26C4F3"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75,829 </w:t>
            </w:r>
          </w:p>
        </w:tc>
        <w:tc>
          <w:tcPr>
            <w:tcW w:w="1559" w:type="dxa"/>
            <w:shd w:val="clear" w:color="auto" w:fill="auto"/>
            <w:noWrap/>
            <w:vAlign w:val="bottom"/>
            <w:hideMark/>
          </w:tcPr>
          <w:p w14:paraId="5892C7E9" w14:textId="2B41CE9B"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75,795 </w:t>
            </w:r>
          </w:p>
        </w:tc>
        <w:tc>
          <w:tcPr>
            <w:tcW w:w="1535" w:type="dxa"/>
            <w:shd w:val="clear" w:color="auto" w:fill="auto"/>
            <w:noWrap/>
            <w:vAlign w:val="bottom"/>
            <w:hideMark/>
          </w:tcPr>
          <w:p w14:paraId="120C146F" w14:textId="09981A9E"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72,516 </w:t>
            </w:r>
          </w:p>
        </w:tc>
        <w:tc>
          <w:tcPr>
            <w:tcW w:w="1526" w:type="dxa"/>
            <w:shd w:val="clear" w:color="auto" w:fill="auto"/>
            <w:noWrap/>
            <w:vAlign w:val="bottom"/>
            <w:hideMark/>
          </w:tcPr>
          <w:p w14:paraId="7478912E"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-34</w:t>
            </w:r>
          </w:p>
        </w:tc>
        <w:tc>
          <w:tcPr>
            <w:tcW w:w="1500" w:type="dxa"/>
            <w:shd w:val="clear" w:color="000000" w:fill="D9E1F2"/>
            <w:noWrap/>
            <w:vAlign w:val="bottom"/>
            <w:hideMark/>
          </w:tcPr>
          <w:p w14:paraId="50668E04"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0.0%</w:t>
            </w:r>
          </w:p>
        </w:tc>
        <w:tc>
          <w:tcPr>
            <w:tcW w:w="1500" w:type="dxa"/>
            <w:shd w:val="clear" w:color="auto" w:fill="auto"/>
            <w:noWrap/>
            <w:vAlign w:val="bottom"/>
            <w:hideMark/>
          </w:tcPr>
          <w:p w14:paraId="0963167C"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-3,279</w:t>
            </w:r>
          </w:p>
        </w:tc>
        <w:tc>
          <w:tcPr>
            <w:tcW w:w="1402" w:type="dxa"/>
            <w:shd w:val="clear" w:color="000000" w:fill="D9E1F2"/>
            <w:noWrap/>
            <w:vAlign w:val="bottom"/>
            <w:hideMark/>
          </w:tcPr>
          <w:p w14:paraId="39623D28"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-4.3%</w:t>
            </w:r>
          </w:p>
        </w:tc>
      </w:tr>
      <w:tr w:rsidR="00841915" w:rsidRPr="00841915" w14:paraId="3B04AB45" w14:textId="77777777" w:rsidTr="00841915">
        <w:trPr>
          <w:trHeight w:val="345"/>
        </w:trPr>
        <w:tc>
          <w:tcPr>
            <w:tcW w:w="2400" w:type="dxa"/>
            <w:shd w:val="clear" w:color="auto" w:fill="auto"/>
            <w:noWrap/>
            <w:vAlign w:val="bottom"/>
            <w:hideMark/>
          </w:tcPr>
          <w:p w14:paraId="55A725C0" w14:textId="77777777" w:rsidR="00841915" w:rsidRPr="00841915" w:rsidRDefault="00841915" w:rsidP="00841915">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bottom"/>
            <w:hideMark/>
          </w:tcPr>
          <w:p w14:paraId="086022E0" w14:textId="305E975D"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101,818 </w:t>
            </w:r>
          </w:p>
        </w:tc>
        <w:tc>
          <w:tcPr>
            <w:tcW w:w="1559" w:type="dxa"/>
            <w:shd w:val="clear" w:color="auto" w:fill="auto"/>
            <w:noWrap/>
            <w:vAlign w:val="bottom"/>
            <w:hideMark/>
          </w:tcPr>
          <w:p w14:paraId="6B26A2F8" w14:textId="37E192A4"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102,288 </w:t>
            </w:r>
          </w:p>
        </w:tc>
        <w:tc>
          <w:tcPr>
            <w:tcW w:w="1535" w:type="dxa"/>
            <w:shd w:val="clear" w:color="auto" w:fill="auto"/>
            <w:noWrap/>
            <w:vAlign w:val="bottom"/>
            <w:hideMark/>
          </w:tcPr>
          <w:p w14:paraId="4446FBC1" w14:textId="3A65BD71"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 xml:space="preserve">96,880 </w:t>
            </w:r>
          </w:p>
        </w:tc>
        <w:tc>
          <w:tcPr>
            <w:tcW w:w="1526" w:type="dxa"/>
            <w:shd w:val="clear" w:color="auto" w:fill="auto"/>
            <w:noWrap/>
            <w:vAlign w:val="bottom"/>
            <w:hideMark/>
          </w:tcPr>
          <w:p w14:paraId="7234F819"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470</w:t>
            </w:r>
          </w:p>
        </w:tc>
        <w:tc>
          <w:tcPr>
            <w:tcW w:w="1500" w:type="dxa"/>
            <w:shd w:val="clear" w:color="000000" w:fill="D9E1F2"/>
            <w:noWrap/>
            <w:vAlign w:val="bottom"/>
            <w:hideMark/>
          </w:tcPr>
          <w:p w14:paraId="751EC0E1"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0.5%</w:t>
            </w:r>
          </w:p>
        </w:tc>
        <w:tc>
          <w:tcPr>
            <w:tcW w:w="1500" w:type="dxa"/>
            <w:shd w:val="clear" w:color="auto" w:fill="auto"/>
            <w:noWrap/>
            <w:vAlign w:val="bottom"/>
            <w:hideMark/>
          </w:tcPr>
          <w:p w14:paraId="37DA63DC"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-5,408</w:t>
            </w:r>
          </w:p>
        </w:tc>
        <w:tc>
          <w:tcPr>
            <w:tcW w:w="1402" w:type="dxa"/>
            <w:shd w:val="clear" w:color="000000" w:fill="D9E1F2"/>
            <w:noWrap/>
            <w:vAlign w:val="bottom"/>
            <w:hideMark/>
          </w:tcPr>
          <w:p w14:paraId="5035CCF5" w14:textId="77777777" w:rsidR="00841915" w:rsidRPr="00841915" w:rsidRDefault="00841915" w:rsidP="00841915">
            <w:pPr>
              <w:ind w:right="113"/>
              <w:jc w:val="right"/>
              <w:rPr>
                <w:rFonts w:ascii="Calibri" w:hAnsi="Calibri" w:cs="Calibri"/>
                <w:color w:val="000000"/>
                <w:sz w:val="22"/>
                <w:szCs w:val="22"/>
                <w:lang w:val="en-AU" w:eastAsia="en-AU"/>
              </w:rPr>
            </w:pPr>
            <w:r w:rsidRPr="00841915">
              <w:rPr>
                <w:rFonts w:ascii="Calibri" w:hAnsi="Calibri" w:cs="Calibri"/>
                <w:color w:val="000000"/>
                <w:sz w:val="22"/>
                <w:szCs w:val="22"/>
                <w:lang w:val="en-AU" w:eastAsia="en-AU"/>
              </w:rPr>
              <w:t>-5.3%</w:t>
            </w:r>
          </w:p>
        </w:tc>
      </w:tr>
    </w:tbl>
    <w:p w14:paraId="570E2577" w14:textId="77777777" w:rsidR="006A7630" w:rsidRPr="00E35305" w:rsidRDefault="006A7630" w:rsidP="006A7630">
      <w:pPr>
        <w:spacing w:before="120"/>
        <w:rPr>
          <w:rFonts w:cs="Segoe UI"/>
          <w:b/>
          <w:sz w:val="24"/>
          <w:szCs w:val="24"/>
        </w:rPr>
      </w:pPr>
    </w:p>
    <w:p w14:paraId="54C01A13" w14:textId="77777777" w:rsidR="006A7630" w:rsidRPr="00E35305" w:rsidRDefault="006A7630" w:rsidP="006A7630">
      <w:pPr>
        <w:spacing w:before="120"/>
        <w:rPr>
          <w:rFonts w:cs="Segoe UI"/>
          <w:b/>
          <w:sz w:val="24"/>
          <w:szCs w:val="24"/>
        </w:rPr>
        <w:sectPr w:rsidR="006A7630" w:rsidRPr="00E35305" w:rsidSect="00C46B46">
          <w:pgSz w:w="16838" w:h="11906" w:orient="landscape"/>
          <w:pgMar w:top="851" w:right="1440" w:bottom="851" w:left="1440" w:header="454" w:footer="709" w:gutter="0"/>
          <w:cols w:space="708"/>
          <w:docGrid w:linePitch="360"/>
        </w:sectPr>
      </w:pPr>
    </w:p>
    <w:p w14:paraId="68B52E8E" w14:textId="5E5EADF6" w:rsidR="006A7630" w:rsidRPr="009963AC" w:rsidRDefault="006A7630" w:rsidP="006A7630">
      <w:pPr>
        <w:pStyle w:val="Heading1"/>
      </w:pPr>
      <w:bookmarkStart w:id="199" w:name="_Toc52430207"/>
      <w:bookmarkStart w:id="200" w:name="_Toc53471242"/>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3</w:t>
      </w:r>
      <w:r w:rsidRPr="006A7630">
        <w:rPr>
          <w:noProof/>
          <w:sz w:val="56"/>
          <w:szCs w:val="56"/>
        </w:rPr>
        <w:fldChar w:fldCharType="end"/>
      </w:r>
      <w:r w:rsidRPr="006A7630">
        <w:rPr>
          <w:sz w:val="56"/>
          <w:szCs w:val="56"/>
        </w:rPr>
        <w:t>:</w:t>
      </w:r>
      <w:r>
        <w:br/>
      </w:r>
      <w:r w:rsidRPr="006A7630">
        <w:rPr>
          <w:sz w:val="44"/>
          <w:szCs w:val="44"/>
        </w:rPr>
        <w:t>Number of discharges by region, March to June 2018–2020</w:t>
      </w:r>
      <w:bookmarkEnd w:id="199"/>
      <w:bookmarkEnd w:id="200"/>
      <w:r w:rsidRPr="006A7630">
        <w:rPr>
          <w:sz w:val="44"/>
          <w:szCs w:val="44"/>
        </w:rPr>
        <w:t xml:space="preserve"> </w:t>
      </w:r>
    </w:p>
    <w:p w14:paraId="09C7EDC2" w14:textId="2FC2D8CC" w:rsidR="006A7630" w:rsidRDefault="002E1CBC" w:rsidP="006A7630">
      <w:pPr>
        <w:spacing w:before="120"/>
        <w:rPr>
          <w:rFonts w:cs="Segoe UI"/>
          <w:b/>
          <w:sz w:val="22"/>
          <w:szCs w:val="22"/>
        </w:rPr>
      </w:pPr>
      <w:r>
        <w:rPr>
          <w:noProof/>
        </w:rPr>
        <w:drawing>
          <wp:anchor distT="0" distB="0" distL="114300" distR="114300" simplePos="0" relativeHeight="251673600" behindDoc="0" locked="0" layoutInCell="1" allowOverlap="1" wp14:anchorId="1E8AE432" wp14:editId="58F3C3CB">
            <wp:simplePos x="0" y="0"/>
            <wp:positionH relativeFrom="column">
              <wp:posOffset>4362450</wp:posOffset>
            </wp:positionH>
            <wp:positionV relativeFrom="paragraph">
              <wp:posOffset>5715</wp:posOffset>
            </wp:positionV>
            <wp:extent cx="4024708" cy="2421255"/>
            <wp:effectExtent l="0" t="0" r="0" b="0"/>
            <wp:wrapNone/>
            <wp:docPr id="38" name="Picture 38" descr="This graph shows that there were slightly fewer discharges in the Midland region in March and May of 2020 than in previous years and substantially fewer in April 2020. There were more in June 2020 than in June of 2018, but fewer than in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34019" cy="2426857"/>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r w:rsidR="00917A54">
        <w:rPr>
          <w:rFonts w:cs="Segoe UI"/>
          <w:b/>
          <w:noProof/>
          <w:sz w:val="22"/>
          <w:szCs w:val="22"/>
        </w:rPr>
        <w:drawing>
          <wp:anchor distT="0" distB="0" distL="114300" distR="114300" simplePos="0" relativeHeight="251634688" behindDoc="0" locked="0" layoutInCell="1" allowOverlap="1" wp14:anchorId="6FE8A5A9" wp14:editId="065255D2">
            <wp:simplePos x="0" y="0"/>
            <wp:positionH relativeFrom="column">
              <wp:posOffset>41910</wp:posOffset>
            </wp:positionH>
            <wp:positionV relativeFrom="paragraph">
              <wp:posOffset>2540</wp:posOffset>
            </wp:positionV>
            <wp:extent cx="4193540" cy="2421255"/>
            <wp:effectExtent l="0" t="0" r="0" b="0"/>
            <wp:wrapNone/>
            <wp:docPr id="22" name="Picture 22" descr="This graph shows that there were slightly fewer discharges in the Northern region in March, May and June of 2020 than in previous years and substantially fewer in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3540" cy="2421255"/>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55F8DBBB" w14:textId="6A0ECADC" w:rsidR="006A7630" w:rsidRPr="008512ED" w:rsidRDefault="002E1CBC" w:rsidP="00917A54">
      <w:pPr>
        <w:spacing w:before="120"/>
        <w:rPr>
          <w:rFonts w:cs="Segoe UI"/>
          <w:b/>
          <w:sz w:val="22"/>
          <w:szCs w:val="22"/>
        </w:rPr>
      </w:pPr>
      <w:r>
        <w:rPr>
          <w:noProof/>
        </w:rPr>
        <w:drawing>
          <wp:anchor distT="0" distB="0" distL="114300" distR="114300" simplePos="0" relativeHeight="251675648" behindDoc="0" locked="0" layoutInCell="1" allowOverlap="1" wp14:anchorId="567C32C9" wp14:editId="4DFF830B">
            <wp:simplePos x="0" y="0"/>
            <wp:positionH relativeFrom="column">
              <wp:posOffset>4362450</wp:posOffset>
            </wp:positionH>
            <wp:positionV relativeFrom="paragraph">
              <wp:posOffset>2295525</wp:posOffset>
            </wp:positionV>
            <wp:extent cx="4150108" cy="2505075"/>
            <wp:effectExtent l="0" t="0" r="3175" b="0"/>
            <wp:wrapNone/>
            <wp:docPr id="54" name="Picture 54" descr="This graph shows that there were slightly fewer discharges in the South region in March and May of 2020 than in previous years and substantially fewer in April 2020. The discharges for June were not substantially different tha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50108" cy="2505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3D07715" wp14:editId="093AEF29">
            <wp:simplePos x="0" y="0"/>
            <wp:positionH relativeFrom="column">
              <wp:posOffset>46990</wp:posOffset>
            </wp:positionH>
            <wp:positionV relativeFrom="paragraph">
              <wp:posOffset>2296160</wp:posOffset>
            </wp:positionV>
            <wp:extent cx="4184913" cy="2524125"/>
            <wp:effectExtent l="0" t="0" r="6350" b="0"/>
            <wp:wrapNone/>
            <wp:docPr id="51" name="Picture 51" descr="This graph shows that there were slightly fewer discharges in the Central region in March, May and June of 2020 than in previous years and substantially fewer in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84913" cy="2524125"/>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47126DE0" w14:textId="682B8EB6" w:rsidR="006A7630" w:rsidRDefault="006A7630" w:rsidP="006A7630">
      <w:pPr>
        <w:pStyle w:val="Heading1"/>
        <w:sectPr w:rsidR="006A7630" w:rsidSect="00607084">
          <w:pgSz w:w="16838" w:h="11906" w:orient="landscape"/>
          <w:pgMar w:top="851" w:right="1440" w:bottom="851" w:left="1440" w:header="454" w:footer="794" w:gutter="0"/>
          <w:cols w:space="708"/>
          <w:docGrid w:linePitch="360"/>
        </w:sectPr>
      </w:pPr>
    </w:p>
    <w:p w14:paraId="290DF528" w14:textId="3A940837" w:rsidR="006A7630" w:rsidRDefault="006A7630" w:rsidP="006A7630">
      <w:pPr>
        <w:pStyle w:val="Heading1"/>
        <w:rPr>
          <w:sz w:val="44"/>
          <w:szCs w:val="44"/>
        </w:rPr>
      </w:pPr>
      <w:bookmarkStart w:id="201" w:name="_Toc52430208"/>
      <w:bookmarkStart w:id="202" w:name="_Toc53471243"/>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4</w:t>
      </w:r>
      <w:r w:rsidRPr="006A7630">
        <w:rPr>
          <w:noProof/>
          <w:sz w:val="56"/>
          <w:szCs w:val="56"/>
        </w:rPr>
        <w:fldChar w:fldCharType="end"/>
      </w:r>
      <w:r w:rsidRPr="006A7630">
        <w:rPr>
          <w:sz w:val="56"/>
          <w:szCs w:val="56"/>
        </w:rPr>
        <w:t xml:space="preserve">: </w:t>
      </w:r>
      <w:r>
        <w:br/>
      </w:r>
      <w:r w:rsidRPr="006A7630">
        <w:rPr>
          <w:sz w:val="44"/>
          <w:szCs w:val="44"/>
        </w:rPr>
        <w:t>Number of case-weighted discharges year to date February, and by month from March to June 2018–2020</w:t>
      </w:r>
      <w:bookmarkEnd w:id="201"/>
      <w:bookmarkEnd w:id="202"/>
    </w:p>
    <w:tbl>
      <w:tblPr>
        <w:tblW w:w="12840" w:type="dxa"/>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400"/>
        <w:gridCol w:w="1418"/>
        <w:gridCol w:w="1559"/>
        <w:gridCol w:w="1535"/>
        <w:gridCol w:w="1526"/>
        <w:gridCol w:w="1500"/>
        <w:gridCol w:w="1500"/>
        <w:gridCol w:w="1402"/>
      </w:tblGrid>
      <w:tr w:rsidR="00B0692E" w:rsidRPr="00841915" w14:paraId="7C21F047" w14:textId="77777777" w:rsidTr="00F06D1C">
        <w:trPr>
          <w:trHeight w:val="315"/>
        </w:trPr>
        <w:tc>
          <w:tcPr>
            <w:tcW w:w="2400" w:type="dxa"/>
            <w:vMerge w:val="restart"/>
            <w:shd w:val="clear" w:color="auto" w:fill="D9D9D9" w:themeFill="background1" w:themeFillShade="D9"/>
            <w:noWrap/>
            <w:vAlign w:val="center"/>
            <w:hideMark/>
          </w:tcPr>
          <w:p w14:paraId="62C7DC27"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2855BC34"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YTD February</w:t>
            </w:r>
          </w:p>
        </w:tc>
      </w:tr>
      <w:tr w:rsidR="00B0692E" w:rsidRPr="00841915" w14:paraId="10249436" w14:textId="77777777" w:rsidTr="00F06D1C">
        <w:trPr>
          <w:trHeight w:val="315"/>
        </w:trPr>
        <w:tc>
          <w:tcPr>
            <w:tcW w:w="2400" w:type="dxa"/>
            <w:vMerge/>
            <w:shd w:val="clear" w:color="auto" w:fill="D9D9D9" w:themeFill="background1" w:themeFillShade="D9"/>
            <w:vAlign w:val="center"/>
            <w:hideMark/>
          </w:tcPr>
          <w:p w14:paraId="3D0BC862" w14:textId="77777777" w:rsidR="00B0692E" w:rsidRPr="00841915" w:rsidRDefault="00B0692E" w:rsidP="00F06D1C">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0813235C"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61402609"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75000826"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1D4594B1"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1165F995"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B0692E" w:rsidRPr="00841915" w14:paraId="2B48CE44" w14:textId="77777777" w:rsidTr="00F06D1C">
        <w:trPr>
          <w:trHeight w:val="300"/>
        </w:trPr>
        <w:tc>
          <w:tcPr>
            <w:tcW w:w="2400" w:type="dxa"/>
            <w:vMerge/>
            <w:shd w:val="clear" w:color="auto" w:fill="D9D9D9" w:themeFill="background1" w:themeFillShade="D9"/>
            <w:vAlign w:val="center"/>
            <w:hideMark/>
          </w:tcPr>
          <w:p w14:paraId="66568F3E" w14:textId="77777777" w:rsidR="00B0692E" w:rsidRPr="00841915" w:rsidRDefault="00B0692E" w:rsidP="00F06D1C">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21C21D22"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2EE47280"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0D09677A"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3CD37808"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17B0940A"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6C2C01E5" w14:textId="77777777" w:rsidR="00B0692E" w:rsidRPr="00841915" w:rsidRDefault="00B0692E" w:rsidP="00F06D1C">
            <w:pPr>
              <w:rPr>
                <w:rFonts w:ascii="Calibri" w:hAnsi="Calibri" w:cs="Calibri"/>
                <w:b/>
                <w:bCs/>
                <w:color w:val="000000"/>
                <w:sz w:val="22"/>
                <w:szCs w:val="22"/>
                <w:lang w:val="en-AU" w:eastAsia="en-AU"/>
              </w:rPr>
            </w:pPr>
          </w:p>
        </w:tc>
        <w:tc>
          <w:tcPr>
            <w:tcW w:w="1402" w:type="dxa"/>
            <w:vMerge/>
            <w:vAlign w:val="center"/>
            <w:hideMark/>
          </w:tcPr>
          <w:p w14:paraId="6F51AC38" w14:textId="77777777" w:rsidR="00B0692E" w:rsidRPr="00841915" w:rsidRDefault="00B0692E" w:rsidP="00F06D1C">
            <w:pPr>
              <w:rPr>
                <w:rFonts w:ascii="Calibri" w:hAnsi="Calibri" w:cs="Calibri"/>
                <w:b/>
                <w:bCs/>
                <w:color w:val="000000"/>
                <w:sz w:val="22"/>
                <w:szCs w:val="22"/>
                <w:lang w:val="en-AU" w:eastAsia="en-AU"/>
              </w:rPr>
            </w:pPr>
          </w:p>
        </w:tc>
      </w:tr>
      <w:tr w:rsidR="00B0692E" w:rsidRPr="00841915" w14:paraId="3F356B09" w14:textId="77777777" w:rsidTr="00F06D1C">
        <w:trPr>
          <w:trHeight w:val="300"/>
        </w:trPr>
        <w:tc>
          <w:tcPr>
            <w:tcW w:w="2400" w:type="dxa"/>
            <w:shd w:val="clear" w:color="auto" w:fill="auto"/>
            <w:noWrap/>
            <w:vAlign w:val="center"/>
            <w:hideMark/>
          </w:tcPr>
          <w:p w14:paraId="231DCC2A"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hideMark/>
          </w:tcPr>
          <w:p w14:paraId="492E2958" w14:textId="2DE894B0"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138,430.3 </w:t>
            </w:r>
          </w:p>
        </w:tc>
        <w:tc>
          <w:tcPr>
            <w:tcW w:w="1559" w:type="dxa"/>
            <w:shd w:val="clear" w:color="auto" w:fill="auto"/>
            <w:noWrap/>
            <w:hideMark/>
          </w:tcPr>
          <w:p w14:paraId="0AF4F6C1" w14:textId="7422F69B"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136,481.1 </w:t>
            </w:r>
          </w:p>
        </w:tc>
        <w:tc>
          <w:tcPr>
            <w:tcW w:w="1535" w:type="dxa"/>
            <w:shd w:val="clear" w:color="auto" w:fill="auto"/>
            <w:noWrap/>
            <w:hideMark/>
          </w:tcPr>
          <w:p w14:paraId="72AAFF29" w14:textId="5E89C745"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134,137.3 </w:t>
            </w:r>
          </w:p>
        </w:tc>
        <w:tc>
          <w:tcPr>
            <w:tcW w:w="1526" w:type="dxa"/>
            <w:shd w:val="clear" w:color="auto" w:fill="auto"/>
            <w:noWrap/>
            <w:vAlign w:val="bottom"/>
            <w:hideMark/>
          </w:tcPr>
          <w:p w14:paraId="250BB8D0" w14:textId="392F7C59"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-1,949.2</w:t>
            </w:r>
          </w:p>
        </w:tc>
        <w:tc>
          <w:tcPr>
            <w:tcW w:w="1500" w:type="dxa"/>
            <w:shd w:val="clear" w:color="000000" w:fill="D9E1F2"/>
            <w:noWrap/>
            <w:vAlign w:val="bottom"/>
            <w:hideMark/>
          </w:tcPr>
          <w:p w14:paraId="4DBDD336" w14:textId="4DAE0B2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-1.4%</w:t>
            </w:r>
          </w:p>
        </w:tc>
        <w:tc>
          <w:tcPr>
            <w:tcW w:w="1500" w:type="dxa"/>
            <w:shd w:val="clear" w:color="auto" w:fill="auto"/>
            <w:noWrap/>
            <w:vAlign w:val="bottom"/>
            <w:hideMark/>
          </w:tcPr>
          <w:p w14:paraId="065C9BAF" w14:textId="3EC2C6CD"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-2,343.7</w:t>
            </w:r>
          </w:p>
        </w:tc>
        <w:tc>
          <w:tcPr>
            <w:tcW w:w="1402" w:type="dxa"/>
            <w:shd w:val="clear" w:color="000000" w:fill="D9E1F2"/>
            <w:noWrap/>
            <w:vAlign w:val="bottom"/>
            <w:hideMark/>
          </w:tcPr>
          <w:p w14:paraId="29CD2C9E" w14:textId="3DF69745"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-1.7%</w:t>
            </w:r>
          </w:p>
        </w:tc>
      </w:tr>
      <w:tr w:rsidR="00B0692E" w:rsidRPr="00841915" w14:paraId="77C7671E" w14:textId="77777777" w:rsidTr="00F06D1C">
        <w:trPr>
          <w:trHeight w:val="300"/>
        </w:trPr>
        <w:tc>
          <w:tcPr>
            <w:tcW w:w="2400" w:type="dxa"/>
            <w:shd w:val="clear" w:color="auto" w:fill="auto"/>
            <w:noWrap/>
            <w:vAlign w:val="center"/>
            <w:hideMark/>
          </w:tcPr>
          <w:p w14:paraId="7F58169A"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hideMark/>
          </w:tcPr>
          <w:p w14:paraId="71680615" w14:textId="50FC2C1F"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56,212.0 </w:t>
            </w:r>
          </w:p>
        </w:tc>
        <w:tc>
          <w:tcPr>
            <w:tcW w:w="1559" w:type="dxa"/>
            <w:shd w:val="clear" w:color="auto" w:fill="auto"/>
            <w:noWrap/>
            <w:hideMark/>
          </w:tcPr>
          <w:p w14:paraId="3EBE4273" w14:textId="21D70E11"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57,372.1 </w:t>
            </w:r>
          </w:p>
        </w:tc>
        <w:tc>
          <w:tcPr>
            <w:tcW w:w="1535" w:type="dxa"/>
            <w:shd w:val="clear" w:color="auto" w:fill="auto"/>
            <w:noWrap/>
            <w:hideMark/>
          </w:tcPr>
          <w:p w14:paraId="24080222" w14:textId="7C4538D2"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56,996.9 </w:t>
            </w:r>
          </w:p>
        </w:tc>
        <w:tc>
          <w:tcPr>
            <w:tcW w:w="1526" w:type="dxa"/>
            <w:shd w:val="clear" w:color="auto" w:fill="auto"/>
            <w:noWrap/>
            <w:vAlign w:val="bottom"/>
            <w:hideMark/>
          </w:tcPr>
          <w:p w14:paraId="62468959" w14:textId="41468FC8"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1,160.1</w:t>
            </w:r>
          </w:p>
        </w:tc>
        <w:tc>
          <w:tcPr>
            <w:tcW w:w="1500" w:type="dxa"/>
            <w:shd w:val="clear" w:color="000000" w:fill="D9E1F2"/>
            <w:noWrap/>
            <w:vAlign w:val="bottom"/>
            <w:hideMark/>
          </w:tcPr>
          <w:p w14:paraId="4710019C" w14:textId="5C0D3F3E"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2.1%</w:t>
            </w:r>
          </w:p>
        </w:tc>
        <w:tc>
          <w:tcPr>
            <w:tcW w:w="1500" w:type="dxa"/>
            <w:shd w:val="clear" w:color="auto" w:fill="auto"/>
            <w:noWrap/>
            <w:vAlign w:val="bottom"/>
            <w:hideMark/>
          </w:tcPr>
          <w:p w14:paraId="4C1A9530" w14:textId="4A2DCF0B"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-375.2</w:t>
            </w:r>
          </w:p>
        </w:tc>
        <w:tc>
          <w:tcPr>
            <w:tcW w:w="1402" w:type="dxa"/>
            <w:shd w:val="clear" w:color="000000" w:fill="D9E1F2"/>
            <w:noWrap/>
            <w:vAlign w:val="bottom"/>
            <w:hideMark/>
          </w:tcPr>
          <w:p w14:paraId="32DA3246" w14:textId="17DEDB5E"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-0.7%</w:t>
            </w:r>
          </w:p>
        </w:tc>
      </w:tr>
      <w:tr w:rsidR="00B0692E" w:rsidRPr="00841915" w14:paraId="54B0C043" w14:textId="77777777" w:rsidTr="00F06D1C">
        <w:trPr>
          <w:trHeight w:val="300"/>
        </w:trPr>
        <w:tc>
          <w:tcPr>
            <w:tcW w:w="2400" w:type="dxa"/>
            <w:shd w:val="clear" w:color="auto" w:fill="auto"/>
            <w:noWrap/>
            <w:vAlign w:val="center"/>
            <w:hideMark/>
          </w:tcPr>
          <w:p w14:paraId="37CBD2E0" w14:textId="74537295"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hideMark/>
          </w:tcPr>
          <w:p w14:paraId="2165A149" w14:textId="063EA0C0"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685,144.0 </w:t>
            </w:r>
          </w:p>
        </w:tc>
        <w:tc>
          <w:tcPr>
            <w:tcW w:w="1559" w:type="dxa"/>
            <w:shd w:val="clear" w:color="auto" w:fill="auto"/>
            <w:noWrap/>
            <w:hideMark/>
          </w:tcPr>
          <w:p w14:paraId="52E9330D" w14:textId="26FA5A21"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630,464.7 </w:t>
            </w:r>
          </w:p>
        </w:tc>
        <w:tc>
          <w:tcPr>
            <w:tcW w:w="1535" w:type="dxa"/>
            <w:shd w:val="clear" w:color="auto" w:fill="auto"/>
            <w:noWrap/>
            <w:hideMark/>
          </w:tcPr>
          <w:p w14:paraId="57586924" w14:textId="2644482B"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577,111.1 </w:t>
            </w:r>
          </w:p>
        </w:tc>
        <w:tc>
          <w:tcPr>
            <w:tcW w:w="1526" w:type="dxa"/>
            <w:shd w:val="clear" w:color="auto" w:fill="auto"/>
            <w:noWrap/>
            <w:vAlign w:val="bottom"/>
            <w:hideMark/>
          </w:tcPr>
          <w:p w14:paraId="75C667BC" w14:textId="19B4D469"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-54,679.3</w:t>
            </w:r>
          </w:p>
        </w:tc>
        <w:tc>
          <w:tcPr>
            <w:tcW w:w="1500" w:type="dxa"/>
            <w:shd w:val="clear" w:color="000000" w:fill="D9E1F2"/>
            <w:noWrap/>
            <w:vAlign w:val="bottom"/>
            <w:hideMark/>
          </w:tcPr>
          <w:p w14:paraId="57869972" w14:textId="099F3EDC"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-8.0%</w:t>
            </w:r>
          </w:p>
        </w:tc>
        <w:tc>
          <w:tcPr>
            <w:tcW w:w="1500" w:type="dxa"/>
            <w:shd w:val="clear" w:color="auto" w:fill="auto"/>
            <w:noWrap/>
            <w:vAlign w:val="bottom"/>
            <w:hideMark/>
          </w:tcPr>
          <w:p w14:paraId="61B997E2" w14:textId="21369B0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-53,353.6</w:t>
            </w:r>
          </w:p>
        </w:tc>
        <w:tc>
          <w:tcPr>
            <w:tcW w:w="1402" w:type="dxa"/>
            <w:shd w:val="clear" w:color="000000" w:fill="D9E1F2"/>
            <w:noWrap/>
            <w:vAlign w:val="bottom"/>
            <w:hideMark/>
          </w:tcPr>
          <w:p w14:paraId="2804A167" w14:textId="5A94346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-8.5%</w:t>
            </w:r>
          </w:p>
        </w:tc>
      </w:tr>
      <w:tr w:rsidR="00B0692E" w:rsidRPr="00841915" w14:paraId="26AB772B" w14:textId="77777777" w:rsidTr="00F06D1C">
        <w:trPr>
          <w:trHeight w:val="315"/>
        </w:trPr>
        <w:tc>
          <w:tcPr>
            <w:tcW w:w="2400" w:type="dxa"/>
            <w:shd w:val="clear" w:color="auto" w:fill="auto"/>
            <w:noWrap/>
            <w:vAlign w:val="center"/>
            <w:hideMark/>
          </w:tcPr>
          <w:p w14:paraId="1BCCADFF"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hideMark/>
          </w:tcPr>
          <w:p w14:paraId="163BD972" w14:textId="78CE2124"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879,786.4 </w:t>
            </w:r>
          </w:p>
        </w:tc>
        <w:tc>
          <w:tcPr>
            <w:tcW w:w="1559" w:type="dxa"/>
            <w:shd w:val="clear" w:color="auto" w:fill="auto"/>
            <w:noWrap/>
            <w:hideMark/>
          </w:tcPr>
          <w:p w14:paraId="11119AAC" w14:textId="5474A4D5"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824,317.8 </w:t>
            </w:r>
          </w:p>
        </w:tc>
        <w:tc>
          <w:tcPr>
            <w:tcW w:w="1535" w:type="dxa"/>
            <w:shd w:val="clear" w:color="auto" w:fill="auto"/>
            <w:noWrap/>
            <w:hideMark/>
          </w:tcPr>
          <w:p w14:paraId="6B676B0F" w14:textId="68312BA9"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768,245.3 </w:t>
            </w:r>
          </w:p>
        </w:tc>
        <w:tc>
          <w:tcPr>
            <w:tcW w:w="1526" w:type="dxa"/>
            <w:shd w:val="clear" w:color="auto" w:fill="auto"/>
            <w:noWrap/>
            <w:vAlign w:val="bottom"/>
            <w:hideMark/>
          </w:tcPr>
          <w:p w14:paraId="79830F96" w14:textId="5B3EA76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-55,468.5</w:t>
            </w:r>
          </w:p>
        </w:tc>
        <w:tc>
          <w:tcPr>
            <w:tcW w:w="1500" w:type="dxa"/>
            <w:shd w:val="clear" w:color="000000" w:fill="D9E1F2"/>
            <w:noWrap/>
            <w:vAlign w:val="bottom"/>
            <w:hideMark/>
          </w:tcPr>
          <w:p w14:paraId="33F9F87C" w14:textId="7CEA263B"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-6.3%</w:t>
            </w:r>
          </w:p>
        </w:tc>
        <w:tc>
          <w:tcPr>
            <w:tcW w:w="1500" w:type="dxa"/>
            <w:shd w:val="clear" w:color="auto" w:fill="auto"/>
            <w:noWrap/>
            <w:vAlign w:val="bottom"/>
            <w:hideMark/>
          </w:tcPr>
          <w:p w14:paraId="17BE84CA" w14:textId="7ABEFD2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-56,072.5</w:t>
            </w:r>
          </w:p>
        </w:tc>
        <w:tc>
          <w:tcPr>
            <w:tcW w:w="1402" w:type="dxa"/>
            <w:shd w:val="clear" w:color="000000" w:fill="D9E1F2"/>
            <w:noWrap/>
            <w:vAlign w:val="bottom"/>
            <w:hideMark/>
          </w:tcPr>
          <w:p w14:paraId="02F907C3" w14:textId="5BBC44FE"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-6.8%</w:t>
            </w:r>
          </w:p>
        </w:tc>
      </w:tr>
      <w:tr w:rsidR="00B0692E" w:rsidRPr="00841915" w14:paraId="40FF75AB" w14:textId="77777777" w:rsidTr="00F06D1C">
        <w:trPr>
          <w:trHeight w:val="315"/>
        </w:trPr>
        <w:tc>
          <w:tcPr>
            <w:tcW w:w="2400" w:type="dxa"/>
            <w:shd w:val="clear" w:color="auto" w:fill="auto"/>
            <w:noWrap/>
            <w:vAlign w:val="bottom"/>
            <w:hideMark/>
          </w:tcPr>
          <w:p w14:paraId="1B07705C" w14:textId="77777777" w:rsidR="00B0692E" w:rsidRPr="00841915" w:rsidRDefault="00B0692E" w:rsidP="00F06D1C">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076E4BB2" w14:textId="77777777" w:rsidR="00B0692E" w:rsidRPr="00841915" w:rsidRDefault="00B0692E" w:rsidP="00F06D1C">
            <w:pPr>
              <w:rPr>
                <w:rFonts w:ascii="Times New Roman" w:hAnsi="Times New Roman"/>
                <w:sz w:val="20"/>
                <w:lang w:val="en-AU" w:eastAsia="en-AU"/>
              </w:rPr>
            </w:pPr>
          </w:p>
        </w:tc>
        <w:tc>
          <w:tcPr>
            <w:tcW w:w="1559" w:type="dxa"/>
            <w:shd w:val="clear" w:color="auto" w:fill="auto"/>
            <w:noWrap/>
            <w:vAlign w:val="bottom"/>
            <w:hideMark/>
          </w:tcPr>
          <w:p w14:paraId="2D5AB013" w14:textId="77777777" w:rsidR="00B0692E" w:rsidRPr="00841915" w:rsidRDefault="00B0692E" w:rsidP="00F06D1C">
            <w:pPr>
              <w:rPr>
                <w:rFonts w:ascii="Times New Roman" w:hAnsi="Times New Roman"/>
                <w:sz w:val="20"/>
                <w:lang w:val="en-AU" w:eastAsia="en-AU"/>
              </w:rPr>
            </w:pPr>
          </w:p>
        </w:tc>
        <w:tc>
          <w:tcPr>
            <w:tcW w:w="1535" w:type="dxa"/>
            <w:shd w:val="clear" w:color="auto" w:fill="auto"/>
            <w:noWrap/>
            <w:vAlign w:val="bottom"/>
            <w:hideMark/>
          </w:tcPr>
          <w:p w14:paraId="0B219C87" w14:textId="77777777" w:rsidR="00B0692E" w:rsidRPr="00841915" w:rsidRDefault="00B0692E" w:rsidP="00F06D1C">
            <w:pPr>
              <w:rPr>
                <w:rFonts w:ascii="Times New Roman" w:hAnsi="Times New Roman"/>
                <w:sz w:val="20"/>
                <w:lang w:val="en-AU" w:eastAsia="en-AU"/>
              </w:rPr>
            </w:pPr>
          </w:p>
        </w:tc>
        <w:tc>
          <w:tcPr>
            <w:tcW w:w="1526" w:type="dxa"/>
            <w:shd w:val="clear" w:color="auto" w:fill="auto"/>
            <w:noWrap/>
            <w:vAlign w:val="bottom"/>
            <w:hideMark/>
          </w:tcPr>
          <w:p w14:paraId="237E8F6E"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49514521"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4DD5D87B" w14:textId="77777777" w:rsidR="00B0692E" w:rsidRPr="00841915" w:rsidRDefault="00B0692E" w:rsidP="00F06D1C">
            <w:pPr>
              <w:rPr>
                <w:rFonts w:ascii="Times New Roman" w:hAnsi="Times New Roman"/>
                <w:sz w:val="20"/>
                <w:lang w:val="en-AU" w:eastAsia="en-AU"/>
              </w:rPr>
            </w:pPr>
          </w:p>
        </w:tc>
        <w:tc>
          <w:tcPr>
            <w:tcW w:w="1402" w:type="dxa"/>
            <w:shd w:val="clear" w:color="auto" w:fill="auto"/>
            <w:noWrap/>
            <w:vAlign w:val="bottom"/>
            <w:hideMark/>
          </w:tcPr>
          <w:p w14:paraId="1FDECA31" w14:textId="77777777" w:rsidR="00B0692E" w:rsidRPr="00841915" w:rsidRDefault="00B0692E" w:rsidP="00F06D1C">
            <w:pPr>
              <w:rPr>
                <w:rFonts w:ascii="Times New Roman" w:hAnsi="Times New Roman"/>
                <w:sz w:val="20"/>
                <w:lang w:val="en-AU" w:eastAsia="en-AU"/>
              </w:rPr>
            </w:pPr>
          </w:p>
        </w:tc>
      </w:tr>
      <w:tr w:rsidR="00B0692E" w:rsidRPr="00841915" w14:paraId="7F71ECB1" w14:textId="77777777" w:rsidTr="00F06D1C">
        <w:trPr>
          <w:trHeight w:val="315"/>
        </w:trPr>
        <w:tc>
          <w:tcPr>
            <w:tcW w:w="2400" w:type="dxa"/>
            <w:vMerge w:val="restart"/>
            <w:shd w:val="clear" w:color="auto" w:fill="D9D9D9" w:themeFill="background1" w:themeFillShade="D9"/>
            <w:noWrap/>
            <w:vAlign w:val="center"/>
            <w:hideMark/>
          </w:tcPr>
          <w:p w14:paraId="2351FFFB"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1BD61860"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March</w:t>
            </w:r>
          </w:p>
        </w:tc>
      </w:tr>
      <w:tr w:rsidR="00B0692E" w:rsidRPr="00841915" w14:paraId="0C26B58E" w14:textId="77777777" w:rsidTr="00F06D1C">
        <w:trPr>
          <w:trHeight w:val="315"/>
        </w:trPr>
        <w:tc>
          <w:tcPr>
            <w:tcW w:w="2400" w:type="dxa"/>
            <w:vMerge/>
            <w:shd w:val="clear" w:color="auto" w:fill="D9D9D9" w:themeFill="background1" w:themeFillShade="D9"/>
            <w:vAlign w:val="center"/>
            <w:hideMark/>
          </w:tcPr>
          <w:p w14:paraId="50924FFD" w14:textId="77777777" w:rsidR="00B0692E" w:rsidRPr="00841915" w:rsidRDefault="00B0692E" w:rsidP="00F06D1C">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18138956"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40885559"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493F1E82"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15823FA4"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40D024F6"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B0692E" w:rsidRPr="00841915" w14:paraId="1A9C302A" w14:textId="77777777" w:rsidTr="00F06D1C">
        <w:trPr>
          <w:trHeight w:val="315"/>
        </w:trPr>
        <w:tc>
          <w:tcPr>
            <w:tcW w:w="2400" w:type="dxa"/>
            <w:vMerge/>
            <w:shd w:val="clear" w:color="auto" w:fill="D9D9D9" w:themeFill="background1" w:themeFillShade="D9"/>
            <w:vAlign w:val="center"/>
            <w:hideMark/>
          </w:tcPr>
          <w:p w14:paraId="440FC74D" w14:textId="77777777" w:rsidR="00B0692E" w:rsidRPr="00841915" w:rsidRDefault="00B0692E" w:rsidP="00F06D1C">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2C5DB016"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2139110A"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254F6654"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7215791B"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3CD403C9"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2CA1FCFA" w14:textId="77777777" w:rsidR="00B0692E" w:rsidRPr="00841915" w:rsidRDefault="00B0692E" w:rsidP="00F06D1C">
            <w:pPr>
              <w:rPr>
                <w:rFonts w:ascii="Calibri" w:hAnsi="Calibri" w:cs="Calibri"/>
                <w:b/>
                <w:bCs/>
                <w:color w:val="000000"/>
                <w:sz w:val="22"/>
                <w:szCs w:val="22"/>
                <w:lang w:val="en-AU" w:eastAsia="en-AU"/>
              </w:rPr>
            </w:pPr>
          </w:p>
        </w:tc>
        <w:tc>
          <w:tcPr>
            <w:tcW w:w="1402" w:type="dxa"/>
            <w:vMerge/>
            <w:vAlign w:val="center"/>
            <w:hideMark/>
          </w:tcPr>
          <w:p w14:paraId="5D72DD2F" w14:textId="77777777" w:rsidR="00B0692E" w:rsidRPr="00841915" w:rsidRDefault="00B0692E" w:rsidP="00F06D1C">
            <w:pPr>
              <w:rPr>
                <w:rFonts w:ascii="Calibri" w:hAnsi="Calibri" w:cs="Calibri"/>
                <w:b/>
                <w:bCs/>
                <w:color w:val="000000"/>
                <w:sz w:val="22"/>
                <w:szCs w:val="22"/>
                <w:lang w:val="en-AU" w:eastAsia="en-AU"/>
              </w:rPr>
            </w:pPr>
          </w:p>
        </w:tc>
      </w:tr>
      <w:tr w:rsidR="00B0692E" w:rsidRPr="00841915" w14:paraId="190B464C" w14:textId="77777777" w:rsidTr="00F06D1C">
        <w:trPr>
          <w:trHeight w:val="330"/>
        </w:trPr>
        <w:tc>
          <w:tcPr>
            <w:tcW w:w="2400" w:type="dxa"/>
            <w:shd w:val="clear" w:color="auto" w:fill="auto"/>
            <w:noWrap/>
            <w:vAlign w:val="bottom"/>
            <w:hideMark/>
          </w:tcPr>
          <w:p w14:paraId="74F077CC"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bottom"/>
            <w:hideMark/>
          </w:tcPr>
          <w:p w14:paraId="4830C452" w14:textId="33D0C0CA"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17,595.9 </w:t>
            </w:r>
          </w:p>
        </w:tc>
        <w:tc>
          <w:tcPr>
            <w:tcW w:w="1559" w:type="dxa"/>
            <w:shd w:val="clear" w:color="auto" w:fill="auto"/>
            <w:noWrap/>
            <w:vAlign w:val="bottom"/>
            <w:hideMark/>
          </w:tcPr>
          <w:p w14:paraId="11E85755" w14:textId="6D1A3E3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17,575.0 </w:t>
            </w:r>
          </w:p>
        </w:tc>
        <w:tc>
          <w:tcPr>
            <w:tcW w:w="1535" w:type="dxa"/>
            <w:shd w:val="clear" w:color="auto" w:fill="auto"/>
            <w:noWrap/>
            <w:vAlign w:val="bottom"/>
            <w:hideMark/>
          </w:tcPr>
          <w:p w14:paraId="196B0DAE" w14:textId="5EBFF1B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16,096.8 </w:t>
            </w:r>
          </w:p>
        </w:tc>
        <w:tc>
          <w:tcPr>
            <w:tcW w:w="1526" w:type="dxa"/>
            <w:shd w:val="clear" w:color="auto" w:fill="auto"/>
            <w:noWrap/>
            <w:vAlign w:val="bottom"/>
            <w:hideMark/>
          </w:tcPr>
          <w:p w14:paraId="3AF88FB9" w14:textId="347BA6B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-20.9</w:t>
            </w:r>
          </w:p>
        </w:tc>
        <w:tc>
          <w:tcPr>
            <w:tcW w:w="1500" w:type="dxa"/>
            <w:shd w:val="clear" w:color="000000" w:fill="D9E1F2"/>
            <w:noWrap/>
            <w:vAlign w:val="bottom"/>
            <w:hideMark/>
          </w:tcPr>
          <w:p w14:paraId="6CAE78EE" w14:textId="49B3D72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-0.1%</w:t>
            </w:r>
          </w:p>
        </w:tc>
        <w:tc>
          <w:tcPr>
            <w:tcW w:w="1500" w:type="dxa"/>
            <w:shd w:val="clear" w:color="auto" w:fill="auto"/>
            <w:noWrap/>
            <w:vAlign w:val="bottom"/>
            <w:hideMark/>
          </w:tcPr>
          <w:p w14:paraId="7C6242A9" w14:textId="1FABDC19"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-1,478.2</w:t>
            </w:r>
          </w:p>
        </w:tc>
        <w:tc>
          <w:tcPr>
            <w:tcW w:w="1402" w:type="dxa"/>
            <w:shd w:val="clear" w:color="000000" w:fill="D9E1F2"/>
            <w:noWrap/>
            <w:vAlign w:val="bottom"/>
            <w:hideMark/>
          </w:tcPr>
          <w:p w14:paraId="60A44581" w14:textId="46DEA90A"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-8.4%</w:t>
            </w:r>
          </w:p>
        </w:tc>
      </w:tr>
      <w:tr w:rsidR="00B0692E" w:rsidRPr="00841915" w14:paraId="01B99968" w14:textId="77777777" w:rsidTr="00F06D1C">
        <w:trPr>
          <w:trHeight w:val="300"/>
        </w:trPr>
        <w:tc>
          <w:tcPr>
            <w:tcW w:w="2400" w:type="dxa"/>
            <w:shd w:val="clear" w:color="auto" w:fill="auto"/>
            <w:noWrap/>
            <w:vAlign w:val="bottom"/>
            <w:hideMark/>
          </w:tcPr>
          <w:p w14:paraId="6094A2AE"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bottom"/>
            <w:hideMark/>
          </w:tcPr>
          <w:p w14:paraId="4131DB95" w14:textId="30900935"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7,105.6 </w:t>
            </w:r>
          </w:p>
        </w:tc>
        <w:tc>
          <w:tcPr>
            <w:tcW w:w="1559" w:type="dxa"/>
            <w:shd w:val="clear" w:color="auto" w:fill="auto"/>
            <w:noWrap/>
            <w:vAlign w:val="bottom"/>
            <w:hideMark/>
          </w:tcPr>
          <w:p w14:paraId="30C1ABF6" w14:textId="32B945B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7,619.6 </w:t>
            </w:r>
          </w:p>
        </w:tc>
        <w:tc>
          <w:tcPr>
            <w:tcW w:w="1535" w:type="dxa"/>
            <w:shd w:val="clear" w:color="auto" w:fill="auto"/>
            <w:noWrap/>
            <w:vAlign w:val="bottom"/>
            <w:hideMark/>
          </w:tcPr>
          <w:p w14:paraId="10EEC520" w14:textId="09615825"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6,472.5 </w:t>
            </w:r>
          </w:p>
        </w:tc>
        <w:tc>
          <w:tcPr>
            <w:tcW w:w="1526" w:type="dxa"/>
            <w:shd w:val="clear" w:color="auto" w:fill="auto"/>
            <w:noWrap/>
            <w:vAlign w:val="bottom"/>
            <w:hideMark/>
          </w:tcPr>
          <w:p w14:paraId="330D1E6A" w14:textId="0BA0ED9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514.0</w:t>
            </w:r>
          </w:p>
        </w:tc>
        <w:tc>
          <w:tcPr>
            <w:tcW w:w="1500" w:type="dxa"/>
            <w:shd w:val="clear" w:color="000000" w:fill="D9E1F2"/>
            <w:noWrap/>
            <w:vAlign w:val="bottom"/>
            <w:hideMark/>
          </w:tcPr>
          <w:p w14:paraId="19548E6B" w14:textId="5AFE7E0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7.2%</w:t>
            </w:r>
          </w:p>
        </w:tc>
        <w:tc>
          <w:tcPr>
            <w:tcW w:w="1500" w:type="dxa"/>
            <w:shd w:val="clear" w:color="auto" w:fill="auto"/>
            <w:noWrap/>
            <w:vAlign w:val="bottom"/>
            <w:hideMark/>
          </w:tcPr>
          <w:p w14:paraId="5BE86467" w14:textId="362E2D5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-1,147.1</w:t>
            </w:r>
          </w:p>
        </w:tc>
        <w:tc>
          <w:tcPr>
            <w:tcW w:w="1402" w:type="dxa"/>
            <w:shd w:val="clear" w:color="000000" w:fill="D9E1F2"/>
            <w:noWrap/>
            <w:vAlign w:val="bottom"/>
            <w:hideMark/>
          </w:tcPr>
          <w:p w14:paraId="7D60B2D5" w14:textId="7848887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-15.1%</w:t>
            </w:r>
          </w:p>
        </w:tc>
      </w:tr>
      <w:tr w:rsidR="00B0692E" w:rsidRPr="00841915" w14:paraId="5E603794" w14:textId="77777777" w:rsidTr="00F06D1C">
        <w:trPr>
          <w:trHeight w:val="300"/>
        </w:trPr>
        <w:tc>
          <w:tcPr>
            <w:tcW w:w="2400" w:type="dxa"/>
            <w:shd w:val="clear" w:color="auto" w:fill="auto"/>
            <w:noWrap/>
            <w:vAlign w:val="bottom"/>
            <w:hideMark/>
          </w:tcPr>
          <w:p w14:paraId="483EE05B" w14:textId="3F0292D9"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 xml:space="preserve">, </w:t>
            </w:r>
            <w:r w:rsidRPr="00841915">
              <w:rPr>
                <w:rFonts w:ascii="Calibri" w:hAnsi="Calibri" w:cs="Calibri"/>
                <w:b/>
                <w:bCs/>
                <w:color w:val="000000"/>
                <w:sz w:val="22"/>
                <w:szCs w:val="22"/>
                <w:lang w:val="en-AU" w:eastAsia="en-AU"/>
              </w:rPr>
              <w:t>non-Pacific</w:t>
            </w:r>
          </w:p>
        </w:tc>
        <w:tc>
          <w:tcPr>
            <w:tcW w:w="1418" w:type="dxa"/>
            <w:shd w:val="clear" w:color="auto" w:fill="auto"/>
            <w:noWrap/>
            <w:vAlign w:val="bottom"/>
            <w:hideMark/>
          </w:tcPr>
          <w:p w14:paraId="2F31D808" w14:textId="5564B413"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83,979.9 </w:t>
            </w:r>
          </w:p>
        </w:tc>
        <w:tc>
          <w:tcPr>
            <w:tcW w:w="1559" w:type="dxa"/>
            <w:shd w:val="clear" w:color="auto" w:fill="auto"/>
            <w:noWrap/>
            <w:vAlign w:val="bottom"/>
            <w:hideMark/>
          </w:tcPr>
          <w:p w14:paraId="263974A3" w14:textId="778B8E2E"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76,408.3 </w:t>
            </w:r>
          </w:p>
        </w:tc>
        <w:tc>
          <w:tcPr>
            <w:tcW w:w="1535" w:type="dxa"/>
            <w:shd w:val="clear" w:color="auto" w:fill="auto"/>
            <w:noWrap/>
            <w:vAlign w:val="bottom"/>
            <w:hideMark/>
          </w:tcPr>
          <w:p w14:paraId="053C60DE" w14:textId="3B79570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68,790.7 </w:t>
            </w:r>
          </w:p>
        </w:tc>
        <w:tc>
          <w:tcPr>
            <w:tcW w:w="1526" w:type="dxa"/>
            <w:shd w:val="clear" w:color="auto" w:fill="auto"/>
            <w:noWrap/>
            <w:vAlign w:val="bottom"/>
            <w:hideMark/>
          </w:tcPr>
          <w:p w14:paraId="785CDB58" w14:textId="30D1F28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-7,571.6</w:t>
            </w:r>
          </w:p>
        </w:tc>
        <w:tc>
          <w:tcPr>
            <w:tcW w:w="1500" w:type="dxa"/>
            <w:shd w:val="clear" w:color="000000" w:fill="D9E1F2"/>
            <w:noWrap/>
            <w:vAlign w:val="bottom"/>
            <w:hideMark/>
          </w:tcPr>
          <w:p w14:paraId="1D57AFBD" w14:textId="2066D4F8"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-9.0%</w:t>
            </w:r>
          </w:p>
        </w:tc>
        <w:tc>
          <w:tcPr>
            <w:tcW w:w="1500" w:type="dxa"/>
            <w:shd w:val="clear" w:color="auto" w:fill="auto"/>
            <w:noWrap/>
            <w:vAlign w:val="bottom"/>
            <w:hideMark/>
          </w:tcPr>
          <w:p w14:paraId="47FDA75F" w14:textId="6BE988B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-7,617.5</w:t>
            </w:r>
          </w:p>
        </w:tc>
        <w:tc>
          <w:tcPr>
            <w:tcW w:w="1402" w:type="dxa"/>
            <w:shd w:val="clear" w:color="000000" w:fill="D9E1F2"/>
            <w:noWrap/>
            <w:vAlign w:val="bottom"/>
            <w:hideMark/>
          </w:tcPr>
          <w:p w14:paraId="690ACCD0" w14:textId="14AEFEB4"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-10.0%</w:t>
            </w:r>
          </w:p>
        </w:tc>
      </w:tr>
      <w:tr w:rsidR="00B0692E" w:rsidRPr="00841915" w14:paraId="3F56100F" w14:textId="77777777" w:rsidTr="00F06D1C">
        <w:trPr>
          <w:trHeight w:val="315"/>
        </w:trPr>
        <w:tc>
          <w:tcPr>
            <w:tcW w:w="2400" w:type="dxa"/>
            <w:shd w:val="clear" w:color="auto" w:fill="auto"/>
            <w:noWrap/>
            <w:vAlign w:val="bottom"/>
            <w:hideMark/>
          </w:tcPr>
          <w:p w14:paraId="2C4117D0"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bottom"/>
            <w:hideMark/>
          </w:tcPr>
          <w:p w14:paraId="583B4161" w14:textId="507A98BF"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108,681.3 </w:t>
            </w:r>
          </w:p>
        </w:tc>
        <w:tc>
          <w:tcPr>
            <w:tcW w:w="1559" w:type="dxa"/>
            <w:shd w:val="clear" w:color="auto" w:fill="auto"/>
            <w:noWrap/>
            <w:vAlign w:val="bottom"/>
            <w:hideMark/>
          </w:tcPr>
          <w:p w14:paraId="744816A1" w14:textId="3C4247FC"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101,602.9 </w:t>
            </w:r>
          </w:p>
        </w:tc>
        <w:tc>
          <w:tcPr>
            <w:tcW w:w="1535" w:type="dxa"/>
            <w:shd w:val="clear" w:color="auto" w:fill="auto"/>
            <w:noWrap/>
            <w:vAlign w:val="bottom"/>
            <w:hideMark/>
          </w:tcPr>
          <w:p w14:paraId="0C990A04" w14:textId="34A0CDE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91,360.0 </w:t>
            </w:r>
          </w:p>
        </w:tc>
        <w:tc>
          <w:tcPr>
            <w:tcW w:w="1526" w:type="dxa"/>
            <w:shd w:val="clear" w:color="auto" w:fill="auto"/>
            <w:noWrap/>
            <w:vAlign w:val="bottom"/>
            <w:hideMark/>
          </w:tcPr>
          <w:p w14:paraId="6621E1BD" w14:textId="7EA44E15"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-7,078.5</w:t>
            </w:r>
          </w:p>
        </w:tc>
        <w:tc>
          <w:tcPr>
            <w:tcW w:w="1500" w:type="dxa"/>
            <w:shd w:val="clear" w:color="000000" w:fill="D9E1F2"/>
            <w:noWrap/>
            <w:vAlign w:val="bottom"/>
            <w:hideMark/>
          </w:tcPr>
          <w:p w14:paraId="3CDE08E5" w14:textId="44C624A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-6.5%</w:t>
            </w:r>
          </w:p>
        </w:tc>
        <w:tc>
          <w:tcPr>
            <w:tcW w:w="1500" w:type="dxa"/>
            <w:shd w:val="clear" w:color="auto" w:fill="auto"/>
            <w:noWrap/>
            <w:vAlign w:val="bottom"/>
            <w:hideMark/>
          </w:tcPr>
          <w:p w14:paraId="2D080EFC" w14:textId="12B1B2CD"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-10,242.9</w:t>
            </w:r>
          </w:p>
        </w:tc>
        <w:tc>
          <w:tcPr>
            <w:tcW w:w="1402" w:type="dxa"/>
            <w:shd w:val="clear" w:color="000000" w:fill="D9E1F2"/>
            <w:noWrap/>
            <w:vAlign w:val="bottom"/>
            <w:hideMark/>
          </w:tcPr>
          <w:p w14:paraId="2933B290" w14:textId="18E47BA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-10.1%</w:t>
            </w:r>
          </w:p>
        </w:tc>
      </w:tr>
      <w:tr w:rsidR="00B0692E" w:rsidRPr="00841915" w14:paraId="777218EE" w14:textId="77777777" w:rsidTr="00F06D1C">
        <w:trPr>
          <w:trHeight w:val="315"/>
        </w:trPr>
        <w:tc>
          <w:tcPr>
            <w:tcW w:w="2400" w:type="dxa"/>
            <w:shd w:val="clear" w:color="auto" w:fill="auto"/>
            <w:noWrap/>
            <w:vAlign w:val="bottom"/>
            <w:hideMark/>
          </w:tcPr>
          <w:p w14:paraId="63B2EFCE" w14:textId="77777777" w:rsidR="00B0692E" w:rsidRPr="00841915" w:rsidRDefault="00B0692E" w:rsidP="00F06D1C">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62A6A24D" w14:textId="77777777" w:rsidR="00B0692E" w:rsidRPr="00841915" w:rsidRDefault="00B0692E" w:rsidP="00F06D1C">
            <w:pPr>
              <w:rPr>
                <w:rFonts w:ascii="Times New Roman" w:hAnsi="Times New Roman"/>
                <w:sz w:val="20"/>
                <w:lang w:val="en-AU" w:eastAsia="en-AU"/>
              </w:rPr>
            </w:pPr>
          </w:p>
        </w:tc>
        <w:tc>
          <w:tcPr>
            <w:tcW w:w="1559" w:type="dxa"/>
            <w:shd w:val="clear" w:color="auto" w:fill="auto"/>
            <w:noWrap/>
            <w:vAlign w:val="bottom"/>
            <w:hideMark/>
          </w:tcPr>
          <w:p w14:paraId="2DAD5677" w14:textId="77777777" w:rsidR="00B0692E" w:rsidRPr="00841915" w:rsidRDefault="00B0692E" w:rsidP="00F06D1C">
            <w:pPr>
              <w:rPr>
                <w:rFonts w:ascii="Times New Roman" w:hAnsi="Times New Roman"/>
                <w:sz w:val="20"/>
                <w:lang w:val="en-AU" w:eastAsia="en-AU"/>
              </w:rPr>
            </w:pPr>
          </w:p>
        </w:tc>
        <w:tc>
          <w:tcPr>
            <w:tcW w:w="1535" w:type="dxa"/>
            <w:shd w:val="clear" w:color="auto" w:fill="auto"/>
            <w:noWrap/>
            <w:vAlign w:val="bottom"/>
            <w:hideMark/>
          </w:tcPr>
          <w:p w14:paraId="6DDADBAF" w14:textId="77777777" w:rsidR="00B0692E" w:rsidRPr="00841915" w:rsidRDefault="00B0692E" w:rsidP="00F06D1C">
            <w:pPr>
              <w:rPr>
                <w:rFonts w:ascii="Times New Roman" w:hAnsi="Times New Roman"/>
                <w:sz w:val="20"/>
                <w:lang w:val="en-AU" w:eastAsia="en-AU"/>
              </w:rPr>
            </w:pPr>
          </w:p>
        </w:tc>
        <w:tc>
          <w:tcPr>
            <w:tcW w:w="1526" w:type="dxa"/>
            <w:shd w:val="clear" w:color="auto" w:fill="auto"/>
            <w:noWrap/>
            <w:vAlign w:val="bottom"/>
            <w:hideMark/>
          </w:tcPr>
          <w:p w14:paraId="002ABB38"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025D0387"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455CFDA7" w14:textId="77777777" w:rsidR="00B0692E" w:rsidRPr="00841915" w:rsidRDefault="00B0692E" w:rsidP="00F06D1C">
            <w:pPr>
              <w:rPr>
                <w:rFonts w:ascii="Times New Roman" w:hAnsi="Times New Roman"/>
                <w:sz w:val="20"/>
                <w:lang w:val="en-AU" w:eastAsia="en-AU"/>
              </w:rPr>
            </w:pPr>
          </w:p>
        </w:tc>
        <w:tc>
          <w:tcPr>
            <w:tcW w:w="1402" w:type="dxa"/>
            <w:shd w:val="clear" w:color="auto" w:fill="auto"/>
            <w:noWrap/>
            <w:vAlign w:val="bottom"/>
            <w:hideMark/>
          </w:tcPr>
          <w:p w14:paraId="1B7BCCF2" w14:textId="77777777" w:rsidR="00B0692E" w:rsidRPr="00841915" w:rsidRDefault="00B0692E" w:rsidP="00F06D1C">
            <w:pPr>
              <w:rPr>
                <w:rFonts w:ascii="Times New Roman" w:hAnsi="Times New Roman"/>
                <w:sz w:val="20"/>
                <w:lang w:val="en-AU" w:eastAsia="en-AU"/>
              </w:rPr>
            </w:pPr>
          </w:p>
        </w:tc>
      </w:tr>
    </w:tbl>
    <w:p w14:paraId="23496F94" w14:textId="583724F5" w:rsidR="00B0692E" w:rsidRDefault="00B0692E" w:rsidP="00B0692E"/>
    <w:p w14:paraId="5691B600" w14:textId="1158FF74" w:rsidR="00B0692E" w:rsidRDefault="00B0692E" w:rsidP="00B0692E"/>
    <w:p w14:paraId="1E4CCCD9" w14:textId="6A9EDD6E" w:rsidR="00B0692E" w:rsidRDefault="00B0692E" w:rsidP="00B0692E"/>
    <w:p w14:paraId="6BA1BF51" w14:textId="37357805" w:rsidR="00B0692E" w:rsidRDefault="00B0692E" w:rsidP="00B0692E"/>
    <w:p w14:paraId="194A1962" w14:textId="4ABC759B" w:rsidR="00B0692E" w:rsidRDefault="00B0692E" w:rsidP="00B0692E"/>
    <w:p w14:paraId="3AF88D35" w14:textId="6C4DF22F" w:rsidR="00B0692E" w:rsidRDefault="00B0692E" w:rsidP="00B0692E"/>
    <w:p w14:paraId="0550DD4E" w14:textId="0A469FED" w:rsidR="00B0692E" w:rsidRDefault="00B0692E" w:rsidP="00B0692E"/>
    <w:p w14:paraId="52720F7A" w14:textId="77777777" w:rsidR="00B0692E" w:rsidRDefault="00B0692E" w:rsidP="00B0692E"/>
    <w:p w14:paraId="2F072B6E" w14:textId="4119F241" w:rsidR="00B0692E" w:rsidRDefault="00B0692E" w:rsidP="00B0692E"/>
    <w:tbl>
      <w:tblPr>
        <w:tblW w:w="12840" w:type="dxa"/>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400"/>
        <w:gridCol w:w="1418"/>
        <w:gridCol w:w="1559"/>
        <w:gridCol w:w="1535"/>
        <w:gridCol w:w="1526"/>
        <w:gridCol w:w="1500"/>
        <w:gridCol w:w="1500"/>
        <w:gridCol w:w="1402"/>
      </w:tblGrid>
      <w:tr w:rsidR="00B0692E" w:rsidRPr="00841915" w14:paraId="0EC70A85" w14:textId="77777777" w:rsidTr="00F06D1C">
        <w:trPr>
          <w:trHeight w:val="315"/>
        </w:trPr>
        <w:tc>
          <w:tcPr>
            <w:tcW w:w="2400" w:type="dxa"/>
            <w:vMerge w:val="restart"/>
            <w:shd w:val="clear" w:color="auto" w:fill="D9D9D9" w:themeFill="background1" w:themeFillShade="D9"/>
            <w:noWrap/>
            <w:vAlign w:val="center"/>
            <w:hideMark/>
          </w:tcPr>
          <w:p w14:paraId="1D8A0A8D"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53C384B6"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April</w:t>
            </w:r>
          </w:p>
        </w:tc>
      </w:tr>
      <w:tr w:rsidR="00B0692E" w:rsidRPr="00841915" w14:paraId="337F98F4" w14:textId="77777777" w:rsidTr="00F06D1C">
        <w:trPr>
          <w:trHeight w:val="315"/>
        </w:trPr>
        <w:tc>
          <w:tcPr>
            <w:tcW w:w="2400" w:type="dxa"/>
            <w:vMerge/>
            <w:shd w:val="clear" w:color="auto" w:fill="D9D9D9" w:themeFill="background1" w:themeFillShade="D9"/>
            <w:vAlign w:val="center"/>
            <w:hideMark/>
          </w:tcPr>
          <w:p w14:paraId="04EB3FFA" w14:textId="77777777" w:rsidR="00B0692E" w:rsidRPr="00841915" w:rsidRDefault="00B0692E" w:rsidP="00F06D1C">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5001FB03"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77078DD5"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77D92C39"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61826CAF"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639057A7"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B0692E" w:rsidRPr="00841915" w14:paraId="733899DB" w14:textId="77777777" w:rsidTr="00F06D1C">
        <w:trPr>
          <w:trHeight w:val="315"/>
        </w:trPr>
        <w:tc>
          <w:tcPr>
            <w:tcW w:w="2400" w:type="dxa"/>
            <w:vMerge/>
            <w:shd w:val="clear" w:color="auto" w:fill="D9D9D9" w:themeFill="background1" w:themeFillShade="D9"/>
            <w:vAlign w:val="center"/>
            <w:hideMark/>
          </w:tcPr>
          <w:p w14:paraId="411BA913" w14:textId="77777777" w:rsidR="00B0692E" w:rsidRPr="00841915" w:rsidRDefault="00B0692E" w:rsidP="00F06D1C">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5D320EF9"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647554D3"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044411DA"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426D7A96"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7D04B4A4"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3892E3DA" w14:textId="77777777" w:rsidR="00B0692E" w:rsidRPr="00841915" w:rsidRDefault="00B0692E" w:rsidP="00F06D1C">
            <w:pPr>
              <w:rPr>
                <w:rFonts w:ascii="Calibri" w:hAnsi="Calibri" w:cs="Calibri"/>
                <w:b/>
                <w:bCs/>
                <w:color w:val="000000"/>
                <w:sz w:val="22"/>
                <w:szCs w:val="22"/>
                <w:lang w:val="en-AU" w:eastAsia="en-AU"/>
              </w:rPr>
            </w:pPr>
          </w:p>
        </w:tc>
        <w:tc>
          <w:tcPr>
            <w:tcW w:w="1402" w:type="dxa"/>
            <w:vMerge/>
            <w:vAlign w:val="center"/>
            <w:hideMark/>
          </w:tcPr>
          <w:p w14:paraId="763BE7CD" w14:textId="77777777" w:rsidR="00B0692E" w:rsidRPr="00841915" w:rsidRDefault="00B0692E" w:rsidP="00F06D1C">
            <w:pPr>
              <w:rPr>
                <w:rFonts w:ascii="Calibri" w:hAnsi="Calibri" w:cs="Calibri"/>
                <w:b/>
                <w:bCs/>
                <w:color w:val="000000"/>
                <w:sz w:val="22"/>
                <w:szCs w:val="22"/>
                <w:lang w:val="en-AU" w:eastAsia="en-AU"/>
              </w:rPr>
            </w:pPr>
          </w:p>
        </w:tc>
      </w:tr>
      <w:tr w:rsidR="00B0692E" w:rsidRPr="00841915" w14:paraId="52BA02CB" w14:textId="77777777" w:rsidTr="00F06D1C">
        <w:trPr>
          <w:trHeight w:val="315"/>
        </w:trPr>
        <w:tc>
          <w:tcPr>
            <w:tcW w:w="2400" w:type="dxa"/>
            <w:shd w:val="clear" w:color="auto" w:fill="auto"/>
            <w:noWrap/>
            <w:vAlign w:val="bottom"/>
            <w:hideMark/>
          </w:tcPr>
          <w:p w14:paraId="5D736676"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hideMark/>
          </w:tcPr>
          <w:p w14:paraId="2F2E991B" w14:textId="5816416D"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15,727.0 </w:t>
            </w:r>
          </w:p>
        </w:tc>
        <w:tc>
          <w:tcPr>
            <w:tcW w:w="1559" w:type="dxa"/>
            <w:shd w:val="clear" w:color="auto" w:fill="auto"/>
            <w:noWrap/>
            <w:hideMark/>
          </w:tcPr>
          <w:p w14:paraId="29B46B4A" w14:textId="61BFE3FE"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16,301.5 </w:t>
            </w:r>
          </w:p>
        </w:tc>
        <w:tc>
          <w:tcPr>
            <w:tcW w:w="1535" w:type="dxa"/>
            <w:shd w:val="clear" w:color="auto" w:fill="auto"/>
            <w:noWrap/>
            <w:hideMark/>
          </w:tcPr>
          <w:p w14:paraId="0984BE7E" w14:textId="56C53694"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9,525.3 </w:t>
            </w:r>
          </w:p>
        </w:tc>
        <w:tc>
          <w:tcPr>
            <w:tcW w:w="1526" w:type="dxa"/>
            <w:shd w:val="clear" w:color="auto" w:fill="auto"/>
            <w:noWrap/>
            <w:hideMark/>
          </w:tcPr>
          <w:p w14:paraId="448C9BA0" w14:textId="310C9568"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574.6</w:t>
            </w:r>
          </w:p>
        </w:tc>
        <w:tc>
          <w:tcPr>
            <w:tcW w:w="1500" w:type="dxa"/>
            <w:shd w:val="clear" w:color="000000" w:fill="D9E1F2"/>
            <w:noWrap/>
            <w:hideMark/>
          </w:tcPr>
          <w:p w14:paraId="613B1746" w14:textId="25816DAD"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3.7%</w:t>
            </w:r>
          </w:p>
        </w:tc>
        <w:tc>
          <w:tcPr>
            <w:tcW w:w="1500" w:type="dxa"/>
            <w:shd w:val="clear" w:color="auto" w:fill="auto"/>
            <w:noWrap/>
            <w:hideMark/>
          </w:tcPr>
          <w:p w14:paraId="32F8C394" w14:textId="0A1812E0"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-6,776.2</w:t>
            </w:r>
          </w:p>
        </w:tc>
        <w:tc>
          <w:tcPr>
            <w:tcW w:w="1402" w:type="dxa"/>
            <w:shd w:val="clear" w:color="000000" w:fill="D9E1F2"/>
            <w:noWrap/>
            <w:hideMark/>
          </w:tcPr>
          <w:p w14:paraId="0C73D4DE" w14:textId="79FC4A96"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-41.6%</w:t>
            </w:r>
          </w:p>
        </w:tc>
      </w:tr>
      <w:tr w:rsidR="00B0692E" w:rsidRPr="00841915" w14:paraId="056B869E" w14:textId="77777777" w:rsidTr="00F06D1C">
        <w:trPr>
          <w:trHeight w:val="300"/>
        </w:trPr>
        <w:tc>
          <w:tcPr>
            <w:tcW w:w="2400" w:type="dxa"/>
            <w:shd w:val="clear" w:color="auto" w:fill="auto"/>
            <w:noWrap/>
            <w:vAlign w:val="bottom"/>
            <w:hideMark/>
          </w:tcPr>
          <w:p w14:paraId="4509FDC9"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hideMark/>
          </w:tcPr>
          <w:p w14:paraId="2B59F245" w14:textId="7B85A2E8"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6,918.5 </w:t>
            </w:r>
          </w:p>
        </w:tc>
        <w:tc>
          <w:tcPr>
            <w:tcW w:w="1559" w:type="dxa"/>
            <w:shd w:val="clear" w:color="auto" w:fill="auto"/>
            <w:noWrap/>
            <w:hideMark/>
          </w:tcPr>
          <w:p w14:paraId="34B00A46" w14:textId="14BEB0BB"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6,832.5 </w:t>
            </w:r>
          </w:p>
        </w:tc>
        <w:tc>
          <w:tcPr>
            <w:tcW w:w="1535" w:type="dxa"/>
            <w:shd w:val="clear" w:color="auto" w:fill="auto"/>
            <w:noWrap/>
            <w:hideMark/>
          </w:tcPr>
          <w:p w14:paraId="6086E4A9" w14:textId="67DA7DBC"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4,238.2 </w:t>
            </w:r>
          </w:p>
        </w:tc>
        <w:tc>
          <w:tcPr>
            <w:tcW w:w="1526" w:type="dxa"/>
            <w:shd w:val="clear" w:color="auto" w:fill="auto"/>
            <w:noWrap/>
            <w:hideMark/>
          </w:tcPr>
          <w:p w14:paraId="31FF214E" w14:textId="2E758393"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-86.1</w:t>
            </w:r>
          </w:p>
        </w:tc>
        <w:tc>
          <w:tcPr>
            <w:tcW w:w="1500" w:type="dxa"/>
            <w:shd w:val="clear" w:color="000000" w:fill="D9E1F2"/>
            <w:noWrap/>
            <w:hideMark/>
          </w:tcPr>
          <w:p w14:paraId="23AD751F" w14:textId="1A9ED12B"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-1.2%</w:t>
            </w:r>
          </w:p>
        </w:tc>
        <w:tc>
          <w:tcPr>
            <w:tcW w:w="1500" w:type="dxa"/>
            <w:shd w:val="clear" w:color="auto" w:fill="auto"/>
            <w:noWrap/>
            <w:hideMark/>
          </w:tcPr>
          <w:p w14:paraId="5072DA30" w14:textId="5ED29722"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-2,594.3</w:t>
            </w:r>
          </w:p>
        </w:tc>
        <w:tc>
          <w:tcPr>
            <w:tcW w:w="1402" w:type="dxa"/>
            <w:shd w:val="clear" w:color="000000" w:fill="D9E1F2"/>
            <w:noWrap/>
            <w:hideMark/>
          </w:tcPr>
          <w:p w14:paraId="6129388E" w14:textId="303BE3C4"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-38.0%</w:t>
            </w:r>
          </w:p>
        </w:tc>
      </w:tr>
      <w:tr w:rsidR="00B0692E" w:rsidRPr="00841915" w14:paraId="5FD58AFA" w14:textId="77777777" w:rsidTr="00F06D1C">
        <w:trPr>
          <w:trHeight w:val="300"/>
        </w:trPr>
        <w:tc>
          <w:tcPr>
            <w:tcW w:w="2400" w:type="dxa"/>
            <w:shd w:val="clear" w:color="auto" w:fill="auto"/>
            <w:noWrap/>
            <w:vAlign w:val="bottom"/>
            <w:hideMark/>
          </w:tcPr>
          <w:p w14:paraId="09180583" w14:textId="60C8588F"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hideMark/>
          </w:tcPr>
          <w:p w14:paraId="79982936" w14:textId="30D36388"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79,883.5 </w:t>
            </w:r>
          </w:p>
        </w:tc>
        <w:tc>
          <w:tcPr>
            <w:tcW w:w="1559" w:type="dxa"/>
            <w:shd w:val="clear" w:color="auto" w:fill="auto"/>
            <w:noWrap/>
            <w:hideMark/>
          </w:tcPr>
          <w:p w14:paraId="5D71E66A" w14:textId="25654A4E"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71,507.2 </w:t>
            </w:r>
          </w:p>
        </w:tc>
        <w:tc>
          <w:tcPr>
            <w:tcW w:w="1535" w:type="dxa"/>
            <w:shd w:val="clear" w:color="auto" w:fill="auto"/>
            <w:noWrap/>
            <w:hideMark/>
          </w:tcPr>
          <w:p w14:paraId="75A15CA0" w14:textId="6FE26031"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43,855.3 </w:t>
            </w:r>
          </w:p>
        </w:tc>
        <w:tc>
          <w:tcPr>
            <w:tcW w:w="1526" w:type="dxa"/>
            <w:shd w:val="clear" w:color="auto" w:fill="auto"/>
            <w:noWrap/>
            <w:hideMark/>
          </w:tcPr>
          <w:p w14:paraId="4A6B6A73" w14:textId="0EA8A0ED"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-8,376.3</w:t>
            </w:r>
          </w:p>
        </w:tc>
        <w:tc>
          <w:tcPr>
            <w:tcW w:w="1500" w:type="dxa"/>
            <w:shd w:val="clear" w:color="000000" w:fill="D9E1F2"/>
            <w:noWrap/>
            <w:hideMark/>
          </w:tcPr>
          <w:p w14:paraId="15DF8F3A" w14:textId="051CCB28"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-10.5%</w:t>
            </w:r>
          </w:p>
        </w:tc>
        <w:tc>
          <w:tcPr>
            <w:tcW w:w="1500" w:type="dxa"/>
            <w:shd w:val="clear" w:color="auto" w:fill="auto"/>
            <w:noWrap/>
            <w:hideMark/>
          </w:tcPr>
          <w:p w14:paraId="3C86688E" w14:textId="6F514755"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-27,651.9</w:t>
            </w:r>
          </w:p>
        </w:tc>
        <w:tc>
          <w:tcPr>
            <w:tcW w:w="1402" w:type="dxa"/>
            <w:shd w:val="clear" w:color="000000" w:fill="D9E1F2"/>
            <w:noWrap/>
            <w:hideMark/>
          </w:tcPr>
          <w:p w14:paraId="0B65EA2E" w14:textId="220D54EB"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-38.7%</w:t>
            </w:r>
          </w:p>
        </w:tc>
      </w:tr>
      <w:tr w:rsidR="00B0692E" w:rsidRPr="00841915" w14:paraId="550849CF" w14:textId="77777777" w:rsidTr="00F06D1C">
        <w:trPr>
          <w:trHeight w:val="315"/>
        </w:trPr>
        <w:tc>
          <w:tcPr>
            <w:tcW w:w="2400" w:type="dxa"/>
            <w:shd w:val="clear" w:color="auto" w:fill="auto"/>
            <w:noWrap/>
            <w:vAlign w:val="bottom"/>
            <w:hideMark/>
          </w:tcPr>
          <w:p w14:paraId="1E416F5D"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hideMark/>
          </w:tcPr>
          <w:p w14:paraId="4F5A14C2" w14:textId="5B7E01F4"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102,529.0 </w:t>
            </w:r>
          </w:p>
        </w:tc>
        <w:tc>
          <w:tcPr>
            <w:tcW w:w="1559" w:type="dxa"/>
            <w:shd w:val="clear" w:color="auto" w:fill="auto"/>
            <w:noWrap/>
            <w:hideMark/>
          </w:tcPr>
          <w:p w14:paraId="4DDB2560" w14:textId="7134E06B"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94,641.2 </w:t>
            </w:r>
          </w:p>
        </w:tc>
        <w:tc>
          <w:tcPr>
            <w:tcW w:w="1535" w:type="dxa"/>
            <w:shd w:val="clear" w:color="auto" w:fill="auto"/>
            <w:noWrap/>
            <w:hideMark/>
          </w:tcPr>
          <w:p w14:paraId="6B35B7FA" w14:textId="4BF33C65"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 xml:space="preserve">57,618.7 </w:t>
            </w:r>
          </w:p>
        </w:tc>
        <w:tc>
          <w:tcPr>
            <w:tcW w:w="1526" w:type="dxa"/>
            <w:shd w:val="clear" w:color="auto" w:fill="auto"/>
            <w:noWrap/>
            <w:hideMark/>
          </w:tcPr>
          <w:p w14:paraId="06DFE570" w14:textId="16EB24B5"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-7,887.8</w:t>
            </w:r>
          </w:p>
        </w:tc>
        <w:tc>
          <w:tcPr>
            <w:tcW w:w="1500" w:type="dxa"/>
            <w:shd w:val="clear" w:color="000000" w:fill="D9E1F2"/>
            <w:noWrap/>
            <w:hideMark/>
          </w:tcPr>
          <w:p w14:paraId="5671B7A7" w14:textId="58659955"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-7.7%</w:t>
            </w:r>
          </w:p>
        </w:tc>
        <w:tc>
          <w:tcPr>
            <w:tcW w:w="1500" w:type="dxa"/>
            <w:shd w:val="clear" w:color="auto" w:fill="auto"/>
            <w:noWrap/>
            <w:hideMark/>
          </w:tcPr>
          <w:p w14:paraId="639F63D2" w14:textId="54C4B1B9"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-37,022.4</w:t>
            </w:r>
          </w:p>
        </w:tc>
        <w:tc>
          <w:tcPr>
            <w:tcW w:w="1402" w:type="dxa"/>
            <w:shd w:val="clear" w:color="000000" w:fill="D9E1F2"/>
            <w:noWrap/>
            <w:hideMark/>
          </w:tcPr>
          <w:p w14:paraId="74C56D8A" w14:textId="565A7442" w:rsidR="00B0692E" w:rsidRPr="00841915" w:rsidRDefault="00B0692E" w:rsidP="00B0692E">
            <w:pPr>
              <w:spacing w:before="20" w:after="20"/>
              <w:ind w:right="113"/>
              <w:jc w:val="right"/>
              <w:rPr>
                <w:rFonts w:ascii="Calibri" w:hAnsi="Calibri" w:cs="Calibri"/>
                <w:color w:val="000000"/>
                <w:sz w:val="22"/>
                <w:szCs w:val="22"/>
                <w:lang w:val="en-AU" w:eastAsia="en-AU"/>
              </w:rPr>
            </w:pPr>
            <w:r w:rsidRPr="00B0692E">
              <w:rPr>
                <w:rFonts w:ascii="Calibri" w:hAnsi="Calibri" w:cs="Calibri"/>
                <w:color w:val="000000"/>
                <w:sz w:val="22"/>
                <w:szCs w:val="22"/>
                <w:lang w:val="en-AU" w:eastAsia="en-AU"/>
              </w:rPr>
              <w:t>-39.1%</w:t>
            </w:r>
          </w:p>
        </w:tc>
      </w:tr>
      <w:tr w:rsidR="00B0692E" w:rsidRPr="00841915" w14:paraId="740B955B" w14:textId="77777777" w:rsidTr="00F06D1C">
        <w:trPr>
          <w:trHeight w:val="315"/>
        </w:trPr>
        <w:tc>
          <w:tcPr>
            <w:tcW w:w="2400" w:type="dxa"/>
            <w:shd w:val="clear" w:color="auto" w:fill="auto"/>
            <w:noWrap/>
            <w:vAlign w:val="bottom"/>
            <w:hideMark/>
          </w:tcPr>
          <w:p w14:paraId="3A045BA6" w14:textId="77777777" w:rsidR="00B0692E" w:rsidRPr="00841915" w:rsidRDefault="00B0692E" w:rsidP="00F06D1C">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543CB3CA" w14:textId="77777777" w:rsidR="00B0692E" w:rsidRPr="00841915" w:rsidRDefault="00B0692E" w:rsidP="00F06D1C">
            <w:pPr>
              <w:rPr>
                <w:rFonts w:ascii="Times New Roman" w:hAnsi="Times New Roman"/>
                <w:sz w:val="20"/>
                <w:lang w:val="en-AU" w:eastAsia="en-AU"/>
              </w:rPr>
            </w:pPr>
          </w:p>
        </w:tc>
        <w:tc>
          <w:tcPr>
            <w:tcW w:w="1559" w:type="dxa"/>
            <w:shd w:val="clear" w:color="auto" w:fill="auto"/>
            <w:noWrap/>
            <w:vAlign w:val="bottom"/>
            <w:hideMark/>
          </w:tcPr>
          <w:p w14:paraId="37CA26F9" w14:textId="77777777" w:rsidR="00B0692E" w:rsidRPr="00841915" w:rsidRDefault="00B0692E" w:rsidP="00F06D1C">
            <w:pPr>
              <w:rPr>
                <w:rFonts w:ascii="Times New Roman" w:hAnsi="Times New Roman"/>
                <w:sz w:val="20"/>
                <w:lang w:val="en-AU" w:eastAsia="en-AU"/>
              </w:rPr>
            </w:pPr>
          </w:p>
        </w:tc>
        <w:tc>
          <w:tcPr>
            <w:tcW w:w="1535" w:type="dxa"/>
            <w:shd w:val="clear" w:color="auto" w:fill="auto"/>
            <w:noWrap/>
            <w:vAlign w:val="bottom"/>
            <w:hideMark/>
          </w:tcPr>
          <w:p w14:paraId="6145E915" w14:textId="77777777" w:rsidR="00B0692E" w:rsidRPr="00841915" w:rsidRDefault="00B0692E" w:rsidP="00F06D1C">
            <w:pPr>
              <w:rPr>
                <w:rFonts w:ascii="Times New Roman" w:hAnsi="Times New Roman"/>
                <w:sz w:val="20"/>
                <w:lang w:val="en-AU" w:eastAsia="en-AU"/>
              </w:rPr>
            </w:pPr>
          </w:p>
        </w:tc>
        <w:tc>
          <w:tcPr>
            <w:tcW w:w="1526" w:type="dxa"/>
            <w:shd w:val="clear" w:color="auto" w:fill="auto"/>
            <w:noWrap/>
            <w:vAlign w:val="bottom"/>
            <w:hideMark/>
          </w:tcPr>
          <w:p w14:paraId="520BC789"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28F2A4BE"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7FA6DBEB" w14:textId="77777777" w:rsidR="00B0692E" w:rsidRPr="00841915" w:rsidRDefault="00B0692E" w:rsidP="00F06D1C">
            <w:pPr>
              <w:rPr>
                <w:rFonts w:ascii="Times New Roman" w:hAnsi="Times New Roman"/>
                <w:sz w:val="20"/>
                <w:lang w:val="en-AU" w:eastAsia="en-AU"/>
              </w:rPr>
            </w:pPr>
          </w:p>
        </w:tc>
        <w:tc>
          <w:tcPr>
            <w:tcW w:w="1402" w:type="dxa"/>
            <w:shd w:val="clear" w:color="auto" w:fill="auto"/>
            <w:noWrap/>
            <w:vAlign w:val="bottom"/>
            <w:hideMark/>
          </w:tcPr>
          <w:p w14:paraId="3F4FD0D7" w14:textId="77777777" w:rsidR="00B0692E" w:rsidRPr="00841915" w:rsidRDefault="00B0692E" w:rsidP="00F06D1C">
            <w:pPr>
              <w:rPr>
                <w:rFonts w:ascii="Times New Roman" w:hAnsi="Times New Roman"/>
                <w:sz w:val="20"/>
                <w:lang w:val="en-AU" w:eastAsia="en-AU"/>
              </w:rPr>
            </w:pPr>
          </w:p>
        </w:tc>
      </w:tr>
      <w:tr w:rsidR="00B0692E" w:rsidRPr="00841915" w14:paraId="59539314" w14:textId="77777777" w:rsidTr="00F06D1C">
        <w:trPr>
          <w:trHeight w:val="315"/>
        </w:trPr>
        <w:tc>
          <w:tcPr>
            <w:tcW w:w="2400" w:type="dxa"/>
            <w:vMerge w:val="restart"/>
            <w:shd w:val="clear" w:color="auto" w:fill="D9D9D9" w:themeFill="background1" w:themeFillShade="D9"/>
            <w:noWrap/>
            <w:vAlign w:val="center"/>
            <w:hideMark/>
          </w:tcPr>
          <w:p w14:paraId="7B6DA84F"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38DEE067"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May</w:t>
            </w:r>
          </w:p>
        </w:tc>
      </w:tr>
      <w:tr w:rsidR="00B0692E" w:rsidRPr="00841915" w14:paraId="6E8953F3" w14:textId="77777777" w:rsidTr="00F06D1C">
        <w:trPr>
          <w:trHeight w:val="315"/>
        </w:trPr>
        <w:tc>
          <w:tcPr>
            <w:tcW w:w="2400" w:type="dxa"/>
            <w:vMerge/>
            <w:shd w:val="clear" w:color="auto" w:fill="D9D9D9" w:themeFill="background1" w:themeFillShade="D9"/>
            <w:vAlign w:val="center"/>
            <w:hideMark/>
          </w:tcPr>
          <w:p w14:paraId="763E40ED" w14:textId="77777777" w:rsidR="00B0692E" w:rsidRPr="00841915" w:rsidRDefault="00B0692E" w:rsidP="00F06D1C">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4D4DBC0F"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3A345DF2"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0604E63C"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05012CB2"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191C522D"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B0692E" w:rsidRPr="00841915" w14:paraId="286E0F40" w14:textId="77777777" w:rsidTr="00F06D1C">
        <w:trPr>
          <w:trHeight w:val="315"/>
        </w:trPr>
        <w:tc>
          <w:tcPr>
            <w:tcW w:w="2400" w:type="dxa"/>
            <w:vMerge/>
            <w:shd w:val="clear" w:color="auto" w:fill="D9D9D9" w:themeFill="background1" w:themeFillShade="D9"/>
            <w:vAlign w:val="center"/>
            <w:hideMark/>
          </w:tcPr>
          <w:p w14:paraId="256675AF" w14:textId="77777777" w:rsidR="00B0692E" w:rsidRPr="00841915" w:rsidRDefault="00B0692E" w:rsidP="00F06D1C">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66BD7D55"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0E7E2004"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179EEFC7"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47617338"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008E0197"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62DFB3F4" w14:textId="77777777" w:rsidR="00B0692E" w:rsidRPr="00841915" w:rsidRDefault="00B0692E" w:rsidP="00F06D1C">
            <w:pPr>
              <w:rPr>
                <w:rFonts w:ascii="Calibri" w:hAnsi="Calibri" w:cs="Calibri"/>
                <w:b/>
                <w:bCs/>
                <w:color w:val="000000"/>
                <w:sz w:val="22"/>
                <w:szCs w:val="22"/>
                <w:lang w:val="en-AU" w:eastAsia="en-AU"/>
              </w:rPr>
            </w:pPr>
          </w:p>
        </w:tc>
        <w:tc>
          <w:tcPr>
            <w:tcW w:w="1402" w:type="dxa"/>
            <w:vMerge/>
            <w:vAlign w:val="center"/>
            <w:hideMark/>
          </w:tcPr>
          <w:p w14:paraId="3B077707" w14:textId="77777777" w:rsidR="00B0692E" w:rsidRPr="00841915" w:rsidRDefault="00B0692E" w:rsidP="00F06D1C">
            <w:pPr>
              <w:rPr>
                <w:rFonts w:ascii="Calibri" w:hAnsi="Calibri" w:cs="Calibri"/>
                <w:b/>
                <w:bCs/>
                <w:color w:val="000000"/>
                <w:sz w:val="22"/>
                <w:szCs w:val="22"/>
                <w:lang w:val="en-AU" w:eastAsia="en-AU"/>
              </w:rPr>
            </w:pPr>
          </w:p>
        </w:tc>
      </w:tr>
      <w:tr w:rsidR="00B0692E" w:rsidRPr="00841915" w14:paraId="45720C4A" w14:textId="77777777" w:rsidTr="00F06D1C">
        <w:trPr>
          <w:trHeight w:val="315"/>
        </w:trPr>
        <w:tc>
          <w:tcPr>
            <w:tcW w:w="2400" w:type="dxa"/>
            <w:shd w:val="clear" w:color="auto" w:fill="auto"/>
            <w:noWrap/>
            <w:vAlign w:val="bottom"/>
            <w:hideMark/>
          </w:tcPr>
          <w:p w14:paraId="214BDD93"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bottom"/>
            <w:hideMark/>
          </w:tcPr>
          <w:p w14:paraId="76800347" w14:textId="73B6412D"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18,312.2 </w:t>
            </w:r>
          </w:p>
        </w:tc>
        <w:tc>
          <w:tcPr>
            <w:tcW w:w="1559" w:type="dxa"/>
            <w:shd w:val="clear" w:color="auto" w:fill="auto"/>
            <w:noWrap/>
            <w:vAlign w:val="bottom"/>
            <w:hideMark/>
          </w:tcPr>
          <w:p w14:paraId="280AA172" w14:textId="4639265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17,259.4 </w:t>
            </w:r>
          </w:p>
        </w:tc>
        <w:tc>
          <w:tcPr>
            <w:tcW w:w="1535" w:type="dxa"/>
            <w:shd w:val="clear" w:color="auto" w:fill="auto"/>
            <w:noWrap/>
            <w:vAlign w:val="bottom"/>
            <w:hideMark/>
          </w:tcPr>
          <w:p w14:paraId="3AE0668F" w14:textId="504DAA7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14,160.6 </w:t>
            </w:r>
          </w:p>
        </w:tc>
        <w:tc>
          <w:tcPr>
            <w:tcW w:w="1526" w:type="dxa"/>
            <w:shd w:val="clear" w:color="auto" w:fill="auto"/>
            <w:noWrap/>
            <w:vAlign w:val="bottom"/>
            <w:hideMark/>
          </w:tcPr>
          <w:p w14:paraId="4DCB551D" w14:textId="1E18515E"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-1,052.8</w:t>
            </w:r>
          </w:p>
        </w:tc>
        <w:tc>
          <w:tcPr>
            <w:tcW w:w="1500" w:type="dxa"/>
            <w:shd w:val="clear" w:color="000000" w:fill="D9E1F2"/>
            <w:noWrap/>
            <w:vAlign w:val="bottom"/>
            <w:hideMark/>
          </w:tcPr>
          <w:p w14:paraId="0C8D1939" w14:textId="747768D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-5.7%</w:t>
            </w:r>
          </w:p>
        </w:tc>
        <w:tc>
          <w:tcPr>
            <w:tcW w:w="1500" w:type="dxa"/>
            <w:shd w:val="clear" w:color="auto" w:fill="auto"/>
            <w:noWrap/>
            <w:vAlign w:val="bottom"/>
            <w:hideMark/>
          </w:tcPr>
          <w:p w14:paraId="1C0D5176" w14:textId="3D8D306E"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-3,098.8</w:t>
            </w:r>
          </w:p>
        </w:tc>
        <w:tc>
          <w:tcPr>
            <w:tcW w:w="1402" w:type="dxa"/>
            <w:shd w:val="clear" w:color="000000" w:fill="D9E1F2"/>
            <w:noWrap/>
            <w:vAlign w:val="bottom"/>
            <w:hideMark/>
          </w:tcPr>
          <w:p w14:paraId="45FAE6B8" w14:textId="3106AC4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-18.0%</w:t>
            </w:r>
          </w:p>
        </w:tc>
      </w:tr>
      <w:tr w:rsidR="00B0692E" w:rsidRPr="00841915" w14:paraId="6E2757FE" w14:textId="77777777" w:rsidTr="00F06D1C">
        <w:trPr>
          <w:trHeight w:val="315"/>
        </w:trPr>
        <w:tc>
          <w:tcPr>
            <w:tcW w:w="2400" w:type="dxa"/>
            <w:shd w:val="clear" w:color="auto" w:fill="auto"/>
            <w:noWrap/>
            <w:vAlign w:val="bottom"/>
            <w:hideMark/>
          </w:tcPr>
          <w:p w14:paraId="434E5EDB"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bottom"/>
            <w:hideMark/>
          </w:tcPr>
          <w:p w14:paraId="3099C795" w14:textId="269E27CB"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7,632.6 </w:t>
            </w:r>
          </w:p>
        </w:tc>
        <w:tc>
          <w:tcPr>
            <w:tcW w:w="1559" w:type="dxa"/>
            <w:shd w:val="clear" w:color="auto" w:fill="auto"/>
            <w:noWrap/>
            <w:vAlign w:val="bottom"/>
            <w:hideMark/>
          </w:tcPr>
          <w:p w14:paraId="168A78AC" w14:textId="13E2FE3C"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8,064.8 </w:t>
            </w:r>
          </w:p>
        </w:tc>
        <w:tc>
          <w:tcPr>
            <w:tcW w:w="1535" w:type="dxa"/>
            <w:shd w:val="clear" w:color="auto" w:fill="auto"/>
            <w:noWrap/>
            <w:vAlign w:val="bottom"/>
            <w:hideMark/>
          </w:tcPr>
          <w:p w14:paraId="59441448" w14:textId="630E9B49"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5,746.5 </w:t>
            </w:r>
          </w:p>
        </w:tc>
        <w:tc>
          <w:tcPr>
            <w:tcW w:w="1526" w:type="dxa"/>
            <w:shd w:val="clear" w:color="auto" w:fill="auto"/>
            <w:noWrap/>
            <w:vAlign w:val="bottom"/>
            <w:hideMark/>
          </w:tcPr>
          <w:p w14:paraId="23CAF808" w14:textId="2F37295F"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432.2</w:t>
            </w:r>
          </w:p>
        </w:tc>
        <w:tc>
          <w:tcPr>
            <w:tcW w:w="1500" w:type="dxa"/>
            <w:shd w:val="clear" w:color="000000" w:fill="D9E1F2"/>
            <w:noWrap/>
            <w:vAlign w:val="bottom"/>
            <w:hideMark/>
          </w:tcPr>
          <w:p w14:paraId="3C9A17A2" w14:textId="5859E4F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5.7%</w:t>
            </w:r>
          </w:p>
        </w:tc>
        <w:tc>
          <w:tcPr>
            <w:tcW w:w="1500" w:type="dxa"/>
            <w:shd w:val="clear" w:color="auto" w:fill="auto"/>
            <w:noWrap/>
            <w:vAlign w:val="bottom"/>
            <w:hideMark/>
          </w:tcPr>
          <w:p w14:paraId="7E897BB0" w14:textId="17A8965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-2,318.3</w:t>
            </w:r>
          </w:p>
        </w:tc>
        <w:tc>
          <w:tcPr>
            <w:tcW w:w="1402" w:type="dxa"/>
            <w:shd w:val="clear" w:color="000000" w:fill="D9E1F2"/>
            <w:noWrap/>
            <w:vAlign w:val="bottom"/>
            <w:hideMark/>
          </w:tcPr>
          <w:p w14:paraId="7B5B06F8" w14:textId="157CC5F5"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-28.7%</w:t>
            </w:r>
          </w:p>
        </w:tc>
      </w:tr>
      <w:tr w:rsidR="00B0692E" w:rsidRPr="00841915" w14:paraId="0C9AD06A" w14:textId="77777777" w:rsidTr="00F06D1C">
        <w:trPr>
          <w:trHeight w:val="300"/>
        </w:trPr>
        <w:tc>
          <w:tcPr>
            <w:tcW w:w="2400" w:type="dxa"/>
            <w:shd w:val="clear" w:color="auto" w:fill="auto"/>
            <w:noWrap/>
            <w:vAlign w:val="bottom"/>
            <w:hideMark/>
          </w:tcPr>
          <w:p w14:paraId="7667ADDF" w14:textId="00FA5BF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vAlign w:val="bottom"/>
            <w:hideMark/>
          </w:tcPr>
          <w:p w14:paraId="028634EF" w14:textId="4A9ADF5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86,881.1 </w:t>
            </w:r>
          </w:p>
        </w:tc>
        <w:tc>
          <w:tcPr>
            <w:tcW w:w="1559" w:type="dxa"/>
            <w:shd w:val="clear" w:color="auto" w:fill="auto"/>
            <w:noWrap/>
            <w:vAlign w:val="bottom"/>
            <w:hideMark/>
          </w:tcPr>
          <w:p w14:paraId="71A95E1B" w14:textId="77D1D5E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79,075.2 </w:t>
            </w:r>
          </w:p>
        </w:tc>
        <w:tc>
          <w:tcPr>
            <w:tcW w:w="1535" w:type="dxa"/>
            <w:shd w:val="clear" w:color="auto" w:fill="auto"/>
            <w:noWrap/>
            <w:vAlign w:val="bottom"/>
            <w:hideMark/>
          </w:tcPr>
          <w:p w14:paraId="098C353D" w14:textId="594822C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62,458.8 </w:t>
            </w:r>
          </w:p>
        </w:tc>
        <w:tc>
          <w:tcPr>
            <w:tcW w:w="1526" w:type="dxa"/>
            <w:shd w:val="clear" w:color="auto" w:fill="auto"/>
            <w:noWrap/>
            <w:vAlign w:val="bottom"/>
            <w:hideMark/>
          </w:tcPr>
          <w:p w14:paraId="62E32047" w14:textId="66B475A9"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-7,805.9</w:t>
            </w:r>
          </w:p>
        </w:tc>
        <w:tc>
          <w:tcPr>
            <w:tcW w:w="1500" w:type="dxa"/>
            <w:shd w:val="clear" w:color="000000" w:fill="D9E1F2"/>
            <w:noWrap/>
            <w:vAlign w:val="bottom"/>
            <w:hideMark/>
          </w:tcPr>
          <w:p w14:paraId="3E5A29B2" w14:textId="516463E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-9.0%</w:t>
            </w:r>
          </w:p>
        </w:tc>
        <w:tc>
          <w:tcPr>
            <w:tcW w:w="1500" w:type="dxa"/>
            <w:shd w:val="clear" w:color="auto" w:fill="auto"/>
            <w:noWrap/>
            <w:vAlign w:val="bottom"/>
            <w:hideMark/>
          </w:tcPr>
          <w:p w14:paraId="23FE6CB4" w14:textId="66405993"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-16,616.4</w:t>
            </w:r>
          </w:p>
        </w:tc>
        <w:tc>
          <w:tcPr>
            <w:tcW w:w="1402" w:type="dxa"/>
            <w:shd w:val="clear" w:color="000000" w:fill="D9E1F2"/>
            <w:noWrap/>
            <w:vAlign w:val="bottom"/>
            <w:hideMark/>
          </w:tcPr>
          <w:p w14:paraId="729D0377" w14:textId="55E9D41E"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-21.0%</w:t>
            </w:r>
          </w:p>
        </w:tc>
      </w:tr>
      <w:tr w:rsidR="00B0692E" w:rsidRPr="00841915" w14:paraId="3A6ADADF" w14:textId="77777777" w:rsidTr="00F06D1C">
        <w:trPr>
          <w:trHeight w:val="315"/>
        </w:trPr>
        <w:tc>
          <w:tcPr>
            <w:tcW w:w="2400" w:type="dxa"/>
            <w:shd w:val="clear" w:color="auto" w:fill="auto"/>
            <w:noWrap/>
            <w:vAlign w:val="bottom"/>
            <w:hideMark/>
          </w:tcPr>
          <w:p w14:paraId="2A3A2071"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bottom"/>
            <w:hideMark/>
          </w:tcPr>
          <w:p w14:paraId="12FB4FCB" w14:textId="4548745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112,825.9 </w:t>
            </w:r>
          </w:p>
        </w:tc>
        <w:tc>
          <w:tcPr>
            <w:tcW w:w="1559" w:type="dxa"/>
            <w:shd w:val="clear" w:color="auto" w:fill="auto"/>
            <w:noWrap/>
            <w:vAlign w:val="bottom"/>
            <w:hideMark/>
          </w:tcPr>
          <w:p w14:paraId="4E30CFD3" w14:textId="3C92FD0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104,399.4 </w:t>
            </w:r>
          </w:p>
        </w:tc>
        <w:tc>
          <w:tcPr>
            <w:tcW w:w="1535" w:type="dxa"/>
            <w:shd w:val="clear" w:color="auto" w:fill="auto"/>
            <w:noWrap/>
            <w:vAlign w:val="bottom"/>
            <w:hideMark/>
          </w:tcPr>
          <w:p w14:paraId="41A1AA84" w14:textId="36BF81E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82,365.9 </w:t>
            </w:r>
          </w:p>
        </w:tc>
        <w:tc>
          <w:tcPr>
            <w:tcW w:w="1526" w:type="dxa"/>
            <w:shd w:val="clear" w:color="auto" w:fill="auto"/>
            <w:noWrap/>
            <w:vAlign w:val="bottom"/>
            <w:hideMark/>
          </w:tcPr>
          <w:p w14:paraId="72177420" w14:textId="004A0B2B"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-8,426.6</w:t>
            </w:r>
          </w:p>
        </w:tc>
        <w:tc>
          <w:tcPr>
            <w:tcW w:w="1500" w:type="dxa"/>
            <w:shd w:val="clear" w:color="000000" w:fill="D9E1F2"/>
            <w:noWrap/>
            <w:vAlign w:val="bottom"/>
            <w:hideMark/>
          </w:tcPr>
          <w:p w14:paraId="08CED83B" w14:textId="61FE222B"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-7.5%</w:t>
            </w:r>
          </w:p>
        </w:tc>
        <w:tc>
          <w:tcPr>
            <w:tcW w:w="1500" w:type="dxa"/>
            <w:shd w:val="clear" w:color="auto" w:fill="auto"/>
            <w:noWrap/>
            <w:vAlign w:val="bottom"/>
            <w:hideMark/>
          </w:tcPr>
          <w:p w14:paraId="0249F26E" w14:textId="3D21A35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-22,033.4</w:t>
            </w:r>
          </w:p>
        </w:tc>
        <w:tc>
          <w:tcPr>
            <w:tcW w:w="1402" w:type="dxa"/>
            <w:shd w:val="clear" w:color="000000" w:fill="D9E1F2"/>
            <w:noWrap/>
            <w:vAlign w:val="bottom"/>
            <w:hideMark/>
          </w:tcPr>
          <w:p w14:paraId="69E612C4" w14:textId="15B61D3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-21.1%</w:t>
            </w:r>
          </w:p>
        </w:tc>
      </w:tr>
      <w:tr w:rsidR="00B0692E" w:rsidRPr="00841915" w14:paraId="77398C07" w14:textId="77777777" w:rsidTr="00F06D1C">
        <w:trPr>
          <w:trHeight w:val="315"/>
        </w:trPr>
        <w:tc>
          <w:tcPr>
            <w:tcW w:w="2400" w:type="dxa"/>
            <w:shd w:val="clear" w:color="auto" w:fill="auto"/>
            <w:noWrap/>
            <w:vAlign w:val="bottom"/>
            <w:hideMark/>
          </w:tcPr>
          <w:p w14:paraId="305B7C8C" w14:textId="77777777" w:rsidR="00B0692E" w:rsidRPr="00841915" w:rsidRDefault="00B0692E" w:rsidP="00F06D1C">
            <w:pPr>
              <w:jc w:val="right"/>
              <w:rPr>
                <w:rFonts w:ascii="Calibri" w:hAnsi="Calibri" w:cs="Calibri"/>
                <w:color w:val="000000"/>
                <w:sz w:val="22"/>
                <w:szCs w:val="22"/>
                <w:lang w:val="en-AU" w:eastAsia="en-AU"/>
              </w:rPr>
            </w:pPr>
          </w:p>
        </w:tc>
        <w:tc>
          <w:tcPr>
            <w:tcW w:w="1418" w:type="dxa"/>
            <w:shd w:val="clear" w:color="auto" w:fill="auto"/>
            <w:noWrap/>
            <w:vAlign w:val="bottom"/>
            <w:hideMark/>
          </w:tcPr>
          <w:p w14:paraId="40C5D10A" w14:textId="77777777" w:rsidR="00B0692E" w:rsidRPr="00841915" w:rsidRDefault="00B0692E" w:rsidP="00F06D1C">
            <w:pPr>
              <w:rPr>
                <w:rFonts w:ascii="Times New Roman" w:hAnsi="Times New Roman"/>
                <w:sz w:val="20"/>
                <w:lang w:val="en-AU" w:eastAsia="en-AU"/>
              </w:rPr>
            </w:pPr>
          </w:p>
        </w:tc>
        <w:tc>
          <w:tcPr>
            <w:tcW w:w="1559" w:type="dxa"/>
            <w:shd w:val="clear" w:color="auto" w:fill="auto"/>
            <w:noWrap/>
            <w:vAlign w:val="bottom"/>
            <w:hideMark/>
          </w:tcPr>
          <w:p w14:paraId="7FF13FBA" w14:textId="77777777" w:rsidR="00B0692E" w:rsidRPr="00841915" w:rsidRDefault="00B0692E" w:rsidP="00F06D1C">
            <w:pPr>
              <w:rPr>
                <w:rFonts w:ascii="Times New Roman" w:hAnsi="Times New Roman"/>
                <w:sz w:val="20"/>
                <w:lang w:val="en-AU" w:eastAsia="en-AU"/>
              </w:rPr>
            </w:pPr>
          </w:p>
        </w:tc>
        <w:tc>
          <w:tcPr>
            <w:tcW w:w="1535" w:type="dxa"/>
            <w:shd w:val="clear" w:color="auto" w:fill="auto"/>
            <w:noWrap/>
            <w:vAlign w:val="bottom"/>
            <w:hideMark/>
          </w:tcPr>
          <w:p w14:paraId="6526AD44" w14:textId="77777777" w:rsidR="00B0692E" w:rsidRPr="00841915" w:rsidRDefault="00B0692E" w:rsidP="00F06D1C">
            <w:pPr>
              <w:rPr>
                <w:rFonts w:ascii="Times New Roman" w:hAnsi="Times New Roman"/>
                <w:sz w:val="20"/>
                <w:lang w:val="en-AU" w:eastAsia="en-AU"/>
              </w:rPr>
            </w:pPr>
          </w:p>
        </w:tc>
        <w:tc>
          <w:tcPr>
            <w:tcW w:w="1526" w:type="dxa"/>
            <w:shd w:val="clear" w:color="auto" w:fill="auto"/>
            <w:noWrap/>
            <w:vAlign w:val="bottom"/>
            <w:hideMark/>
          </w:tcPr>
          <w:p w14:paraId="17D1FCB9"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6DD8F1B6" w14:textId="77777777" w:rsidR="00B0692E" w:rsidRPr="00841915" w:rsidRDefault="00B0692E" w:rsidP="00F06D1C">
            <w:pPr>
              <w:rPr>
                <w:rFonts w:ascii="Times New Roman" w:hAnsi="Times New Roman"/>
                <w:sz w:val="20"/>
                <w:lang w:val="en-AU" w:eastAsia="en-AU"/>
              </w:rPr>
            </w:pPr>
          </w:p>
        </w:tc>
        <w:tc>
          <w:tcPr>
            <w:tcW w:w="1500" w:type="dxa"/>
            <w:shd w:val="clear" w:color="auto" w:fill="auto"/>
            <w:noWrap/>
            <w:vAlign w:val="bottom"/>
            <w:hideMark/>
          </w:tcPr>
          <w:p w14:paraId="36BDCF46" w14:textId="77777777" w:rsidR="00B0692E" w:rsidRPr="00841915" w:rsidRDefault="00B0692E" w:rsidP="00F06D1C">
            <w:pPr>
              <w:rPr>
                <w:rFonts w:ascii="Times New Roman" w:hAnsi="Times New Roman"/>
                <w:sz w:val="20"/>
                <w:lang w:val="en-AU" w:eastAsia="en-AU"/>
              </w:rPr>
            </w:pPr>
          </w:p>
        </w:tc>
        <w:tc>
          <w:tcPr>
            <w:tcW w:w="1402" w:type="dxa"/>
            <w:shd w:val="clear" w:color="auto" w:fill="auto"/>
            <w:noWrap/>
            <w:vAlign w:val="bottom"/>
            <w:hideMark/>
          </w:tcPr>
          <w:p w14:paraId="2AC58985" w14:textId="77777777" w:rsidR="00B0692E" w:rsidRPr="00841915" w:rsidRDefault="00B0692E" w:rsidP="00F06D1C">
            <w:pPr>
              <w:rPr>
                <w:rFonts w:ascii="Times New Roman" w:hAnsi="Times New Roman"/>
                <w:sz w:val="20"/>
                <w:lang w:val="en-AU" w:eastAsia="en-AU"/>
              </w:rPr>
            </w:pPr>
          </w:p>
        </w:tc>
      </w:tr>
      <w:tr w:rsidR="00B0692E" w:rsidRPr="00841915" w14:paraId="27166A4A" w14:textId="77777777" w:rsidTr="00F06D1C">
        <w:trPr>
          <w:trHeight w:val="315"/>
        </w:trPr>
        <w:tc>
          <w:tcPr>
            <w:tcW w:w="2400" w:type="dxa"/>
            <w:vMerge w:val="restart"/>
            <w:shd w:val="clear" w:color="auto" w:fill="D9D9D9" w:themeFill="background1" w:themeFillShade="D9"/>
            <w:noWrap/>
            <w:vAlign w:val="center"/>
            <w:hideMark/>
          </w:tcPr>
          <w:p w14:paraId="75BDEB24"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Ethnicity group</w:t>
            </w:r>
          </w:p>
        </w:tc>
        <w:tc>
          <w:tcPr>
            <w:tcW w:w="10440" w:type="dxa"/>
            <w:gridSpan w:val="7"/>
            <w:shd w:val="clear" w:color="auto" w:fill="D9D9D9" w:themeFill="background1" w:themeFillShade="D9"/>
            <w:noWrap/>
            <w:vAlign w:val="bottom"/>
            <w:hideMark/>
          </w:tcPr>
          <w:p w14:paraId="11F2B500"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June</w:t>
            </w:r>
          </w:p>
        </w:tc>
      </w:tr>
      <w:tr w:rsidR="00B0692E" w:rsidRPr="00841915" w14:paraId="636583DF" w14:textId="77777777" w:rsidTr="00F06D1C">
        <w:trPr>
          <w:trHeight w:val="315"/>
        </w:trPr>
        <w:tc>
          <w:tcPr>
            <w:tcW w:w="2400" w:type="dxa"/>
            <w:vMerge/>
            <w:shd w:val="clear" w:color="auto" w:fill="D9D9D9" w:themeFill="background1" w:themeFillShade="D9"/>
            <w:vAlign w:val="center"/>
            <w:hideMark/>
          </w:tcPr>
          <w:p w14:paraId="21F84F95" w14:textId="77777777" w:rsidR="00B0692E" w:rsidRPr="00841915" w:rsidRDefault="00B0692E" w:rsidP="00F06D1C">
            <w:pPr>
              <w:rPr>
                <w:rFonts w:ascii="Calibri" w:hAnsi="Calibri" w:cs="Calibri"/>
                <w:b/>
                <w:bCs/>
                <w:color w:val="000000"/>
                <w:sz w:val="22"/>
                <w:szCs w:val="22"/>
                <w:lang w:val="en-AU" w:eastAsia="en-AU"/>
              </w:rPr>
            </w:pPr>
          </w:p>
        </w:tc>
        <w:tc>
          <w:tcPr>
            <w:tcW w:w="4512" w:type="dxa"/>
            <w:gridSpan w:val="3"/>
            <w:shd w:val="clear" w:color="auto" w:fill="F2F2F2" w:themeFill="background1" w:themeFillShade="F2"/>
            <w:noWrap/>
            <w:vAlign w:val="bottom"/>
            <w:hideMark/>
          </w:tcPr>
          <w:p w14:paraId="4E11D188"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Number of discharges</w:t>
            </w:r>
          </w:p>
        </w:tc>
        <w:tc>
          <w:tcPr>
            <w:tcW w:w="1526" w:type="dxa"/>
            <w:vMerge w:val="restart"/>
            <w:shd w:val="clear" w:color="auto" w:fill="auto"/>
            <w:vAlign w:val="center"/>
            <w:hideMark/>
          </w:tcPr>
          <w:p w14:paraId="1CA03669"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(2018 vs 2019)</w:t>
            </w:r>
          </w:p>
        </w:tc>
        <w:tc>
          <w:tcPr>
            <w:tcW w:w="1500" w:type="dxa"/>
            <w:vMerge w:val="restart"/>
            <w:shd w:val="clear" w:color="000000" w:fill="D9E1F2"/>
            <w:vAlign w:val="center"/>
            <w:hideMark/>
          </w:tcPr>
          <w:p w14:paraId="4954121E"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(2018 vs 2019)</w:t>
            </w:r>
          </w:p>
        </w:tc>
        <w:tc>
          <w:tcPr>
            <w:tcW w:w="1500" w:type="dxa"/>
            <w:vMerge w:val="restart"/>
            <w:shd w:val="clear" w:color="auto" w:fill="auto"/>
            <w:vAlign w:val="center"/>
            <w:hideMark/>
          </w:tcPr>
          <w:p w14:paraId="3947D6AD"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xml:space="preserve">Change </w:t>
            </w:r>
            <w:r w:rsidRPr="00841915">
              <w:rPr>
                <w:rFonts w:ascii="Calibri" w:hAnsi="Calibri" w:cs="Calibri"/>
                <w:b/>
                <w:bCs/>
                <w:color w:val="000000"/>
                <w:sz w:val="22"/>
                <w:szCs w:val="22"/>
                <w:lang w:val="en-AU" w:eastAsia="en-AU"/>
              </w:rPr>
              <w:br/>
              <w:t>(2019 vs 2020)</w:t>
            </w:r>
          </w:p>
        </w:tc>
        <w:tc>
          <w:tcPr>
            <w:tcW w:w="1402" w:type="dxa"/>
            <w:vMerge w:val="restart"/>
            <w:shd w:val="clear" w:color="000000" w:fill="D9E1F2"/>
            <w:vAlign w:val="center"/>
            <w:hideMark/>
          </w:tcPr>
          <w:p w14:paraId="14037328"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 Change (2019 vs 2020)</w:t>
            </w:r>
          </w:p>
        </w:tc>
      </w:tr>
      <w:tr w:rsidR="00B0692E" w:rsidRPr="00841915" w14:paraId="2C9B4B76" w14:textId="77777777" w:rsidTr="00F06D1C">
        <w:trPr>
          <w:trHeight w:val="315"/>
        </w:trPr>
        <w:tc>
          <w:tcPr>
            <w:tcW w:w="2400" w:type="dxa"/>
            <w:vMerge/>
            <w:shd w:val="clear" w:color="auto" w:fill="D9D9D9" w:themeFill="background1" w:themeFillShade="D9"/>
            <w:vAlign w:val="center"/>
            <w:hideMark/>
          </w:tcPr>
          <w:p w14:paraId="4880E0A5" w14:textId="77777777" w:rsidR="00B0692E" w:rsidRPr="00841915" w:rsidRDefault="00B0692E" w:rsidP="00F06D1C">
            <w:pPr>
              <w:rPr>
                <w:rFonts w:ascii="Calibri" w:hAnsi="Calibri" w:cs="Calibri"/>
                <w:b/>
                <w:bCs/>
                <w:color w:val="000000"/>
                <w:sz w:val="22"/>
                <w:szCs w:val="22"/>
                <w:lang w:val="en-AU" w:eastAsia="en-AU"/>
              </w:rPr>
            </w:pPr>
          </w:p>
        </w:tc>
        <w:tc>
          <w:tcPr>
            <w:tcW w:w="1418" w:type="dxa"/>
            <w:shd w:val="clear" w:color="auto" w:fill="F2F2F2" w:themeFill="background1" w:themeFillShade="F2"/>
            <w:noWrap/>
            <w:vAlign w:val="center"/>
            <w:hideMark/>
          </w:tcPr>
          <w:p w14:paraId="13370398"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2018</w:t>
            </w:r>
          </w:p>
        </w:tc>
        <w:tc>
          <w:tcPr>
            <w:tcW w:w="1559" w:type="dxa"/>
            <w:shd w:val="clear" w:color="auto" w:fill="F2F2F2" w:themeFill="background1" w:themeFillShade="F2"/>
            <w:noWrap/>
            <w:vAlign w:val="center"/>
            <w:hideMark/>
          </w:tcPr>
          <w:p w14:paraId="4091960A"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2019</w:t>
            </w:r>
          </w:p>
        </w:tc>
        <w:tc>
          <w:tcPr>
            <w:tcW w:w="1535" w:type="dxa"/>
            <w:shd w:val="clear" w:color="auto" w:fill="F2F2F2" w:themeFill="background1" w:themeFillShade="F2"/>
            <w:noWrap/>
            <w:vAlign w:val="center"/>
            <w:hideMark/>
          </w:tcPr>
          <w:p w14:paraId="2C35E3D6" w14:textId="77777777" w:rsidR="00B0692E" w:rsidRPr="00841915" w:rsidRDefault="00B0692E" w:rsidP="00F06D1C">
            <w:pPr>
              <w:jc w:val="cente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2020</w:t>
            </w:r>
          </w:p>
        </w:tc>
        <w:tc>
          <w:tcPr>
            <w:tcW w:w="1526" w:type="dxa"/>
            <w:vMerge/>
            <w:vAlign w:val="center"/>
            <w:hideMark/>
          </w:tcPr>
          <w:p w14:paraId="2A72594B"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7FD84FD5" w14:textId="77777777" w:rsidR="00B0692E" w:rsidRPr="00841915" w:rsidRDefault="00B0692E" w:rsidP="00F06D1C">
            <w:pPr>
              <w:rPr>
                <w:rFonts w:ascii="Calibri" w:hAnsi="Calibri" w:cs="Calibri"/>
                <w:b/>
                <w:bCs/>
                <w:color w:val="000000"/>
                <w:sz w:val="22"/>
                <w:szCs w:val="22"/>
                <w:lang w:val="en-AU" w:eastAsia="en-AU"/>
              </w:rPr>
            </w:pPr>
          </w:p>
        </w:tc>
        <w:tc>
          <w:tcPr>
            <w:tcW w:w="1500" w:type="dxa"/>
            <w:vMerge/>
            <w:vAlign w:val="center"/>
            <w:hideMark/>
          </w:tcPr>
          <w:p w14:paraId="287BAA6C" w14:textId="77777777" w:rsidR="00B0692E" w:rsidRPr="00841915" w:rsidRDefault="00B0692E" w:rsidP="00F06D1C">
            <w:pPr>
              <w:rPr>
                <w:rFonts w:ascii="Calibri" w:hAnsi="Calibri" w:cs="Calibri"/>
                <w:b/>
                <w:bCs/>
                <w:color w:val="000000"/>
                <w:sz w:val="22"/>
                <w:szCs w:val="22"/>
                <w:lang w:val="en-AU" w:eastAsia="en-AU"/>
              </w:rPr>
            </w:pPr>
          </w:p>
        </w:tc>
        <w:tc>
          <w:tcPr>
            <w:tcW w:w="1402" w:type="dxa"/>
            <w:vMerge/>
            <w:vAlign w:val="center"/>
            <w:hideMark/>
          </w:tcPr>
          <w:p w14:paraId="2B45B772" w14:textId="77777777" w:rsidR="00B0692E" w:rsidRPr="00841915" w:rsidRDefault="00B0692E" w:rsidP="00F06D1C">
            <w:pPr>
              <w:rPr>
                <w:rFonts w:ascii="Calibri" w:hAnsi="Calibri" w:cs="Calibri"/>
                <w:b/>
                <w:bCs/>
                <w:color w:val="000000"/>
                <w:sz w:val="22"/>
                <w:szCs w:val="22"/>
                <w:lang w:val="en-AU" w:eastAsia="en-AU"/>
              </w:rPr>
            </w:pPr>
          </w:p>
        </w:tc>
      </w:tr>
      <w:tr w:rsidR="00B0692E" w:rsidRPr="00841915" w14:paraId="690DD74C" w14:textId="77777777" w:rsidTr="00F06D1C">
        <w:trPr>
          <w:trHeight w:val="300"/>
        </w:trPr>
        <w:tc>
          <w:tcPr>
            <w:tcW w:w="2400" w:type="dxa"/>
            <w:shd w:val="clear" w:color="auto" w:fill="auto"/>
            <w:noWrap/>
            <w:vAlign w:val="bottom"/>
            <w:hideMark/>
          </w:tcPr>
          <w:p w14:paraId="5CAAA670"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Māori</w:t>
            </w:r>
          </w:p>
        </w:tc>
        <w:tc>
          <w:tcPr>
            <w:tcW w:w="1418" w:type="dxa"/>
            <w:shd w:val="clear" w:color="auto" w:fill="auto"/>
            <w:noWrap/>
            <w:vAlign w:val="bottom"/>
            <w:hideMark/>
          </w:tcPr>
          <w:p w14:paraId="19BFF5D9" w14:textId="569B3E9B"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17,418.8 </w:t>
            </w:r>
          </w:p>
        </w:tc>
        <w:tc>
          <w:tcPr>
            <w:tcW w:w="1559" w:type="dxa"/>
            <w:shd w:val="clear" w:color="auto" w:fill="auto"/>
            <w:noWrap/>
            <w:vAlign w:val="bottom"/>
            <w:hideMark/>
          </w:tcPr>
          <w:p w14:paraId="74475388" w14:textId="30BB566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17,289.3 </w:t>
            </w:r>
          </w:p>
        </w:tc>
        <w:tc>
          <w:tcPr>
            <w:tcW w:w="1535" w:type="dxa"/>
            <w:shd w:val="clear" w:color="auto" w:fill="auto"/>
            <w:noWrap/>
            <w:vAlign w:val="bottom"/>
            <w:hideMark/>
          </w:tcPr>
          <w:p w14:paraId="6F5C701B" w14:textId="448ABCEC"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16,236.4 </w:t>
            </w:r>
          </w:p>
        </w:tc>
        <w:tc>
          <w:tcPr>
            <w:tcW w:w="1526" w:type="dxa"/>
            <w:shd w:val="clear" w:color="auto" w:fill="auto"/>
            <w:noWrap/>
            <w:vAlign w:val="bottom"/>
            <w:hideMark/>
          </w:tcPr>
          <w:p w14:paraId="4845A4A2" w14:textId="271FBDD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-129.4</w:t>
            </w:r>
          </w:p>
        </w:tc>
        <w:tc>
          <w:tcPr>
            <w:tcW w:w="1500" w:type="dxa"/>
            <w:shd w:val="clear" w:color="000000" w:fill="D9E1F2"/>
            <w:noWrap/>
            <w:vAlign w:val="bottom"/>
            <w:hideMark/>
          </w:tcPr>
          <w:p w14:paraId="32C9B930" w14:textId="53A1D20F"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-0.7%</w:t>
            </w:r>
          </w:p>
        </w:tc>
        <w:tc>
          <w:tcPr>
            <w:tcW w:w="1500" w:type="dxa"/>
            <w:shd w:val="clear" w:color="auto" w:fill="auto"/>
            <w:noWrap/>
            <w:vAlign w:val="bottom"/>
            <w:hideMark/>
          </w:tcPr>
          <w:p w14:paraId="7FD23436" w14:textId="015891E8"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-1,053.0</w:t>
            </w:r>
          </w:p>
        </w:tc>
        <w:tc>
          <w:tcPr>
            <w:tcW w:w="1402" w:type="dxa"/>
            <w:shd w:val="clear" w:color="000000" w:fill="D9E1F2"/>
            <w:noWrap/>
            <w:vAlign w:val="bottom"/>
            <w:hideMark/>
          </w:tcPr>
          <w:p w14:paraId="3E29EA49" w14:textId="280DAA9F"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-6.1%</w:t>
            </w:r>
          </w:p>
        </w:tc>
      </w:tr>
      <w:tr w:rsidR="00B0692E" w:rsidRPr="00841915" w14:paraId="27805B16" w14:textId="77777777" w:rsidTr="00F06D1C">
        <w:trPr>
          <w:trHeight w:val="315"/>
        </w:trPr>
        <w:tc>
          <w:tcPr>
            <w:tcW w:w="2400" w:type="dxa"/>
            <w:shd w:val="clear" w:color="auto" w:fill="auto"/>
            <w:noWrap/>
            <w:vAlign w:val="bottom"/>
            <w:hideMark/>
          </w:tcPr>
          <w:p w14:paraId="53096436"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Pacific</w:t>
            </w:r>
          </w:p>
        </w:tc>
        <w:tc>
          <w:tcPr>
            <w:tcW w:w="1418" w:type="dxa"/>
            <w:shd w:val="clear" w:color="auto" w:fill="auto"/>
            <w:noWrap/>
            <w:vAlign w:val="bottom"/>
            <w:hideMark/>
          </w:tcPr>
          <w:p w14:paraId="2A565126" w14:textId="4578BA1D"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7,145.6 </w:t>
            </w:r>
          </w:p>
        </w:tc>
        <w:tc>
          <w:tcPr>
            <w:tcW w:w="1559" w:type="dxa"/>
            <w:shd w:val="clear" w:color="auto" w:fill="auto"/>
            <w:noWrap/>
            <w:vAlign w:val="bottom"/>
            <w:hideMark/>
          </w:tcPr>
          <w:p w14:paraId="4C73D700" w14:textId="6FCB951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6,846.3 </w:t>
            </w:r>
          </w:p>
        </w:tc>
        <w:tc>
          <w:tcPr>
            <w:tcW w:w="1535" w:type="dxa"/>
            <w:shd w:val="clear" w:color="auto" w:fill="auto"/>
            <w:noWrap/>
            <w:vAlign w:val="bottom"/>
            <w:hideMark/>
          </w:tcPr>
          <w:p w14:paraId="130BFDAF" w14:textId="1C79ADCF"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6,485.8 </w:t>
            </w:r>
          </w:p>
        </w:tc>
        <w:tc>
          <w:tcPr>
            <w:tcW w:w="1526" w:type="dxa"/>
            <w:shd w:val="clear" w:color="auto" w:fill="auto"/>
            <w:noWrap/>
            <w:vAlign w:val="bottom"/>
            <w:hideMark/>
          </w:tcPr>
          <w:p w14:paraId="4E0FDE84" w14:textId="3DB3C7D3"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-299.4</w:t>
            </w:r>
          </w:p>
        </w:tc>
        <w:tc>
          <w:tcPr>
            <w:tcW w:w="1500" w:type="dxa"/>
            <w:shd w:val="clear" w:color="000000" w:fill="D9E1F2"/>
            <w:noWrap/>
            <w:vAlign w:val="bottom"/>
            <w:hideMark/>
          </w:tcPr>
          <w:p w14:paraId="51D853C8" w14:textId="3B1DCAF2"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-4.2%</w:t>
            </w:r>
          </w:p>
        </w:tc>
        <w:tc>
          <w:tcPr>
            <w:tcW w:w="1500" w:type="dxa"/>
            <w:shd w:val="clear" w:color="auto" w:fill="auto"/>
            <w:noWrap/>
            <w:vAlign w:val="bottom"/>
            <w:hideMark/>
          </w:tcPr>
          <w:p w14:paraId="7312F3B9" w14:textId="652DFCC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-360.4</w:t>
            </w:r>
          </w:p>
        </w:tc>
        <w:tc>
          <w:tcPr>
            <w:tcW w:w="1402" w:type="dxa"/>
            <w:shd w:val="clear" w:color="000000" w:fill="D9E1F2"/>
            <w:noWrap/>
            <w:vAlign w:val="bottom"/>
            <w:hideMark/>
          </w:tcPr>
          <w:p w14:paraId="391CF8C4" w14:textId="354A441F"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-5.3%</w:t>
            </w:r>
          </w:p>
        </w:tc>
      </w:tr>
      <w:tr w:rsidR="00B0692E" w:rsidRPr="00841915" w14:paraId="2CF95FD4" w14:textId="77777777" w:rsidTr="00F06D1C">
        <w:trPr>
          <w:trHeight w:val="315"/>
        </w:trPr>
        <w:tc>
          <w:tcPr>
            <w:tcW w:w="2400" w:type="dxa"/>
            <w:shd w:val="clear" w:color="auto" w:fill="auto"/>
            <w:noWrap/>
            <w:vAlign w:val="bottom"/>
            <w:hideMark/>
          </w:tcPr>
          <w:p w14:paraId="02331358" w14:textId="1FA6C96E"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Non-Māori</w:t>
            </w:r>
            <w:r w:rsidR="00C97BB9">
              <w:rPr>
                <w:rFonts w:ascii="Calibri" w:hAnsi="Calibri" w:cs="Calibri"/>
                <w:b/>
                <w:bCs/>
                <w:color w:val="000000"/>
                <w:sz w:val="22"/>
                <w:szCs w:val="22"/>
                <w:lang w:val="en-AU" w:eastAsia="en-AU"/>
              </w:rPr>
              <w:t>,</w:t>
            </w:r>
            <w:r w:rsidRPr="00841915">
              <w:rPr>
                <w:rFonts w:ascii="Calibri" w:hAnsi="Calibri" w:cs="Calibri"/>
                <w:b/>
                <w:bCs/>
                <w:color w:val="000000"/>
                <w:sz w:val="22"/>
                <w:szCs w:val="22"/>
                <w:lang w:val="en-AU" w:eastAsia="en-AU"/>
              </w:rPr>
              <w:t xml:space="preserve"> non-Pacific</w:t>
            </w:r>
          </w:p>
        </w:tc>
        <w:tc>
          <w:tcPr>
            <w:tcW w:w="1418" w:type="dxa"/>
            <w:shd w:val="clear" w:color="auto" w:fill="auto"/>
            <w:noWrap/>
            <w:vAlign w:val="bottom"/>
            <w:hideMark/>
          </w:tcPr>
          <w:p w14:paraId="7C79BADB" w14:textId="6E5C5A0D"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 82,654.7 </w:t>
            </w:r>
          </w:p>
        </w:tc>
        <w:tc>
          <w:tcPr>
            <w:tcW w:w="1559" w:type="dxa"/>
            <w:shd w:val="clear" w:color="auto" w:fill="auto"/>
            <w:noWrap/>
            <w:vAlign w:val="bottom"/>
            <w:hideMark/>
          </w:tcPr>
          <w:p w14:paraId="650263FC" w14:textId="1DDE9F2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74,475.7 </w:t>
            </w:r>
          </w:p>
        </w:tc>
        <w:tc>
          <w:tcPr>
            <w:tcW w:w="1535" w:type="dxa"/>
            <w:shd w:val="clear" w:color="auto" w:fill="auto"/>
            <w:noWrap/>
            <w:vAlign w:val="bottom"/>
            <w:hideMark/>
          </w:tcPr>
          <w:p w14:paraId="27C2B834" w14:textId="01A8F296"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68,604.1 </w:t>
            </w:r>
          </w:p>
        </w:tc>
        <w:tc>
          <w:tcPr>
            <w:tcW w:w="1526" w:type="dxa"/>
            <w:shd w:val="clear" w:color="auto" w:fill="auto"/>
            <w:noWrap/>
            <w:vAlign w:val="bottom"/>
            <w:hideMark/>
          </w:tcPr>
          <w:p w14:paraId="74216DD1" w14:textId="42E0E5D4"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-8,178.9</w:t>
            </w:r>
          </w:p>
        </w:tc>
        <w:tc>
          <w:tcPr>
            <w:tcW w:w="1500" w:type="dxa"/>
            <w:shd w:val="clear" w:color="000000" w:fill="D9E1F2"/>
            <w:noWrap/>
            <w:vAlign w:val="bottom"/>
            <w:hideMark/>
          </w:tcPr>
          <w:p w14:paraId="417EDD57" w14:textId="0247C18B"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-9.9%</w:t>
            </w:r>
          </w:p>
        </w:tc>
        <w:tc>
          <w:tcPr>
            <w:tcW w:w="1500" w:type="dxa"/>
            <w:shd w:val="clear" w:color="auto" w:fill="auto"/>
            <w:noWrap/>
            <w:vAlign w:val="bottom"/>
            <w:hideMark/>
          </w:tcPr>
          <w:p w14:paraId="3AFE3A88" w14:textId="32188353"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-5,871.7</w:t>
            </w:r>
          </w:p>
        </w:tc>
        <w:tc>
          <w:tcPr>
            <w:tcW w:w="1402" w:type="dxa"/>
            <w:shd w:val="clear" w:color="000000" w:fill="D9E1F2"/>
            <w:noWrap/>
            <w:vAlign w:val="bottom"/>
            <w:hideMark/>
          </w:tcPr>
          <w:p w14:paraId="46184AC6" w14:textId="5C908014"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-7.9%</w:t>
            </w:r>
          </w:p>
        </w:tc>
      </w:tr>
      <w:tr w:rsidR="00B0692E" w:rsidRPr="00841915" w14:paraId="0F0DBC5F" w14:textId="77777777" w:rsidTr="00F06D1C">
        <w:trPr>
          <w:trHeight w:val="345"/>
        </w:trPr>
        <w:tc>
          <w:tcPr>
            <w:tcW w:w="2400" w:type="dxa"/>
            <w:shd w:val="clear" w:color="auto" w:fill="auto"/>
            <w:noWrap/>
            <w:vAlign w:val="bottom"/>
            <w:hideMark/>
          </w:tcPr>
          <w:p w14:paraId="75DE0FF2" w14:textId="77777777" w:rsidR="00B0692E" w:rsidRPr="00841915" w:rsidRDefault="00B0692E" w:rsidP="00B0692E">
            <w:pPr>
              <w:rPr>
                <w:rFonts w:ascii="Calibri" w:hAnsi="Calibri" w:cs="Calibri"/>
                <w:b/>
                <w:bCs/>
                <w:color w:val="000000"/>
                <w:sz w:val="22"/>
                <w:szCs w:val="22"/>
                <w:lang w:val="en-AU" w:eastAsia="en-AU"/>
              </w:rPr>
            </w:pPr>
            <w:r w:rsidRPr="00841915">
              <w:rPr>
                <w:rFonts w:ascii="Calibri" w:hAnsi="Calibri" w:cs="Calibri"/>
                <w:b/>
                <w:bCs/>
                <w:color w:val="000000"/>
                <w:sz w:val="22"/>
                <w:szCs w:val="22"/>
                <w:lang w:val="en-AU" w:eastAsia="en-AU"/>
              </w:rPr>
              <w:t>Total</w:t>
            </w:r>
          </w:p>
        </w:tc>
        <w:tc>
          <w:tcPr>
            <w:tcW w:w="1418" w:type="dxa"/>
            <w:shd w:val="clear" w:color="auto" w:fill="auto"/>
            <w:noWrap/>
            <w:vAlign w:val="bottom"/>
            <w:hideMark/>
          </w:tcPr>
          <w:p w14:paraId="63169F23" w14:textId="2619F130"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107,219.1 </w:t>
            </w:r>
          </w:p>
        </w:tc>
        <w:tc>
          <w:tcPr>
            <w:tcW w:w="1559" w:type="dxa"/>
            <w:shd w:val="clear" w:color="auto" w:fill="auto"/>
            <w:noWrap/>
            <w:vAlign w:val="bottom"/>
            <w:hideMark/>
          </w:tcPr>
          <w:p w14:paraId="75E3F507" w14:textId="4ACE3328"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98,611.3 </w:t>
            </w:r>
          </w:p>
        </w:tc>
        <w:tc>
          <w:tcPr>
            <w:tcW w:w="1535" w:type="dxa"/>
            <w:shd w:val="clear" w:color="auto" w:fill="auto"/>
            <w:noWrap/>
            <w:vAlign w:val="bottom"/>
            <w:hideMark/>
          </w:tcPr>
          <w:p w14:paraId="453BFC49" w14:textId="3FECE411"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 xml:space="preserve">91,326.3 </w:t>
            </w:r>
          </w:p>
        </w:tc>
        <w:tc>
          <w:tcPr>
            <w:tcW w:w="1526" w:type="dxa"/>
            <w:shd w:val="clear" w:color="auto" w:fill="auto"/>
            <w:noWrap/>
            <w:vAlign w:val="bottom"/>
            <w:hideMark/>
          </w:tcPr>
          <w:p w14:paraId="294A6858" w14:textId="683992D9"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-8,607.7</w:t>
            </w:r>
          </w:p>
        </w:tc>
        <w:tc>
          <w:tcPr>
            <w:tcW w:w="1500" w:type="dxa"/>
            <w:shd w:val="clear" w:color="000000" w:fill="D9E1F2"/>
            <w:noWrap/>
            <w:vAlign w:val="bottom"/>
            <w:hideMark/>
          </w:tcPr>
          <w:p w14:paraId="2691BA0F" w14:textId="008C9B5C"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-8.0%</w:t>
            </w:r>
          </w:p>
        </w:tc>
        <w:tc>
          <w:tcPr>
            <w:tcW w:w="1500" w:type="dxa"/>
            <w:shd w:val="clear" w:color="auto" w:fill="auto"/>
            <w:noWrap/>
            <w:vAlign w:val="bottom"/>
            <w:hideMark/>
          </w:tcPr>
          <w:p w14:paraId="3F9B8CDE" w14:textId="431F52D5"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-7,285.0</w:t>
            </w:r>
          </w:p>
        </w:tc>
        <w:tc>
          <w:tcPr>
            <w:tcW w:w="1402" w:type="dxa"/>
            <w:shd w:val="clear" w:color="000000" w:fill="D9E1F2"/>
            <w:noWrap/>
            <w:vAlign w:val="bottom"/>
            <w:hideMark/>
          </w:tcPr>
          <w:p w14:paraId="4D77FC0F" w14:textId="214672A7" w:rsidR="00B0692E" w:rsidRPr="00841915" w:rsidRDefault="00B0692E" w:rsidP="00B0692E">
            <w:pPr>
              <w:spacing w:before="20" w:after="20"/>
              <w:ind w:right="113"/>
              <w:jc w:val="right"/>
              <w:rPr>
                <w:rFonts w:ascii="Calibri" w:hAnsi="Calibri" w:cs="Calibri"/>
                <w:color w:val="000000"/>
                <w:sz w:val="22"/>
                <w:szCs w:val="22"/>
                <w:lang w:val="en-AU" w:eastAsia="en-AU"/>
              </w:rPr>
            </w:pPr>
            <w:r w:rsidRPr="00917A54">
              <w:rPr>
                <w:rFonts w:ascii="Calibri" w:hAnsi="Calibri" w:cs="Calibri"/>
                <w:color w:val="000000"/>
                <w:sz w:val="22"/>
                <w:szCs w:val="22"/>
                <w:lang w:val="en-AU" w:eastAsia="en-AU"/>
              </w:rPr>
              <w:t>-7.4%</w:t>
            </w:r>
          </w:p>
        </w:tc>
      </w:tr>
    </w:tbl>
    <w:p w14:paraId="1B6F728B" w14:textId="77777777" w:rsidR="00B0692E" w:rsidRDefault="00B0692E" w:rsidP="00B0692E"/>
    <w:p w14:paraId="5E8EC76E" w14:textId="680B16CB" w:rsidR="006A7630" w:rsidRPr="00087C7C" w:rsidRDefault="006A7630" w:rsidP="006A7630">
      <w:pPr>
        <w:pStyle w:val="Heading1"/>
        <w:spacing w:after="0"/>
      </w:pPr>
      <w:bookmarkStart w:id="203" w:name="_Toc52430209"/>
      <w:bookmarkStart w:id="204" w:name="_Toc53471244"/>
      <w:bookmarkEnd w:id="198"/>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5</w:t>
      </w:r>
      <w:r w:rsidRPr="006A7630">
        <w:rPr>
          <w:noProof/>
          <w:sz w:val="56"/>
          <w:szCs w:val="56"/>
        </w:rPr>
        <w:fldChar w:fldCharType="end"/>
      </w:r>
      <w:r w:rsidRPr="006A7630">
        <w:rPr>
          <w:sz w:val="56"/>
          <w:szCs w:val="56"/>
        </w:rPr>
        <w:t xml:space="preserve">: </w:t>
      </w:r>
      <w:r>
        <w:br/>
      </w:r>
      <w:r w:rsidRPr="006A7630">
        <w:rPr>
          <w:sz w:val="44"/>
          <w:szCs w:val="44"/>
        </w:rPr>
        <w:t>Number of case-weighted discharges by region, March to June 2018–2020</w:t>
      </w:r>
      <w:bookmarkEnd w:id="203"/>
      <w:bookmarkEnd w:id="204"/>
    </w:p>
    <w:p w14:paraId="2685B7BB" w14:textId="4F79145F" w:rsidR="006A7630" w:rsidRDefault="007B3557" w:rsidP="006A7630">
      <w:pPr>
        <w:spacing w:before="120"/>
        <w:rPr>
          <w:rFonts w:cs="Segoe UI"/>
          <w:sz w:val="22"/>
          <w:szCs w:val="22"/>
        </w:rPr>
      </w:pPr>
      <w:r>
        <w:rPr>
          <w:rFonts w:cs="Segoe UI"/>
          <w:noProof/>
          <w:sz w:val="22"/>
          <w:szCs w:val="22"/>
        </w:rPr>
        <w:drawing>
          <wp:anchor distT="0" distB="0" distL="114300" distR="114300" simplePos="0" relativeHeight="251652096" behindDoc="1" locked="0" layoutInCell="1" allowOverlap="1" wp14:anchorId="713C72B5" wp14:editId="6ABCAAF0">
            <wp:simplePos x="0" y="0"/>
            <wp:positionH relativeFrom="column">
              <wp:posOffset>4020820</wp:posOffset>
            </wp:positionH>
            <wp:positionV relativeFrom="paragraph">
              <wp:posOffset>74930</wp:posOffset>
            </wp:positionV>
            <wp:extent cx="3840480" cy="2222500"/>
            <wp:effectExtent l="0" t="0" r="7620" b="6350"/>
            <wp:wrapTight wrapText="bothSides">
              <wp:wrapPolygon edited="0">
                <wp:start x="0" y="0"/>
                <wp:lineTo x="0" y="21477"/>
                <wp:lineTo x="21536" y="21477"/>
                <wp:lineTo x="21536" y="0"/>
                <wp:lineTo x="0" y="0"/>
              </wp:wrapPolygon>
            </wp:wrapTight>
            <wp:docPr id="12" name="Picture 12" descr="This graph shows that there were slightly fewer discharges in the Midland region in March and June of 2020 than in previous years and substantially fewer in April and M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40480" cy="2222500"/>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sz w:val="22"/>
          <w:szCs w:val="22"/>
        </w:rPr>
        <w:t xml:space="preserve"> </w:t>
      </w:r>
      <w:r>
        <w:rPr>
          <w:rFonts w:cs="Segoe UI"/>
          <w:noProof/>
          <w:sz w:val="22"/>
          <w:szCs w:val="22"/>
        </w:rPr>
        <w:drawing>
          <wp:inline distT="0" distB="0" distL="0" distR="0" wp14:anchorId="402691E1" wp14:editId="0A0218DD">
            <wp:extent cx="3859475" cy="2233988"/>
            <wp:effectExtent l="0" t="0" r="8255" b="0"/>
            <wp:docPr id="7" name="Picture 7" descr="This graph shows that there were slightly fewer discharges in the Northern region in March and June of 2020 than in previous years and substantially fewer in April and M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83305" cy="2247781"/>
                    </a:xfrm>
                    <a:prstGeom prst="rect">
                      <a:avLst/>
                    </a:prstGeom>
                    <a:noFill/>
                  </pic:spPr>
                </pic:pic>
              </a:graphicData>
            </a:graphic>
          </wp:inline>
        </w:drawing>
      </w:r>
    </w:p>
    <w:p w14:paraId="0694B961" w14:textId="195F2074" w:rsidR="006A7630" w:rsidRPr="00E35305" w:rsidRDefault="007B3557" w:rsidP="00411587">
      <w:pPr>
        <w:tabs>
          <w:tab w:val="center" w:pos="6999"/>
        </w:tabs>
        <w:spacing w:before="120"/>
        <w:rPr>
          <w:rFonts w:cs="Segoe UI"/>
          <w:sz w:val="22"/>
          <w:szCs w:val="22"/>
        </w:rPr>
      </w:pPr>
      <w:r>
        <w:rPr>
          <w:rFonts w:cs="Segoe UI"/>
          <w:noProof/>
          <w:sz w:val="22"/>
          <w:szCs w:val="22"/>
        </w:rPr>
        <w:drawing>
          <wp:anchor distT="0" distB="0" distL="114300" distR="114300" simplePos="0" relativeHeight="251654144" behindDoc="0" locked="0" layoutInCell="1" allowOverlap="1" wp14:anchorId="4273A372" wp14:editId="2FB6B167">
            <wp:simplePos x="0" y="0"/>
            <wp:positionH relativeFrom="column">
              <wp:posOffset>4021427</wp:posOffset>
            </wp:positionH>
            <wp:positionV relativeFrom="paragraph">
              <wp:posOffset>78630</wp:posOffset>
            </wp:positionV>
            <wp:extent cx="3859678" cy="2233930"/>
            <wp:effectExtent l="0" t="0" r="7620" b="0"/>
            <wp:wrapNone/>
            <wp:docPr id="17" name="Picture 17" descr="This graph shows that there were slightly fewer discharges in the South region in March, May and June of 2020 than in previous years and substantially fewer in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75468" cy="2243069"/>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sz w:val="22"/>
          <w:szCs w:val="22"/>
        </w:rPr>
        <w:drawing>
          <wp:anchor distT="0" distB="0" distL="114300" distR="114300" simplePos="0" relativeHeight="251653120" behindDoc="0" locked="0" layoutInCell="1" allowOverlap="1" wp14:anchorId="6FC459A4" wp14:editId="7AE1F209">
            <wp:simplePos x="0" y="0"/>
            <wp:positionH relativeFrom="column">
              <wp:posOffset>37824</wp:posOffset>
            </wp:positionH>
            <wp:positionV relativeFrom="paragraph">
              <wp:posOffset>78630</wp:posOffset>
            </wp:positionV>
            <wp:extent cx="3860124" cy="2234316"/>
            <wp:effectExtent l="0" t="0" r="7620" b="0"/>
            <wp:wrapNone/>
            <wp:docPr id="15" name="Picture 15" descr="This graph shows that there were slightly fewer discharges in the Central region in March, May and June of 2020 than in previous years and substantially fewer in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64938" cy="2237102"/>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sz w:val="22"/>
          <w:szCs w:val="22"/>
        </w:rPr>
        <w:t xml:space="preserve">   </w:t>
      </w:r>
      <w:r w:rsidR="00411587">
        <w:rPr>
          <w:rFonts w:cs="Segoe UI"/>
          <w:sz w:val="22"/>
          <w:szCs w:val="22"/>
        </w:rPr>
        <w:tab/>
      </w:r>
    </w:p>
    <w:p w14:paraId="129865BB" w14:textId="45FB7DC6" w:rsidR="006A7630" w:rsidRPr="00D10366" w:rsidRDefault="006A7630" w:rsidP="006A7630">
      <w:pPr>
        <w:pStyle w:val="Heading1"/>
        <w:spacing w:after="0"/>
      </w:pPr>
      <w:bookmarkStart w:id="205" w:name="_Toc52430210"/>
      <w:bookmarkStart w:id="206" w:name="_Toc53471245"/>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6</w:t>
      </w:r>
      <w:r w:rsidRPr="006A7630">
        <w:rPr>
          <w:noProof/>
          <w:sz w:val="56"/>
          <w:szCs w:val="56"/>
        </w:rPr>
        <w:fldChar w:fldCharType="end"/>
      </w:r>
      <w:r w:rsidRPr="006A7630">
        <w:rPr>
          <w:sz w:val="56"/>
          <w:szCs w:val="56"/>
        </w:rPr>
        <w:t xml:space="preserve">: </w:t>
      </w:r>
      <w:r w:rsidRPr="006A7630">
        <w:rPr>
          <w:sz w:val="56"/>
          <w:szCs w:val="56"/>
        </w:rPr>
        <w:br/>
      </w:r>
      <w:r w:rsidRPr="006A7630">
        <w:rPr>
          <w:sz w:val="44"/>
          <w:szCs w:val="44"/>
        </w:rPr>
        <w:t>Number of planned care interventions delivered by region, March to June 2018–2020</w:t>
      </w:r>
      <w:bookmarkEnd w:id="205"/>
      <w:bookmarkEnd w:id="206"/>
    </w:p>
    <w:p w14:paraId="7B835FD7" w14:textId="18BE6F08" w:rsidR="006A7630" w:rsidRDefault="006A7630" w:rsidP="006A7630">
      <w:pPr>
        <w:rPr>
          <w:rFonts w:cs="Segoe UI"/>
          <w:b/>
          <w:noProof/>
          <w:sz w:val="22"/>
          <w:szCs w:val="22"/>
        </w:rPr>
      </w:pPr>
      <w:r>
        <w:rPr>
          <w:rFonts w:cs="Segoe UI"/>
          <w:b/>
          <w:sz w:val="22"/>
          <w:szCs w:val="22"/>
        </w:rPr>
        <w:t xml:space="preserve">   </w:t>
      </w:r>
    </w:p>
    <w:p w14:paraId="4C77DD56" w14:textId="1711577B" w:rsidR="00B271C0" w:rsidRPr="00B271C0" w:rsidRDefault="00B271C0" w:rsidP="00B271C0">
      <w:pPr>
        <w:rPr>
          <w:rFonts w:cs="Segoe UI"/>
          <w:sz w:val="22"/>
          <w:szCs w:val="22"/>
        </w:rPr>
      </w:pPr>
      <w:r>
        <w:rPr>
          <w:rFonts w:cs="Segoe UI"/>
          <w:b/>
          <w:noProof/>
          <w:sz w:val="22"/>
          <w:szCs w:val="22"/>
        </w:rPr>
        <w:drawing>
          <wp:anchor distT="0" distB="0" distL="114300" distR="114300" simplePos="0" relativeHeight="251679744" behindDoc="0" locked="0" layoutInCell="1" allowOverlap="1" wp14:anchorId="10D397EB" wp14:editId="0ADA988E">
            <wp:simplePos x="0" y="0"/>
            <wp:positionH relativeFrom="column">
              <wp:posOffset>17436</wp:posOffset>
            </wp:positionH>
            <wp:positionV relativeFrom="paragraph">
              <wp:posOffset>47837</wp:posOffset>
            </wp:positionV>
            <wp:extent cx="4125913" cy="2200487"/>
            <wp:effectExtent l="0" t="0" r="8255" b="9525"/>
            <wp:wrapNone/>
            <wp:docPr id="58" name="Picture 58" descr="This graph shows that there were slightly fewer planned care interventions in the Northern region in March of 2020, substantially fewer in April, fewer in May and more in June than in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25913" cy="2200487"/>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sz w:val="22"/>
          <w:szCs w:val="22"/>
        </w:rPr>
        <w:drawing>
          <wp:anchor distT="0" distB="0" distL="114300" distR="114300" simplePos="0" relativeHeight="251678720" behindDoc="0" locked="0" layoutInCell="1" allowOverlap="1" wp14:anchorId="22DC2A33" wp14:editId="0133A037">
            <wp:simplePos x="0" y="0"/>
            <wp:positionH relativeFrom="column">
              <wp:posOffset>4264801</wp:posOffset>
            </wp:positionH>
            <wp:positionV relativeFrom="paragraph">
              <wp:posOffset>62583</wp:posOffset>
            </wp:positionV>
            <wp:extent cx="4101254" cy="2187335"/>
            <wp:effectExtent l="0" t="0" r="0" b="3810"/>
            <wp:wrapNone/>
            <wp:docPr id="56" name="Picture 56" descr="This graph shows that there were slightly fewer planned care interventions in the Midland region in March and May of 2020, substantially fewer in April and more in June than in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01254" cy="2187335"/>
                    </a:xfrm>
                    <a:prstGeom prst="rect">
                      <a:avLst/>
                    </a:prstGeom>
                    <a:noFill/>
                  </pic:spPr>
                </pic:pic>
              </a:graphicData>
            </a:graphic>
            <wp14:sizeRelH relativeFrom="page">
              <wp14:pctWidth>0</wp14:pctWidth>
            </wp14:sizeRelH>
            <wp14:sizeRelV relativeFrom="page">
              <wp14:pctHeight>0</wp14:pctHeight>
            </wp14:sizeRelV>
          </wp:anchor>
        </w:drawing>
      </w:r>
    </w:p>
    <w:p w14:paraId="79825F3E" w14:textId="3A8B1CD0" w:rsidR="00B271C0" w:rsidRDefault="00B271C0" w:rsidP="00B271C0">
      <w:pPr>
        <w:rPr>
          <w:rFonts w:cs="Segoe UI"/>
          <w:b/>
          <w:noProof/>
          <w:sz w:val="22"/>
          <w:szCs w:val="22"/>
        </w:rPr>
      </w:pPr>
    </w:p>
    <w:p w14:paraId="493EB002" w14:textId="151ECD64" w:rsidR="00B271C0" w:rsidRPr="00B271C0" w:rsidRDefault="00B271C0" w:rsidP="00B271C0">
      <w:pPr>
        <w:tabs>
          <w:tab w:val="left" w:pos="8100"/>
        </w:tabs>
        <w:rPr>
          <w:rFonts w:cs="Segoe UI"/>
          <w:sz w:val="22"/>
          <w:szCs w:val="22"/>
        </w:rPr>
      </w:pPr>
      <w:r>
        <w:rPr>
          <w:rFonts w:cs="Segoe UI"/>
          <w:sz w:val="22"/>
          <w:szCs w:val="22"/>
        </w:rPr>
        <w:tab/>
      </w:r>
    </w:p>
    <w:p w14:paraId="7A00C20C" w14:textId="6313874D" w:rsidR="006A7630" w:rsidRDefault="00B271C0" w:rsidP="006A7630">
      <w:pPr>
        <w:rPr>
          <w:rFonts w:cs="Segoe UI"/>
          <w:b/>
          <w:sz w:val="22"/>
          <w:szCs w:val="22"/>
        </w:rPr>
      </w:pPr>
      <w:r>
        <w:rPr>
          <w:rFonts w:cs="Segoe UI"/>
          <w:b/>
          <w:noProof/>
          <w:sz w:val="22"/>
          <w:szCs w:val="22"/>
        </w:rPr>
        <w:drawing>
          <wp:anchor distT="0" distB="0" distL="114300" distR="114300" simplePos="0" relativeHeight="251677696" behindDoc="0" locked="0" layoutInCell="1" allowOverlap="1" wp14:anchorId="6DC334F7" wp14:editId="6F6B7BE4">
            <wp:simplePos x="0" y="0"/>
            <wp:positionH relativeFrom="column">
              <wp:posOffset>4264237</wp:posOffset>
            </wp:positionH>
            <wp:positionV relativeFrom="paragraph">
              <wp:posOffset>1784422</wp:posOffset>
            </wp:positionV>
            <wp:extent cx="4101043" cy="2187222"/>
            <wp:effectExtent l="0" t="0" r="0" b="3810"/>
            <wp:wrapNone/>
            <wp:docPr id="55" name="Picture 55" descr="This graph shows that there were slightly fewer planned care interventions in the South region in March 2020, substantially fewer in April and more in May and June than in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11640" cy="2192874"/>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sz w:val="22"/>
          <w:szCs w:val="22"/>
        </w:rPr>
        <w:drawing>
          <wp:anchor distT="0" distB="0" distL="114300" distR="114300" simplePos="0" relativeHeight="251676672" behindDoc="0" locked="0" layoutInCell="1" allowOverlap="1" wp14:anchorId="06F56585" wp14:editId="291FB7DB">
            <wp:simplePos x="0" y="0"/>
            <wp:positionH relativeFrom="column">
              <wp:posOffset>635</wp:posOffset>
            </wp:positionH>
            <wp:positionV relativeFrom="paragraph">
              <wp:posOffset>1785832</wp:posOffset>
            </wp:positionV>
            <wp:extent cx="4142849" cy="2209800"/>
            <wp:effectExtent l="0" t="0" r="0" b="0"/>
            <wp:wrapNone/>
            <wp:docPr id="57" name="Picture 57" descr="This graph shows that there were slightly fewer planned care interventions in the Central region in March and May of 2020, substantially fewer in April and more in June than in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42849" cy="2209800"/>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0A214BCF" w14:textId="0FBB7C18" w:rsidR="006A7630" w:rsidRPr="00087C7C" w:rsidRDefault="006A7630" w:rsidP="006A7630">
      <w:pPr>
        <w:pStyle w:val="Heading1"/>
        <w:spacing w:after="0"/>
      </w:pPr>
      <w:bookmarkStart w:id="207" w:name="_Toc52430211"/>
      <w:bookmarkStart w:id="208" w:name="_Toc53471246"/>
      <w:r w:rsidRPr="006A7630">
        <w:rPr>
          <w:bCs/>
          <w:sz w:val="56"/>
          <w:szCs w:val="56"/>
        </w:rPr>
        <w:lastRenderedPageBreak/>
        <w:t xml:space="preserve">Appendix </w:t>
      </w:r>
      <w:r w:rsidRPr="006A7630">
        <w:rPr>
          <w:bCs/>
          <w:sz w:val="56"/>
          <w:szCs w:val="56"/>
        </w:rPr>
        <w:fldChar w:fldCharType="begin"/>
      </w:r>
      <w:r w:rsidRPr="006A7630">
        <w:rPr>
          <w:bCs/>
          <w:sz w:val="56"/>
          <w:szCs w:val="56"/>
        </w:rPr>
        <w:instrText xml:space="preserve"> SEQ Appendix \* ARABIC </w:instrText>
      </w:r>
      <w:r w:rsidRPr="006A7630">
        <w:rPr>
          <w:bCs/>
          <w:sz w:val="56"/>
          <w:szCs w:val="56"/>
        </w:rPr>
        <w:fldChar w:fldCharType="separate"/>
      </w:r>
      <w:r w:rsidR="00CF2713">
        <w:rPr>
          <w:bCs/>
          <w:noProof/>
          <w:sz w:val="56"/>
          <w:szCs w:val="56"/>
        </w:rPr>
        <w:t>7</w:t>
      </w:r>
      <w:r w:rsidRPr="006A7630">
        <w:rPr>
          <w:bCs/>
          <w:sz w:val="56"/>
          <w:szCs w:val="56"/>
        </w:rPr>
        <w:fldChar w:fldCharType="end"/>
      </w:r>
      <w:r w:rsidRPr="006A7630">
        <w:rPr>
          <w:sz w:val="56"/>
          <w:szCs w:val="56"/>
        </w:rPr>
        <w:t xml:space="preserve">: </w:t>
      </w:r>
      <w:r w:rsidRPr="006A7630">
        <w:rPr>
          <w:sz w:val="56"/>
          <w:szCs w:val="56"/>
        </w:rPr>
        <w:br/>
      </w:r>
      <w:r w:rsidRPr="006A7630">
        <w:rPr>
          <w:sz w:val="44"/>
          <w:szCs w:val="44"/>
        </w:rPr>
        <w:t>Number of planned care intervention case-weighted discharges by region, March to June 2018–2020</w:t>
      </w:r>
      <w:bookmarkEnd w:id="207"/>
      <w:bookmarkEnd w:id="208"/>
    </w:p>
    <w:p w14:paraId="3A660B02" w14:textId="3E984334" w:rsidR="006A7630" w:rsidRDefault="00347FA2" w:rsidP="006A7630">
      <w:pPr>
        <w:spacing w:before="120"/>
        <w:rPr>
          <w:rFonts w:cs="Segoe UI"/>
          <w:b/>
          <w:sz w:val="22"/>
          <w:szCs w:val="22"/>
        </w:rPr>
      </w:pPr>
      <w:r>
        <w:rPr>
          <w:rFonts w:cs="Segoe UI"/>
          <w:b/>
          <w:noProof/>
          <w:sz w:val="22"/>
          <w:szCs w:val="22"/>
        </w:rPr>
        <w:drawing>
          <wp:anchor distT="0" distB="0" distL="114300" distR="114300" simplePos="0" relativeHeight="251656192" behindDoc="0" locked="0" layoutInCell="1" allowOverlap="1" wp14:anchorId="23813F18" wp14:editId="64D1A71F">
            <wp:simplePos x="0" y="0"/>
            <wp:positionH relativeFrom="column">
              <wp:posOffset>4027170</wp:posOffset>
            </wp:positionH>
            <wp:positionV relativeFrom="paragraph">
              <wp:posOffset>127000</wp:posOffset>
            </wp:positionV>
            <wp:extent cx="3877133" cy="2272030"/>
            <wp:effectExtent l="0" t="0" r="9525" b="0"/>
            <wp:wrapNone/>
            <wp:docPr id="26" name="Picture 26" descr="This graph shows that there were slightly fewer planned care case-weighted discharges in the Midland region in March and May of 2020, substantially fewer in April and about the same in June compared to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85151" cy="2276729"/>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sz w:val="22"/>
          <w:szCs w:val="22"/>
        </w:rPr>
        <w:drawing>
          <wp:anchor distT="0" distB="0" distL="114300" distR="114300" simplePos="0" relativeHeight="251655168" behindDoc="0" locked="0" layoutInCell="1" allowOverlap="1" wp14:anchorId="2F7C444C" wp14:editId="650A91C9">
            <wp:simplePos x="0" y="0"/>
            <wp:positionH relativeFrom="column">
              <wp:posOffset>-5080</wp:posOffset>
            </wp:positionH>
            <wp:positionV relativeFrom="paragraph">
              <wp:posOffset>114301</wp:posOffset>
            </wp:positionV>
            <wp:extent cx="3898900" cy="2284784"/>
            <wp:effectExtent l="0" t="0" r="6350" b="1270"/>
            <wp:wrapNone/>
            <wp:docPr id="21" name="Picture 21" descr="This graph shows that there were slightly fewer planned care case-weighted discharges in the Northern region in March of 2020, substantially fewer in April, fewer in May and more in June than in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8316" cy="2290302"/>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77C11826" w14:textId="66BD5EC0" w:rsidR="006A7630" w:rsidRDefault="006A7630" w:rsidP="006A7630">
      <w:pPr>
        <w:spacing w:before="120"/>
        <w:rPr>
          <w:rFonts w:cs="Segoe UI"/>
          <w:b/>
          <w:sz w:val="22"/>
          <w:szCs w:val="22"/>
        </w:rPr>
      </w:pPr>
    </w:p>
    <w:p w14:paraId="45C8747F" w14:textId="77A762D7" w:rsidR="006A7630" w:rsidRPr="00E35305" w:rsidRDefault="00347FA2" w:rsidP="006A7630">
      <w:pPr>
        <w:spacing w:before="120"/>
        <w:rPr>
          <w:rFonts w:cs="Segoe UI"/>
          <w:b/>
          <w:sz w:val="22"/>
          <w:szCs w:val="22"/>
        </w:rPr>
      </w:pPr>
      <w:r>
        <w:rPr>
          <w:rFonts w:cs="Segoe UI"/>
          <w:b/>
          <w:noProof/>
          <w:sz w:val="22"/>
          <w:szCs w:val="22"/>
        </w:rPr>
        <w:drawing>
          <wp:anchor distT="0" distB="0" distL="114300" distR="114300" simplePos="0" relativeHeight="251658240" behindDoc="0" locked="0" layoutInCell="1" allowOverlap="1" wp14:anchorId="43EAFCC7" wp14:editId="615FC9C3">
            <wp:simplePos x="0" y="0"/>
            <wp:positionH relativeFrom="column">
              <wp:posOffset>4027170</wp:posOffset>
            </wp:positionH>
            <wp:positionV relativeFrom="paragraph">
              <wp:posOffset>1945640</wp:posOffset>
            </wp:positionV>
            <wp:extent cx="3901878" cy="2286000"/>
            <wp:effectExtent l="0" t="0" r="3810" b="0"/>
            <wp:wrapNone/>
            <wp:docPr id="29" name="Picture 29" descr="This graph shows that there were slightly fewer planned care case-weighted discharges in the South region in March and May of 2020, substantially fewer in April and slightly more in June compared to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05610" cy="2288187"/>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sz w:val="22"/>
          <w:szCs w:val="22"/>
        </w:rPr>
        <w:drawing>
          <wp:anchor distT="0" distB="0" distL="114300" distR="114300" simplePos="0" relativeHeight="251657216" behindDoc="0" locked="0" layoutInCell="1" allowOverlap="1" wp14:anchorId="488C5C3F" wp14:editId="28C7B543">
            <wp:simplePos x="0" y="0"/>
            <wp:positionH relativeFrom="column">
              <wp:posOffset>-6350</wp:posOffset>
            </wp:positionH>
            <wp:positionV relativeFrom="paragraph">
              <wp:posOffset>1943735</wp:posOffset>
            </wp:positionV>
            <wp:extent cx="3900647" cy="2286000"/>
            <wp:effectExtent l="0" t="0" r="5080" b="0"/>
            <wp:wrapNone/>
            <wp:docPr id="27" name="Picture 27" descr="This graph shows that there were slightly fewer planned care case-weighted discharges in the Central region in March and May of 2020, substantially fewer in April and about the same in June compared to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0647" cy="2286000"/>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362A0E5E" w14:textId="7A0A25CC" w:rsidR="006A7630" w:rsidRPr="00B82610" w:rsidRDefault="006A7630" w:rsidP="006A7630">
      <w:pPr>
        <w:pStyle w:val="Heading1"/>
        <w:spacing w:after="0"/>
      </w:pPr>
      <w:bookmarkStart w:id="209" w:name="_Toc52430212"/>
      <w:bookmarkStart w:id="210" w:name="_Toc53471247"/>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8</w:t>
      </w:r>
      <w:r w:rsidRPr="006A7630">
        <w:rPr>
          <w:noProof/>
          <w:sz w:val="56"/>
          <w:szCs w:val="56"/>
        </w:rPr>
        <w:fldChar w:fldCharType="end"/>
      </w:r>
      <w:r w:rsidRPr="006A7630">
        <w:rPr>
          <w:sz w:val="56"/>
          <w:szCs w:val="56"/>
        </w:rPr>
        <w:t xml:space="preserve">: </w:t>
      </w:r>
      <w:r>
        <w:br/>
      </w:r>
      <w:r w:rsidRPr="006A7630">
        <w:rPr>
          <w:sz w:val="44"/>
          <w:szCs w:val="44"/>
        </w:rPr>
        <w:t>Number of first specialist assessments delivered by region, March to June 2018–2020</w:t>
      </w:r>
      <w:bookmarkEnd w:id="209"/>
      <w:bookmarkEnd w:id="210"/>
    </w:p>
    <w:p w14:paraId="06760B03" w14:textId="56269BCC" w:rsidR="006A7630" w:rsidRDefault="00AF4F0F" w:rsidP="006A7630">
      <w:pPr>
        <w:spacing w:before="120"/>
        <w:rPr>
          <w:rFonts w:cs="Segoe UI"/>
          <w:b/>
          <w:sz w:val="22"/>
          <w:szCs w:val="22"/>
        </w:rPr>
      </w:pPr>
      <w:r>
        <w:rPr>
          <w:rFonts w:cs="Segoe UI"/>
          <w:b/>
          <w:noProof/>
          <w:sz w:val="22"/>
          <w:szCs w:val="22"/>
        </w:rPr>
        <w:drawing>
          <wp:anchor distT="0" distB="0" distL="114300" distR="114300" simplePos="0" relativeHeight="251649024" behindDoc="0" locked="0" layoutInCell="1" allowOverlap="1" wp14:anchorId="3E053B81" wp14:editId="6CA1915B">
            <wp:simplePos x="0" y="0"/>
            <wp:positionH relativeFrom="column">
              <wp:posOffset>4301299</wp:posOffset>
            </wp:positionH>
            <wp:positionV relativeFrom="paragraph">
              <wp:posOffset>99084</wp:posOffset>
            </wp:positionV>
            <wp:extent cx="4057650" cy="2318010"/>
            <wp:effectExtent l="0" t="0" r="0" b="6350"/>
            <wp:wrapNone/>
            <wp:docPr id="129" name="Picture 129" descr="This graph shows that in the Midland region there were slightly fewer first specialist appointments in March 2020 compared to previous years, substantially fewer in April and May, and more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60381" cy="2319570"/>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sz w:val="22"/>
          <w:szCs w:val="22"/>
        </w:rPr>
        <w:drawing>
          <wp:anchor distT="0" distB="0" distL="114300" distR="114300" simplePos="0" relativeHeight="251648000" behindDoc="0" locked="0" layoutInCell="1" allowOverlap="1" wp14:anchorId="711AB15D" wp14:editId="439CB8CD">
            <wp:simplePos x="0" y="0"/>
            <wp:positionH relativeFrom="column">
              <wp:posOffset>-3282</wp:posOffset>
            </wp:positionH>
            <wp:positionV relativeFrom="paragraph">
              <wp:posOffset>81832</wp:posOffset>
            </wp:positionV>
            <wp:extent cx="4059498" cy="2320506"/>
            <wp:effectExtent l="0" t="0" r="0" b="3810"/>
            <wp:wrapNone/>
            <wp:docPr id="128" name="Picture 128" descr="This graph shows that in the Northern region there were about the same number of first specialist appointments in March 2020 compared to previous years, substantially fewer in April and May, and more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61650" cy="2321736"/>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799123EA" w14:textId="22D71778" w:rsidR="006A7630" w:rsidRPr="00E35305" w:rsidRDefault="00AF4F0F" w:rsidP="006A7630">
      <w:pPr>
        <w:spacing w:before="120"/>
        <w:rPr>
          <w:rFonts w:cs="Segoe UI"/>
          <w:b/>
          <w:sz w:val="22"/>
          <w:szCs w:val="22"/>
        </w:rPr>
      </w:pPr>
      <w:r>
        <w:rPr>
          <w:rFonts w:cs="Segoe UI"/>
          <w:b/>
          <w:noProof/>
          <w:sz w:val="22"/>
          <w:szCs w:val="22"/>
        </w:rPr>
        <w:drawing>
          <wp:anchor distT="0" distB="0" distL="114300" distR="114300" simplePos="0" relativeHeight="251650048" behindDoc="0" locked="0" layoutInCell="1" allowOverlap="1" wp14:anchorId="3FAA69DE" wp14:editId="25C95355">
            <wp:simplePos x="0" y="0"/>
            <wp:positionH relativeFrom="column">
              <wp:posOffset>4301298</wp:posOffset>
            </wp:positionH>
            <wp:positionV relativeFrom="paragraph">
              <wp:posOffset>2321237</wp:posOffset>
            </wp:positionV>
            <wp:extent cx="4058259" cy="2318385"/>
            <wp:effectExtent l="0" t="0" r="0" b="5715"/>
            <wp:wrapNone/>
            <wp:docPr id="130" name="Picture 130" descr="This graph shows that in the South region there were fewer first specialist appointments in March 2020 compared to previous years, substantially fewer in April and May, and slightly fewer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83942" cy="2333057"/>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sz w:val="22"/>
          <w:szCs w:val="22"/>
        </w:rPr>
        <w:drawing>
          <wp:anchor distT="0" distB="0" distL="114300" distR="114300" simplePos="0" relativeHeight="251646976" behindDoc="0" locked="0" layoutInCell="1" allowOverlap="1" wp14:anchorId="1EA4985B" wp14:editId="7FE306CA">
            <wp:simplePos x="0" y="0"/>
            <wp:positionH relativeFrom="column">
              <wp:posOffset>-3283</wp:posOffset>
            </wp:positionH>
            <wp:positionV relativeFrom="paragraph">
              <wp:posOffset>2321237</wp:posOffset>
            </wp:positionV>
            <wp:extent cx="4058920" cy="2318570"/>
            <wp:effectExtent l="0" t="0" r="0" b="5715"/>
            <wp:wrapNone/>
            <wp:docPr id="126" name="Picture 126" descr="This graph shows that in the Central region there were about the same number of first specialist appointments in March 2020 compared to previous years, substantially fewer in April and May, and more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62684" cy="2320720"/>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53A8FF20" w14:textId="374FD3ED" w:rsidR="006A7630" w:rsidRPr="00CE2E86" w:rsidRDefault="006A7630" w:rsidP="006A7630">
      <w:pPr>
        <w:pStyle w:val="Heading1"/>
        <w:spacing w:after="0"/>
      </w:pPr>
      <w:bookmarkStart w:id="211" w:name="_Toc52430213"/>
      <w:bookmarkStart w:id="212" w:name="_Toc53471248"/>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9</w:t>
      </w:r>
      <w:r w:rsidRPr="006A7630">
        <w:rPr>
          <w:noProof/>
          <w:sz w:val="56"/>
          <w:szCs w:val="56"/>
        </w:rPr>
        <w:fldChar w:fldCharType="end"/>
      </w:r>
      <w:r w:rsidRPr="006A7630">
        <w:rPr>
          <w:sz w:val="56"/>
          <w:szCs w:val="56"/>
        </w:rPr>
        <w:t xml:space="preserve">: </w:t>
      </w:r>
      <w:r w:rsidRPr="006A7630">
        <w:rPr>
          <w:sz w:val="56"/>
          <w:szCs w:val="56"/>
        </w:rPr>
        <w:br/>
      </w:r>
      <w:r w:rsidRPr="006A7630">
        <w:rPr>
          <w:sz w:val="44"/>
          <w:szCs w:val="44"/>
        </w:rPr>
        <w:t>Number of follow-up appointments delivered by region, March to June 2018–2020</w:t>
      </w:r>
      <w:bookmarkEnd w:id="211"/>
      <w:bookmarkEnd w:id="212"/>
    </w:p>
    <w:p w14:paraId="15505AF9" w14:textId="74EDCA6D" w:rsidR="006A7630" w:rsidRDefault="00C5497A" w:rsidP="006A7630">
      <w:pPr>
        <w:spacing w:before="120"/>
        <w:rPr>
          <w:rFonts w:cs="Segoe UI"/>
          <w:b/>
          <w:sz w:val="22"/>
          <w:szCs w:val="22"/>
        </w:rPr>
      </w:pPr>
      <w:r>
        <w:rPr>
          <w:rFonts w:cs="Segoe UI"/>
          <w:b/>
          <w:noProof/>
          <w:sz w:val="22"/>
          <w:szCs w:val="22"/>
        </w:rPr>
        <w:drawing>
          <wp:anchor distT="0" distB="0" distL="114300" distR="114300" simplePos="0" relativeHeight="251643904" behindDoc="0" locked="0" layoutInCell="1" allowOverlap="1" wp14:anchorId="25E935CB" wp14:editId="44736F22">
            <wp:simplePos x="0" y="0"/>
            <wp:positionH relativeFrom="column">
              <wp:posOffset>4103167</wp:posOffset>
            </wp:positionH>
            <wp:positionV relativeFrom="paragraph">
              <wp:posOffset>130912</wp:posOffset>
            </wp:positionV>
            <wp:extent cx="3960846" cy="2263871"/>
            <wp:effectExtent l="0" t="0" r="1905" b="3175"/>
            <wp:wrapNone/>
            <wp:docPr id="117" name="Picture 117" descr="This bar graph shows that in the Midland region, there were slightly fewer follow ups delivered in March 2020 compared to previous years, but substantially fewer in April and May of 2020, and more in June 2020 than i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89577" cy="2280292"/>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sz w:val="22"/>
          <w:szCs w:val="22"/>
        </w:rPr>
        <w:drawing>
          <wp:anchor distT="0" distB="0" distL="114300" distR="114300" simplePos="0" relativeHeight="251645952" behindDoc="0" locked="0" layoutInCell="1" allowOverlap="1" wp14:anchorId="2BD612FE" wp14:editId="02F0B870">
            <wp:simplePos x="0" y="0"/>
            <wp:positionH relativeFrom="column">
              <wp:posOffset>13969</wp:posOffset>
            </wp:positionH>
            <wp:positionV relativeFrom="paragraph">
              <wp:posOffset>131766</wp:posOffset>
            </wp:positionV>
            <wp:extent cx="3947155" cy="2256311"/>
            <wp:effectExtent l="0" t="0" r="0" b="0"/>
            <wp:wrapNone/>
            <wp:docPr id="109" name="Picture 109" descr="This bar graph shows that in the Northern region, there were about the same number of follow ups delivered in March 2020 as in previous years, but substantially fewer in April and May of 2020, and more in June 2020 than i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57166" cy="2262033"/>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46BECEF5" w14:textId="5339BCD3" w:rsidR="006A7630" w:rsidRPr="00A2058E" w:rsidRDefault="00C5497A" w:rsidP="006A7630">
      <w:pPr>
        <w:spacing w:before="120"/>
        <w:rPr>
          <w:rFonts w:cs="Segoe UI"/>
          <w:b/>
          <w:sz w:val="22"/>
          <w:szCs w:val="22"/>
        </w:rPr>
      </w:pPr>
      <w:r>
        <w:rPr>
          <w:rFonts w:cs="Segoe UI"/>
          <w:b/>
          <w:noProof/>
          <w:sz w:val="22"/>
          <w:szCs w:val="22"/>
        </w:rPr>
        <w:drawing>
          <wp:anchor distT="0" distB="0" distL="114300" distR="114300" simplePos="0" relativeHeight="251642880" behindDoc="0" locked="0" layoutInCell="1" allowOverlap="1" wp14:anchorId="02B4BBD7" wp14:editId="3CF632B2">
            <wp:simplePos x="0" y="0"/>
            <wp:positionH relativeFrom="column">
              <wp:posOffset>4103167</wp:posOffset>
            </wp:positionH>
            <wp:positionV relativeFrom="paragraph">
              <wp:posOffset>2224151</wp:posOffset>
            </wp:positionV>
            <wp:extent cx="3960495" cy="2262470"/>
            <wp:effectExtent l="0" t="0" r="1905" b="5080"/>
            <wp:wrapNone/>
            <wp:docPr id="103" name="Picture 103" descr="This bar graph shows that in the South region, there were about the same number of follow ups delivered in March 2020 as in previous years, but substantially fewer in April and May of 2020, and about the same number in June 2020 as i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64902" cy="2264988"/>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sz w:val="22"/>
          <w:szCs w:val="22"/>
        </w:rPr>
        <w:drawing>
          <wp:anchor distT="0" distB="0" distL="114300" distR="114300" simplePos="0" relativeHeight="251644928" behindDoc="0" locked="0" layoutInCell="1" allowOverlap="1" wp14:anchorId="174EE9E2" wp14:editId="5984AF44">
            <wp:simplePos x="0" y="0"/>
            <wp:positionH relativeFrom="column">
              <wp:posOffset>13970</wp:posOffset>
            </wp:positionH>
            <wp:positionV relativeFrom="paragraph">
              <wp:posOffset>2224152</wp:posOffset>
            </wp:positionV>
            <wp:extent cx="3946525" cy="2255928"/>
            <wp:effectExtent l="0" t="0" r="0" b="0"/>
            <wp:wrapNone/>
            <wp:docPr id="124" name="Picture 124" descr="This bar graph shows that in the Central region, there were about the same number of follow ups delivered in March 2020 as in previous years, but substantially fewer in April and May of 2020, and more in June 2020 than i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58813" cy="2262952"/>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b/>
          <w:sz w:val="22"/>
          <w:szCs w:val="22"/>
        </w:rPr>
        <w:t xml:space="preserve">   </w:t>
      </w:r>
    </w:p>
    <w:p w14:paraId="2116784E" w14:textId="1F6E4963" w:rsidR="006A7630" w:rsidRPr="00B82610" w:rsidRDefault="00A72971" w:rsidP="006A7630">
      <w:pPr>
        <w:pStyle w:val="Heading1"/>
      </w:pPr>
      <w:bookmarkStart w:id="213" w:name="_Toc52430214"/>
      <w:bookmarkStart w:id="214" w:name="_Toc53471249"/>
      <w:r>
        <w:rPr>
          <w:rStyle w:val="Heading1Char"/>
          <w:noProof/>
          <w:sz w:val="56"/>
          <w:szCs w:val="56"/>
        </w:rPr>
        <w:lastRenderedPageBreak/>
        <w:drawing>
          <wp:anchor distT="0" distB="0" distL="114300" distR="114300" simplePos="0" relativeHeight="251637760" behindDoc="0" locked="0" layoutInCell="1" allowOverlap="1" wp14:anchorId="697D1A62" wp14:editId="5C650F36">
            <wp:simplePos x="0" y="0"/>
            <wp:positionH relativeFrom="column">
              <wp:posOffset>4411041</wp:posOffset>
            </wp:positionH>
            <wp:positionV relativeFrom="paragraph">
              <wp:posOffset>1331878</wp:posOffset>
            </wp:positionV>
            <wp:extent cx="4165904" cy="2335965"/>
            <wp:effectExtent l="0" t="0" r="6350" b="7620"/>
            <wp:wrapNone/>
            <wp:docPr id="91" name="Picture 91" descr="This bar graph shows that in the Midland region, the number of people waiting for a first specialist appointment has remained relatively steady, but the number of people waiting more than 4 months has increased in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98901" cy="2354467"/>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sz w:val="22"/>
          <w:szCs w:val="22"/>
        </w:rPr>
        <w:drawing>
          <wp:anchor distT="0" distB="0" distL="114300" distR="114300" simplePos="0" relativeHeight="251635712" behindDoc="0" locked="0" layoutInCell="1" allowOverlap="1" wp14:anchorId="2C7179FF" wp14:editId="12E31780">
            <wp:simplePos x="0" y="0"/>
            <wp:positionH relativeFrom="column">
              <wp:posOffset>7619</wp:posOffset>
            </wp:positionH>
            <wp:positionV relativeFrom="paragraph">
              <wp:posOffset>1320165</wp:posOffset>
            </wp:positionV>
            <wp:extent cx="4190129" cy="2349500"/>
            <wp:effectExtent l="0" t="0" r="1270" b="0"/>
            <wp:wrapNone/>
            <wp:docPr id="88" name="Picture 88" descr="This graph shows that in the Northern region, the number of patients waiting for a first specialist assessment was at its highest in January 2020. The number of people waiting has declined since, but the number who have been waiting more than four months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12081" cy="2361809"/>
                    </a:xfrm>
                    <a:prstGeom prst="rect">
                      <a:avLst/>
                    </a:prstGeom>
                    <a:noFill/>
                  </pic:spPr>
                </pic:pic>
              </a:graphicData>
            </a:graphic>
            <wp14:sizeRelH relativeFrom="page">
              <wp14:pctWidth>0</wp14:pctWidth>
            </wp14:sizeRelH>
            <wp14:sizeRelV relativeFrom="page">
              <wp14:pctHeight>0</wp14:pctHeight>
            </wp14:sizeRelV>
          </wp:anchor>
        </w:drawing>
      </w:r>
      <w:r w:rsidR="006A7630" w:rsidRPr="006A7630">
        <w:rPr>
          <w:sz w:val="56"/>
          <w:szCs w:val="56"/>
        </w:rPr>
        <w:t xml:space="preserve">Appendix </w:t>
      </w:r>
      <w:r w:rsidR="006A7630" w:rsidRPr="006A7630">
        <w:rPr>
          <w:noProof/>
          <w:sz w:val="56"/>
          <w:szCs w:val="56"/>
        </w:rPr>
        <w:fldChar w:fldCharType="begin"/>
      </w:r>
      <w:r w:rsidR="006A7630" w:rsidRPr="006A7630">
        <w:rPr>
          <w:noProof/>
          <w:sz w:val="56"/>
          <w:szCs w:val="56"/>
        </w:rPr>
        <w:instrText xml:space="preserve"> SEQ Appendix \* ARABIC </w:instrText>
      </w:r>
      <w:r w:rsidR="006A7630" w:rsidRPr="006A7630">
        <w:rPr>
          <w:noProof/>
          <w:sz w:val="56"/>
          <w:szCs w:val="56"/>
        </w:rPr>
        <w:fldChar w:fldCharType="separate"/>
      </w:r>
      <w:r w:rsidR="00CF2713">
        <w:rPr>
          <w:noProof/>
          <w:sz w:val="56"/>
          <w:szCs w:val="56"/>
        </w:rPr>
        <w:t>10</w:t>
      </w:r>
      <w:r w:rsidR="006A7630" w:rsidRPr="006A7630">
        <w:rPr>
          <w:noProof/>
          <w:sz w:val="56"/>
          <w:szCs w:val="56"/>
        </w:rPr>
        <w:fldChar w:fldCharType="end"/>
      </w:r>
      <w:r w:rsidR="006A7630" w:rsidRPr="006A7630">
        <w:rPr>
          <w:sz w:val="56"/>
          <w:szCs w:val="56"/>
        </w:rPr>
        <w:t>:</w:t>
      </w:r>
      <w:r w:rsidR="006A7630" w:rsidRPr="006A7630">
        <w:rPr>
          <w:sz w:val="56"/>
          <w:szCs w:val="56"/>
        </w:rPr>
        <w:br/>
      </w:r>
      <w:r w:rsidR="006A7630" w:rsidRPr="006A7630">
        <w:rPr>
          <w:sz w:val="44"/>
          <w:szCs w:val="44"/>
        </w:rPr>
        <w:t>Elective Services Patient Flow Indicator</w:t>
      </w:r>
      <w:r w:rsidR="006A7630" w:rsidRPr="006A7630" w:rsidDel="004C2981">
        <w:rPr>
          <w:sz w:val="44"/>
          <w:szCs w:val="44"/>
        </w:rPr>
        <w:t xml:space="preserve"> </w:t>
      </w:r>
      <w:r w:rsidR="006A7630" w:rsidRPr="006A7630">
        <w:rPr>
          <w:sz w:val="44"/>
          <w:szCs w:val="44"/>
        </w:rPr>
        <w:t>2 (ESPI 2) by region, July 2019–June 2020</w:t>
      </w:r>
      <w:bookmarkEnd w:id="213"/>
      <w:bookmarkEnd w:id="214"/>
    </w:p>
    <w:p w14:paraId="76120001" w14:textId="296BA6A5" w:rsidR="006A7630" w:rsidRDefault="006A7630" w:rsidP="006A7630">
      <w:pPr>
        <w:spacing w:before="120"/>
        <w:rPr>
          <w:rFonts w:cs="Segoe UI"/>
          <w:sz w:val="22"/>
          <w:szCs w:val="22"/>
        </w:rPr>
      </w:pPr>
      <w:r w:rsidRPr="00E35305">
        <w:rPr>
          <w:rFonts w:cs="Segoe UI"/>
          <w:sz w:val="22"/>
          <w:szCs w:val="22"/>
        </w:rPr>
        <w:t xml:space="preserve">  </w:t>
      </w:r>
      <w:r>
        <w:rPr>
          <w:rFonts w:cs="Segoe UI"/>
          <w:sz w:val="22"/>
          <w:szCs w:val="22"/>
        </w:rPr>
        <w:t xml:space="preserve"> </w:t>
      </w:r>
    </w:p>
    <w:p w14:paraId="2B9724FE" w14:textId="415393AA" w:rsidR="006A7630" w:rsidRDefault="006A7630" w:rsidP="006A7630">
      <w:pPr>
        <w:spacing w:before="120"/>
        <w:rPr>
          <w:rFonts w:cs="Segoe UI"/>
          <w:sz w:val="22"/>
          <w:szCs w:val="22"/>
        </w:rPr>
      </w:pPr>
      <w:r>
        <w:rPr>
          <w:rFonts w:cs="Segoe UI"/>
          <w:sz w:val="22"/>
          <w:szCs w:val="22"/>
        </w:rPr>
        <w:t xml:space="preserve">   </w:t>
      </w:r>
    </w:p>
    <w:p w14:paraId="67EF7263" w14:textId="19B04523" w:rsidR="00150CD6" w:rsidRDefault="00A72971" w:rsidP="006A7630">
      <w:pPr>
        <w:spacing w:before="120"/>
        <w:rPr>
          <w:rStyle w:val="Heading1Char"/>
          <w:sz w:val="56"/>
          <w:szCs w:val="56"/>
        </w:rPr>
        <w:sectPr w:rsidR="00150CD6" w:rsidSect="00607084">
          <w:headerReference w:type="default" r:id="rId97"/>
          <w:pgSz w:w="16834" w:h="11907" w:orient="landscape" w:code="9"/>
          <w:pgMar w:top="851" w:right="1418" w:bottom="851" w:left="1418" w:header="454" w:footer="680" w:gutter="284"/>
          <w:cols w:space="720"/>
          <w:docGrid w:linePitch="286"/>
        </w:sectPr>
      </w:pPr>
      <w:bookmarkStart w:id="215" w:name="_Toc52430215"/>
      <w:bookmarkStart w:id="216" w:name="_Hlk44319045"/>
      <w:r>
        <w:rPr>
          <w:rStyle w:val="Heading1Char"/>
          <w:noProof/>
          <w:sz w:val="56"/>
          <w:szCs w:val="56"/>
        </w:rPr>
        <w:drawing>
          <wp:anchor distT="0" distB="0" distL="114300" distR="114300" simplePos="0" relativeHeight="251638784" behindDoc="0" locked="0" layoutInCell="1" allowOverlap="1" wp14:anchorId="78E53807" wp14:editId="330BC28A">
            <wp:simplePos x="0" y="0"/>
            <wp:positionH relativeFrom="column">
              <wp:posOffset>4408170</wp:posOffset>
            </wp:positionH>
            <wp:positionV relativeFrom="paragraph">
              <wp:posOffset>1933378</wp:posOffset>
            </wp:positionV>
            <wp:extent cx="4159250" cy="2331917"/>
            <wp:effectExtent l="0" t="0" r="0" b="0"/>
            <wp:wrapNone/>
            <wp:docPr id="92" name="Picture 92" descr="This graph shows that in the South region, the number of patients waiting for a first specialist assessment has declined since July 2019, but the number who have been waiting more than four months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73761" cy="2340053"/>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noProof/>
          <w:sz w:val="56"/>
          <w:szCs w:val="56"/>
        </w:rPr>
        <w:drawing>
          <wp:anchor distT="0" distB="0" distL="114300" distR="114300" simplePos="0" relativeHeight="251636736" behindDoc="0" locked="0" layoutInCell="1" allowOverlap="1" wp14:anchorId="67857A72" wp14:editId="7AD47398">
            <wp:simplePos x="0" y="0"/>
            <wp:positionH relativeFrom="column">
              <wp:posOffset>7619</wp:posOffset>
            </wp:positionH>
            <wp:positionV relativeFrom="paragraph">
              <wp:posOffset>1935480</wp:posOffset>
            </wp:positionV>
            <wp:extent cx="4201513" cy="2355850"/>
            <wp:effectExtent l="0" t="0" r="8890" b="6350"/>
            <wp:wrapNone/>
            <wp:docPr id="90" name="Picture 90" descr="This bar graph shows that in the Central region, the number of people waiting for a first specialist appointment has remained relatively steady, but the number of people waiting more than 4 months has increased in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08585" cy="2359815"/>
                    </a:xfrm>
                    <a:prstGeom prst="rect">
                      <a:avLst/>
                    </a:prstGeom>
                    <a:noFill/>
                  </pic:spPr>
                </pic:pic>
              </a:graphicData>
            </a:graphic>
            <wp14:sizeRelH relativeFrom="page">
              <wp14:pctWidth>0</wp14:pctWidth>
            </wp14:sizeRelH>
            <wp14:sizeRelV relativeFrom="page">
              <wp14:pctHeight>0</wp14:pctHeight>
            </wp14:sizeRelV>
          </wp:anchor>
        </w:drawing>
      </w:r>
    </w:p>
    <w:p w14:paraId="3668F1C3" w14:textId="62D2AAD2" w:rsidR="006A7630" w:rsidRPr="006A7630" w:rsidRDefault="006A7630" w:rsidP="006A7630">
      <w:pPr>
        <w:spacing w:before="120"/>
        <w:rPr>
          <w:rStyle w:val="Heading1Char"/>
          <w:sz w:val="44"/>
          <w:szCs w:val="44"/>
        </w:rPr>
      </w:pPr>
      <w:bookmarkStart w:id="217" w:name="_Toc53471250"/>
      <w:r w:rsidRPr="006A7630">
        <w:rPr>
          <w:rStyle w:val="Heading1Char"/>
          <w:sz w:val="56"/>
          <w:szCs w:val="56"/>
        </w:rPr>
        <w:lastRenderedPageBreak/>
        <w:t xml:space="preserve">Appendix </w:t>
      </w:r>
      <w:r w:rsidRPr="006A7630">
        <w:rPr>
          <w:rStyle w:val="Heading1Char"/>
          <w:sz w:val="56"/>
          <w:szCs w:val="56"/>
        </w:rPr>
        <w:fldChar w:fldCharType="begin"/>
      </w:r>
      <w:r w:rsidRPr="006A7630">
        <w:rPr>
          <w:rStyle w:val="Heading1Char"/>
          <w:sz w:val="56"/>
          <w:szCs w:val="56"/>
        </w:rPr>
        <w:instrText xml:space="preserve"> SEQ Appendix \* ARABIC </w:instrText>
      </w:r>
      <w:r w:rsidRPr="006A7630">
        <w:rPr>
          <w:rStyle w:val="Heading1Char"/>
          <w:sz w:val="56"/>
          <w:szCs w:val="56"/>
        </w:rPr>
        <w:fldChar w:fldCharType="separate"/>
      </w:r>
      <w:r w:rsidR="00CF2713">
        <w:rPr>
          <w:rStyle w:val="Heading1Char"/>
          <w:noProof/>
          <w:sz w:val="56"/>
          <w:szCs w:val="56"/>
        </w:rPr>
        <w:t>11</w:t>
      </w:r>
      <w:r w:rsidRPr="006A7630">
        <w:rPr>
          <w:rStyle w:val="Heading1Char"/>
          <w:sz w:val="56"/>
          <w:szCs w:val="56"/>
        </w:rPr>
        <w:fldChar w:fldCharType="end"/>
      </w:r>
      <w:r w:rsidRPr="006A7630">
        <w:rPr>
          <w:rStyle w:val="Heading1Char"/>
          <w:sz w:val="56"/>
          <w:szCs w:val="56"/>
        </w:rPr>
        <w:t xml:space="preserve">: </w:t>
      </w:r>
      <w:r w:rsidRPr="006A7630">
        <w:rPr>
          <w:rStyle w:val="Heading1Char"/>
          <w:sz w:val="56"/>
          <w:szCs w:val="56"/>
        </w:rPr>
        <w:br/>
      </w:r>
      <w:r w:rsidRPr="006A7630">
        <w:rPr>
          <w:rStyle w:val="Heading1Char"/>
          <w:sz w:val="44"/>
          <w:szCs w:val="44"/>
        </w:rPr>
        <w:t>Elective Services Patient Flow Indicator</w:t>
      </w:r>
      <w:r w:rsidRPr="006A7630" w:rsidDel="009B44A0">
        <w:rPr>
          <w:rStyle w:val="Heading1Char"/>
          <w:sz w:val="44"/>
          <w:szCs w:val="44"/>
        </w:rPr>
        <w:t xml:space="preserve"> </w:t>
      </w:r>
      <w:r w:rsidRPr="006A7630">
        <w:rPr>
          <w:rStyle w:val="Heading1Char"/>
          <w:sz w:val="44"/>
          <w:szCs w:val="44"/>
        </w:rPr>
        <w:t>5 (ESPI 5) by region, July 2019–June 2020</w:t>
      </w:r>
      <w:bookmarkEnd w:id="215"/>
      <w:bookmarkEnd w:id="217"/>
    </w:p>
    <w:bookmarkEnd w:id="216"/>
    <w:p w14:paraId="730F83F4" w14:textId="7F2A87A7" w:rsidR="006A7630" w:rsidRDefault="00A72971" w:rsidP="006A7630">
      <w:pPr>
        <w:spacing w:before="120"/>
        <w:rPr>
          <w:rFonts w:cs="Segoe UI"/>
          <w:noProof/>
          <w:sz w:val="22"/>
          <w:szCs w:val="22"/>
        </w:rPr>
      </w:pPr>
      <w:r>
        <w:rPr>
          <w:rFonts w:cs="Segoe UI"/>
          <w:noProof/>
          <w:sz w:val="22"/>
          <w:szCs w:val="22"/>
        </w:rPr>
        <w:drawing>
          <wp:anchor distT="0" distB="0" distL="114300" distR="114300" simplePos="0" relativeHeight="251639808" behindDoc="0" locked="0" layoutInCell="1" allowOverlap="1" wp14:anchorId="5625CDCA" wp14:editId="3FBB47A7">
            <wp:simplePos x="0" y="0"/>
            <wp:positionH relativeFrom="column">
              <wp:posOffset>3920287</wp:posOffset>
            </wp:positionH>
            <wp:positionV relativeFrom="paragraph">
              <wp:posOffset>76657</wp:posOffset>
            </wp:positionV>
            <wp:extent cx="3714802" cy="2332990"/>
            <wp:effectExtent l="0" t="0" r="0" b="0"/>
            <wp:wrapNone/>
            <wp:docPr id="94" name="Picture 94" descr="This bar graph shows that in the Midland region, the number of people waiting for elective services increased slightly between July 2019 and April 2020, but has since declined. The number of people who have been waiting for longer than 4 months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5734" cy="2333575"/>
                    </a:xfrm>
                    <a:prstGeom prst="rect">
                      <a:avLst/>
                    </a:prstGeom>
                    <a:noFill/>
                  </pic:spPr>
                </pic:pic>
              </a:graphicData>
            </a:graphic>
            <wp14:sizeRelH relativeFrom="page">
              <wp14:pctWidth>0</wp14:pctWidth>
            </wp14:sizeRelH>
            <wp14:sizeRelV relativeFrom="page">
              <wp14:pctHeight>0</wp14:pctHeight>
            </wp14:sizeRelV>
          </wp:anchor>
        </w:drawing>
      </w:r>
      <w:r w:rsidR="006A7630">
        <w:rPr>
          <w:rFonts w:cs="Segoe UI"/>
          <w:sz w:val="22"/>
          <w:szCs w:val="22"/>
        </w:rPr>
        <w:t xml:space="preserve"> </w:t>
      </w:r>
      <w:r>
        <w:rPr>
          <w:rFonts w:cs="Segoe UI"/>
          <w:noProof/>
          <w:sz w:val="22"/>
          <w:szCs w:val="22"/>
        </w:rPr>
        <w:drawing>
          <wp:inline distT="0" distB="0" distL="0" distR="0" wp14:anchorId="5F2DD4DF" wp14:editId="11F0E393">
            <wp:extent cx="3714727" cy="2333549"/>
            <wp:effectExtent l="0" t="0" r="635" b="0"/>
            <wp:docPr id="93" name="Picture 93" descr="This bar graph shows that the in the Northern region, the number of people waiting for elective services has increased since July 2019, as has the number who have been waiting longer than 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52089" cy="2357020"/>
                    </a:xfrm>
                    <a:prstGeom prst="rect">
                      <a:avLst/>
                    </a:prstGeom>
                    <a:noFill/>
                  </pic:spPr>
                </pic:pic>
              </a:graphicData>
            </a:graphic>
          </wp:inline>
        </w:drawing>
      </w:r>
      <w:r w:rsidR="006A7630">
        <w:rPr>
          <w:rFonts w:cs="Segoe UI"/>
          <w:sz w:val="22"/>
          <w:szCs w:val="22"/>
        </w:rPr>
        <w:t xml:space="preserve">  </w:t>
      </w:r>
    </w:p>
    <w:p w14:paraId="12175559" w14:textId="1811BC9B" w:rsidR="00A72971" w:rsidRDefault="00A72971" w:rsidP="00A72971">
      <w:pPr>
        <w:rPr>
          <w:rFonts w:cs="Segoe UI"/>
          <w:noProof/>
          <w:sz w:val="22"/>
          <w:szCs w:val="22"/>
        </w:rPr>
      </w:pPr>
      <w:r>
        <w:rPr>
          <w:rFonts w:cs="Segoe UI"/>
          <w:noProof/>
          <w:sz w:val="22"/>
          <w:szCs w:val="22"/>
        </w:rPr>
        <w:drawing>
          <wp:anchor distT="0" distB="0" distL="114300" distR="114300" simplePos="0" relativeHeight="251640832" behindDoc="0" locked="0" layoutInCell="1" allowOverlap="1" wp14:anchorId="0C9423AA" wp14:editId="09F23D48">
            <wp:simplePos x="0" y="0"/>
            <wp:positionH relativeFrom="column">
              <wp:posOffset>3918839</wp:posOffset>
            </wp:positionH>
            <wp:positionV relativeFrom="paragraph">
              <wp:posOffset>115189</wp:posOffset>
            </wp:positionV>
            <wp:extent cx="3745382" cy="2352912"/>
            <wp:effectExtent l="0" t="0" r="7620" b="9525"/>
            <wp:wrapNone/>
            <wp:docPr id="96" name="Picture 96" descr="This graph shows that the number of people in the South region waiting for elective services has increased slightly between July 2019 and April 2020 and fallen since, but the number of people waiting longer than 4 months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45382" cy="2352912"/>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sz w:val="22"/>
          <w:szCs w:val="22"/>
        </w:rPr>
        <w:drawing>
          <wp:anchor distT="0" distB="0" distL="114300" distR="114300" simplePos="0" relativeHeight="251641856" behindDoc="0" locked="0" layoutInCell="1" allowOverlap="1" wp14:anchorId="3D1056A9" wp14:editId="61A91EDF">
            <wp:simplePos x="0" y="0"/>
            <wp:positionH relativeFrom="column">
              <wp:posOffset>28600</wp:posOffset>
            </wp:positionH>
            <wp:positionV relativeFrom="paragraph">
              <wp:posOffset>118058</wp:posOffset>
            </wp:positionV>
            <wp:extent cx="3721431" cy="2337759"/>
            <wp:effectExtent l="0" t="0" r="0" b="5715"/>
            <wp:wrapNone/>
            <wp:docPr id="95" name="Picture 95" descr="This bar graph shows that in the Central region, the number of people waiting for elective services has remained relatively steady over the last year, but the number of people waiting more than 4 months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26881" cy="2341182"/>
                    </a:xfrm>
                    <a:prstGeom prst="rect">
                      <a:avLst/>
                    </a:prstGeom>
                    <a:noFill/>
                  </pic:spPr>
                </pic:pic>
              </a:graphicData>
            </a:graphic>
            <wp14:sizeRelH relativeFrom="page">
              <wp14:pctWidth>0</wp14:pctWidth>
            </wp14:sizeRelH>
            <wp14:sizeRelV relativeFrom="page">
              <wp14:pctHeight>0</wp14:pctHeight>
            </wp14:sizeRelV>
          </wp:anchor>
        </w:drawing>
      </w:r>
    </w:p>
    <w:p w14:paraId="25A9CE0C" w14:textId="664C1B6C" w:rsidR="00A72971" w:rsidRPr="00A72971" w:rsidRDefault="00A72971" w:rsidP="00A72971">
      <w:pPr>
        <w:rPr>
          <w:rFonts w:cs="Segoe UI"/>
          <w:sz w:val="22"/>
          <w:szCs w:val="22"/>
        </w:rPr>
      </w:pPr>
      <w:r>
        <w:rPr>
          <w:rFonts w:cs="Segoe UI"/>
          <w:sz w:val="22"/>
          <w:szCs w:val="22"/>
        </w:rPr>
        <w:t xml:space="preserve"> </w:t>
      </w:r>
    </w:p>
    <w:p w14:paraId="354617BC" w14:textId="7CD095C1" w:rsidR="006A7630" w:rsidRDefault="006A7630" w:rsidP="006A7630">
      <w:pPr>
        <w:spacing w:before="120"/>
        <w:rPr>
          <w:rFonts w:cs="Segoe UI"/>
          <w:sz w:val="22"/>
          <w:szCs w:val="22"/>
        </w:rPr>
      </w:pPr>
      <w:r>
        <w:rPr>
          <w:rFonts w:cs="Segoe UI"/>
          <w:sz w:val="22"/>
          <w:szCs w:val="22"/>
        </w:rPr>
        <w:t xml:space="preserve">   </w:t>
      </w:r>
    </w:p>
    <w:p w14:paraId="5D0956F2" w14:textId="215DFB04" w:rsidR="006A7630" w:rsidRPr="007B29C6" w:rsidRDefault="006A7630" w:rsidP="006A7630">
      <w:pPr>
        <w:pStyle w:val="Heading1"/>
        <w:spacing w:after="0"/>
      </w:pPr>
      <w:bookmarkStart w:id="218" w:name="_Toc52430216"/>
      <w:bookmarkStart w:id="219" w:name="_Toc53471251"/>
      <w:r w:rsidRPr="006A7630">
        <w:rPr>
          <w:sz w:val="56"/>
          <w:szCs w:val="56"/>
        </w:rPr>
        <w:lastRenderedPageBreak/>
        <w:t xml:space="preserve">Appendix </w:t>
      </w:r>
      <w:r w:rsidRPr="006A7630">
        <w:rPr>
          <w:noProof/>
          <w:sz w:val="56"/>
          <w:szCs w:val="56"/>
        </w:rPr>
        <w:fldChar w:fldCharType="begin"/>
      </w:r>
      <w:r w:rsidRPr="006A7630">
        <w:rPr>
          <w:noProof/>
          <w:sz w:val="56"/>
          <w:szCs w:val="56"/>
        </w:rPr>
        <w:instrText xml:space="preserve"> SEQ Appendix \* ARABIC </w:instrText>
      </w:r>
      <w:r w:rsidRPr="006A7630">
        <w:rPr>
          <w:noProof/>
          <w:sz w:val="56"/>
          <w:szCs w:val="56"/>
        </w:rPr>
        <w:fldChar w:fldCharType="separate"/>
      </w:r>
      <w:r w:rsidR="00CF2713">
        <w:rPr>
          <w:noProof/>
          <w:sz w:val="56"/>
          <w:szCs w:val="56"/>
        </w:rPr>
        <w:t>12</w:t>
      </w:r>
      <w:r w:rsidRPr="006A7630">
        <w:rPr>
          <w:noProof/>
          <w:sz w:val="56"/>
          <w:szCs w:val="56"/>
        </w:rPr>
        <w:fldChar w:fldCharType="end"/>
      </w:r>
      <w:r w:rsidRPr="006A7630">
        <w:rPr>
          <w:sz w:val="56"/>
          <w:szCs w:val="56"/>
        </w:rPr>
        <w:t xml:space="preserve">: </w:t>
      </w:r>
      <w:r w:rsidRPr="006A7630">
        <w:rPr>
          <w:sz w:val="56"/>
          <w:szCs w:val="56"/>
        </w:rPr>
        <w:br/>
      </w:r>
      <w:r w:rsidRPr="006A7630">
        <w:rPr>
          <w:sz w:val="44"/>
          <w:szCs w:val="44"/>
        </w:rPr>
        <w:t>Number of emergency department (ED) attendances by region, March to June 2018–2020</w:t>
      </w:r>
      <w:bookmarkEnd w:id="218"/>
      <w:bookmarkEnd w:id="219"/>
    </w:p>
    <w:p w14:paraId="4A595EFA" w14:textId="2556C34D" w:rsidR="006A7630" w:rsidRDefault="00356C8E" w:rsidP="006A7630">
      <w:pPr>
        <w:spacing w:before="120"/>
        <w:rPr>
          <w:rFonts w:cs="Segoe UI"/>
          <w:sz w:val="22"/>
          <w:szCs w:val="22"/>
        </w:rPr>
      </w:pPr>
      <w:r>
        <w:rPr>
          <w:rFonts w:cs="Segoe UI"/>
          <w:noProof/>
          <w:sz w:val="22"/>
          <w:szCs w:val="22"/>
        </w:rPr>
        <w:drawing>
          <wp:anchor distT="0" distB="0" distL="114300" distR="114300" simplePos="0" relativeHeight="251691008" behindDoc="0" locked="0" layoutInCell="1" allowOverlap="1" wp14:anchorId="497A7E90" wp14:editId="7258D50E">
            <wp:simplePos x="0" y="0"/>
            <wp:positionH relativeFrom="column">
              <wp:posOffset>4164551</wp:posOffset>
            </wp:positionH>
            <wp:positionV relativeFrom="paragraph">
              <wp:posOffset>2640661</wp:posOffset>
            </wp:positionV>
            <wp:extent cx="4000351" cy="2403475"/>
            <wp:effectExtent l="0" t="0" r="635" b="0"/>
            <wp:wrapNone/>
            <wp:docPr id="101" name="Picture 101" descr="This bar graph shows that in the South region, the number of ED attendances has lower in March, April, and May  2020 compared to previous years, and about the same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03070" cy="2405109"/>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sz w:val="22"/>
          <w:szCs w:val="22"/>
        </w:rPr>
        <w:drawing>
          <wp:anchor distT="0" distB="0" distL="114300" distR="114300" simplePos="0" relativeHeight="251688960" behindDoc="0" locked="0" layoutInCell="1" allowOverlap="1" wp14:anchorId="50727D1C" wp14:editId="37165DEF">
            <wp:simplePos x="0" y="0"/>
            <wp:positionH relativeFrom="column">
              <wp:posOffset>4161989</wp:posOffset>
            </wp:positionH>
            <wp:positionV relativeFrom="paragraph">
              <wp:posOffset>80342</wp:posOffset>
            </wp:positionV>
            <wp:extent cx="3995552" cy="2400590"/>
            <wp:effectExtent l="0" t="0" r="5080" b="0"/>
            <wp:wrapNone/>
            <wp:docPr id="98" name="Picture 98" descr="This bar graph shows that in the Midland region, the number of ED attendances has lower in March, April, May and June 2020 compared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06647" cy="2407256"/>
                    </a:xfrm>
                    <a:prstGeom prst="rect">
                      <a:avLst/>
                    </a:prstGeom>
                    <a:noFill/>
                  </pic:spPr>
                </pic:pic>
              </a:graphicData>
            </a:graphic>
            <wp14:sizeRelH relativeFrom="page">
              <wp14:pctWidth>0</wp14:pctWidth>
            </wp14:sizeRelH>
            <wp14:sizeRelV relativeFrom="page">
              <wp14:pctHeight>0</wp14:pctHeight>
            </wp14:sizeRelV>
          </wp:anchor>
        </w:drawing>
      </w:r>
      <w:r>
        <w:rPr>
          <w:rFonts w:cs="Segoe UI"/>
          <w:noProof/>
          <w:sz w:val="22"/>
          <w:szCs w:val="22"/>
        </w:rPr>
        <w:drawing>
          <wp:anchor distT="0" distB="0" distL="114300" distR="114300" simplePos="0" relativeHeight="251689984" behindDoc="0" locked="0" layoutInCell="1" allowOverlap="1" wp14:anchorId="1302E906" wp14:editId="2E70C0EC">
            <wp:simplePos x="0" y="0"/>
            <wp:positionH relativeFrom="column">
              <wp:posOffset>4445</wp:posOffset>
            </wp:positionH>
            <wp:positionV relativeFrom="paragraph">
              <wp:posOffset>2642235</wp:posOffset>
            </wp:positionV>
            <wp:extent cx="4000500" cy="2403565"/>
            <wp:effectExtent l="0" t="0" r="0" b="0"/>
            <wp:wrapNone/>
            <wp:docPr id="99" name="Picture 99" descr="This bar graph shows that in the Central region, the number of ED attendances has lower in March, April, May and June 2020 compared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00500" cy="2403565"/>
                    </a:xfrm>
                    <a:prstGeom prst="rect">
                      <a:avLst/>
                    </a:prstGeom>
                    <a:noFill/>
                  </pic:spPr>
                </pic:pic>
              </a:graphicData>
            </a:graphic>
            <wp14:sizeRelH relativeFrom="page">
              <wp14:pctWidth>0</wp14:pctWidth>
            </wp14:sizeRelH>
            <wp14:sizeRelV relativeFrom="page">
              <wp14:pctHeight>0</wp14:pctHeight>
            </wp14:sizeRelV>
          </wp:anchor>
        </w:drawing>
      </w:r>
      <w:r w:rsidR="00A72971">
        <w:rPr>
          <w:rFonts w:cs="Segoe UI"/>
          <w:noProof/>
          <w:sz w:val="22"/>
          <w:szCs w:val="22"/>
        </w:rPr>
        <w:drawing>
          <wp:inline distT="0" distB="0" distL="0" distR="0" wp14:anchorId="5043C3EA" wp14:editId="7577CA1C">
            <wp:extent cx="4000500" cy="2403564"/>
            <wp:effectExtent l="0" t="0" r="0" b="0"/>
            <wp:docPr id="97" name="Picture 97" descr="This bar graph shows that in the Northern region, the number of ED attendances has lower in March, April, May and June 2020 compared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29352" cy="2420899"/>
                    </a:xfrm>
                    <a:prstGeom prst="rect">
                      <a:avLst/>
                    </a:prstGeom>
                    <a:noFill/>
                  </pic:spPr>
                </pic:pic>
              </a:graphicData>
            </a:graphic>
          </wp:inline>
        </w:drawing>
      </w:r>
      <w:r w:rsidR="006A7630">
        <w:rPr>
          <w:rFonts w:cs="Segoe UI"/>
          <w:sz w:val="22"/>
          <w:szCs w:val="22"/>
        </w:rPr>
        <w:t xml:space="preserve">   </w:t>
      </w:r>
    </w:p>
    <w:sectPr w:rsidR="006A7630" w:rsidSect="00C46B46">
      <w:pgSz w:w="16834" w:h="11907" w:orient="landscape" w:code="9"/>
      <w:pgMar w:top="851" w:right="1418" w:bottom="851" w:left="1418" w:header="454" w:footer="567"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88E71" w14:textId="77777777" w:rsidR="00F11A59" w:rsidRDefault="00F11A59">
      <w:r>
        <w:separator/>
      </w:r>
    </w:p>
    <w:p w14:paraId="3DDD8D7F" w14:textId="77777777" w:rsidR="00F11A59" w:rsidRDefault="00F11A59"/>
  </w:endnote>
  <w:endnote w:type="continuationSeparator" w:id="0">
    <w:p w14:paraId="06E689C2" w14:textId="77777777" w:rsidR="00F11A59" w:rsidRDefault="00F11A59">
      <w:r>
        <w:continuationSeparator/>
      </w:r>
    </w:p>
    <w:p w14:paraId="553F7E10" w14:textId="77777777" w:rsidR="00F11A59" w:rsidRDefault="00F11A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BDF5" w14:textId="0250DE69" w:rsidR="00426D1E" w:rsidRPr="00581136" w:rsidRDefault="00426D1E" w:rsidP="005A79E5">
    <w:pPr>
      <w:pStyle w:val="Footer"/>
      <w:pBdr>
        <w:bottom w:val="single" w:sz="4" w:space="1" w:color="auto"/>
      </w:pBdr>
      <w:tabs>
        <w:tab w:val="right" w:pos="9639"/>
      </w:tabs>
      <w:rPr>
        <w:b/>
      </w:rPr>
    </w:pPr>
    <w:r w:rsidRPr="00581136">
      <w:rPr>
        <w:b/>
      </w:rPr>
      <w:t xml:space="preserve">Released </w:t>
    </w:r>
    <w:r>
      <w:rPr>
        <w:b/>
      </w:rPr>
      <w:t xml:space="preserve">November </w:t>
    </w:r>
    <w:r w:rsidRPr="00581136">
      <w:rPr>
        <w:b/>
      </w:rPr>
      <w:t>20</w:t>
    </w:r>
    <w:r>
      <w:rPr>
        <w:b/>
      </w:rPr>
      <w:t>20</w:t>
    </w:r>
    <w:r w:rsidRPr="00581136">
      <w:rPr>
        <w:b/>
      </w:rPr>
      <w:tab/>
      <w:t>health.govt.nz</w:t>
    </w:r>
  </w:p>
  <w:p w14:paraId="052148C2" w14:textId="77777777" w:rsidR="00426D1E" w:rsidRPr="005A79E5" w:rsidRDefault="00426D1E">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117539"/>
      <w:docPartObj>
        <w:docPartGallery w:val="Page Numbers (Bottom of Page)"/>
        <w:docPartUnique/>
      </w:docPartObj>
    </w:sdtPr>
    <w:sdtEndPr>
      <w:rPr>
        <w:noProof/>
        <w:sz w:val="2"/>
        <w:szCs w:val="2"/>
      </w:rPr>
    </w:sdtEndPr>
    <w:sdtContent>
      <w:p w14:paraId="5236A0A5" w14:textId="77777777" w:rsidR="00426D1E" w:rsidRDefault="00426D1E">
        <w:pPr>
          <w:pStyle w:val="Footer"/>
          <w:jc w:val="right"/>
          <w:rPr>
            <w:noProof/>
          </w:rPr>
        </w:pPr>
      </w:p>
      <w:tbl>
        <w:tblPr>
          <w:tblStyle w:val="TableGrid"/>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708"/>
        </w:tblGrid>
        <w:tr w:rsidR="00426D1E" w14:paraId="73BFE9B3" w14:textId="77777777" w:rsidTr="001A1736">
          <w:trPr>
            <w:cantSplit/>
          </w:trPr>
          <w:tc>
            <w:tcPr>
              <w:tcW w:w="7938" w:type="dxa"/>
              <w:vAlign w:val="center"/>
            </w:tcPr>
            <w:p w14:paraId="14BDB49C" w14:textId="77777777" w:rsidR="00426D1E" w:rsidRDefault="00426D1E" w:rsidP="00607084">
              <w:pPr>
                <w:pStyle w:val="RectoFooter"/>
              </w:pPr>
              <w:r w:rsidRPr="00D124C0">
                <w:t>COVID-19 disruptions to hospital and general practice activity</w:t>
              </w:r>
              <w:r w:rsidRPr="00A737C2">
                <w:t xml:space="preserve"> </w:t>
              </w:r>
            </w:p>
          </w:tc>
          <w:tc>
            <w:tcPr>
              <w:tcW w:w="708" w:type="dxa"/>
              <w:vAlign w:val="center"/>
            </w:tcPr>
            <w:p w14:paraId="4CC66FE8" w14:textId="77777777" w:rsidR="00426D1E" w:rsidRPr="00931466" w:rsidRDefault="00426D1E" w:rsidP="0060708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4872CE1D" w14:textId="29B6A6FB" w:rsidR="00426D1E" w:rsidRPr="00607084" w:rsidRDefault="00F11A59">
        <w:pPr>
          <w:pStyle w:val="Footer"/>
          <w:rPr>
            <w:sz w:val="2"/>
            <w:szCs w:val="2"/>
          </w:rP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26D1E" w14:paraId="3BAB9A3D" w14:textId="77777777" w:rsidTr="001A1736">
      <w:trPr>
        <w:cantSplit/>
      </w:trPr>
      <w:tc>
        <w:tcPr>
          <w:tcW w:w="709" w:type="dxa"/>
          <w:vAlign w:val="center"/>
        </w:tcPr>
        <w:p w14:paraId="783F3765" w14:textId="77777777" w:rsidR="00426D1E" w:rsidRPr="00931466" w:rsidRDefault="00426D1E" w:rsidP="00607084">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2C3D0312" w14:textId="77777777" w:rsidR="00426D1E" w:rsidRPr="00D124C0" w:rsidRDefault="00426D1E" w:rsidP="00607084">
          <w:pPr>
            <w:rPr>
              <w:caps/>
              <w:sz w:val="15"/>
            </w:rPr>
          </w:pPr>
          <w:r w:rsidRPr="00D124C0">
            <w:rPr>
              <w:caps/>
              <w:sz w:val="15"/>
            </w:rPr>
            <w:t>COVID-19 DISRUPTIONS TO HOSPITAL AND GENERAL PRACTICE ACTIVITY</w:t>
          </w:r>
        </w:p>
      </w:tc>
    </w:tr>
  </w:tbl>
  <w:p w14:paraId="4148E1B0" w14:textId="77777777" w:rsidR="00426D1E" w:rsidRPr="00607084" w:rsidRDefault="00426D1E">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147116"/>
      <w:docPartObj>
        <w:docPartGallery w:val="Page Numbers (Bottom of Page)"/>
        <w:docPartUnique/>
      </w:docPartObj>
    </w:sdtPr>
    <w:sdtEndPr>
      <w:rPr>
        <w:noProof/>
        <w:sz w:val="2"/>
        <w:szCs w:val="2"/>
      </w:rPr>
    </w:sdtEndPr>
    <w:sdtContent>
      <w:p w14:paraId="05AE4D06" w14:textId="77777777" w:rsidR="00426D1E" w:rsidRDefault="00426D1E">
        <w:pPr>
          <w:pStyle w:val="Footer"/>
          <w:jc w:val="right"/>
          <w:rPr>
            <w:noProof/>
          </w:rPr>
        </w:pPr>
      </w:p>
      <w:tbl>
        <w:tblPr>
          <w:tblStyle w:val="TableGrid"/>
          <w:tblW w:w="1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58"/>
          <w:gridCol w:w="708"/>
        </w:tblGrid>
        <w:tr w:rsidR="00426D1E" w14:paraId="5544132A" w14:textId="77777777" w:rsidTr="00607084">
          <w:trPr>
            <w:cantSplit/>
          </w:trPr>
          <w:tc>
            <w:tcPr>
              <w:tcW w:w="12758" w:type="dxa"/>
              <w:vAlign w:val="center"/>
            </w:tcPr>
            <w:p w14:paraId="0ACDA2D8" w14:textId="77777777" w:rsidR="00426D1E" w:rsidRDefault="00426D1E" w:rsidP="00607084">
              <w:pPr>
                <w:pStyle w:val="RectoFooter"/>
              </w:pPr>
              <w:r w:rsidRPr="00D124C0">
                <w:t>COVID-19 disruptions to hospital and general practice activity</w:t>
              </w:r>
              <w:r w:rsidRPr="00A737C2">
                <w:t xml:space="preserve"> </w:t>
              </w:r>
            </w:p>
          </w:tc>
          <w:tc>
            <w:tcPr>
              <w:tcW w:w="708" w:type="dxa"/>
              <w:vAlign w:val="center"/>
            </w:tcPr>
            <w:p w14:paraId="0DECECC6" w14:textId="77777777" w:rsidR="00426D1E" w:rsidRPr="00931466" w:rsidRDefault="00426D1E" w:rsidP="0060708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2FA004AE" w14:textId="77777777" w:rsidR="00426D1E" w:rsidRPr="00607084" w:rsidRDefault="00F11A59">
        <w:pPr>
          <w:pStyle w:val="Footer"/>
          <w:rPr>
            <w:sz w:val="2"/>
            <w:szCs w:val="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BFB5" w14:textId="77777777" w:rsidR="00426D1E" w:rsidRPr="00D124C0" w:rsidRDefault="00426D1E" w:rsidP="004D6689">
    <w:pPr>
      <w:pStyle w:val="Footer"/>
      <w:ind w:right="360" w:firstLine="36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708"/>
    </w:tblGrid>
    <w:tr w:rsidR="00426D1E" w14:paraId="2F2E98F1" w14:textId="77777777" w:rsidTr="001A1736">
      <w:trPr>
        <w:cantSplit/>
      </w:trPr>
      <w:tc>
        <w:tcPr>
          <w:tcW w:w="7938" w:type="dxa"/>
          <w:vAlign w:val="center"/>
        </w:tcPr>
        <w:p w14:paraId="33785C56" w14:textId="77777777" w:rsidR="00426D1E" w:rsidRDefault="00426D1E" w:rsidP="00D124C0">
          <w:pPr>
            <w:pStyle w:val="RectoFooter"/>
          </w:pPr>
          <w:r w:rsidRPr="00D124C0">
            <w:t>COVID-19 disruptions to hospital and general practice activity</w:t>
          </w:r>
          <w:r w:rsidRPr="00A737C2">
            <w:t xml:space="preserve"> </w:t>
          </w:r>
        </w:p>
      </w:tc>
      <w:tc>
        <w:tcPr>
          <w:tcW w:w="708" w:type="dxa"/>
          <w:vAlign w:val="center"/>
        </w:tcPr>
        <w:p w14:paraId="2B7B2B08" w14:textId="77777777" w:rsidR="00426D1E" w:rsidRPr="00931466" w:rsidRDefault="00426D1E" w:rsidP="00D124C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3CC1DA8C" w14:textId="77777777" w:rsidR="00426D1E" w:rsidRPr="00D124C0" w:rsidRDefault="00426D1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26D1E" w14:paraId="1907B166" w14:textId="77777777" w:rsidTr="001A1736">
      <w:trPr>
        <w:cantSplit/>
      </w:trPr>
      <w:tc>
        <w:tcPr>
          <w:tcW w:w="709" w:type="dxa"/>
          <w:vAlign w:val="center"/>
        </w:tcPr>
        <w:p w14:paraId="77BCB648" w14:textId="77777777" w:rsidR="00426D1E" w:rsidRPr="00931466" w:rsidRDefault="00426D1E" w:rsidP="00607084">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1DA9E01E" w14:textId="77777777" w:rsidR="00426D1E" w:rsidRPr="00D124C0" w:rsidRDefault="00426D1E" w:rsidP="00607084">
          <w:pPr>
            <w:rPr>
              <w:caps/>
              <w:sz w:val="15"/>
            </w:rPr>
          </w:pPr>
          <w:r w:rsidRPr="00D124C0">
            <w:rPr>
              <w:caps/>
              <w:sz w:val="15"/>
            </w:rPr>
            <w:t>COVID-19 DISRUPTIONS TO HOSPITAL AND GENERAL PRACTICE ACTIVITY</w:t>
          </w:r>
        </w:p>
      </w:tc>
    </w:tr>
  </w:tbl>
  <w:p w14:paraId="572D4901" w14:textId="77777777" w:rsidR="00426D1E" w:rsidRPr="00D124C0" w:rsidRDefault="00426D1E" w:rsidP="004D6689">
    <w:pPr>
      <w:pStyle w:val="Footer"/>
      <w:ind w:right="360" w:firstLine="36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26D1E" w14:paraId="3D9228E9" w14:textId="77777777" w:rsidTr="001A1736">
      <w:trPr>
        <w:cantSplit/>
      </w:trPr>
      <w:tc>
        <w:tcPr>
          <w:tcW w:w="709" w:type="dxa"/>
          <w:vAlign w:val="center"/>
        </w:tcPr>
        <w:p w14:paraId="0028BDBC" w14:textId="77777777" w:rsidR="00426D1E" w:rsidRPr="00931466" w:rsidRDefault="00426D1E" w:rsidP="00D124C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36037451" w14:textId="5DF170FB" w:rsidR="00426D1E" w:rsidRPr="00D124C0" w:rsidRDefault="00426D1E" w:rsidP="00D124C0">
          <w:pPr>
            <w:rPr>
              <w:caps/>
              <w:sz w:val="15"/>
            </w:rPr>
          </w:pPr>
          <w:r w:rsidRPr="00D124C0">
            <w:rPr>
              <w:caps/>
              <w:sz w:val="15"/>
            </w:rPr>
            <w:t>COVID-19 DISRUPTIONS TO HOSPITAL AND GENERAL PRACTICE ACTIVITY</w:t>
          </w:r>
        </w:p>
      </w:tc>
    </w:tr>
  </w:tbl>
  <w:p w14:paraId="4391B698" w14:textId="77777777" w:rsidR="00426D1E" w:rsidRPr="00D124C0" w:rsidRDefault="00426D1E">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937085"/>
      <w:docPartObj>
        <w:docPartGallery w:val="Page Numbers (Bottom of Page)"/>
        <w:docPartUnique/>
      </w:docPartObj>
    </w:sdtPr>
    <w:sdtEndPr>
      <w:rPr>
        <w:noProof/>
        <w:sz w:val="2"/>
        <w:szCs w:val="2"/>
      </w:rPr>
    </w:sdtEndPr>
    <w:sdtContent>
      <w:p w14:paraId="5B29E8F6" w14:textId="77777777" w:rsidR="00426D1E" w:rsidRDefault="00426D1E">
        <w:pPr>
          <w:pStyle w:val="Footer"/>
          <w:jc w:val="right"/>
          <w:rPr>
            <w:noProof/>
          </w:rPr>
        </w:pPr>
      </w:p>
      <w:tbl>
        <w:tblPr>
          <w:tblStyle w:val="TableGrid"/>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708"/>
        </w:tblGrid>
        <w:tr w:rsidR="00426D1E" w14:paraId="01808E69" w14:textId="77777777" w:rsidTr="001A1736">
          <w:trPr>
            <w:cantSplit/>
          </w:trPr>
          <w:tc>
            <w:tcPr>
              <w:tcW w:w="7938" w:type="dxa"/>
              <w:vAlign w:val="center"/>
            </w:tcPr>
            <w:p w14:paraId="71DB17EE" w14:textId="32248BAA" w:rsidR="00426D1E" w:rsidRDefault="00426D1E" w:rsidP="00D124C0">
              <w:pPr>
                <w:pStyle w:val="RectoFooter"/>
              </w:pPr>
              <w:r w:rsidRPr="00D124C0">
                <w:t>COVID-19 disruptions to hospital and general practice activity</w:t>
              </w:r>
              <w:r w:rsidRPr="00A737C2">
                <w:t xml:space="preserve"> </w:t>
              </w:r>
            </w:p>
          </w:tc>
          <w:tc>
            <w:tcPr>
              <w:tcW w:w="708" w:type="dxa"/>
              <w:vAlign w:val="center"/>
            </w:tcPr>
            <w:p w14:paraId="7D31FB3F" w14:textId="77777777" w:rsidR="00426D1E" w:rsidRPr="00931466" w:rsidRDefault="00426D1E" w:rsidP="00D124C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2164FD61" w14:textId="764FDB1C" w:rsidR="00426D1E" w:rsidRPr="00D124C0" w:rsidRDefault="00F11A59">
        <w:pPr>
          <w:pStyle w:val="Footer"/>
          <w:rPr>
            <w:sz w:val="2"/>
            <w:szCs w:val="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791D" w14:textId="77777777" w:rsidR="00426D1E" w:rsidRDefault="00426D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022707"/>
      <w:docPartObj>
        <w:docPartGallery w:val="Page Numbers (Bottom of Page)"/>
        <w:docPartUnique/>
      </w:docPartObj>
    </w:sdtPr>
    <w:sdtEndPr>
      <w:rPr>
        <w:noProof/>
        <w:sz w:val="2"/>
        <w:szCs w:val="2"/>
      </w:rPr>
    </w:sdtEndPr>
    <w:sdtContent>
      <w:p w14:paraId="1EAD4400" w14:textId="77777777" w:rsidR="00426D1E" w:rsidRDefault="00426D1E">
        <w:pPr>
          <w:pStyle w:val="Footer"/>
          <w:jc w:val="right"/>
          <w:rPr>
            <w:noProof/>
          </w:rPr>
        </w:pPr>
      </w:p>
      <w:tbl>
        <w:tblPr>
          <w:tblStyle w:val="TableGrid"/>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58"/>
          <w:gridCol w:w="1134"/>
        </w:tblGrid>
        <w:tr w:rsidR="00426D1E" w14:paraId="06BD3641" w14:textId="77777777" w:rsidTr="00607084">
          <w:trPr>
            <w:cantSplit/>
          </w:trPr>
          <w:tc>
            <w:tcPr>
              <w:tcW w:w="12758" w:type="dxa"/>
              <w:vAlign w:val="center"/>
            </w:tcPr>
            <w:p w14:paraId="7816672C" w14:textId="77777777" w:rsidR="00426D1E" w:rsidRDefault="00426D1E" w:rsidP="00607084">
              <w:pPr>
                <w:pStyle w:val="RectoFooter"/>
              </w:pPr>
              <w:r w:rsidRPr="00D124C0">
                <w:t>COVID-19 disruptions to hospital and general practice activity</w:t>
              </w:r>
              <w:r w:rsidRPr="00A737C2">
                <w:t xml:space="preserve"> </w:t>
              </w:r>
            </w:p>
          </w:tc>
          <w:tc>
            <w:tcPr>
              <w:tcW w:w="1134" w:type="dxa"/>
              <w:vAlign w:val="center"/>
            </w:tcPr>
            <w:p w14:paraId="0E810583" w14:textId="77777777" w:rsidR="00426D1E" w:rsidRPr="00931466" w:rsidRDefault="00426D1E" w:rsidP="0060708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1FC2475D" w14:textId="775A0500" w:rsidR="00426D1E" w:rsidRPr="00607084" w:rsidRDefault="00F11A59">
        <w:pPr>
          <w:pStyle w:val="Footer"/>
          <w:rPr>
            <w:sz w:val="2"/>
            <w:szCs w:val="2"/>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26D1E" w14:paraId="49C51B57" w14:textId="77777777" w:rsidTr="001A1736">
      <w:trPr>
        <w:cantSplit/>
      </w:trPr>
      <w:tc>
        <w:tcPr>
          <w:tcW w:w="709" w:type="dxa"/>
          <w:vAlign w:val="center"/>
        </w:tcPr>
        <w:p w14:paraId="7392434D" w14:textId="77777777" w:rsidR="00426D1E" w:rsidRPr="00931466" w:rsidRDefault="00426D1E" w:rsidP="00607084">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4D2CC66D" w14:textId="77777777" w:rsidR="00426D1E" w:rsidRPr="00D124C0" w:rsidRDefault="00426D1E" w:rsidP="00607084">
          <w:pPr>
            <w:rPr>
              <w:caps/>
              <w:sz w:val="15"/>
            </w:rPr>
          </w:pPr>
          <w:r w:rsidRPr="00D124C0">
            <w:rPr>
              <w:caps/>
              <w:sz w:val="15"/>
            </w:rPr>
            <w:t>COVID-19 DISRUPTIONS TO HOSPITAL AND GENERAL PRACTICE ACTIVITY</w:t>
          </w:r>
        </w:p>
      </w:tc>
    </w:tr>
  </w:tbl>
  <w:p w14:paraId="48F31D85" w14:textId="77777777" w:rsidR="00426D1E" w:rsidRPr="00607084" w:rsidRDefault="00426D1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D5E73" w14:textId="77777777" w:rsidR="00F11A59" w:rsidRPr="00A26E6B" w:rsidRDefault="00F11A59" w:rsidP="00A26E6B"/>
  </w:footnote>
  <w:footnote w:type="continuationSeparator" w:id="0">
    <w:p w14:paraId="15A8FE84" w14:textId="77777777" w:rsidR="00F11A59" w:rsidRDefault="00F11A59">
      <w:r>
        <w:continuationSeparator/>
      </w:r>
    </w:p>
    <w:p w14:paraId="0F38C567" w14:textId="77777777" w:rsidR="00F11A59" w:rsidRDefault="00F11A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426D1E" w14:paraId="2250C520" w14:textId="77777777" w:rsidTr="005A79E5">
      <w:trPr>
        <w:cantSplit/>
      </w:trPr>
      <w:tc>
        <w:tcPr>
          <w:tcW w:w="5210" w:type="dxa"/>
        </w:tcPr>
        <w:p w14:paraId="213C30F3" w14:textId="77777777" w:rsidR="00426D1E" w:rsidRDefault="00426D1E" w:rsidP="00802C89">
          <w:pPr>
            <w:pStyle w:val="Header"/>
          </w:pPr>
          <w:r>
            <w:rPr>
              <w:noProof/>
              <w:lang w:eastAsia="en-NZ"/>
            </w:rPr>
            <w:drawing>
              <wp:inline distT="0" distB="0" distL="0" distR="0" wp14:anchorId="59D8332A" wp14:editId="562FC858">
                <wp:extent cx="1395076" cy="573578"/>
                <wp:effectExtent l="0" t="0" r="0" b="0"/>
                <wp:docPr id="24" name="Picture 2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1D2EAA87" w14:textId="77777777" w:rsidR="00426D1E" w:rsidRDefault="00426D1E" w:rsidP="00802C89">
          <w:pPr>
            <w:pStyle w:val="Header"/>
            <w:jc w:val="right"/>
          </w:pPr>
          <w:r>
            <w:rPr>
              <w:noProof/>
              <w:lang w:eastAsia="en-NZ"/>
            </w:rPr>
            <w:drawing>
              <wp:inline distT="0" distB="0" distL="0" distR="0" wp14:anchorId="0225BC01" wp14:editId="7CAA1248">
                <wp:extent cx="1720735" cy="177135"/>
                <wp:effectExtent l="0" t="0" r="0" b="0"/>
                <wp:docPr id="25" name="Picture 25"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0FA72C6D" w14:textId="0397E796" w:rsidR="00426D1E" w:rsidRDefault="00426D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5FC64" w14:textId="77777777" w:rsidR="00426D1E" w:rsidRDefault="00426D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D10BA" w14:textId="77777777" w:rsidR="00426D1E" w:rsidRDefault="00426D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64D87" w14:textId="77777777" w:rsidR="00426D1E" w:rsidRDefault="00426D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3F40" w14:textId="77777777" w:rsidR="00426D1E" w:rsidRDefault="00426D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EA5C8" w14:textId="77777777" w:rsidR="00426D1E" w:rsidRPr="006A7630" w:rsidRDefault="00426D1E" w:rsidP="006A76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A86D4" w14:textId="77777777" w:rsidR="00426D1E" w:rsidRPr="006A7630" w:rsidRDefault="00426D1E" w:rsidP="006A76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A98FD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E1B55"/>
    <w:multiLevelType w:val="singleLevel"/>
    <w:tmpl w:val="5D44589E"/>
    <w:lvl w:ilvl="0">
      <w:start w:val="1"/>
      <w:numFmt w:val="bullet"/>
      <w:pStyle w:val="TableBullet"/>
      <w:lvlText w:val=""/>
      <w:lvlJc w:val="left"/>
      <w:pPr>
        <w:tabs>
          <w:tab w:val="num" w:pos="284"/>
        </w:tabs>
        <w:ind w:left="284" w:hanging="284"/>
      </w:pPr>
      <w:rPr>
        <w:rFonts w:ascii="Symbol" w:hAnsi="Symbol" w:hint="default"/>
        <w:sz w:val="18"/>
        <w:szCs w:val="16"/>
      </w:rPr>
    </w:lvl>
  </w:abstractNum>
  <w:abstractNum w:abstractNumId="2" w15:restartNumberingAfterBreak="0">
    <w:nsid w:val="23DC7796"/>
    <w:multiLevelType w:val="multilevel"/>
    <w:tmpl w:val="B8D2E37E"/>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275"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2F2FE6"/>
    <w:multiLevelType w:val="hybridMultilevel"/>
    <w:tmpl w:val="5F0232D2"/>
    <w:lvl w:ilvl="0" w:tplc="14090001">
      <w:start w:val="1"/>
      <w:numFmt w:val="bullet"/>
      <w:lvlText w:val=""/>
      <w:lvlJc w:val="left"/>
      <w:pPr>
        <w:ind w:left="2520" w:hanging="360"/>
      </w:pPr>
      <w:rPr>
        <w:rFonts w:ascii="Symbol" w:hAnsi="Symbol" w:hint="default"/>
      </w:rPr>
    </w:lvl>
    <w:lvl w:ilvl="1" w:tplc="22E28F32">
      <w:start w:val="1"/>
      <w:numFmt w:val="bullet"/>
      <w:pStyle w:val="Bullet2"/>
      <w:lvlText w:val=""/>
      <w:lvlJc w:val="left"/>
      <w:pPr>
        <w:ind w:left="3240" w:hanging="360"/>
      </w:pPr>
      <w:rPr>
        <w:rFonts w:ascii="Symbol" w:hAnsi="Symbol"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3"/>
  </w:num>
  <w:num w:numId="3">
    <w:abstractNumId w:val="4"/>
  </w:num>
  <w:num w:numId="4">
    <w:abstractNumId w:val="1"/>
  </w:num>
  <w:num w:numId="5">
    <w:abstractNumId w:val="2"/>
  </w:num>
  <w:num w:numId="6">
    <w:abstractNumId w:val="0"/>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NZ" w:vendorID="64" w:dllVersion="6" w:nlCheck="1" w:checkStyle="1"/>
  <w:activeWritingStyle w:appName="MSWord" w:lang="en-NZ" w:vendorID="64" w:dllVersion="4096" w:nlCheck="1" w:checkStyle="0"/>
  <w:activeWritingStyle w:appName="MSWord" w:lang="en-NZ" w:vendorID="64" w:dllVersion="0" w:nlCheck="1" w:checkStyle="0"/>
  <w:activeWritingStyle w:appName="MSWord" w:lang="en-PH" w:vendorID="64" w:dllVersion="0" w:nlCheck="1" w:checkStyle="0"/>
  <w:activeWritingStyle w:appName="MSWord" w:lang="en-AU"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1878"/>
    <w:rsid w:val="000025B8"/>
    <w:rsid w:val="0001168D"/>
    <w:rsid w:val="000165CC"/>
    <w:rsid w:val="00017BE8"/>
    <w:rsid w:val="000212BA"/>
    <w:rsid w:val="00023F4D"/>
    <w:rsid w:val="00024C77"/>
    <w:rsid w:val="0002545A"/>
    <w:rsid w:val="00025A6F"/>
    <w:rsid w:val="0002618D"/>
    <w:rsid w:val="00030B26"/>
    <w:rsid w:val="00030E84"/>
    <w:rsid w:val="00032C0A"/>
    <w:rsid w:val="00035257"/>
    <w:rsid w:val="000358F8"/>
    <w:rsid w:val="00035D68"/>
    <w:rsid w:val="000436C6"/>
    <w:rsid w:val="00043973"/>
    <w:rsid w:val="00043C1E"/>
    <w:rsid w:val="00043E2B"/>
    <w:rsid w:val="00044480"/>
    <w:rsid w:val="000444A2"/>
    <w:rsid w:val="000457F7"/>
    <w:rsid w:val="000478E1"/>
    <w:rsid w:val="00050EEB"/>
    <w:rsid w:val="00052C5B"/>
    <w:rsid w:val="00053A27"/>
    <w:rsid w:val="00054B44"/>
    <w:rsid w:val="00055A92"/>
    <w:rsid w:val="00055B27"/>
    <w:rsid w:val="000563C9"/>
    <w:rsid w:val="000563F3"/>
    <w:rsid w:val="000569D8"/>
    <w:rsid w:val="00060F4B"/>
    <w:rsid w:val="0006228D"/>
    <w:rsid w:val="00062330"/>
    <w:rsid w:val="00063B33"/>
    <w:rsid w:val="00063FC4"/>
    <w:rsid w:val="000706E2"/>
    <w:rsid w:val="00071EBA"/>
    <w:rsid w:val="00072BD6"/>
    <w:rsid w:val="00073457"/>
    <w:rsid w:val="00074549"/>
    <w:rsid w:val="00075B78"/>
    <w:rsid w:val="00082CD6"/>
    <w:rsid w:val="0008437D"/>
    <w:rsid w:val="00085AFE"/>
    <w:rsid w:val="00086510"/>
    <w:rsid w:val="00087C22"/>
    <w:rsid w:val="00092F63"/>
    <w:rsid w:val="00094800"/>
    <w:rsid w:val="000A390F"/>
    <w:rsid w:val="000A53C8"/>
    <w:rsid w:val="000B0730"/>
    <w:rsid w:val="000B1D4D"/>
    <w:rsid w:val="000B3F43"/>
    <w:rsid w:val="000C3AE5"/>
    <w:rsid w:val="000D08BE"/>
    <w:rsid w:val="000D19F4"/>
    <w:rsid w:val="000D489F"/>
    <w:rsid w:val="000D58DD"/>
    <w:rsid w:val="000D6702"/>
    <w:rsid w:val="000D67BD"/>
    <w:rsid w:val="000D7C4B"/>
    <w:rsid w:val="000E00C3"/>
    <w:rsid w:val="000E1711"/>
    <w:rsid w:val="000E4E74"/>
    <w:rsid w:val="000E7D06"/>
    <w:rsid w:val="000F2AE2"/>
    <w:rsid w:val="000F2BFF"/>
    <w:rsid w:val="000F4CCB"/>
    <w:rsid w:val="00102063"/>
    <w:rsid w:val="00102D25"/>
    <w:rsid w:val="00103973"/>
    <w:rsid w:val="0010541C"/>
    <w:rsid w:val="00106F93"/>
    <w:rsid w:val="001112A5"/>
    <w:rsid w:val="00111D50"/>
    <w:rsid w:val="001138AD"/>
    <w:rsid w:val="00113B8E"/>
    <w:rsid w:val="0011564B"/>
    <w:rsid w:val="00116F98"/>
    <w:rsid w:val="0011742F"/>
    <w:rsid w:val="00117DC3"/>
    <w:rsid w:val="0012053C"/>
    <w:rsid w:val="001218C8"/>
    <w:rsid w:val="00121956"/>
    <w:rsid w:val="00122363"/>
    <w:rsid w:val="00123D75"/>
    <w:rsid w:val="00124768"/>
    <w:rsid w:val="001249F6"/>
    <w:rsid w:val="001300AC"/>
    <w:rsid w:val="001342C7"/>
    <w:rsid w:val="0013464D"/>
    <w:rsid w:val="0013585C"/>
    <w:rsid w:val="00135B4F"/>
    <w:rsid w:val="00140437"/>
    <w:rsid w:val="0014080A"/>
    <w:rsid w:val="00142261"/>
    <w:rsid w:val="00142954"/>
    <w:rsid w:val="00145BA9"/>
    <w:rsid w:val="001460E0"/>
    <w:rsid w:val="00146937"/>
    <w:rsid w:val="001472F0"/>
    <w:rsid w:val="00147F71"/>
    <w:rsid w:val="00150A6E"/>
    <w:rsid w:val="00150CD6"/>
    <w:rsid w:val="0015171E"/>
    <w:rsid w:val="001536D1"/>
    <w:rsid w:val="001538BC"/>
    <w:rsid w:val="00154346"/>
    <w:rsid w:val="001545BC"/>
    <w:rsid w:val="00154B32"/>
    <w:rsid w:val="00161DAC"/>
    <w:rsid w:val="0016468A"/>
    <w:rsid w:val="00167DA3"/>
    <w:rsid w:val="001704EF"/>
    <w:rsid w:val="00170833"/>
    <w:rsid w:val="00174A67"/>
    <w:rsid w:val="00175364"/>
    <w:rsid w:val="00175B47"/>
    <w:rsid w:val="0017606F"/>
    <w:rsid w:val="001860FF"/>
    <w:rsid w:val="0018662D"/>
    <w:rsid w:val="00194F3D"/>
    <w:rsid w:val="00195744"/>
    <w:rsid w:val="001964F5"/>
    <w:rsid w:val="00197427"/>
    <w:rsid w:val="001A1736"/>
    <w:rsid w:val="001A21B4"/>
    <w:rsid w:val="001A5CF5"/>
    <w:rsid w:val="001A5D55"/>
    <w:rsid w:val="001A6A32"/>
    <w:rsid w:val="001A77E4"/>
    <w:rsid w:val="001B0E6D"/>
    <w:rsid w:val="001B39D2"/>
    <w:rsid w:val="001B4BF8"/>
    <w:rsid w:val="001C15F2"/>
    <w:rsid w:val="001C4326"/>
    <w:rsid w:val="001C4912"/>
    <w:rsid w:val="001D047B"/>
    <w:rsid w:val="001D3541"/>
    <w:rsid w:val="001D3E4E"/>
    <w:rsid w:val="001D412B"/>
    <w:rsid w:val="001E0455"/>
    <w:rsid w:val="001E254A"/>
    <w:rsid w:val="001E3C12"/>
    <w:rsid w:val="001E5A14"/>
    <w:rsid w:val="001E7386"/>
    <w:rsid w:val="001F03AA"/>
    <w:rsid w:val="001F45A7"/>
    <w:rsid w:val="001F67E4"/>
    <w:rsid w:val="00201A01"/>
    <w:rsid w:val="00204230"/>
    <w:rsid w:val="00205510"/>
    <w:rsid w:val="00205692"/>
    <w:rsid w:val="0020754B"/>
    <w:rsid w:val="002104D3"/>
    <w:rsid w:val="00210EE2"/>
    <w:rsid w:val="0021232B"/>
    <w:rsid w:val="00213A33"/>
    <w:rsid w:val="0021763B"/>
    <w:rsid w:val="002222C7"/>
    <w:rsid w:val="00230EF3"/>
    <w:rsid w:val="00235455"/>
    <w:rsid w:val="0024145F"/>
    <w:rsid w:val="00241A3A"/>
    <w:rsid w:val="002469F7"/>
    <w:rsid w:val="00246DB1"/>
    <w:rsid w:val="002474F6"/>
    <w:rsid w:val="002476B5"/>
    <w:rsid w:val="00250BDA"/>
    <w:rsid w:val="002520CC"/>
    <w:rsid w:val="00252C34"/>
    <w:rsid w:val="00253ECF"/>
    <w:rsid w:val="002546A1"/>
    <w:rsid w:val="002564DB"/>
    <w:rsid w:val="00262791"/>
    <w:rsid w:val="002628F4"/>
    <w:rsid w:val="002633EA"/>
    <w:rsid w:val="00267324"/>
    <w:rsid w:val="002711B8"/>
    <w:rsid w:val="00273DBF"/>
    <w:rsid w:val="00275D08"/>
    <w:rsid w:val="002841FA"/>
    <w:rsid w:val="002858E3"/>
    <w:rsid w:val="00287A30"/>
    <w:rsid w:val="00287E03"/>
    <w:rsid w:val="00291658"/>
    <w:rsid w:val="0029190A"/>
    <w:rsid w:val="00292C5A"/>
    <w:rsid w:val="0029386D"/>
    <w:rsid w:val="00295241"/>
    <w:rsid w:val="00297EF0"/>
    <w:rsid w:val="002A24C4"/>
    <w:rsid w:val="002A26D9"/>
    <w:rsid w:val="002A4000"/>
    <w:rsid w:val="002A4DFC"/>
    <w:rsid w:val="002A744D"/>
    <w:rsid w:val="002B047D"/>
    <w:rsid w:val="002B1D27"/>
    <w:rsid w:val="002B3B4F"/>
    <w:rsid w:val="002B4949"/>
    <w:rsid w:val="002B6485"/>
    <w:rsid w:val="002B6DD9"/>
    <w:rsid w:val="002B732B"/>
    <w:rsid w:val="002B76A7"/>
    <w:rsid w:val="002C0205"/>
    <w:rsid w:val="002C0D2B"/>
    <w:rsid w:val="002C2219"/>
    <w:rsid w:val="002C2552"/>
    <w:rsid w:val="002C2805"/>
    <w:rsid w:val="002C6B8B"/>
    <w:rsid w:val="002C7641"/>
    <w:rsid w:val="002D0DF2"/>
    <w:rsid w:val="002D1662"/>
    <w:rsid w:val="002D23BD"/>
    <w:rsid w:val="002D2841"/>
    <w:rsid w:val="002D623D"/>
    <w:rsid w:val="002E07F5"/>
    <w:rsid w:val="002E0B47"/>
    <w:rsid w:val="002E1CBC"/>
    <w:rsid w:val="002E3727"/>
    <w:rsid w:val="002E5189"/>
    <w:rsid w:val="002F3B52"/>
    <w:rsid w:val="002F4685"/>
    <w:rsid w:val="002F7213"/>
    <w:rsid w:val="0030029C"/>
    <w:rsid w:val="003020CF"/>
    <w:rsid w:val="00302522"/>
    <w:rsid w:val="0030382F"/>
    <w:rsid w:val="0030408D"/>
    <w:rsid w:val="003044B0"/>
    <w:rsid w:val="00304969"/>
    <w:rsid w:val="003060E4"/>
    <w:rsid w:val="003126D7"/>
    <w:rsid w:val="003142E7"/>
    <w:rsid w:val="003160E7"/>
    <w:rsid w:val="0031739E"/>
    <w:rsid w:val="003175E4"/>
    <w:rsid w:val="003245F7"/>
    <w:rsid w:val="003309A5"/>
    <w:rsid w:val="003309CA"/>
    <w:rsid w:val="003325AB"/>
    <w:rsid w:val="003332D1"/>
    <w:rsid w:val="003336D5"/>
    <w:rsid w:val="00333840"/>
    <w:rsid w:val="00333906"/>
    <w:rsid w:val="0033412B"/>
    <w:rsid w:val="00334CBF"/>
    <w:rsid w:val="0033542A"/>
    <w:rsid w:val="00335F8B"/>
    <w:rsid w:val="00337885"/>
    <w:rsid w:val="00341161"/>
    <w:rsid w:val="00343365"/>
    <w:rsid w:val="003445F4"/>
    <w:rsid w:val="00345239"/>
    <w:rsid w:val="00347D11"/>
    <w:rsid w:val="00347FA2"/>
    <w:rsid w:val="00351E21"/>
    <w:rsid w:val="003523E4"/>
    <w:rsid w:val="00353501"/>
    <w:rsid w:val="00353520"/>
    <w:rsid w:val="00353734"/>
    <w:rsid w:val="003537D5"/>
    <w:rsid w:val="00353B5E"/>
    <w:rsid w:val="00356C8E"/>
    <w:rsid w:val="003606F8"/>
    <w:rsid w:val="00361417"/>
    <w:rsid w:val="00362438"/>
    <w:rsid w:val="003648EF"/>
    <w:rsid w:val="00366395"/>
    <w:rsid w:val="003673E6"/>
    <w:rsid w:val="00375344"/>
    <w:rsid w:val="00375986"/>
    <w:rsid w:val="00377264"/>
    <w:rsid w:val="003779D2"/>
    <w:rsid w:val="00380F56"/>
    <w:rsid w:val="0038180E"/>
    <w:rsid w:val="0038302E"/>
    <w:rsid w:val="00383295"/>
    <w:rsid w:val="00383647"/>
    <w:rsid w:val="00383A46"/>
    <w:rsid w:val="0038437F"/>
    <w:rsid w:val="00385E38"/>
    <w:rsid w:val="00385FC4"/>
    <w:rsid w:val="00390BC8"/>
    <w:rsid w:val="00393E2B"/>
    <w:rsid w:val="003A0138"/>
    <w:rsid w:val="003A0423"/>
    <w:rsid w:val="003A26A5"/>
    <w:rsid w:val="003A3761"/>
    <w:rsid w:val="003A512D"/>
    <w:rsid w:val="003A5FEA"/>
    <w:rsid w:val="003A61FD"/>
    <w:rsid w:val="003A6CC5"/>
    <w:rsid w:val="003B1D10"/>
    <w:rsid w:val="003B3262"/>
    <w:rsid w:val="003B4CCC"/>
    <w:rsid w:val="003B6E9B"/>
    <w:rsid w:val="003C0D0C"/>
    <w:rsid w:val="003C76D4"/>
    <w:rsid w:val="003D01B4"/>
    <w:rsid w:val="003D0D54"/>
    <w:rsid w:val="003D137D"/>
    <w:rsid w:val="003D2CC5"/>
    <w:rsid w:val="003D419C"/>
    <w:rsid w:val="003D6738"/>
    <w:rsid w:val="003E04C1"/>
    <w:rsid w:val="003E0887"/>
    <w:rsid w:val="003E232E"/>
    <w:rsid w:val="003E3147"/>
    <w:rsid w:val="003E7C46"/>
    <w:rsid w:val="003F2106"/>
    <w:rsid w:val="003F228E"/>
    <w:rsid w:val="003F36F7"/>
    <w:rsid w:val="003F52A7"/>
    <w:rsid w:val="003F7013"/>
    <w:rsid w:val="003F70E3"/>
    <w:rsid w:val="00401499"/>
    <w:rsid w:val="0040240C"/>
    <w:rsid w:val="00402CCF"/>
    <w:rsid w:val="004061F4"/>
    <w:rsid w:val="00411587"/>
    <w:rsid w:val="00413021"/>
    <w:rsid w:val="004159BE"/>
    <w:rsid w:val="004201FC"/>
    <w:rsid w:val="00420E4E"/>
    <w:rsid w:val="00421F22"/>
    <w:rsid w:val="00422937"/>
    <w:rsid w:val="00426D1E"/>
    <w:rsid w:val="004301C6"/>
    <w:rsid w:val="00430545"/>
    <w:rsid w:val="004330B4"/>
    <w:rsid w:val="00434299"/>
    <w:rsid w:val="0043478F"/>
    <w:rsid w:val="004353C3"/>
    <w:rsid w:val="004357B4"/>
    <w:rsid w:val="0043602B"/>
    <w:rsid w:val="00440BE0"/>
    <w:rsid w:val="00442C1C"/>
    <w:rsid w:val="0044357E"/>
    <w:rsid w:val="0044584B"/>
    <w:rsid w:val="00445B99"/>
    <w:rsid w:val="00447CB7"/>
    <w:rsid w:val="00450D78"/>
    <w:rsid w:val="004516B7"/>
    <w:rsid w:val="004534C4"/>
    <w:rsid w:val="00455CC9"/>
    <w:rsid w:val="00455E43"/>
    <w:rsid w:val="00460826"/>
    <w:rsid w:val="00460EA7"/>
    <w:rsid w:val="0046195B"/>
    <w:rsid w:val="00462609"/>
    <w:rsid w:val="0046362D"/>
    <w:rsid w:val="00463669"/>
    <w:rsid w:val="0046395F"/>
    <w:rsid w:val="00465648"/>
    <w:rsid w:val="0046596D"/>
    <w:rsid w:val="004766FB"/>
    <w:rsid w:val="004779E6"/>
    <w:rsid w:val="0048026B"/>
    <w:rsid w:val="004805AD"/>
    <w:rsid w:val="00481F58"/>
    <w:rsid w:val="00483BAA"/>
    <w:rsid w:val="00483F79"/>
    <w:rsid w:val="004852C5"/>
    <w:rsid w:val="00487C04"/>
    <w:rsid w:val="004907E1"/>
    <w:rsid w:val="0049364B"/>
    <w:rsid w:val="00496336"/>
    <w:rsid w:val="00497F3D"/>
    <w:rsid w:val="004A035B"/>
    <w:rsid w:val="004A2108"/>
    <w:rsid w:val="004A38D7"/>
    <w:rsid w:val="004A778C"/>
    <w:rsid w:val="004A78C9"/>
    <w:rsid w:val="004B11E9"/>
    <w:rsid w:val="004B2848"/>
    <w:rsid w:val="004B48C7"/>
    <w:rsid w:val="004B49A6"/>
    <w:rsid w:val="004C2079"/>
    <w:rsid w:val="004C2E6A"/>
    <w:rsid w:val="004C59A1"/>
    <w:rsid w:val="004C63DA"/>
    <w:rsid w:val="004C64B8"/>
    <w:rsid w:val="004C69F6"/>
    <w:rsid w:val="004C77E9"/>
    <w:rsid w:val="004D1553"/>
    <w:rsid w:val="004D1848"/>
    <w:rsid w:val="004D2A2D"/>
    <w:rsid w:val="004D2FB2"/>
    <w:rsid w:val="004D365D"/>
    <w:rsid w:val="004D369B"/>
    <w:rsid w:val="004D53EE"/>
    <w:rsid w:val="004D6689"/>
    <w:rsid w:val="004E1D1D"/>
    <w:rsid w:val="004E633B"/>
    <w:rsid w:val="004E6B4F"/>
    <w:rsid w:val="004E7AC8"/>
    <w:rsid w:val="004E7C6F"/>
    <w:rsid w:val="004E7EA4"/>
    <w:rsid w:val="004F0C94"/>
    <w:rsid w:val="004F0E21"/>
    <w:rsid w:val="004F2B93"/>
    <w:rsid w:val="004F4B8D"/>
    <w:rsid w:val="005019AE"/>
    <w:rsid w:val="005026EE"/>
    <w:rsid w:val="00503749"/>
    <w:rsid w:val="00504CF4"/>
    <w:rsid w:val="00505E3B"/>
    <w:rsid w:val="0050635B"/>
    <w:rsid w:val="005151C2"/>
    <w:rsid w:val="00523187"/>
    <w:rsid w:val="005237A7"/>
    <w:rsid w:val="00524724"/>
    <w:rsid w:val="00526CA7"/>
    <w:rsid w:val="00526FB1"/>
    <w:rsid w:val="0053199F"/>
    <w:rsid w:val="00533B90"/>
    <w:rsid w:val="00534B7D"/>
    <w:rsid w:val="0054075D"/>
    <w:rsid w:val="005410F8"/>
    <w:rsid w:val="005411F6"/>
    <w:rsid w:val="0054173E"/>
    <w:rsid w:val="00542191"/>
    <w:rsid w:val="005448EC"/>
    <w:rsid w:val="00545963"/>
    <w:rsid w:val="00550256"/>
    <w:rsid w:val="00553165"/>
    <w:rsid w:val="00553958"/>
    <w:rsid w:val="00556BB7"/>
    <w:rsid w:val="0055763D"/>
    <w:rsid w:val="00557FB9"/>
    <w:rsid w:val="00561516"/>
    <w:rsid w:val="005621F2"/>
    <w:rsid w:val="0056445E"/>
    <w:rsid w:val="00567B58"/>
    <w:rsid w:val="00571223"/>
    <w:rsid w:val="00573453"/>
    <w:rsid w:val="00574660"/>
    <w:rsid w:val="0057477D"/>
    <w:rsid w:val="005763E0"/>
    <w:rsid w:val="00580AAB"/>
    <w:rsid w:val="00581136"/>
    <w:rsid w:val="005813EC"/>
    <w:rsid w:val="00581EB8"/>
    <w:rsid w:val="00583972"/>
    <w:rsid w:val="005859D3"/>
    <w:rsid w:val="00586413"/>
    <w:rsid w:val="005907BD"/>
    <w:rsid w:val="005951F9"/>
    <w:rsid w:val="005A2533"/>
    <w:rsid w:val="005A27CA"/>
    <w:rsid w:val="005A43BD"/>
    <w:rsid w:val="005A72DA"/>
    <w:rsid w:val="005A79E5"/>
    <w:rsid w:val="005B1584"/>
    <w:rsid w:val="005B56BC"/>
    <w:rsid w:val="005B6BCE"/>
    <w:rsid w:val="005B770F"/>
    <w:rsid w:val="005C2495"/>
    <w:rsid w:val="005C6AD3"/>
    <w:rsid w:val="005D034C"/>
    <w:rsid w:val="005D070B"/>
    <w:rsid w:val="005D0F25"/>
    <w:rsid w:val="005D11B7"/>
    <w:rsid w:val="005D289F"/>
    <w:rsid w:val="005D43A9"/>
    <w:rsid w:val="005D4CAF"/>
    <w:rsid w:val="005D5638"/>
    <w:rsid w:val="005D5677"/>
    <w:rsid w:val="005D6B68"/>
    <w:rsid w:val="005D78E5"/>
    <w:rsid w:val="005D7990"/>
    <w:rsid w:val="005E226E"/>
    <w:rsid w:val="005E2636"/>
    <w:rsid w:val="005E5C70"/>
    <w:rsid w:val="005E6454"/>
    <w:rsid w:val="005E6C9D"/>
    <w:rsid w:val="005F588A"/>
    <w:rsid w:val="006015D7"/>
    <w:rsid w:val="00601B21"/>
    <w:rsid w:val="006021C4"/>
    <w:rsid w:val="006041F0"/>
    <w:rsid w:val="006051D8"/>
    <w:rsid w:val="00605C6D"/>
    <w:rsid w:val="00607084"/>
    <w:rsid w:val="006100EF"/>
    <w:rsid w:val="006120CA"/>
    <w:rsid w:val="00612A82"/>
    <w:rsid w:val="00615DC1"/>
    <w:rsid w:val="0061769C"/>
    <w:rsid w:val="006220AC"/>
    <w:rsid w:val="0062333C"/>
    <w:rsid w:val="00624174"/>
    <w:rsid w:val="00626CF8"/>
    <w:rsid w:val="00627116"/>
    <w:rsid w:val="00630859"/>
    <w:rsid w:val="006314AF"/>
    <w:rsid w:val="00632D25"/>
    <w:rsid w:val="006334FB"/>
    <w:rsid w:val="0063378D"/>
    <w:rsid w:val="00634ED8"/>
    <w:rsid w:val="00636375"/>
    <w:rsid w:val="00636D7D"/>
    <w:rsid w:val="00637194"/>
    <w:rsid w:val="00637408"/>
    <w:rsid w:val="0064041A"/>
    <w:rsid w:val="00640E1D"/>
    <w:rsid w:val="00641AA2"/>
    <w:rsid w:val="00642868"/>
    <w:rsid w:val="00646AED"/>
    <w:rsid w:val="00647AFE"/>
    <w:rsid w:val="006506F3"/>
    <w:rsid w:val="006512BC"/>
    <w:rsid w:val="00653A5A"/>
    <w:rsid w:val="00653FC2"/>
    <w:rsid w:val="006550F1"/>
    <w:rsid w:val="006575F4"/>
    <w:rsid w:val="0065764A"/>
    <w:rsid w:val="006579E6"/>
    <w:rsid w:val="00660682"/>
    <w:rsid w:val="00660E74"/>
    <w:rsid w:val="00661C7B"/>
    <w:rsid w:val="0066381A"/>
    <w:rsid w:val="00663EDC"/>
    <w:rsid w:val="00663F07"/>
    <w:rsid w:val="006644AA"/>
    <w:rsid w:val="00664602"/>
    <w:rsid w:val="00665913"/>
    <w:rsid w:val="00665D9D"/>
    <w:rsid w:val="006664B0"/>
    <w:rsid w:val="00671078"/>
    <w:rsid w:val="0067411C"/>
    <w:rsid w:val="0067491F"/>
    <w:rsid w:val="006758CA"/>
    <w:rsid w:val="00675CCF"/>
    <w:rsid w:val="006764F1"/>
    <w:rsid w:val="006808AF"/>
    <w:rsid w:val="00680976"/>
    <w:rsid w:val="00680A04"/>
    <w:rsid w:val="0068158B"/>
    <w:rsid w:val="006831F0"/>
    <w:rsid w:val="00686D80"/>
    <w:rsid w:val="006904A5"/>
    <w:rsid w:val="00690691"/>
    <w:rsid w:val="00691132"/>
    <w:rsid w:val="006917E1"/>
    <w:rsid w:val="0069189E"/>
    <w:rsid w:val="00694895"/>
    <w:rsid w:val="006953CC"/>
    <w:rsid w:val="00697E2E"/>
    <w:rsid w:val="006A0367"/>
    <w:rsid w:val="006A25A2"/>
    <w:rsid w:val="006A3B87"/>
    <w:rsid w:val="006A3EB0"/>
    <w:rsid w:val="006A7630"/>
    <w:rsid w:val="006B04FF"/>
    <w:rsid w:val="006B0E73"/>
    <w:rsid w:val="006B1E3D"/>
    <w:rsid w:val="006B26FE"/>
    <w:rsid w:val="006B3618"/>
    <w:rsid w:val="006B4A4D"/>
    <w:rsid w:val="006B5695"/>
    <w:rsid w:val="006B7B2E"/>
    <w:rsid w:val="006C0C07"/>
    <w:rsid w:val="006C2BF3"/>
    <w:rsid w:val="006C6382"/>
    <w:rsid w:val="006C69BF"/>
    <w:rsid w:val="006C78EB"/>
    <w:rsid w:val="006D0568"/>
    <w:rsid w:val="006D0B8C"/>
    <w:rsid w:val="006D15E5"/>
    <w:rsid w:val="006D1660"/>
    <w:rsid w:val="006D2932"/>
    <w:rsid w:val="006D38A8"/>
    <w:rsid w:val="006D3A45"/>
    <w:rsid w:val="006D63E5"/>
    <w:rsid w:val="006E3225"/>
    <w:rsid w:val="006E3911"/>
    <w:rsid w:val="006E3DAB"/>
    <w:rsid w:val="006E439F"/>
    <w:rsid w:val="006E66AD"/>
    <w:rsid w:val="006F0028"/>
    <w:rsid w:val="006F1B67"/>
    <w:rsid w:val="006F3909"/>
    <w:rsid w:val="006F4BD3"/>
    <w:rsid w:val="006F4D9C"/>
    <w:rsid w:val="0070091D"/>
    <w:rsid w:val="00702854"/>
    <w:rsid w:val="00704388"/>
    <w:rsid w:val="00704CD8"/>
    <w:rsid w:val="00707056"/>
    <w:rsid w:val="007131F5"/>
    <w:rsid w:val="007134CF"/>
    <w:rsid w:val="0071666E"/>
    <w:rsid w:val="00717128"/>
    <w:rsid w:val="0071741C"/>
    <w:rsid w:val="00717D25"/>
    <w:rsid w:val="0072381C"/>
    <w:rsid w:val="00723B0B"/>
    <w:rsid w:val="0072749C"/>
    <w:rsid w:val="007275F4"/>
    <w:rsid w:val="007357DA"/>
    <w:rsid w:val="007363E4"/>
    <w:rsid w:val="007429DE"/>
    <w:rsid w:val="00742B90"/>
    <w:rsid w:val="00743CB9"/>
    <w:rsid w:val="0074434D"/>
    <w:rsid w:val="00746236"/>
    <w:rsid w:val="007467D9"/>
    <w:rsid w:val="007517E6"/>
    <w:rsid w:val="00757BA4"/>
    <w:rsid w:val="00757F02"/>
    <w:rsid w:val="007601EE"/>
    <w:rsid w:val="007605B8"/>
    <w:rsid w:val="007614C6"/>
    <w:rsid w:val="00765DAB"/>
    <w:rsid w:val="00766877"/>
    <w:rsid w:val="00771B1E"/>
    <w:rsid w:val="00771CBC"/>
    <w:rsid w:val="00773C95"/>
    <w:rsid w:val="00774650"/>
    <w:rsid w:val="007813B7"/>
    <w:rsid w:val="0078171E"/>
    <w:rsid w:val="00782350"/>
    <w:rsid w:val="0078481B"/>
    <w:rsid w:val="0078658E"/>
    <w:rsid w:val="00786613"/>
    <w:rsid w:val="00791A68"/>
    <w:rsid w:val="007920E2"/>
    <w:rsid w:val="007930BF"/>
    <w:rsid w:val="0079566E"/>
    <w:rsid w:val="00795B34"/>
    <w:rsid w:val="007A015D"/>
    <w:rsid w:val="007A067F"/>
    <w:rsid w:val="007A3D5B"/>
    <w:rsid w:val="007A6E22"/>
    <w:rsid w:val="007B1536"/>
    <w:rsid w:val="007B1770"/>
    <w:rsid w:val="007B2230"/>
    <w:rsid w:val="007B2EDB"/>
    <w:rsid w:val="007B3557"/>
    <w:rsid w:val="007B4D3E"/>
    <w:rsid w:val="007B7C70"/>
    <w:rsid w:val="007B7DEB"/>
    <w:rsid w:val="007C08B6"/>
    <w:rsid w:val="007C1F30"/>
    <w:rsid w:val="007D2151"/>
    <w:rsid w:val="007D3B90"/>
    <w:rsid w:val="007D42CC"/>
    <w:rsid w:val="007D446C"/>
    <w:rsid w:val="007D4E03"/>
    <w:rsid w:val="007D5DE4"/>
    <w:rsid w:val="007D7C3A"/>
    <w:rsid w:val="007E0777"/>
    <w:rsid w:val="007E1341"/>
    <w:rsid w:val="007E1B41"/>
    <w:rsid w:val="007E1EC4"/>
    <w:rsid w:val="007E30B9"/>
    <w:rsid w:val="007E3C72"/>
    <w:rsid w:val="007E3E13"/>
    <w:rsid w:val="007E685C"/>
    <w:rsid w:val="007E74F1"/>
    <w:rsid w:val="007F09B1"/>
    <w:rsid w:val="007F0F0C"/>
    <w:rsid w:val="007F1288"/>
    <w:rsid w:val="007F2B15"/>
    <w:rsid w:val="007F368B"/>
    <w:rsid w:val="007F5467"/>
    <w:rsid w:val="007F7493"/>
    <w:rsid w:val="00800A8A"/>
    <w:rsid w:val="0080155C"/>
    <w:rsid w:val="00802C89"/>
    <w:rsid w:val="008052E1"/>
    <w:rsid w:val="008061F3"/>
    <w:rsid w:val="00811782"/>
    <w:rsid w:val="00820321"/>
    <w:rsid w:val="00822F2C"/>
    <w:rsid w:val="00823DEE"/>
    <w:rsid w:val="008305E8"/>
    <w:rsid w:val="00832C28"/>
    <w:rsid w:val="008338C4"/>
    <w:rsid w:val="008342C0"/>
    <w:rsid w:val="00836165"/>
    <w:rsid w:val="008362B7"/>
    <w:rsid w:val="00841915"/>
    <w:rsid w:val="00841F8C"/>
    <w:rsid w:val="0084640C"/>
    <w:rsid w:val="00846A41"/>
    <w:rsid w:val="00856088"/>
    <w:rsid w:val="00860826"/>
    <w:rsid w:val="00860C41"/>
    <w:rsid w:val="00860CC3"/>
    <w:rsid w:val="00860E21"/>
    <w:rsid w:val="0086301C"/>
    <w:rsid w:val="00863117"/>
    <w:rsid w:val="008637AD"/>
    <w:rsid w:val="0086388B"/>
    <w:rsid w:val="00863A70"/>
    <w:rsid w:val="008642E5"/>
    <w:rsid w:val="00864DB0"/>
    <w:rsid w:val="00870A36"/>
    <w:rsid w:val="00871F4D"/>
    <w:rsid w:val="00872D93"/>
    <w:rsid w:val="00874825"/>
    <w:rsid w:val="00875F9E"/>
    <w:rsid w:val="00877E44"/>
    <w:rsid w:val="00880470"/>
    <w:rsid w:val="00880ADD"/>
    <w:rsid w:val="00880D94"/>
    <w:rsid w:val="008859FE"/>
    <w:rsid w:val="00886F64"/>
    <w:rsid w:val="008904C0"/>
    <w:rsid w:val="008924DE"/>
    <w:rsid w:val="00894A5D"/>
    <w:rsid w:val="00895070"/>
    <w:rsid w:val="0089571B"/>
    <w:rsid w:val="008A3755"/>
    <w:rsid w:val="008A3EFE"/>
    <w:rsid w:val="008A5D17"/>
    <w:rsid w:val="008B19DC"/>
    <w:rsid w:val="008B264F"/>
    <w:rsid w:val="008B6F83"/>
    <w:rsid w:val="008B7E47"/>
    <w:rsid w:val="008B7FD8"/>
    <w:rsid w:val="008C199B"/>
    <w:rsid w:val="008C2973"/>
    <w:rsid w:val="008C4BF4"/>
    <w:rsid w:val="008C6324"/>
    <w:rsid w:val="008C64C4"/>
    <w:rsid w:val="008D0BD6"/>
    <w:rsid w:val="008D168A"/>
    <w:rsid w:val="008D1A46"/>
    <w:rsid w:val="008D1AF7"/>
    <w:rsid w:val="008D24EA"/>
    <w:rsid w:val="008D2D63"/>
    <w:rsid w:val="008D6DB0"/>
    <w:rsid w:val="008D74D5"/>
    <w:rsid w:val="008E0786"/>
    <w:rsid w:val="008E2FB8"/>
    <w:rsid w:val="008E3A07"/>
    <w:rsid w:val="008E537B"/>
    <w:rsid w:val="008E6138"/>
    <w:rsid w:val="008E65C3"/>
    <w:rsid w:val="008E7A4A"/>
    <w:rsid w:val="008F0619"/>
    <w:rsid w:val="008F0805"/>
    <w:rsid w:val="008F29BE"/>
    <w:rsid w:val="008F2F08"/>
    <w:rsid w:val="008F4AE5"/>
    <w:rsid w:val="008F51EB"/>
    <w:rsid w:val="008F6A10"/>
    <w:rsid w:val="008F6D42"/>
    <w:rsid w:val="008F7279"/>
    <w:rsid w:val="00900197"/>
    <w:rsid w:val="00900BC9"/>
    <w:rsid w:val="009013A1"/>
    <w:rsid w:val="009016D2"/>
    <w:rsid w:val="00902126"/>
    <w:rsid w:val="00902DFE"/>
    <w:rsid w:val="00902F55"/>
    <w:rsid w:val="0090582B"/>
    <w:rsid w:val="009060C0"/>
    <w:rsid w:val="009133F5"/>
    <w:rsid w:val="00914725"/>
    <w:rsid w:val="00916B8C"/>
    <w:rsid w:val="009171E7"/>
    <w:rsid w:val="0091756F"/>
    <w:rsid w:val="00917A54"/>
    <w:rsid w:val="0092053D"/>
    <w:rsid w:val="00920A27"/>
    <w:rsid w:val="00920CA1"/>
    <w:rsid w:val="00921216"/>
    <w:rsid w:val="009216CC"/>
    <w:rsid w:val="00926083"/>
    <w:rsid w:val="00930D08"/>
    <w:rsid w:val="00931466"/>
    <w:rsid w:val="00932D69"/>
    <w:rsid w:val="00935589"/>
    <w:rsid w:val="009409AC"/>
    <w:rsid w:val="00942644"/>
    <w:rsid w:val="009438EC"/>
    <w:rsid w:val="00943BAB"/>
    <w:rsid w:val="00944647"/>
    <w:rsid w:val="00945D20"/>
    <w:rsid w:val="00946A88"/>
    <w:rsid w:val="009471FA"/>
    <w:rsid w:val="0095396F"/>
    <w:rsid w:val="009542B4"/>
    <w:rsid w:val="0095565C"/>
    <w:rsid w:val="00956935"/>
    <w:rsid w:val="009603B8"/>
    <w:rsid w:val="00966F9A"/>
    <w:rsid w:val="00971700"/>
    <w:rsid w:val="0097293A"/>
    <w:rsid w:val="009734C0"/>
    <w:rsid w:val="00977B8A"/>
    <w:rsid w:val="0098113B"/>
    <w:rsid w:val="009819B8"/>
    <w:rsid w:val="009822EB"/>
    <w:rsid w:val="0098253E"/>
    <w:rsid w:val="00982971"/>
    <w:rsid w:val="009845AD"/>
    <w:rsid w:val="00984835"/>
    <w:rsid w:val="009933EF"/>
    <w:rsid w:val="00993C43"/>
    <w:rsid w:val="00995BA0"/>
    <w:rsid w:val="009969AE"/>
    <w:rsid w:val="00996B33"/>
    <w:rsid w:val="00997E86"/>
    <w:rsid w:val="009A0959"/>
    <w:rsid w:val="009A1278"/>
    <w:rsid w:val="009A2ADD"/>
    <w:rsid w:val="009A315A"/>
    <w:rsid w:val="009A418B"/>
    <w:rsid w:val="009A426F"/>
    <w:rsid w:val="009A42D5"/>
    <w:rsid w:val="009A4473"/>
    <w:rsid w:val="009A7735"/>
    <w:rsid w:val="009B05C9"/>
    <w:rsid w:val="009B18E1"/>
    <w:rsid w:val="009B286C"/>
    <w:rsid w:val="009B2981"/>
    <w:rsid w:val="009B4C7E"/>
    <w:rsid w:val="009B4E43"/>
    <w:rsid w:val="009B6561"/>
    <w:rsid w:val="009B76F6"/>
    <w:rsid w:val="009C151C"/>
    <w:rsid w:val="009C2F0B"/>
    <w:rsid w:val="009C2F25"/>
    <w:rsid w:val="009C440A"/>
    <w:rsid w:val="009C4EFB"/>
    <w:rsid w:val="009C55BA"/>
    <w:rsid w:val="009C62E2"/>
    <w:rsid w:val="009C69C9"/>
    <w:rsid w:val="009C7224"/>
    <w:rsid w:val="009D46FF"/>
    <w:rsid w:val="009D5125"/>
    <w:rsid w:val="009D60B8"/>
    <w:rsid w:val="009D7D4B"/>
    <w:rsid w:val="009E0AA4"/>
    <w:rsid w:val="009E36ED"/>
    <w:rsid w:val="009E3C8C"/>
    <w:rsid w:val="009E6B77"/>
    <w:rsid w:val="009F0D39"/>
    <w:rsid w:val="009F2204"/>
    <w:rsid w:val="009F29B3"/>
    <w:rsid w:val="009F359B"/>
    <w:rsid w:val="009F460A"/>
    <w:rsid w:val="009F7A47"/>
    <w:rsid w:val="00A01143"/>
    <w:rsid w:val="00A03868"/>
    <w:rsid w:val="00A03A49"/>
    <w:rsid w:val="00A043FB"/>
    <w:rsid w:val="00A0537F"/>
    <w:rsid w:val="00A06070"/>
    <w:rsid w:val="00A0654A"/>
    <w:rsid w:val="00A06925"/>
    <w:rsid w:val="00A06BE4"/>
    <w:rsid w:val="00A0729C"/>
    <w:rsid w:val="00A07779"/>
    <w:rsid w:val="00A106F0"/>
    <w:rsid w:val="00A1166A"/>
    <w:rsid w:val="00A20B2E"/>
    <w:rsid w:val="00A24F33"/>
    <w:rsid w:val="00A25069"/>
    <w:rsid w:val="00A26E6B"/>
    <w:rsid w:val="00A26F98"/>
    <w:rsid w:val="00A2712A"/>
    <w:rsid w:val="00A3068F"/>
    <w:rsid w:val="00A3145B"/>
    <w:rsid w:val="00A3172D"/>
    <w:rsid w:val="00A31A11"/>
    <w:rsid w:val="00A339D0"/>
    <w:rsid w:val="00A34DEA"/>
    <w:rsid w:val="00A34EA2"/>
    <w:rsid w:val="00A359E9"/>
    <w:rsid w:val="00A41002"/>
    <w:rsid w:val="00A4201A"/>
    <w:rsid w:val="00A44E9D"/>
    <w:rsid w:val="00A45691"/>
    <w:rsid w:val="00A463E6"/>
    <w:rsid w:val="00A46E6F"/>
    <w:rsid w:val="00A473BF"/>
    <w:rsid w:val="00A53C23"/>
    <w:rsid w:val="00A5465D"/>
    <w:rsid w:val="00A553CE"/>
    <w:rsid w:val="00A5677A"/>
    <w:rsid w:val="00A56DCC"/>
    <w:rsid w:val="00A57349"/>
    <w:rsid w:val="00A607E9"/>
    <w:rsid w:val="00A62077"/>
    <w:rsid w:val="00A62324"/>
    <w:rsid w:val="00A625E8"/>
    <w:rsid w:val="00A63549"/>
    <w:rsid w:val="00A6378C"/>
    <w:rsid w:val="00A63DFF"/>
    <w:rsid w:val="00A6490D"/>
    <w:rsid w:val="00A70ED2"/>
    <w:rsid w:val="00A70F62"/>
    <w:rsid w:val="00A71A2A"/>
    <w:rsid w:val="00A720AB"/>
    <w:rsid w:val="00A72971"/>
    <w:rsid w:val="00A737C2"/>
    <w:rsid w:val="00A7415D"/>
    <w:rsid w:val="00A80363"/>
    <w:rsid w:val="00A80939"/>
    <w:rsid w:val="00A814C0"/>
    <w:rsid w:val="00A81AD1"/>
    <w:rsid w:val="00A82CFF"/>
    <w:rsid w:val="00A83E9D"/>
    <w:rsid w:val="00A87C05"/>
    <w:rsid w:val="00A9169D"/>
    <w:rsid w:val="00A935E5"/>
    <w:rsid w:val="00AA240C"/>
    <w:rsid w:val="00AB51FA"/>
    <w:rsid w:val="00AB5E0D"/>
    <w:rsid w:val="00AB6C23"/>
    <w:rsid w:val="00AC0105"/>
    <w:rsid w:val="00AC08C2"/>
    <w:rsid w:val="00AC101C"/>
    <w:rsid w:val="00AC355A"/>
    <w:rsid w:val="00AC440E"/>
    <w:rsid w:val="00AC5B63"/>
    <w:rsid w:val="00AC6476"/>
    <w:rsid w:val="00AD2E1F"/>
    <w:rsid w:val="00AD46DE"/>
    <w:rsid w:val="00AD4CF1"/>
    <w:rsid w:val="00AD5116"/>
    <w:rsid w:val="00AD5988"/>
    <w:rsid w:val="00AE1929"/>
    <w:rsid w:val="00AE228B"/>
    <w:rsid w:val="00AE459F"/>
    <w:rsid w:val="00AE5EE3"/>
    <w:rsid w:val="00AF4F0F"/>
    <w:rsid w:val="00AF7800"/>
    <w:rsid w:val="00B00CF5"/>
    <w:rsid w:val="00B014B3"/>
    <w:rsid w:val="00B0692E"/>
    <w:rsid w:val="00B072E0"/>
    <w:rsid w:val="00B1007E"/>
    <w:rsid w:val="00B10E4D"/>
    <w:rsid w:val="00B10FFD"/>
    <w:rsid w:val="00B17083"/>
    <w:rsid w:val="00B206C0"/>
    <w:rsid w:val="00B20E1F"/>
    <w:rsid w:val="00B22104"/>
    <w:rsid w:val="00B253F6"/>
    <w:rsid w:val="00B254C1"/>
    <w:rsid w:val="00B26675"/>
    <w:rsid w:val="00B271C0"/>
    <w:rsid w:val="00B305DB"/>
    <w:rsid w:val="00B32754"/>
    <w:rsid w:val="00B32F7C"/>
    <w:rsid w:val="00B332F8"/>
    <w:rsid w:val="00B3492B"/>
    <w:rsid w:val="00B353E6"/>
    <w:rsid w:val="00B40E12"/>
    <w:rsid w:val="00B4646F"/>
    <w:rsid w:val="00B46F84"/>
    <w:rsid w:val="00B52BB3"/>
    <w:rsid w:val="00B54BC0"/>
    <w:rsid w:val="00B55C7D"/>
    <w:rsid w:val="00B55EE0"/>
    <w:rsid w:val="00B56A48"/>
    <w:rsid w:val="00B56B5D"/>
    <w:rsid w:val="00B571CF"/>
    <w:rsid w:val="00B577BD"/>
    <w:rsid w:val="00B63038"/>
    <w:rsid w:val="00B63450"/>
    <w:rsid w:val="00B6394E"/>
    <w:rsid w:val="00B64BD8"/>
    <w:rsid w:val="00B65BC8"/>
    <w:rsid w:val="00B701D1"/>
    <w:rsid w:val="00B71F7F"/>
    <w:rsid w:val="00B73AF2"/>
    <w:rsid w:val="00B7551A"/>
    <w:rsid w:val="00B76F14"/>
    <w:rsid w:val="00B773F1"/>
    <w:rsid w:val="00B85285"/>
    <w:rsid w:val="00B86391"/>
    <w:rsid w:val="00B86AB1"/>
    <w:rsid w:val="00B919D2"/>
    <w:rsid w:val="00B921DE"/>
    <w:rsid w:val="00B95424"/>
    <w:rsid w:val="00BA2BF7"/>
    <w:rsid w:val="00BA5754"/>
    <w:rsid w:val="00BB0340"/>
    <w:rsid w:val="00BB2A06"/>
    <w:rsid w:val="00BB2CBB"/>
    <w:rsid w:val="00BB2DA6"/>
    <w:rsid w:val="00BB4198"/>
    <w:rsid w:val="00BC03EE"/>
    <w:rsid w:val="00BC1CDE"/>
    <w:rsid w:val="00BC1F88"/>
    <w:rsid w:val="00BC370C"/>
    <w:rsid w:val="00BC59F1"/>
    <w:rsid w:val="00BC7546"/>
    <w:rsid w:val="00BD50A8"/>
    <w:rsid w:val="00BE2673"/>
    <w:rsid w:val="00BE4309"/>
    <w:rsid w:val="00BE5267"/>
    <w:rsid w:val="00BE5742"/>
    <w:rsid w:val="00BE617B"/>
    <w:rsid w:val="00BE6A66"/>
    <w:rsid w:val="00BE7E16"/>
    <w:rsid w:val="00BF3DE1"/>
    <w:rsid w:val="00BF4843"/>
    <w:rsid w:val="00BF489C"/>
    <w:rsid w:val="00BF5205"/>
    <w:rsid w:val="00C001E8"/>
    <w:rsid w:val="00C02294"/>
    <w:rsid w:val="00C05132"/>
    <w:rsid w:val="00C10E24"/>
    <w:rsid w:val="00C12508"/>
    <w:rsid w:val="00C20152"/>
    <w:rsid w:val="00C21B60"/>
    <w:rsid w:val="00C22EE4"/>
    <w:rsid w:val="00C23728"/>
    <w:rsid w:val="00C254BC"/>
    <w:rsid w:val="00C25F4C"/>
    <w:rsid w:val="00C26649"/>
    <w:rsid w:val="00C2708D"/>
    <w:rsid w:val="00C313A9"/>
    <w:rsid w:val="00C3213C"/>
    <w:rsid w:val="00C3260F"/>
    <w:rsid w:val="00C3526B"/>
    <w:rsid w:val="00C40142"/>
    <w:rsid w:val="00C441CF"/>
    <w:rsid w:val="00C45AA2"/>
    <w:rsid w:val="00C46B46"/>
    <w:rsid w:val="00C4792C"/>
    <w:rsid w:val="00C506D4"/>
    <w:rsid w:val="00C51823"/>
    <w:rsid w:val="00C52ABA"/>
    <w:rsid w:val="00C5497A"/>
    <w:rsid w:val="00C55BEF"/>
    <w:rsid w:val="00C57AE0"/>
    <w:rsid w:val="00C57B04"/>
    <w:rsid w:val="00C601AF"/>
    <w:rsid w:val="00C6163A"/>
    <w:rsid w:val="00C61A63"/>
    <w:rsid w:val="00C62B45"/>
    <w:rsid w:val="00C63B53"/>
    <w:rsid w:val="00C65B32"/>
    <w:rsid w:val="00C66296"/>
    <w:rsid w:val="00C7394D"/>
    <w:rsid w:val="00C74443"/>
    <w:rsid w:val="00C74FB8"/>
    <w:rsid w:val="00C77282"/>
    <w:rsid w:val="00C77D1D"/>
    <w:rsid w:val="00C80B58"/>
    <w:rsid w:val="00C8154D"/>
    <w:rsid w:val="00C817F7"/>
    <w:rsid w:val="00C84565"/>
    <w:rsid w:val="00C84DE5"/>
    <w:rsid w:val="00C86248"/>
    <w:rsid w:val="00C90B31"/>
    <w:rsid w:val="00C92095"/>
    <w:rsid w:val="00C9499B"/>
    <w:rsid w:val="00C94CDC"/>
    <w:rsid w:val="00C97BB9"/>
    <w:rsid w:val="00CA0D6F"/>
    <w:rsid w:val="00CA16FD"/>
    <w:rsid w:val="00CA4C33"/>
    <w:rsid w:val="00CA6F4A"/>
    <w:rsid w:val="00CB17DA"/>
    <w:rsid w:val="00CB6427"/>
    <w:rsid w:val="00CC05D7"/>
    <w:rsid w:val="00CC0FBE"/>
    <w:rsid w:val="00CC5266"/>
    <w:rsid w:val="00CC56A7"/>
    <w:rsid w:val="00CD2119"/>
    <w:rsid w:val="00CD237A"/>
    <w:rsid w:val="00CD36AC"/>
    <w:rsid w:val="00CD4D45"/>
    <w:rsid w:val="00CE13A3"/>
    <w:rsid w:val="00CE36BC"/>
    <w:rsid w:val="00CE5B37"/>
    <w:rsid w:val="00CE69D3"/>
    <w:rsid w:val="00CE6C0A"/>
    <w:rsid w:val="00CF1747"/>
    <w:rsid w:val="00CF2713"/>
    <w:rsid w:val="00CF322B"/>
    <w:rsid w:val="00CF3D75"/>
    <w:rsid w:val="00CF60ED"/>
    <w:rsid w:val="00CF7DDE"/>
    <w:rsid w:val="00D01FFF"/>
    <w:rsid w:val="00D03E03"/>
    <w:rsid w:val="00D04F25"/>
    <w:rsid w:val="00D05D74"/>
    <w:rsid w:val="00D124C0"/>
    <w:rsid w:val="00D13BAC"/>
    <w:rsid w:val="00D13D02"/>
    <w:rsid w:val="00D15AEB"/>
    <w:rsid w:val="00D15FDE"/>
    <w:rsid w:val="00D20C59"/>
    <w:rsid w:val="00D21307"/>
    <w:rsid w:val="00D220E3"/>
    <w:rsid w:val="00D23323"/>
    <w:rsid w:val="00D2392A"/>
    <w:rsid w:val="00D24964"/>
    <w:rsid w:val="00D25FFE"/>
    <w:rsid w:val="00D26D76"/>
    <w:rsid w:val="00D27C1D"/>
    <w:rsid w:val="00D30CDE"/>
    <w:rsid w:val="00D3437B"/>
    <w:rsid w:val="00D34DD0"/>
    <w:rsid w:val="00D35EEE"/>
    <w:rsid w:val="00D36714"/>
    <w:rsid w:val="00D42447"/>
    <w:rsid w:val="00D42589"/>
    <w:rsid w:val="00D4476F"/>
    <w:rsid w:val="00D50573"/>
    <w:rsid w:val="00D54D50"/>
    <w:rsid w:val="00D560B4"/>
    <w:rsid w:val="00D623EF"/>
    <w:rsid w:val="00D63878"/>
    <w:rsid w:val="00D662F8"/>
    <w:rsid w:val="00D66797"/>
    <w:rsid w:val="00D67113"/>
    <w:rsid w:val="00D7087C"/>
    <w:rsid w:val="00D70C3C"/>
    <w:rsid w:val="00D71DF7"/>
    <w:rsid w:val="00D724F3"/>
    <w:rsid w:val="00D72BE5"/>
    <w:rsid w:val="00D73244"/>
    <w:rsid w:val="00D75C05"/>
    <w:rsid w:val="00D81462"/>
    <w:rsid w:val="00D81DCB"/>
    <w:rsid w:val="00D82F26"/>
    <w:rsid w:val="00D84795"/>
    <w:rsid w:val="00D863D0"/>
    <w:rsid w:val="00D86FB9"/>
    <w:rsid w:val="00D87C87"/>
    <w:rsid w:val="00D90A96"/>
    <w:rsid w:val="00D90BB4"/>
    <w:rsid w:val="00D90E07"/>
    <w:rsid w:val="00D932C2"/>
    <w:rsid w:val="00D932D7"/>
    <w:rsid w:val="00D9510C"/>
    <w:rsid w:val="00D97551"/>
    <w:rsid w:val="00DA25A6"/>
    <w:rsid w:val="00DA76FA"/>
    <w:rsid w:val="00DA7F53"/>
    <w:rsid w:val="00DB00BB"/>
    <w:rsid w:val="00DB1C24"/>
    <w:rsid w:val="00DB39CF"/>
    <w:rsid w:val="00DB7256"/>
    <w:rsid w:val="00DB758D"/>
    <w:rsid w:val="00DC0401"/>
    <w:rsid w:val="00DC20BD"/>
    <w:rsid w:val="00DD0BCD"/>
    <w:rsid w:val="00DD28E9"/>
    <w:rsid w:val="00DD2A6D"/>
    <w:rsid w:val="00DD447A"/>
    <w:rsid w:val="00DD65C3"/>
    <w:rsid w:val="00DE3B20"/>
    <w:rsid w:val="00DE408D"/>
    <w:rsid w:val="00DE6C94"/>
    <w:rsid w:val="00DE6FD7"/>
    <w:rsid w:val="00DF0182"/>
    <w:rsid w:val="00DF191E"/>
    <w:rsid w:val="00DF46F8"/>
    <w:rsid w:val="00E02CEF"/>
    <w:rsid w:val="00E036F1"/>
    <w:rsid w:val="00E03D54"/>
    <w:rsid w:val="00E12712"/>
    <w:rsid w:val="00E13665"/>
    <w:rsid w:val="00E1568F"/>
    <w:rsid w:val="00E16776"/>
    <w:rsid w:val="00E20082"/>
    <w:rsid w:val="00E20777"/>
    <w:rsid w:val="00E20A01"/>
    <w:rsid w:val="00E23271"/>
    <w:rsid w:val="00E233B0"/>
    <w:rsid w:val="00E242D8"/>
    <w:rsid w:val="00E24F80"/>
    <w:rsid w:val="00E259F3"/>
    <w:rsid w:val="00E30985"/>
    <w:rsid w:val="00E33238"/>
    <w:rsid w:val="00E359C1"/>
    <w:rsid w:val="00E376B7"/>
    <w:rsid w:val="00E40EA8"/>
    <w:rsid w:val="00E410BD"/>
    <w:rsid w:val="00E42F5D"/>
    <w:rsid w:val="00E4348B"/>
    <w:rsid w:val="00E4486C"/>
    <w:rsid w:val="00E460B6"/>
    <w:rsid w:val="00E511D5"/>
    <w:rsid w:val="00E60249"/>
    <w:rsid w:val="00E65269"/>
    <w:rsid w:val="00E673AA"/>
    <w:rsid w:val="00E67B1B"/>
    <w:rsid w:val="00E721BD"/>
    <w:rsid w:val="00E747F1"/>
    <w:rsid w:val="00E751D4"/>
    <w:rsid w:val="00E763E9"/>
    <w:rsid w:val="00E76A8A"/>
    <w:rsid w:val="00E76D66"/>
    <w:rsid w:val="00E80395"/>
    <w:rsid w:val="00E84765"/>
    <w:rsid w:val="00E854B7"/>
    <w:rsid w:val="00E87E6B"/>
    <w:rsid w:val="00E956BA"/>
    <w:rsid w:val="00E957E2"/>
    <w:rsid w:val="00E96140"/>
    <w:rsid w:val="00EA41A5"/>
    <w:rsid w:val="00EA5357"/>
    <w:rsid w:val="00EA5A7B"/>
    <w:rsid w:val="00EA5C2F"/>
    <w:rsid w:val="00EA64A0"/>
    <w:rsid w:val="00EA7861"/>
    <w:rsid w:val="00EA796A"/>
    <w:rsid w:val="00EB06C1"/>
    <w:rsid w:val="00EB1856"/>
    <w:rsid w:val="00EB5775"/>
    <w:rsid w:val="00EC01E4"/>
    <w:rsid w:val="00EC2092"/>
    <w:rsid w:val="00EC34E2"/>
    <w:rsid w:val="00EC35A5"/>
    <w:rsid w:val="00EC41D9"/>
    <w:rsid w:val="00EC50CE"/>
    <w:rsid w:val="00EC5B34"/>
    <w:rsid w:val="00ED021E"/>
    <w:rsid w:val="00ED0275"/>
    <w:rsid w:val="00ED323C"/>
    <w:rsid w:val="00ED44A2"/>
    <w:rsid w:val="00ED6B29"/>
    <w:rsid w:val="00EE1595"/>
    <w:rsid w:val="00EE2D5C"/>
    <w:rsid w:val="00EE469A"/>
    <w:rsid w:val="00EE4ADE"/>
    <w:rsid w:val="00EE4DE8"/>
    <w:rsid w:val="00EE5831"/>
    <w:rsid w:val="00EE5CB7"/>
    <w:rsid w:val="00EF1CF2"/>
    <w:rsid w:val="00EF40F2"/>
    <w:rsid w:val="00F024FE"/>
    <w:rsid w:val="00F05AD4"/>
    <w:rsid w:val="00F06D1C"/>
    <w:rsid w:val="00F07782"/>
    <w:rsid w:val="00F10EB6"/>
    <w:rsid w:val="00F11A59"/>
    <w:rsid w:val="00F13F07"/>
    <w:rsid w:val="00F140B2"/>
    <w:rsid w:val="00F150F1"/>
    <w:rsid w:val="00F16628"/>
    <w:rsid w:val="00F16D42"/>
    <w:rsid w:val="00F2068C"/>
    <w:rsid w:val="00F2189C"/>
    <w:rsid w:val="00F2494A"/>
    <w:rsid w:val="00F25970"/>
    <w:rsid w:val="00F305B3"/>
    <w:rsid w:val="00F311A9"/>
    <w:rsid w:val="00F31FBE"/>
    <w:rsid w:val="00F322FE"/>
    <w:rsid w:val="00F32B57"/>
    <w:rsid w:val="00F34D83"/>
    <w:rsid w:val="00F41E46"/>
    <w:rsid w:val="00F426FA"/>
    <w:rsid w:val="00F428BC"/>
    <w:rsid w:val="00F5180D"/>
    <w:rsid w:val="00F520D3"/>
    <w:rsid w:val="00F54D22"/>
    <w:rsid w:val="00F6065C"/>
    <w:rsid w:val="00F63201"/>
    <w:rsid w:val="00F63781"/>
    <w:rsid w:val="00F655D3"/>
    <w:rsid w:val="00F67496"/>
    <w:rsid w:val="00F77EA3"/>
    <w:rsid w:val="00F801BA"/>
    <w:rsid w:val="00F8069D"/>
    <w:rsid w:val="00F808D6"/>
    <w:rsid w:val="00F84C0C"/>
    <w:rsid w:val="00F913FF"/>
    <w:rsid w:val="00F9366A"/>
    <w:rsid w:val="00F946C9"/>
    <w:rsid w:val="00F94B71"/>
    <w:rsid w:val="00FA0C3F"/>
    <w:rsid w:val="00FA0EA5"/>
    <w:rsid w:val="00FA2F0A"/>
    <w:rsid w:val="00FA3E71"/>
    <w:rsid w:val="00FA64F1"/>
    <w:rsid w:val="00FA6D26"/>
    <w:rsid w:val="00FA74EE"/>
    <w:rsid w:val="00FB1179"/>
    <w:rsid w:val="00FB1A80"/>
    <w:rsid w:val="00FB34EF"/>
    <w:rsid w:val="00FB35B6"/>
    <w:rsid w:val="00FB7A92"/>
    <w:rsid w:val="00FC3711"/>
    <w:rsid w:val="00FC46E7"/>
    <w:rsid w:val="00FC5D25"/>
    <w:rsid w:val="00FC6D65"/>
    <w:rsid w:val="00FD0D7E"/>
    <w:rsid w:val="00FD4FFB"/>
    <w:rsid w:val="00FD7594"/>
    <w:rsid w:val="00FD7BBD"/>
    <w:rsid w:val="00FE0071"/>
    <w:rsid w:val="00FE118B"/>
    <w:rsid w:val="00FE35AC"/>
    <w:rsid w:val="00FE6E13"/>
    <w:rsid w:val="00FF15F6"/>
    <w:rsid w:val="00FF469C"/>
    <w:rsid w:val="00FF527C"/>
    <w:rsid w:val="00FF5CB6"/>
    <w:rsid w:val="00FF62D9"/>
    <w:rsid w:val="00FF65CD"/>
    <w:rsid w:val="00FF65F8"/>
    <w:rsid w:val="00FF68E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66367F"/>
  <w15:docId w15:val="{2D2EAA27-C90D-4BBC-8163-EFC338CE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5AD"/>
    <w:rPr>
      <w:rFonts w:ascii="Segoe UI" w:hAnsi="Segoe UI"/>
      <w:sz w:val="21"/>
      <w:lang w:eastAsia="en-GB"/>
    </w:rPr>
  </w:style>
  <w:style w:type="paragraph" w:styleId="Heading1">
    <w:name w:val="heading 1"/>
    <w:basedOn w:val="Normal"/>
    <w:next w:val="Normal"/>
    <w:link w:val="Heading1Char"/>
    <w:uiPriority w:val="9"/>
    <w:qFormat/>
    <w:rsid w:val="00C10E24"/>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paragraph" w:styleId="Quote">
    <w:name w:val="Quote"/>
    <w:basedOn w:val="Normal"/>
    <w:next w:val="Normal"/>
    <w:link w:val="QuoteChar"/>
    <w:uiPriority w:val="29"/>
    <w:qFormat/>
    <w:rsid w:val="00092F63"/>
    <w:pPr>
      <w:spacing w:before="120" w:after="18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uiPriority w:val="99"/>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qFormat/>
    <w:rsid w:val="00E30985"/>
    <w:pPr>
      <w:spacing w:before="240" w:line="264" w:lineRule="auto"/>
    </w:pPr>
    <w:rPr>
      <w:b/>
      <w:color w:val="FFFFFF" w:themeColor="background1"/>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C10E24"/>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8E3A07"/>
    <w:pPr>
      <w:pBdr>
        <w:bottom w:val="single" w:sz="48" w:space="6" w:color="auto"/>
      </w:pBdr>
    </w:pPr>
    <w:rPr>
      <w:sz w:val="56"/>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uiPriority w:val="29"/>
    <w:rsid w:val="00092F63"/>
    <w:rPr>
      <w:rFonts w:ascii="Segoe UI" w:hAnsi="Segoe UI"/>
      <w:sz w:val="21"/>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5"/>
      </w:numPr>
      <w:spacing w:before="180"/>
    </w:pPr>
    <w:rPr>
      <w:szCs w:val="24"/>
    </w:rPr>
  </w:style>
  <w:style w:type="paragraph" w:customStyle="1" w:styleId="Letter">
    <w:name w:val="Letter"/>
    <w:basedOn w:val="Normal"/>
    <w:qFormat/>
    <w:rsid w:val="00C10E24"/>
    <w:pPr>
      <w:numPr>
        <w:ilvl w:val="1"/>
        <w:numId w:val="5"/>
      </w:numPr>
      <w:spacing w:before="120"/>
      <w:ind w:left="1134"/>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keepNext/>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character" w:customStyle="1" w:styleId="TableTextChar">
    <w:name w:val="TableText Char"/>
    <w:link w:val="TableText"/>
    <w:rsid w:val="00895070"/>
    <w:rPr>
      <w:rFonts w:ascii="Segoe UI" w:hAnsi="Segoe UI"/>
      <w:sz w:val="18"/>
      <w:lang w:eastAsia="en-GB"/>
    </w:rPr>
  </w:style>
  <w:style w:type="paragraph" w:customStyle="1" w:styleId="Roman">
    <w:name w:val="Roman"/>
    <w:basedOn w:val="Normal"/>
    <w:qFormat/>
    <w:rsid w:val="00A463E6"/>
    <w:pPr>
      <w:numPr>
        <w:ilvl w:val="2"/>
        <w:numId w:val="5"/>
      </w:numPr>
      <w:spacing w:before="90"/>
    </w:pPr>
  </w:style>
  <w:style w:type="paragraph" w:styleId="BalloonText">
    <w:name w:val="Balloon Text"/>
    <w:basedOn w:val="Normal"/>
    <w:link w:val="BalloonTextChar"/>
    <w:uiPriority w:val="99"/>
    <w:semiHidden/>
    <w:unhideWhenUsed/>
    <w:rsid w:val="000569D8"/>
    <w:rPr>
      <w:rFonts w:ascii="Tahoma" w:hAnsi="Tahoma" w:cs="Tahoma"/>
      <w:sz w:val="16"/>
      <w:szCs w:val="16"/>
    </w:rPr>
  </w:style>
  <w:style w:type="character" w:customStyle="1" w:styleId="BalloonTextChar">
    <w:name w:val="Balloon Text Char"/>
    <w:basedOn w:val="DefaultParagraphFont"/>
    <w:link w:val="BalloonText"/>
    <w:uiPriority w:val="99"/>
    <w:semiHidden/>
    <w:rsid w:val="000569D8"/>
    <w:rPr>
      <w:rFonts w:ascii="Tahoma" w:hAnsi="Tahoma" w:cs="Tahoma"/>
      <w:sz w:val="16"/>
      <w:szCs w:val="16"/>
      <w:lang w:eastAsia="en-GB"/>
    </w:rPr>
  </w:style>
  <w:style w:type="character" w:styleId="CommentReference">
    <w:name w:val="annotation reference"/>
    <w:basedOn w:val="DefaultParagraphFont"/>
    <w:uiPriority w:val="99"/>
    <w:semiHidden/>
    <w:unhideWhenUsed/>
    <w:rsid w:val="002469F7"/>
    <w:rPr>
      <w:sz w:val="16"/>
      <w:szCs w:val="16"/>
    </w:rPr>
  </w:style>
  <w:style w:type="paragraph" w:styleId="CommentSubject">
    <w:name w:val="annotation subject"/>
    <w:basedOn w:val="Normal"/>
    <w:next w:val="Normal"/>
    <w:link w:val="CommentSubjectChar"/>
    <w:uiPriority w:val="99"/>
    <w:semiHidden/>
    <w:unhideWhenUsed/>
    <w:rsid w:val="00BC370C"/>
    <w:rPr>
      <w:b/>
      <w:bCs/>
      <w:sz w:val="20"/>
    </w:rPr>
  </w:style>
  <w:style w:type="character" w:customStyle="1" w:styleId="CommentSubjectChar">
    <w:name w:val="Comment Subject Char"/>
    <w:basedOn w:val="DefaultParagraphFont"/>
    <w:link w:val="CommentSubject"/>
    <w:uiPriority w:val="99"/>
    <w:semiHidden/>
    <w:rsid w:val="00BC370C"/>
    <w:rPr>
      <w:rFonts w:ascii="Segoe UI" w:hAnsi="Segoe UI"/>
      <w:b/>
      <w:bCs/>
      <w:lang w:eastAsia="en-GB"/>
    </w:rPr>
  </w:style>
  <w:style w:type="paragraph" w:styleId="ListParagraph">
    <w:name w:val="List Paragraph"/>
    <w:aliases w:val="Rec para,List Paragraph1,List Paragraph11"/>
    <w:basedOn w:val="Normal"/>
    <w:link w:val="ListParagraphChar"/>
    <w:uiPriority w:val="34"/>
    <w:qFormat/>
    <w:rsid w:val="00D42589"/>
    <w:pPr>
      <w:ind w:left="720"/>
      <w:contextualSpacing/>
    </w:pPr>
  </w:style>
  <w:style w:type="paragraph" w:styleId="CommentText">
    <w:name w:val="annotation text"/>
    <w:basedOn w:val="Normal"/>
    <w:link w:val="CommentTextChar"/>
    <w:uiPriority w:val="99"/>
    <w:semiHidden/>
    <w:unhideWhenUsed/>
    <w:rsid w:val="004B49A6"/>
    <w:rPr>
      <w:sz w:val="20"/>
    </w:rPr>
  </w:style>
  <w:style w:type="character" w:customStyle="1" w:styleId="CommentTextChar">
    <w:name w:val="Comment Text Char"/>
    <w:basedOn w:val="DefaultParagraphFont"/>
    <w:link w:val="CommentText"/>
    <w:uiPriority w:val="99"/>
    <w:semiHidden/>
    <w:rsid w:val="004B49A6"/>
    <w:rPr>
      <w:rFonts w:ascii="Segoe UI" w:hAnsi="Segoe UI"/>
      <w:lang w:eastAsia="en-GB"/>
    </w:rPr>
  </w:style>
  <w:style w:type="paragraph" w:styleId="ListBullet">
    <w:name w:val="List Bullet"/>
    <w:basedOn w:val="Normal"/>
    <w:uiPriority w:val="99"/>
    <w:unhideWhenUsed/>
    <w:rsid w:val="007F09B1"/>
    <w:pPr>
      <w:numPr>
        <w:numId w:val="6"/>
      </w:numPr>
      <w:contextualSpacing/>
    </w:pPr>
  </w:style>
  <w:style w:type="character" w:customStyle="1" w:styleId="UnresolvedMention1">
    <w:name w:val="Unresolved Mention1"/>
    <w:basedOn w:val="DefaultParagraphFont"/>
    <w:uiPriority w:val="99"/>
    <w:semiHidden/>
    <w:unhideWhenUsed/>
    <w:rsid w:val="009A1278"/>
    <w:rPr>
      <w:color w:val="605E5C"/>
      <w:shd w:val="clear" w:color="auto" w:fill="E1DFDD"/>
    </w:rPr>
  </w:style>
  <w:style w:type="character" w:styleId="UnresolvedMention">
    <w:name w:val="Unresolved Mention"/>
    <w:basedOn w:val="DefaultParagraphFont"/>
    <w:uiPriority w:val="99"/>
    <w:semiHidden/>
    <w:unhideWhenUsed/>
    <w:rsid w:val="0086301C"/>
    <w:rPr>
      <w:color w:val="605E5C"/>
      <w:shd w:val="clear" w:color="auto" w:fill="E1DFDD"/>
    </w:rPr>
  </w:style>
  <w:style w:type="character" w:customStyle="1" w:styleId="BulletChar">
    <w:name w:val="Bullet Char"/>
    <w:link w:val="Bullet"/>
    <w:locked/>
    <w:rsid w:val="006C69BF"/>
    <w:rPr>
      <w:rFonts w:ascii="Segoe UI" w:hAnsi="Segoe UI"/>
      <w:sz w:val="21"/>
      <w:lang w:eastAsia="en-GB"/>
    </w:rPr>
  </w:style>
  <w:style w:type="paragraph" w:styleId="Caption">
    <w:name w:val="caption"/>
    <w:basedOn w:val="Normal"/>
    <w:next w:val="Normal"/>
    <w:uiPriority w:val="35"/>
    <w:unhideWhenUsed/>
    <w:qFormat/>
    <w:rsid w:val="000358F8"/>
    <w:pPr>
      <w:spacing w:before="120" w:after="120"/>
    </w:pPr>
    <w:rPr>
      <w:b/>
      <w:iCs/>
      <w:sz w:val="18"/>
      <w:szCs w:val="18"/>
    </w:rPr>
  </w:style>
  <w:style w:type="character" w:customStyle="1" w:styleId="ListParagraphChar">
    <w:name w:val="List Paragraph Char"/>
    <w:aliases w:val="Rec para Char,List Paragraph1 Char,List Paragraph11 Char"/>
    <w:link w:val="ListParagraph"/>
    <w:uiPriority w:val="1"/>
    <w:locked/>
    <w:rsid w:val="00A737C2"/>
    <w:rPr>
      <w:rFonts w:ascii="Segoe UI" w:hAnsi="Segoe UI"/>
      <w:sz w:val="21"/>
      <w:lang w:eastAsia="en-GB"/>
    </w:rPr>
  </w:style>
  <w:style w:type="paragraph" w:customStyle="1" w:styleId="Default">
    <w:name w:val="Default"/>
    <w:rsid w:val="00043E2B"/>
    <w:pPr>
      <w:autoSpaceDE w:val="0"/>
      <w:autoSpaceDN w:val="0"/>
      <w:adjustRightInd w:val="0"/>
    </w:pPr>
    <w:rPr>
      <w:rFonts w:ascii="Calibri" w:eastAsiaTheme="minorHAnsi" w:hAnsi="Calibri" w:cs="Calibri"/>
      <w:color w:val="000000"/>
      <w:sz w:val="24"/>
      <w:szCs w:val="24"/>
      <w:lang w:eastAsia="en-US"/>
    </w:rPr>
  </w:style>
  <w:style w:type="paragraph" w:customStyle="1" w:styleId="Bullet2">
    <w:name w:val="Bullet 2"/>
    <w:basedOn w:val="ListParagraph"/>
    <w:qFormat/>
    <w:rsid w:val="00043E2B"/>
    <w:pPr>
      <w:numPr>
        <w:ilvl w:val="1"/>
        <w:numId w:val="7"/>
      </w:numPr>
      <w:spacing w:before="90"/>
      <w:ind w:left="709" w:hanging="401"/>
      <w:contextualSpacing w:val="0"/>
    </w:pPr>
  </w:style>
  <w:style w:type="paragraph" w:styleId="Subtitle">
    <w:name w:val="Subtitle"/>
    <w:basedOn w:val="Normal"/>
    <w:next w:val="Normal"/>
    <w:link w:val="SubtitleChar"/>
    <w:uiPriority w:val="11"/>
    <w:qFormat/>
    <w:rsid w:val="00EA64A0"/>
    <w:pPr>
      <w:numPr>
        <w:ilvl w:val="1"/>
      </w:numPr>
      <w:spacing w:after="240"/>
    </w:pPr>
    <w:rPr>
      <w:rFonts w:asciiTheme="majorHAnsi" w:eastAsiaTheme="majorEastAsia" w:hAnsiTheme="majorHAnsi" w:cstheme="majorBidi"/>
      <w:color w:val="404040" w:themeColor="text1" w:themeTint="BF"/>
      <w:sz w:val="30"/>
      <w:szCs w:val="30"/>
      <w:lang w:eastAsia="en-US"/>
    </w:rPr>
  </w:style>
  <w:style w:type="character" w:customStyle="1" w:styleId="SubtitleChar">
    <w:name w:val="Subtitle Char"/>
    <w:basedOn w:val="DefaultParagraphFont"/>
    <w:link w:val="Subtitle"/>
    <w:uiPriority w:val="11"/>
    <w:rsid w:val="00EA64A0"/>
    <w:rPr>
      <w:rFonts w:asciiTheme="majorHAnsi" w:eastAsiaTheme="majorEastAsia" w:hAnsiTheme="majorHAnsi" w:cstheme="majorBidi"/>
      <w:color w:val="404040" w:themeColor="text1" w:themeTint="BF"/>
      <w:sz w:val="30"/>
      <w:szCs w:val="30"/>
      <w:lang w:eastAsia="en-US"/>
    </w:rPr>
  </w:style>
  <w:style w:type="character" w:styleId="Strong">
    <w:name w:val="Strong"/>
    <w:basedOn w:val="DefaultParagraphFont"/>
    <w:uiPriority w:val="22"/>
    <w:qFormat/>
    <w:rsid w:val="00EA64A0"/>
    <w:rPr>
      <w:b/>
      <w:bCs/>
    </w:rPr>
  </w:style>
  <w:style w:type="character" w:styleId="Emphasis">
    <w:name w:val="Emphasis"/>
    <w:basedOn w:val="DefaultParagraphFont"/>
    <w:uiPriority w:val="20"/>
    <w:qFormat/>
    <w:rsid w:val="00EA64A0"/>
    <w:rPr>
      <w:i/>
      <w:iCs/>
    </w:rPr>
  </w:style>
  <w:style w:type="paragraph" w:styleId="NoSpacing">
    <w:name w:val="No Spacing"/>
    <w:uiPriority w:val="1"/>
    <w:qFormat/>
    <w:rsid w:val="00EA64A0"/>
    <w:rPr>
      <w:rFonts w:asciiTheme="minorHAnsi" w:eastAsiaTheme="minorEastAsia" w:hAnsiTheme="minorHAnsi" w:cstheme="minorBidi"/>
      <w:sz w:val="21"/>
      <w:szCs w:val="21"/>
      <w:lang w:eastAsia="en-US"/>
    </w:rPr>
  </w:style>
  <w:style w:type="paragraph" w:styleId="IntenseQuote">
    <w:name w:val="Intense Quote"/>
    <w:basedOn w:val="Normal"/>
    <w:next w:val="Normal"/>
    <w:link w:val="IntenseQuoteChar"/>
    <w:uiPriority w:val="30"/>
    <w:qFormat/>
    <w:rsid w:val="00EA64A0"/>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eastAsia="en-US"/>
    </w:rPr>
  </w:style>
  <w:style w:type="character" w:customStyle="1" w:styleId="IntenseQuoteChar">
    <w:name w:val="Intense Quote Char"/>
    <w:basedOn w:val="DefaultParagraphFont"/>
    <w:link w:val="IntenseQuote"/>
    <w:uiPriority w:val="30"/>
    <w:rsid w:val="00EA64A0"/>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rsid w:val="00EA64A0"/>
    <w:rPr>
      <w:i/>
      <w:iCs/>
      <w:color w:val="595959" w:themeColor="text1" w:themeTint="A6"/>
    </w:rPr>
  </w:style>
  <w:style w:type="character" w:styleId="IntenseEmphasis">
    <w:name w:val="Intense Emphasis"/>
    <w:basedOn w:val="DefaultParagraphFont"/>
    <w:uiPriority w:val="21"/>
    <w:qFormat/>
    <w:rsid w:val="00EA64A0"/>
    <w:rPr>
      <w:b/>
      <w:bCs/>
      <w:i/>
      <w:iCs/>
    </w:rPr>
  </w:style>
  <w:style w:type="character" w:styleId="SubtleReference">
    <w:name w:val="Subtle Reference"/>
    <w:basedOn w:val="DefaultParagraphFont"/>
    <w:uiPriority w:val="31"/>
    <w:qFormat/>
    <w:rsid w:val="00EA64A0"/>
    <w:rPr>
      <w:smallCaps/>
      <w:color w:val="404040" w:themeColor="text1" w:themeTint="BF"/>
    </w:rPr>
  </w:style>
  <w:style w:type="character" w:styleId="IntenseReference">
    <w:name w:val="Intense Reference"/>
    <w:basedOn w:val="DefaultParagraphFont"/>
    <w:uiPriority w:val="32"/>
    <w:qFormat/>
    <w:rsid w:val="00EA64A0"/>
    <w:rPr>
      <w:b/>
      <w:bCs/>
      <w:smallCaps/>
      <w:u w:val="single"/>
    </w:rPr>
  </w:style>
  <w:style w:type="character" w:styleId="BookTitle">
    <w:name w:val="Book Title"/>
    <w:basedOn w:val="DefaultParagraphFont"/>
    <w:uiPriority w:val="33"/>
    <w:qFormat/>
    <w:rsid w:val="00EA64A0"/>
    <w:rPr>
      <w:b/>
      <w:bCs/>
      <w:smallCaps/>
    </w:rPr>
  </w:style>
  <w:style w:type="paragraph" w:styleId="TOCHeading">
    <w:name w:val="TOC Heading"/>
    <w:basedOn w:val="Heading1"/>
    <w:next w:val="Normal"/>
    <w:uiPriority w:val="39"/>
    <w:unhideWhenUsed/>
    <w:qFormat/>
    <w:rsid w:val="00EA64A0"/>
    <w:pPr>
      <w:keepNext/>
      <w:keepLines/>
      <w:pageBreakBefore w:val="0"/>
      <w:pBdr>
        <w:bottom w:val="single" w:sz="4" w:space="1" w:color="auto"/>
      </w:pBdr>
      <w:tabs>
        <w:tab w:val="left" w:pos="9356"/>
      </w:tabs>
      <w:spacing w:before="240" w:after="120"/>
      <w:outlineLvl w:val="9"/>
    </w:pPr>
    <w:rPr>
      <w:rFonts w:eastAsiaTheme="majorEastAsia" w:cs="Segoe UI"/>
      <w:color w:val="auto"/>
      <w:spacing w:val="0"/>
      <w:sz w:val="32"/>
      <w:szCs w:val="32"/>
      <w:lang w:eastAsia="en-US"/>
    </w:rPr>
  </w:style>
  <w:style w:type="character" w:customStyle="1" w:styleId="left">
    <w:name w:val="left"/>
    <w:basedOn w:val="DefaultParagraphFont"/>
    <w:rsid w:val="00EA64A0"/>
  </w:style>
  <w:style w:type="paragraph" w:styleId="TableofFigures">
    <w:name w:val="table of figures"/>
    <w:basedOn w:val="Normal"/>
    <w:next w:val="Normal"/>
    <w:uiPriority w:val="99"/>
    <w:unhideWhenUsed/>
    <w:rsid w:val="00EA64A0"/>
    <w:pPr>
      <w:spacing w:after="100" w:line="264" w:lineRule="auto"/>
    </w:pPr>
    <w:rPr>
      <w:rFonts w:eastAsiaTheme="minorEastAsia" w:cstheme="minorBidi"/>
      <w:sz w:val="2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5388">
      <w:bodyDiv w:val="1"/>
      <w:marLeft w:val="0"/>
      <w:marRight w:val="0"/>
      <w:marTop w:val="0"/>
      <w:marBottom w:val="0"/>
      <w:divBdr>
        <w:top w:val="none" w:sz="0" w:space="0" w:color="auto"/>
        <w:left w:val="none" w:sz="0" w:space="0" w:color="auto"/>
        <w:bottom w:val="none" w:sz="0" w:space="0" w:color="auto"/>
        <w:right w:val="none" w:sz="0" w:space="0" w:color="auto"/>
      </w:divBdr>
    </w:div>
    <w:div w:id="56125391">
      <w:bodyDiv w:val="1"/>
      <w:marLeft w:val="0"/>
      <w:marRight w:val="0"/>
      <w:marTop w:val="0"/>
      <w:marBottom w:val="0"/>
      <w:divBdr>
        <w:top w:val="none" w:sz="0" w:space="0" w:color="auto"/>
        <w:left w:val="none" w:sz="0" w:space="0" w:color="auto"/>
        <w:bottom w:val="none" w:sz="0" w:space="0" w:color="auto"/>
        <w:right w:val="none" w:sz="0" w:space="0" w:color="auto"/>
      </w:divBdr>
    </w:div>
    <w:div w:id="154299558">
      <w:bodyDiv w:val="1"/>
      <w:marLeft w:val="0"/>
      <w:marRight w:val="0"/>
      <w:marTop w:val="0"/>
      <w:marBottom w:val="0"/>
      <w:divBdr>
        <w:top w:val="none" w:sz="0" w:space="0" w:color="auto"/>
        <w:left w:val="none" w:sz="0" w:space="0" w:color="auto"/>
        <w:bottom w:val="none" w:sz="0" w:space="0" w:color="auto"/>
        <w:right w:val="none" w:sz="0" w:space="0" w:color="auto"/>
      </w:divBdr>
    </w:div>
    <w:div w:id="195195411">
      <w:bodyDiv w:val="1"/>
      <w:marLeft w:val="0"/>
      <w:marRight w:val="0"/>
      <w:marTop w:val="0"/>
      <w:marBottom w:val="0"/>
      <w:divBdr>
        <w:top w:val="none" w:sz="0" w:space="0" w:color="auto"/>
        <w:left w:val="none" w:sz="0" w:space="0" w:color="auto"/>
        <w:bottom w:val="none" w:sz="0" w:space="0" w:color="auto"/>
        <w:right w:val="none" w:sz="0" w:space="0" w:color="auto"/>
      </w:divBdr>
    </w:div>
    <w:div w:id="204953035">
      <w:bodyDiv w:val="1"/>
      <w:marLeft w:val="0"/>
      <w:marRight w:val="0"/>
      <w:marTop w:val="0"/>
      <w:marBottom w:val="0"/>
      <w:divBdr>
        <w:top w:val="none" w:sz="0" w:space="0" w:color="auto"/>
        <w:left w:val="none" w:sz="0" w:space="0" w:color="auto"/>
        <w:bottom w:val="none" w:sz="0" w:space="0" w:color="auto"/>
        <w:right w:val="none" w:sz="0" w:space="0" w:color="auto"/>
      </w:divBdr>
    </w:div>
    <w:div w:id="738749606">
      <w:bodyDiv w:val="1"/>
      <w:marLeft w:val="0"/>
      <w:marRight w:val="0"/>
      <w:marTop w:val="0"/>
      <w:marBottom w:val="0"/>
      <w:divBdr>
        <w:top w:val="none" w:sz="0" w:space="0" w:color="auto"/>
        <w:left w:val="none" w:sz="0" w:space="0" w:color="auto"/>
        <w:bottom w:val="none" w:sz="0" w:space="0" w:color="auto"/>
        <w:right w:val="none" w:sz="0" w:space="0" w:color="auto"/>
      </w:divBdr>
    </w:div>
    <w:div w:id="885214683">
      <w:bodyDiv w:val="1"/>
      <w:marLeft w:val="0"/>
      <w:marRight w:val="0"/>
      <w:marTop w:val="0"/>
      <w:marBottom w:val="0"/>
      <w:divBdr>
        <w:top w:val="none" w:sz="0" w:space="0" w:color="auto"/>
        <w:left w:val="none" w:sz="0" w:space="0" w:color="auto"/>
        <w:bottom w:val="none" w:sz="0" w:space="0" w:color="auto"/>
        <w:right w:val="none" w:sz="0" w:space="0" w:color="auto"/>
      </w:divBdr>
    </w:div>
    <w:div w:id="1079057902">
      <w:bodyDiv w:val="1"/>
      <w:marLeft w:val="0"/>
      <w:marRight w:val="0"/>
      <w:marTop w:val="0"/>
      <w:marBottom w:val="0"/>
      <w:divBdr>
        <w:top w:val="none" w:sz="0" w:space="0" w:color="auto"/>
        <w:left w:val="none" w:sz="0" w:space="0" w:color="auto"/>
        <w:bottom w:val="none" w:sz="0" w:space="0" w:color="auto"/>
        <w:right w:val="none" w:sz="0" w:space="0" w:color="auto"/>
      </w:divBdr>
    </w:div>
    <w:div w:id="1174611100">
      <w:bodyDiv w:val="1"/>
      <w:marLeft w:val="0"/>
      <w:marRight w:val="0"/>
      <w:marTop w:val="0"/>
      <w:marBottom w:val="0"/>
      <w:divBdr>
        <w:top w:val="none" w:sz="0" w:space="0" w:color="auto"/>
        <w:left w:val="none" w:sz="0" w:space="0" w:color="auto"/>
        <w:bottom w:val="none" w:sz="0" w:space="0" w:color="auto"/>
        <w:right w:val="none" w:sz="0" w:space="0" w:color="auto"/>
      </w:divBdr>
    </w:div>
    <w:div w:id="1249464555">
      <w:bodyDiv w:val="1"/>
      <w:marLeft w:val="0"/>
      <w:marRight w:val="0"/>
      <w:marTop w:val="0"/>
      <w:marBottom w:val="0"/>
      <w:divBdr>
        <w:top w:val="none" w:sz="0" w:space="0" w:color="auto"/>
        <w:left w:val="none" w:sz="0" w:space="0" w:color="auto"/>
        <w:bottom w:val="none" w:sz="0" w:space="0" w:color="auto"/>
        <w:right w:val="none" w:sz="0" w:space="0" w:color="auto"/>
      </w:divBdr>
    </w:div>
    <w:div w:id="1475758289">
      <w:bodyDiv w:val="1"/>
      <w:marLeft w:val="0"/>
      <w:marRight w:val="0"/>
      <w:marTop w:val="0"/>
      <w:marBottom w:val="0"/>
      <w:divBdr>
        <w:top w:val="none" w:sz="0" w:space="0" w:color="auto"/>
        <w:left w:val="none" w:sz="0" w:space="0" w:color="auto"/>
        <w:bottom w:val="none" w:sz="0" w:space="0" w:color="auto"/>
        <w:right w:val="none" w:sz="0" w:space="0" w:color="auto"/>
      </w:divBdr>
    </w:div>
    <w:div w:id="1546407142">
      <w:bodyDiv w:val="1"/>
      <w:marLeft w:val="0"/>
      <w:marRight w:val="0"/>
      <w:marTop w:val="0"/>
      <w:marBottom w:val="0"/>
      <w:divBdr>
        <w:top w:val="none" w:sz="0" w:space="0" w:color="auto"/>
        <w:left w:val="none" w:sz="0" w:space="0" w:color="auto"/>
        <w:bottom w:val="none" w:sz="0" w:space="0" w:color="auto"/>
        <w:right w:val="none" w:sz="0" w:space="0" w:color="auto"/>
      </w:divBdr>
    </w:div>
    <w:div w:id="1597783807">
      <w:bodyDiv w:val="1"/>
      <w:marLeft w:val="0"/>
      <w:marRight w:val="0"/>
      <w:marTop w:val="0"/>
      <w:marBottom w:val="0"/>
      <w:divBdr>
        <w:top w:val="none" w:sz="0" w:space="0" w:color="auto"/>
        <w:left w:val="none" w:sz="0" w:space="0" w:color="auto"/>
        <w:bottom w:val="none" w:sz="0" w:space="0" w:color="auto"/>
        <w:right w:val="none" w:sz="0" w:space="0" w:color="auto"/>
      </w:divBdr>
    </w:div>
    <w:div w:id="1625307881">
      <w:bodyDiv w:val="1"/>
      <w:marLeft w:val="0"/>
      <w:marRight w:val="0"/>
      <w:marTop w:val="0"/>
      <w:marBottom w:val="0"/>
      <w:divBdr>
        <w:top w:val="none" w:sz="0" w:space="0" w:color="auto"/>
        <w:left w:val="none" w:sz="0" w:space="0" w:color="auto"/>
        <w:bottom w:val="none" w:sz="0" w:space="0" w:color="auto"/>
        <w:right w:val="none" w:sz="0" w:space="0" w:color="auto"/>
      </w:divBdr>
    </w:div>
    <w:div w:id="1690985585">
      <w:bodyDiv w:val="1"/>
      <w:marLeft w:val="0"/>
      <w:marRight w:val="0"/>
      <w:marTop w:val="0"/>
      <w:marBottom w:val="0"/>
      <w:divBdr>
        <w:top w:val="none" w:sz="0" w:space="0" w:color="auto"/>
        <w:left w:val="none" w:sz="0" w:space="0" w:color="auto"/>
        <w:bottom w:val="none" w:sz="0" w:space="0" w:color="auto"/>
        <w:right w:val="none" w:sz="0" w:space="0" w:color="auto"/>
      </w:divBdr>
    </w:div>
    <w:div w:id="1867909987">
      <w:bodyDiv w:val="1"/>
      <w:marLeft w:val="0"/>
      <w:marRight w:val="0"/>
      <w:marTop w:val="0"/>
      <w:marBottom w:val="0"/>
      <w:divBdr>
        <w:top w:val="none" w:sz="0" w:space="0" w:color="auto"/>
        <w:left w:val="none" w:sz="0" w:space="0" w:color="auto"/>
        <w:bottom w:val="none" w:sz="0" w:space="0" w:color="auto"/>
        <w:right w:val="none" w:sz="0" w:space="0" w:color="auto"/>
      </w:divBdr>
    </w:div>
    <w:div w:id="1896967705">
      <w:bodyDiv w:val="1"/>
      <w:marLeft w:val="0"/>
      <w:marRight w:val="0"/>
      <w:marTop w:val="0"/>
      <w:marBottom w:val="0"/>
      <w:divBdr>
        <w:top w:val="none" w:sz="0" w:space="0" w:color="auto"/>
        <w:left w:val="none" w:sz="0" w:space="0" w:color="auto"/>
        <w:bottom w:val="none" w:sz="0" w:space="0" w:color="auto"/>
        <w:right w:val="none" w:sz="0" w:space="0" w:color="auto"/>
      </w:divBdr>
    </w:div>
    <w:div w:id="1972007479">
      <w:bodyDiv w:val="1"/>
      <w:marLeft w:val="0"/>
      <w:marRight w:val="0"/>
      <w:marTop w:val="0"/>
      <w:marBottom w:val="0"/>
      <w:divBdr>
        <w:top w:val="none" w:sz="0" w:space="0" w:color="auto"/>
        <w:left w:val="none" w:sz="0" w:space="0" w:color="auto"/>
        <w:bottom w:val="none" w:sz="0" w:space="0" w:color="auto"/>
        <w:right w:val="none" w:sz="0" w:space="0" w:color="auto"/>
      </w:divBdr>
    </w:div>
    <w:div w:id="21078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8.png"/><Relationship Id="rId68" Type="http://schemas.openxmlformats.org/officeDocument/2006/relationships/footer" Target="footer11.xml"/><Relationship Id="rId84" Type="http://schemas.openxmlformats.org/officeDocument/2006/relationships/image" Target="media/image56.png"/><Relationship Id="rId89"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7.xml"/><Relationship Id="rId107" Type="http://schemas.openxmlformats.org/officeDocument/2006/relationships/image" Target="media/image78.png"/><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9.xml"/><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102" Type="http://schemas.openxmlformats.org/officeDocument/2006/relationships/image" Target="media/image73.png"/><Relationship Id="rId5" Type="http://schemas.openxmlformats.org/officeDocument/2006/relationships/customXml" Target="../customXml/item5.xml"/><Relationship Id="rId61" Type="http://schemas.openxmlformats.org/officeDocument/2006/relationships/image" Target="media/image36.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footer" Target="footer4.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oter" Target="footer12.xml"/><Relationship Id="rId77" Type="http://schemas.openxmlformats.org/officeDocument/2006/relationships/image" Target="media/image49.png"/><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health.govt.nz/our-work/hospitals-and-specialist-care/elective-services/elective-services-and-how-dhbs-are-performing/latest-summary-elective-services-patient-flow-indicators-espis" TargetMode="External"/><Relationship Id="rId59" Type="http://schemas.openxmlformats.org/officeDocument/2006/relationships/image" Target="media/image34.png"/><Relationship Id="rId67" Type="http://schemas.openxmlformats.org/officeDocument/2006/relationships/header" Target="header6.xml"/><Relationship Id="rId103" Type="http://schemas.openxmlformats.org/officeDocument/2006/relationships/image" Target="media/image74.png"/><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footer" Target="footer10.xml"/><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8.xm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18.png"/><Relationship Id="rId109" Type="http://schemas.openxmlformats.org/officeDocument/2006/relationships/theme" Target="theme/theme1.xml"/><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0.png"/><Relationship Id="rId76" Type="http://schemas.openxmlformats.org/officeDocument/2006/relationships/image" Target="media/image48.png"/><Relationship Id="rId97" Type="http://schemas.openxmlformats.org/officeDocument/2006/relationships/header" Target="header7.xml"/><Relationship Id="rId104" Type="http://schemas.openxmlformats.org/officeDocument/2006/relationships/image" Target="media/image75.png"/><Relationship Id="rId7" Type="http://schemas.openxmlformats.org/officeDocument/2006/relationships/styles" Target="styles.xml"/><Relationship Id="rId71" Type="http://schemas.openxmlformats.org/officeDocument/2006/relationships/image" Target="media/image43.png"/><Relationship Id="rId92" Type="http://schemas.openxmlformats.org/officeDocument/2006/relationships/image" Target="media/image6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2" ma:contentTypeDescription="Create a new document." ma:contentTypeScope="" ma:versionID="78fb08c3f9ed1acfc8b60216ee3b6090">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ff2e8f7da96e48ed77233c9bd7f181d7"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B5F87-B1D0-4830-9696-8E50D039928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AF911EE-FB24-44B7-8CFB-22A6A0FD91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36FF41-6CE9-4ACB-94C9-74C7F63DF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7A1965-E5E8-4361-B823-4C12682ECB08}">
  <ds:schemaRefs>
    <ds:schemaRef ds:uri="http://schemas.microsoft.com/sharepoint/v3/contenttype/forms"/>
  </ds:schemaRefs>
</ds:datastoreItem>
</file>

<file path=customXml/itemProps5.xml><?xml version="1.0" encoding="utf-8"?>
<ds:datastoreItem xmlns:ds="http://schemas.openxmlformats.org/officeDocument/2006/customXml" ds:itemID="{F7E345BF-DCFC-4B1C-8CE0-33C989189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60</Pages>
  <Words>10739</Words>
  <Characters>61217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COVID-19 disruptions to hospital and general practice activity</vt:lpstr>
    </vt:vector>
  </TitlesOfParts>
  <Company>Microsoft</Company>
  <LinksUpToDate>false</LinksUpToDate>
  <CharactersWithSpaces>71813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disruptions to hospital and general practice activity</dc:title>
  <dc:creator>Ministry of Health</dc:creator>
  <cp:lastModifiedBy>Geneva Ruppert-Wise</cp:lastModifiedBy>
  <cp:revision>3</cp:revision>
  <cp:lastPrinted>2020-12-06T19:55:00Z</cp:lastPrinted>
  <dcterms:created xsi:type="dcterms:W3CDTF">2020-12-06T19:55:00Z</dcterms:created>
  <dcterms:modified xsi:type="dcterms:W3CDTF">2020-12-06T19:56:00Z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0d67cb6f-adab-4b26-9a6d-f7cc3ceb9c88</vt:lpwstr>
  </property>
  <property fmtid="{D5CDD505-2E9C-101B-9397-08002B2CF9AE}" pid="3" name="bjSaver">
    <vt:lpwstr>krTTd/tCey+WOl9ytoYuTtzpNMvhn08I</vt:lpwstr>
  </property>
  <property fmtid="{D5CDD505-2E9C-101B-9397-08002B2CF9AE}" pid="4"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5" name="bjDocumentLabelXML-0">
    <vt:lpwstr>ames.com/2008/01/sie/internal/label"&gt;&lt;element uid="9920fcc9-9f43-4d43-9e3e-b98a219cfd55" value="" /&gt;&lt;/sisl&gt;</vt:lpwstr>
  </property>
  <property fmtid="{D5CDD505-2E9C-101B-9397-08002B2CF9AE}" pid="6" name="bjDocumentSecurityLabel">
    <vt:lpwstr>Not Classified</vt:lpwstr>
  </property>
  <property fmtid="{D5CDD505-2E9C-101B-9397-08002B2CF9AE}" pid="7" name="_NewReviewCycle">
    <vt:lpwstr/>
  </property>
  <property fmtid="{D5CDD505-2E9C-101B-9397-08002B2CF9AE}" pid="8" name="ContentTypeId">
    <vt:lpwstr>0x010100FA4F869651CBED4AB058FE7F9F3ED0A7</vt:lpwstr>
  </property>
</Properties>
</file>