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1C1B9" w14:textId="2B084C8D" w:rsidR="00D3110C" w:rsidRDefault="00D3110C" w:rsidP="00B85A95">
      <w:pPr>
        <w:pStyle w:val="Title"/>
        <w:spacing w:before="0" w:after="0"/>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pPr>
      <w:r>
        <w:rPr>
          <w:noProof/>
        </w:rPr>
        <w:drawing>
          <wp:anchor distT="0" distB="0" distL="114300" distR="114300" simplePos="0" relativeHeight="251659266" behindDoc="0" locked="0" layoutInCell="1" allowOverlap="1" wp14:anchorId="786D9929" wp14:editId="534AC07B">
            <wp:simplePos x="0" y="0"/>
            <wp:positionH relativeFrom="column">
              <wp:posOffset>-711464</wp:posOffset>
            </wp:positionH>
            <wp:positionV relativeFrom="page">
              <wp:posOffset>17885</wp:posOffset>
            </wp:positionV>
            <wp:extent cx="7540018" cy="10664806"/>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540018" cy="10664806"/>
                    </a:xfrm>
                    <a:prstGeom prst="rect">
                      <a:avLst/>
                    </a:prstGeom>
                  </pic:spPr>
                </pic:pic>
              </a:graphicData>
            </a:graphic>
            <wp14:sizeRelH relativeFrom="margin">
              <wp14:pctWidth>0</wp14:pctWidth>
            </wp14:sizeRelH>
            <wp14:sizeRelV relativeFrom="margin">
              <wp14:pctHeight>0</wp14:pctHeight>
            </wp14:sizeRelV>
          </wp:anchor>
        </w:drawing>
      </w:r>
    </w:p>
    <w:p w14:paraId="5BE5344A" w14:textId="77777777" w:rsidR="00D3110C" w:rsidRDefault="00D3110C">
      <w:pPr>
        <w:rPr>
          <w:rStyle w:val="ContentsChar"/>
          <w:rFonts w:asciiTheme="majorHAnsi" w:eastAsiaTheme="majorEastAsia" w:hAnsiTheme="majorHAnsi" w:cstheme="majorBidi"/>
          <w:b w:val="0"/>
          <w:color w:val="002060"/>
          <w:spacing w:val="-10"/>
          <w:kern w:val="28"/>
          <w:sz w:val="44"/>
          <w:szCs w:val="56"/>
          <w14:shadow w14:blurRad="0" w14:dist="0" w14:dir="0" w14:sx="0" w14:sy="0" w14:kx="0" w14:ky="0" w14:algn="none">
            <w14:srgbClr w14:val="000000"/>
          </w14:shadow>
          <w14:textOutline w14:w="0" w14:cap="rnd" w14:cmpd="sng" w14:algn="ctr">
            <w14:noFill/>
            <w14:prstDash w14:val="solid"/>
            <w14:bevel/>
          </w14:textOutline>
        </w:rPr>
      </w:pPr>
      <w:r>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br w:type="page"/>
      </w:r>
    </w:p>
    <w:p w14:paraId="1A3F7201" w14:textId="77777777" w:rsidR="00D2703C" w:rsidRDefault="00D2703C" w:rsidP="00B85A95">
      <w:pPr>
        <w:pStyle w:val="Title"/>
        <w:spacing w:before="0" w:after="0"/>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pPr>
    </w:p>
    <w:p w14:paraId="353A38E2" w14:textId="77777777" w:rsidR="00A12803" w:rsidRDefault="00A12803" w:rsidP="00B85A95">
      <w:pPr>
        <w:pStyle w:val="Title"/>
        <w:spacing w:before="0" w:after="0"/>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pPr>
    </w:p>
    <w:p w14:paraId="6CC60BC3" w14:textId="1E581C16" w:rsidR="007B3AE4" w:rsidRPr="00B5248D" w:rsidRDefault="007B3AE4" w:rsidP="00B85A95">
      <w:pPr>
        <w:pStyle w:val="Title"/>
        <w:spacing w:before="0" w:after="0"/>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pPr>
      <w:r w:rsidRPr="00B5248D">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t>AUTHORS</w:t>
      </w:r>
    </w:p>
    <w:p w14:paraId="53D3D3F0" w14:textId="2B264B36" w:rsidR="007E0B26" w:rsidRPr="00B5248D" w:rsidRDefault="007C0175" w:rsidP="007E0B26">
      <w:r w:rsidRPr="00B5248D">
        <w:t>Chris</w:t>
      </w:r>
      <w:r w:rsidR="00A738B9">
        <w:t>topher</w:t>
      </w:r>
      <w:r w:rsidRPr="00B5248D">
        <w:t xml:space="preserve"> Erwin, Kirdan Lees, </w:t>
      </w:r>
      <w:r w:rsidR="006A0085" w:rsidRPr="00B5248D">
        <w:t>Gail Pacheco, and Alexandra Turcu</w:t>
      </w:r>
      <w:r w:rsidR="00B0626B">
        <w:rPr>
          <w:rStyle w:val="FootnoteReference"/>
        </w:rPr>
        <w:footnoteReference w:id="2"/>
      </w:r>
    </w:p>
    <w:p w14:paraId="2A2334A5" w14:textId="77777777" w:rsidR="007B3AE4" w:rsidRPr="00B5248D" w:rsidRDefault="007B3AE4" w:rsidP="007E0B26">
      <w:pPr>
        <w:pStyle w:val="Title"/>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pPr>
      <w:r w:rsidRPr="00B5248D">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t>ACKNOWLEDGEMENTS</w:t>
      </w:r>
    </w:p>
    <w:p w14:paraId="193D1721" w14:textId="4C5DB279" w:rsidR="007E0B26" w:rsidRPr="00B5248D" w:rsidRDefault="000C1B87" w:rsidP="00AA62C0">
      <w:pPr>
        <w:jc w:val="both"/>
      </w:pPr>
      <w:r>
        <w:t xml:space="preserve">We would like to thank the Ministry of Health, </w:t>
      </w:r>
      <w:r w:rsidR="00C63481">
        <w:t xml:space="preserve">the </w:t>
      </w:r>
      <w:r>
        <w:t xml:space="preserve">Department of Internal Affairs, Stats New Zealand </w:t>
      </w:r>
      <w:r w:rsidR="00EF2CEB">
        <w:t>and the New Zealand Insolvency and Trustee service</w:t>
      </w:r>
      <w:r>
        <w:t xml:space="preserve"> for providing </w:t>
      </w:r>
      <w:r w:rsidR="00C63481">
        <w:t xml:space="preserve">data. The authors are </w:t>
      </w:r>
      <w:r w:rsidR="00BE1ABB">
        <w:t xml:space="preserve">solely </w:t>
      </w:r>
      <w:r w:rsidR="00C63481">
        <w:t>responsible for any mistakes herein.</w:t>
      </w:r>
    </w:p>
    <w:p w14:paraId="61458F4F" w14:textId="443ACB47" w:rsidR="001660C2" w:rsidRPr="00B5248D" w:rsidRDefault="00BF4643" w:rsidP="00AA62C0">
      <w:pPr>
        <w:jc w:val="both"/>
      </w:pPr>
      <w:r>
        <w:t xml:space="preserve">We also acknowledge </w:t>
      </w:r>
      <w:r w:rsidR="00EE17E1">
        <w:t xml:space="preserve">both external reviewers for their feedback </w:t>
      </w:r>
      <w:r w:rsidR="000135C7">
        <w:t xml:space="preserve">on various aspects of a draft </w:t>
      </w:r>
      <w:r w:rsidR="001517F9">
        <w:t>versio</w:t>
      </w:r>
      <w:r w:rsidR="005864C5">
        <w:t>n. The report has benefited greatly from their comments</w:t>
      </w:r>
      <w:r w:rsidR="006125FB">
        <w:t xml:space="preserve">. </w:t>
      </w:r>
      <w:r w:rsidR="003361CE">
        <w:t xml:space="preserve">Reviewers were </w:t>
      </w:r>
      <w:r w:rsidR="008806C1">
        <w:t>Professor Matthew Browne</w:t>
      </w:r>
      <w:r w:rsidR="00FA77AD">
        <w:t xml:space="preserve"> (School of Health, Medical and Applied Sciences, </w:t>
      </w:r>
      <w:r w:rsidR="00220766">
        <w:t>Central Queensland University, Australia) and Professor Arthur Grimes (</w:t>
      </w:r>
      <w:r w:rsidR="004C5DE8">
        <w:t>Motu</w:t>
      </w:r>
      <w:r w:rsidR="00407D6E">
        <w:t xml:space="preserve"> and </w:t>
      </w:r>
      <w:r w:rsidR="004F379F">
        <w:t>Victoria University of Wellington</w:t>
      </w:r>
      <w:r w:rsidR="00C7599F">
        <w:t>).</w:t>
      </w:r>
    </w:p>
    <w:p w14:paraId="2848E173" w14:textId="58987538" w:rsidR="007B3AE4" w:rsidRPr="00B5248D" w:rsidRDefault="007B3AE4" w:rsidP="007E0B26">
      <w:pPr>
        <w:pStyle w:val="Title"/>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pPr>
      <w:r w:rsidRPr="00B5248D">
        <w:rPr>
          <w:rStyle w:val="ContentsChar"/>
          <w:rFonts w:asciiTheme="majorHAnsi" w:eastAsiaTheme="majorEastAsia" w:hAnsiTheme="majorHAnsi" w:cstheme="majorBidi"/>
          <w:b w:val="0"/>
          <w:color w:val="002060"/>
          <w:spacing w:val="-10"/>
          <w:sz w:val="44"/>
          <w:szCs w:val="56"/>
          <w14:shadow w14:blurRad="0" w14:dist="0" w14:dir="0" w14:sx="0" w14:sy="0" w14:kx="0" w14:ky="0" w14:algn="none">
            <w14:srgbClr w14:val="000000"/>
          </w14:shadow>
          <w14:textOutline w14:w="0" w14:cap="rnd" w14:cmpd="sng" w14:algn="ctr">
            <w14:noFill/>
            <w14:prstDash w14:val="solid"/>
            <w14:bevel/>
          </w14:textOutline>
        </w:rPr>
        <w:t>PUBLISHED</w:t>
      </w:r>
    </w:p>
    <w:p w14:paraId="22A2F020" w14:textId="77777777" w:rsidR="00321B9D" w:rsidRPr="00AD59EF" w:rsidRDefault="00321B9D" w:rsidP="003377D4">
      <w:r w:rsidRPr="00AD59EF">
        <w:t>New Zealand Work Research Institute, Auckland, New Zealand</w:t>
      </w:r>
    </w:p>
    <w:p w14:paraId="35644C9D" w14:textId="3C0BE60B" w:rsidR="00321B9D" w:rsidRPr="00AD59EF" w:rsidRDefault="00321B9D" w:rsidP="003377D4">
      <w:r w:rsidRPr="00AD59EF">
        <w:t xml:space="preserve">ISBN (PDF): </w:t>
      </w:r>
      <w:r w:rsidR="001E46CC" w:rsidRPr="00AD59EF">
        <w:t>978</w:t>
      </w:r>
      <w:r w:rsidR="009209FE" w:rsidRPr="00AD59EF">
        <w:t>-1-927184-65</w:t>
      </w:r>
      <w:r w:rsidR="00947903" w:rsidRPr="00AD59EF">
        <w:t xml:space="preserve">-3 </w:t>
      </w:r>
      <w:r w:rsidR="00694AA8" w:rsidRPr="00AD59EF">
        <w:t xml:space="preserve"> </w:t>
      </w:r>
    </w:p>
    <w:p w14:paraId="635FAA7A" w14:textId="5F352D69" w:rsidR="00EC6E4A" w:rsidRPr="00AD59EF" w:rsidRDefault="000F0515" w:rsidP="003377D4">
      <w:r w:rsidRPr="00AD59EF">
        <w:t>2020</w:t>
      </w:r>
    </w:p>
    <w:p w14:paraId="161BF67B" w14:textId="77777777" w:rsidR="0046090F" w:rsidRPr="00AD59EF" w:rsidRDefault="0046090F" w:rsidP="003377D4"/>
    <w:p w14:paraId="78E5F40D" w14:textId="36266574" w:rsidR="008147AE" w:rsidRPr="00B5248D" w:rsidRDefault="008147AE" w:rsidP="008D1B5A">
      <w:pPr>
        <w:jc w:val="both"/>
      </w:pPr>
      <w:r w:rsidRPr="00AD59EF">
        <w:t>Suggested citation: Erwin, C.</w:t>
      </w:r>
      <w:r w:rsidR="00F025CB" w:rsidRPr="00AD59EF">
        <w:t xml:space="preserve">, Lees, K., Pacheco, G. </w:t>
      </w:r>
      <w:r w:rsidR="00F56489" w:rsidRPr="00AD59EF">
        <w:t xml:space="preserve">&amp; </w:t>
      </w:r>
      <w:r w:rsidR="00B1588C" w:rsidRPr="00AD59EF">
        <w:t>Turcu</w:t>
      </w:r>
      <w:r w:rsidR="00AD59EF" w:rsidRPr="00AD59EF">
        <w:t>, A.</w:t>
      </w:r>
      <w:r w:rsidR="00B1588C" w:rsidRPr="00AD59EF">
        <w:t xml:space="preserve"> (2020) </w:t>
      </w:r>
      <w:r w:rsidR="00B85A95" w:rsidRPr="00AD59EF">
        <w:rPr>
          <w:i/>
        </w:rPr>
        <w:t xml:space="preserve">Capping gambling in NZ: </w:t>
      </w:r>
      <w:r w:rsidR="004E6D57" w:rsidRPr="00AD59EF">
        <w:rPr>
          <w:i/>
        </w:rPr>
        <w:t>T</w:t>
      </w:r>
      <w:r w:rsidR="00B85A95" w:rsidRPr="00AD59EF">
        <w:rPr>
          <w:i/>
        </w:rPr>
        <w:t>he effectiveness of local government policy intervention</w:t>
      </w:r>
      <w:r w:rsidR="00ED53EE" w:rsidRPr="00AD59EF">
        <w:rPr>
          <w:i/>
        </w:rPr>
        <w:t xml:space="preserve">. </w:t>
      </w:r>
      <w:r w:rsidR="00ED53EE" w:rsidRPr="00AD59EF">
        <w:t>Auckland.</w:t>
      </w:r>
    </w:p>
    <w:p w14:paraId="53F257CB" w14:textId="77777777" w:rsidR="00ED53EE" w:rsidRPr="00B5248D" w:rsidRDefault="00ED53EE" w:rsidP="003377D4"/>
    <w:p w14:paraId="26777FAE" w14:textId="7AFA092B" w:rsidR="00ED53EE" w:rsidRPr="00B5248D" w:rsidRDefault="00ED53EE" w:rsidP="003377D4"/>
    <w:p w14:paraId="676A9448" w14:textId="77777777" w:rsidR="00ED53EE" w:rsidRPr="00B5248D" w:rsidRDefault="00ED53EE" w:rsidP="003377D4"/>
    <w:p w14:paraId="0E8C305D" w14:textId="1CD869EC" w:rsidR="003377D4" w:rsidRPr="00B5248D" w:rsidRDefault="003377D4" w:rsidP="003377D4">
      <w:r w:rsidRPr="00B5248D">
        <w:t>JEL Classification: C21, D04, R12, Z31</w:t>
      </w:r>
    </w:p>
    <w:p w14:paraId="22D6CA42" w14:textId="6B548458" w:rsidR="003377D4" w:rsidRPr="00B5248D" w:rsidRDefault="003377D4" w:rsidP="003377D4">
      <w:pPr>
        <w:rPr>
          <w:rStyle w:val="ContentsChar"/>
          <w:rFonts w:asciiTheme="majorHAnsi" w:eastAsiaTheme="minorHAnsi" w:hAnsiTheme="majorHAnsi"/>
          <w:b w:val="0"/>
          <w:color w:val="262626" w:themeColor="text1" w:themeTint="D9"/>
          <w:spacing w:val="0"/>
          <w:sz w:val="22"/>
          <w:szCs w:val="22"/>
          <w14:shadow w14:blurRad="0" w14:dist="0" w14:dir="0" w14:sx="0" w14:sy="0" w14:kx="0" w14:ky="0" w14:algn="none">
            <w14:srgbClr w14:val="000000"/>
          </w14:shadow>
          <w14:textOutline w14:w="0" w14:cap="rnd" w14:cmpd="sng" w14:algn="ctr">
            <w14:noFill/>
            <w14:prstDash w14:val="solid"/>
            <w14:bevel/>
          </w14:textOutline>
        </w:rPr>
      </w:pPr>
      <w:r w:rsidRPr="00B5248D">
        <w:t>Keywords: sinking lid, problem gambling, electronic gaming machines</w:t>
      </w:r>
      <w:r w:rsidR="00BE1ABB">
        <w:rPr>
          <w:rStyle w:val="ContentsChar"/>
          <w:rFonts w:asciiTheme="majorHAnsi" w:eastAsiaTheme="minorHAnsi" w:hAnsiTheme="majorHAnsi"/>
          <w:b w:val="0"/>
          <w:color w:val="262626" w:themeColor="text1" w:themeTint="D9"/>
          <w:spacing w:val="0"/>
          <w:sz w:val="22"/>
          <w:szCs w:val="22"/>
          <w14:shadow w14:blurRad="0" w14:dist="0" w14:dir="0" w14:sx="0" w14:sy="0" w14:kx="0" w14:ky="0" w14:algn="none">
            <w14:srgbClr w14:val="000000"/>
          </w14:shadow>
          <w14:textOutline w14:w="0" w14:cap="rnd" w14:cmpd="sng" w14:algn="ctr">
            <w14:noFill/>
            <w14:prstDash w14:val="solid"/>
            <w14:bevel/>
          </w14:textOutline>
        </w:rPr>
        <w:t>, harm reduction</w:t>
      </w:r>
    </w:p>
    <w:p w14:paraId="47C69714" w14:textId="476F26C6" w:rsidR="00B13212" w:rsidRPr="00B5248D" w:rsidRDefault="00B13212">
      <w:pPr>
        <w:rPr>
          <w:rStyle w:val="ContentsChar"/>
          <w:rFonts w:asciiTheme="majorHAnsi" w:eastAsiaTheme="majorEastAsia" w:hAnsiTheme="majorHAnsi" w:cstheme="majorBidi"/>
          <w:b w:val="0"/>
          <w:color w:val="002060"/>
          <w:spacing w:val="-10"/>
          <w:kern w:val="28"/>
          <w:sz w:val="44"/>
          <w:szCs w:val="56"/>
          <w14:shadow w14:blurRad="0" w14:dist="0" w14:dir="0" w14:sx="0" w14:sy="0" w14:kx="0" w14:ky="0" w14:algn="none">
            <w14:srgbClr w14:val="000000"/>
          </w14:shadow>
          <w14:textOutline w14:w="0" w14:cap="rnd" w14:cmpd="sng" w14:algn="ctr">
            <w14:noFill/>
            <w14:prstDash w14:val="solid"/>
            <w14:bevel/>
          </w14:textOutline>
        </w:rPr>
      </w:pPr>
    </w:p>
    <w:sdt>
      <w:sdtPr>
        <w:rPr>
          <w:rFonts w:asciiTheme="majorHAnsi" w:eastAsiaTheme="minorHAnsi" w:hAnsiTheme="majorHAnsi"/>
          <w:b w:val="0"/>
          <w:color w:val="262626" w:themeColor="text1" w:themeTint="D9"/>
          <w:spacing w:val="0"/>
          <w:sz w:val="22"/>
          <w:szCs w:val="22"/>
          <w14:shadow w14:blurRad="0" w14:dist="0" w14:dir="0" w14:sx="0" w14:sy="0" w14:kx="0" w14:ky="0" w14:algn="none">
            <w14:srgbClr w14:val="000000"/>
          </w14:shadow>
          <w14:textOutline w14:w="0" w14:cap="rnd" w14:cmpd="sng" w14:algn="ctr">
            <w14:noFill/>
            <w14:prstDash w14:val="solid"/>
            <w14:bevel/>
          </w14:textOutline>
        </w:rPr>
        <w:id w:val="-1385253536"/>
        <w:docPartObj>
          <w:docPartGallery w:val="Table of Contents"/>
          <w:docPartUnique/>
        </w:docPartObj>
      </w:sdtPr>
      <w:sdtEndPr/>
      <w:sdtContent>
        <w:p w14:paraId="426E362C" w14:textId="6F38D39C" w:rsidR="00932673" w:rsidRPr="00B5248D" w:rsidRDefault="007E0B26" w:rsidP="00516C50">
          <w:pPr>
            <w:pStyle w:val="Contents"/>
          </w:pPr>
          <w:r w:rsidRPr="00B5248D">
            <w:rPr>
              <w:noProof/>
              <w:lang w:eastAsia="en-NZ"/>
            </w:rPr>
            <mc:AlternateContent>
              <mc:Choice Requires="wps">
                <w:drawing>
                  <wp:anchor distT="0" distB="0" distL="114300" distR="114300" simplePos="0" relativeHeight="251658241" behindDoc="1" locked="0" layoutInCell="1" allowOverlap="1" wp14:anchorId="20F6335C" wp14:editId="31AA9D60">
                    <wp:simplePos x="0" y="0"/>
                    <wp:positionH relativeFrom="column">
                      <wp:posOffset>-731310</wp:posOffset>
                    </wp:positionH>
                    <wp:positionV relativeFrom="page">
                      <wp:posOffset>-16829</wp:posOffset>
                    </wp:positionV>
                    <wp:extent cx="7578862" cy="1602029"/>
                    <wp:effectExtent l="0" t="0" r="22225" b="17780"/>
                    <wp:wrapNone/>
                    <wp:docPr id="11" name="Rectangle 11"/>
                    <wp:cNvGraphicFramePr/>
                    <a:graphic xmlns:a="http://schemas.openxmlformats.org/drawingml/2006/main">
                      <a:graphicData uri="http://schemas.microsoft.com/office/word/2010/wordprocessingShape">
                        <wps:wsp>
                          <wps:cNvSpPr/>
                          <wps:spPr>
                            <a:xfrm>
                              <a:off x="0" y="0"/>
                              <a:ext cx="7578862" cy="1602029"/>
                            </a:xfrm>
                            <a:prstGeom prst="rect">
                              <a:avLst/>
                            </a:prstGeom>
                            <a:solidFill>
                              <a:srgbClr val="133C6F"/>
                            </a:solidFill>
                            <a:ln>
                              <a:solidFill>
                                <a:srgbClr val="133C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D8BFB" id="Rectangle 11" o:spid="_x0000_s1026" style="position:absolute;margin-left:-57.6pt;margin-top:-1.35pt;width:596.75pt;height:126.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YllwIAALEFAAAOAAAAZHJzL2Uyb0RvYy54bWysVN1PGzEMf5+0/yHK+7gPoEDVK6qKOk1C&#10;gICJ5zSX9E7KJZmT9tr99XNyHwWG9oDWhzSO7Z/t39meXe8bRXYCXG10QbOTlBKhuSlrvSnoz+fV&#10;t0tKnGe6ZMpoUdCDcPR6/vXLrLVTkZvKqFIAQRDtpq0taOW9nSaJ45VomDsxVmhUSgMN8yjCJimB&#10;tYjeqCRP00nSGigtGC6cw9ebTknnEV9Kwf29lE54ogqKufl4QjzX4UzmMzbdALNVzfs02CeyaFit&#10;MegIdcM8I1uo/4Jqag7GGelPuGkSI2XNRawBq8nSd9U8VcyKWAuS4+xIk/t/sPxu9wCkLvHbZZRo&#10;1uA3ekTWmN4oQfANCWqtm6Ldk32AXnJ4DdXuJTThH+sg+0jqYSRV7D3h+HhxfnF5Ockp4ajLJmme&#10;5lcBNTm6W3D+uzANCZeCAsaPZLLdrfOd6WASojmj6nJVKxUF2KyXCsiO4RfOTk+Xk1WP/sZM6c95&#10;YpbBNQkcdFXHmz8oEQCVfhQS6cM685hybFwxJsQ4F9pnnapipejyPE/xN6QZWj14REoiYECWWN+I&#10;3QMMlh3IgN0R1NsHVxH7fnRO/5VY5zx6xMhG+9G5qbWBjwAUVtVH7uwHkjpqAktrUx6wucB0U+cs&#10;X9X4gW+Z8w8McMxwIHF1+Hs8pDJtQU1/o6Qy8Puj92CP3Y9aSloc24K6X1sGghL1Q+NcXGVnZ2HO&#10;o3B2fpGjAK8169cavW2WJvQNLinL4zXYezVcJZjmBTfMIkRFFdMcYxeUexiEpe/WCe4oLhaLaIaz&#10;bZm/1U+WB/DAamjg5/0LA9t3uccBuTPDiLPpu2bvbIOnNoutN7KOk3Dktecb90JsnH6HhcXzWo5W&#10;x007/wMAAP//AwBQSwMEFAAGAAgAAAAhAKmBlzbgAAAADAEAAA8AAABkcnMvZG93bnJldi54bWxM&#10;j0FOwzAQRfdI3MEaJHatY1PaEuJUVSVgBYLSA0xjE0eNxyF2k3B73BXsZjRPf94vNpNr2WD60HhS&#10;IOYZMEOV1w3VCg6fT7M1sBCRNLaejIIfE2BTXl8VmGs/0ocZ9rFmKYRCjgpsjF3OeaiscRjmvjOU&#10;bl++dxjT2tdc9zimcNdymWVL7rCh9MFiZ3bWVKf92SkYnw/VQO/x7SS2VsiXV1zs6Fup25tp+wgs&#10;min+wXDRT+pQJqejP5MOrFUwE+JeJjZNcgXsQmSr9R2wowK5eFgCLwv+v0T5CwAA//8DAFBLAQIt&#10;ABQABgAIAAAAIQC2gziS/gAAAOEBAAATAAAAAAAAAAAAAAAAAAAAAABbQ29udGVudF9UeXBlc10u&#10;eG1sUEsBAi0AFAAGAAgAAAAhADj9If/WAAAAlAEAAAsAAAAAAAAAAAAAAAAALwEAAF9yZWxzLy5y&#10;ZWxzUEsBAi0AFAAGAAgAAAAhACF5BiWXAgAAsQUAAA4AAAAAAAAAAAAAAAAALgIAAGRycy9lMm9E&#10;b2MueG1sUEsBAi0AFAAGAAgAAAAhAKmBlzbgAAAADAEAAA8AAAAAAAAAAAAAAAAA8QQAAGRycy9k&#10;b3ducmV2LnhtbFBLBQYAAAAABAAEAPMAAAD+BQAAAAA=&#10;" fillcolor="#133c6f" strokecolor="#133c6f" strokeweight="1pt">
                    <w10:wrap anchory="page"/>
                  </v:rect>
                </w:pict>
              </mc:Fallback>
            </mc:AlternateContent>
          </w:r>
          <w:r w:rsidRPr="00B5248D">
            <w:t>CONTENTS</w:t>
          </w:r>
        </w:p>
        <w:p w14:paraId="7959A976" w14:textId="77777777" w:rsidR="007E0B26" w:rsidRPr="00B5248D" w:rsidRDefault="007E0B26">
          <w:pPr>
            <w:tabs>
              <w:tab w:val="right" w:leader="dot" w:pos="9322"/>
            </w:tabs>
          </w:pPr>
        </w:p>
        <w:p w14:paraId="12D44F36" w14:textId="77777777" w:rsidR="007E0B26" w:rsidRPr="00B5248D" w:rsidRDefault="007E0B26">
          <w:pPr>
            <w:tabs>
              <w:tab w:val="right" w:leader="dot" w:pos="9322"/>
            </w:tabs>
          </w:pPr>
        </w:p>
        <w:p w14:paraId="455C6B20" w14:textId="3E9E715B" w:rsidR="00B20EAA" w:rsidRPr="00F21567" w:rsidRDefault="00932673" w:rsidP="00F21567">
          <w:pPr>
            <w:pStyle w:val="TOC1"/>
            <w:tabs>
              <w:tab w:val="right" w:leader="dot" w:pos="9322"/>
            </w:tabs>
            <w:spacing w:line="360" w:lineRule="auto"/>
            <w:rPr>
              <w:rFonts w:asciiTheme="minorHAnsi" w:eastAsiaTheme="minorEastAsia" w:hAnsiTheme="minorHAnsi" w:cstheme="minorBidi"/>
              <w:noProof/>
              <w:lang w:eastAsia="en-NZ"/>
            </w:rPr>
          </w:pPr>
          <w:r w:rsidRPr="00F21567">
            <w:fldChar w:fldCharType="begin"/>
          </w:r>
          <w:r w:rsidRPr="00F21567">
            <w:instrText xml:space="preserve"> TOC \o "1-3" \h \z \u </w:instrText>
          </w:r>
          <w:r w:rsidRPr="00F21567">
            <w:fldChar w:fldCharType="separate"/>
          </w:r>
          <w:hyperlink w:anchor="_Toc50033359" w:history="1">
            <w:r w:rsidR="00B20EAA" w:rsidRPr="00F21567">
              <w:rPr>
                <w:rStyle w:val="Hyperlink"/>
                <w:noProof/>
                <w:color w:val="262626" w:themeColor="text1" w:themeTint="D9"/>
              </w:rPr>
              <w:t>Executive summary</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_Toc50033359 \h </w:instrText>
            </w:r>
            <w:r w:rsidR="00B20EAA" w:rsidRPr="00F21567">
              <w:rPr>
                <w:noProof/>
                <w:webHidden/>
              </w:rPr>
            </w:r>
            <w:r w:rsidR="00B20EAA" w:rsidRPr="00F21567">
              <w:rPr>
                <w:noProof/>
                <w:webHidden/>
              </w:rPr>
              <w:fldChar w:fldCharType="separate"/>
            </w:r>
            <w:r w:rsidR="007E6FB9">
              <w:rPr>
                <w:noProof/>
                <w:webHidden/>
              </w:rPr>
              <w:t>1</w:t>
            </w:r>
            <w:r w:rsidR="00B20EAA" w:rsidRPr="00F21567">
              <w:rPr>
                <w:noProof/>
                <w:webHidden/>
              </w:rPr>
              <w:fldChar w:fldCharType="end"/>
            </w:r>
          </w:hyperlink>
        </w:p>
        <w:p w14:paraId="05867A6D" w14:textId="390F664D"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60" w:history="1">
            <w:r w:rsidR="00B20EAA" w:rsidRPr="00F21567">
              <w:rPr>
                <w:rStyle w:val="Hyperlink"/>
                <w:noProof/>
                <w:color w:val="262626" w:themeColor="text1" w:themeTint="D9"/>
              </w:rPr>
              <w:t>1</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rPr>
              <w:t>Introduction</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_Toc50033360 \h </w:instrText>
            </w:r>
            <w:r w:rsidR="00B20EAA" w:rsidRPr="00F21567">
              <w:rPr>
                <w:noProof/>
                <w:webHidden/>
              </w:rPr>
            </w:r>
            <w:r w:rsidR="00B20EAA" w:rsidRPr="00F21567">
              <w:rPr>
                <w:noProof/>
                <w:webHidden/>
              </w:rPr>
              <w:fldChar w:fldCharType="separate"/>
            </w:r>
            <w:r w:rsidR="007E6FB9">
              <w:rPr>
                <w:noProof/>
                <w:webHidden/>
              </w:rPr>
              <w:t>2</w:t>
            </w:r>
            <w:r w:rsidR="00B20EAA" w:rsidRPr="00F21567">
              <w:rPr>
                <w:noProof/>
                <w:webHidden/>
              </w:rPr>
              <w:fldChar w:fldCharType="end"/>
            </w:r>
          </w:hyperlink>
        </w:p>
        <w:p w14:paraId="13136C3C" w14:textId="4D44015B"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61" w:history="1">
            <w:r w:rsidR="00B20EAA" w:rsidRPr="00F21567">
              <w:rPr>
                <w:rStyle w:val="Hyperlink"/>
                <w:noProof/>
                <w:color w:val="262626" w:themeColor="text1" w:themeTint="D9"/>
              </w:rPr>
              <w:t>2</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rPr>
              <w:t>Background</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_Toc50033361 \h </w:instrText>
            </w:r>
            <w:r w:rsidR="00B20EAA" w:rsidRPr="00F21567">
              <w:rPr>
                <w:noProof/>
                <w:webHidden/>
              </w:rPr>
            </w:r>
            <w:r w:rsidR="00B20EAA" w:rsidRPr="00F21567">
              <w:rPr>
                <w:noProof/>
                <w:webHidden/>
              </w:rPr>
              <w:fldChar w:fldCharType="separate"/>
            </w:r>
            <w:r w:rsidR="007E6FB9">
              <w:rPr>
                <w:noProof/>
                <w:webHidden/>
              </w:rPr>
              <w:t>4</w:t>
            </w:r>
            <w:r w:rsidR="00B20EAA" w:rsidRPr="00F21567">
              <w:rPr>
                <w:noProof/>
                <w:webHidden/>
              </w:rPr>
              <w:fldChar w:fldCharType="end"/>
            </w:r>
          </w:hyperlink>
        </w:p>
        <w:p w14:paraId="6B2BFBF5" w14:textId="49D7C445"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62" w:history="1">
            <w:r w:rsidR="00B20EAA" w:rsidRPr="00F21567">
              <w:rPr>
                <w:rStyle w:val="Hyperlink"/>
                <w:noProof/>
                <w:color w:val="262626" w:themeColor="text1" w:themeTint="D9"/>
                <w14:scene3d>
                  <w14:camera w14:prst="orthographicFront"/>
                  <w14:lightRig w14:rig="threePt" w14:dir="t">
                    <w14:rot w14:lat="0" w14:lon="0" w14:rev="0"/>
                  </w14:lightRig>
                </w14:scene3d>
              </w:rPr>
              <w:t>2.1</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rPr>
              <w:t>Legislative background</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_Toc50033362 \h </w:instrText>
            </w:r>
            <w:r w:rsidR="00B20EAA" w:rsidRPr="00F21567">
              <w:rPr>
                <w:noProof/>
                <w:webHidden/>
              </w:rPr>
            </w:r>
            <w:r w:rsidR="00B20EAA" w:rsidRPr="00F21567">
              <w:rPr>
                <w:noProof/>
                <w:webHidden/>
              </w:rPr>
              <w:fldChar w:fldCharType="separate"/>
            </w:r>
            <w:r w:rsidR="007E6FB9">
              <w:rPr>
                <w:noProof/>
                <w:webHidden/>
              </w:rPr>
              <w:t>4</w:t>
            </w:r>
            <w:r w:rsidR="00B20EAA" w:rsidRPr="00F21567">
              <w:rPr>
                <w:noProof/>
                <w:webHidden/>
              </w:rPr>
              <w:fldChar w:fldCharType="end"/>
            </w:r>
          </w:hyperlink>
        </w:p>
        <w:p w14:paraId="116DCEC2" w14:textId="6784C6ED"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63" w:history="1">
            <w:r w:rsidR="00B20EAA" w:rsidRPr="00F21567">
              <w:rPr>
                <w:rStyle w:val="Hyperlink"/>
                <w:noProof/>
                <w:color w:val="262626" w:themeColor="text1" w:themeTint="D9"/>
                <w14:scene3d>
                  <w14:camera w14:prst="orthographicFront"/>
                  <w14:lightRig w14:rig="threePt" w14:dir="t">
                    <w14:rot w14:lat="0" w14:lon="0" w14:rev="0"/>
                  </w14:lightRig>
                </w14:scene3d>
              </w:rPr>
              <w:t>2.2</w:t>
            </w:r>
            <w:r w:rsidR="00B20EAA" w:rsidRPr="00F21567">
              <w:rPr>
                <w:rFonts w:asciiTheme="minorHAnsi" w:eastAsiaTheme="minorEastAsia" w:hAnsiTheme="minorHAnsi" w:cstheme="minorBidi"/>
                <w:noProof/>
                <w:lang w:eastAsia="en-NZ"/>
              </w:rPr>
              <w:tab/>
            </w:r>
            <w:r w:rsidR="00B20EAA" w:rsidRPr="00F21567">
              <w:rPr>
                <w:rStyle w:val="Hyperlink"/>
                <w:rFonts w:ascii="Calibri Light" w:hAnsi="Calibri Light" w:cs="Calibri Light"/>
                <w:noProof/>
                <w:color w:val="262626" w:themeColor="text1" w:themeTint="D9"/>
              </w:rPr>
              <w:t>Theoretical framework</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_Toc50033363 \h </w:instrText>
            </w:r>
            <w:r w:rsidR="00B20EAA" w:rsidRPr="00F21567">
              <w:rPr>
                <w:noProof/>
                <w:webHidden/>
              </w:rPr>
            </w:r>
            <w:r w:rsidR="00B20EAA" w:rsidRPr="00F21567">
              <w:rPr>
                <w:noProof/>
                <w:webHidden/>
              </w:rPr>
              <w:fldChar w:fldCharType="separate"/>
            </w:r>
            <w:r w:rsidR="007E6FB9">
              <w:rPr>
                <w:noProof/>
                <w:webHidden/>
              </w:rPr>
              <w:t>5</w:t>
            </w:r>
            <w:r w:rsidR="00B20EAA" w:rsidRPr="00F21567">
              <w:rPr>
                <w:noProof/>
                <w:webHidden/>
              </w:rPr>
              <w:fldChar w:fldCharType="end"/>
            </w:r>
          </w:hyperlink>
        </w:p>
        <w:p w14:paraId="3CA1998E" w14:textId="000D2EE5"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64" w:history="1">
            <w:r w:rsidR="00B20EAA" w:rsidRPr="00F21567">
              <w:rPr>
                <w:rStyle w:val="Hyperlink"/>
                <w:rFonts w:ascii="Calibri Light" w:hAnsi="Calibri Light" w:cs="Calibri Light"/>
                <w:noProof/>
                <w:color w:val="262626" w:themeColor="text1" w:themeTint="D9"/>
                <w14:scene3d>
                  <w14:camera w14:prst="orthographicFront"/>
                  <w14:lightRig w14:rig="threePt" w14:dir="t">
                    <w14:rot w14:lat="0" w14:lon="0" w14:rev="0"/>
                  </w14:lightRig>
                </w14:scene3d>
              </w:rPr>
              <w:t>2.3</w:t>
            </w:r>
            <w:r w:rsidR="00B20EAA" w:rsidRPr="00F21567">
              <w:rPr>
                <w:rFonts w:asciiTheme="minorHAnsi" w:eastAsiaTheme="minorEastAsia" w:hAnsiTheme="minorHAnsi" w:cstheme="minorBidi"/>
                <w:noProof/>
                <w:lang w:eastAsia="en-NZ"/>
              </w:rPr>
              <w:tab/>
            </w:r>
            <w:r w:rsidR="00B20EAA" w:rsidRPr="00F21567">
              <w:rPr>
                <w:rStyle w:val="Hyperlink"/>
                <w:rFonts w:ascii="Calibri Light" w:hAnsi="Calibri Light" w:cs="Calibri Light"/>
                <w:noProof/>
                <w:color w:val="262626" w:themeColor="text1" w:themeTint="D9"/>
              </w:rPr>
              <w:t>International literature</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_Toc50033364 \h </w:instrText>
            </w:r>
            <w:r w:rsidR="00B20EAA" w:rsidRPr="00F21567">
              <w:rPr>
                <w:noProof/>
                <w:webHidden/>
              </w:rPr>
            </w:r>
            <w:r w:rsidR="00B20EAA" w:rsidRPr="00F21567">
              <w:rPr>
                <w:noProof/>
                <w:webHidden/>
              </w:rPr>
              <w:fldChar w:fldCharType="separate"/>
            </w:r>
            <w:r w:rsidR="007E6FB9">
              <w:rPr>
                <w:noProof/>
                <w:webHidden/>
              </w:rPr>
              <w:t>7</w:t>
            </w:r>
            <w:r w:rsidR="00B20EAA" w:rsidRPr="00F21567">
              <w:rPr>
                <w:noProof/>
                <w:webHidden/>
              </w:rPr>
              <w:fldChar w:fldCharType="end"/>
            </w:r>
          </w:hyperlink>
        </w:p>
        <w:p w14:paraId="57BDE0E0" w14:textId="6987F8FB"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67" w:history="1">
            <w:r w:rsidR="00B20EAA" w:rsidRPr="00F21567">
              <w:rPr>
                <w:rStyle w:val="Hyperlink"/>
                <w:noProof/>
                <w:color w:val="262626" w:themeColor="text1" w:themeTint="D9"/>
              </w:rPr>
              <w:t>3</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rPr>
              <w:t>Data</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_Toc50033367 \h </w:instrText>
            </w:r>
            <w:r w:rsidR="00B20EAA" w:rsidRPr="00F21567">
              <w:rPr>
                <w:noProof/>
                <w:webHidden/>
              </w:rPr>
            </w:r>
            <w:r w:rsidR="00B20EAA" w:rsidRPr="00F21567">
              <w:rPr>
                <w:noProof/>
                <w:webHidden/>
              </w:rPr>
              <w:fldChar w:fldCharType="separate"/>
            </w:r>
            <w:r w:rsidR="007E6FB9">
              <w:rPr>
                <w:noProof/>
                <w:webHidden/>
              </w:rPr>
              <w:t>12</w:t>
            </w:r>
            <w:r w:rsidR="00B20EAA" w:rsidRPr="00F21567">
              <w:rPr>
                <w:noProof/>
                <w:webHidden/>
              </w:rPr>
              <w:fldChar w:fldCharType="end"/>
            </w:r>
          </w:hyperlink>
        </w:p>
        <w:p w14:paraId="2A68E118" w14:textId="399FF248"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68" w:history="1">
            <w:r w:rsidR="00B20EAA" w:rsidRPr="00F21567">
              <w:rPr>
                <w:rStyle w:val="Hyperlink"/>
                <w:noProof/>
                <w:color w:val="262626" w:themeColor="text1" w:themeTint="D9"/>
                <w:lang w:eastAsia="en-NZ"/>
                <w14:scene3d>
                  <w14:camera w14:prst="orthographicFront"/>
                  <w14:lightRig w14:rig="threePt" w14:dir="t">
                    <w14:rot w14:lat="0" w14:lon="0" w14:rev="0"/>
                  </w14:lightRig>
                </w14:scene3d>
              </w:rPr>
              <w:t>3.1</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Data source and descriptives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_Toc50033368 \h </w:instrText>
            </w:r>
            <w:r w:rsidR="00B20EAA" w:rsidRPr="00F21567">
              <w:rPr>
                <w:noProof/>
                <w:webHidden/>
              </w:rPr>
            </w:r>
            <w:r w:rsidR="00B20EAA" w:rsidRPr="00F21567">
              <w:rPr>
                <w:noProof/>
                <w:webHidden/>
              </w:rPr>
              <w:fldChar w:fldCharType="separate"/>
            </w:r>
            <w:r w:rsidR="007E6FB9">
              <w:rPr>
                <w:noProof/>
                <w:webHidden/>
              </w:rPr>
              <w:t>12</w:t>
            </w:r>
            <w:r w:rsidR="00B20EAA" w:rsidRPr="00F21567">
              <w:rPr>
                <w:noProof/>
                <w:webHidden/>
              </w:rPr>
              <w:fldChar w:fldCharType="end"/>
            </w:r>
          </w:hyperlink>
        </w:p>
        <w:p w14:paraId="149028E4" w14:textId="4FB95C41"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69" w:history="1">
            <w:r w:rsidR="00B20EAA" w:rsidRPr="00F21567">
              <w:rPr>
                <w:rStyle w:val="Hyperlink"/>
                <w:noProof/>
                <w:color w:val="262626" w:themeColor="text1" w:themeTint="D9"/>
                <w:lang w:eastAsia="en-NZ"/>
                <w14:scene3d>
                  <w14:camera w14:prst="orthographicFront"/>
                  <w14:lightRig w14:rig="threePt" w14:dir="t">
                    <w14:rot w14:lat="0" w14:lon="0" w14:rev="0"/>
                  </w14:lightRig>
                </w14:scene3d>
              </w:rPr>
              <w:t>3.2</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Class 4 gambling policies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_Toc50033369 \h </w:instrText>
            </w:r>
            <w:r w:rsidR="00B20EAA" w:rsidRPr="00F21567">
              <w:rPr>
                <w:noProof/>
                <w:webHidden/>
              </w:rPr>
            </w:r>
            <w:r w:rsidR="00B20EAA" w:rsidRPr="00F21567">
              <w:rPr>
                <w:noProof/>
                <w:webHidden/>
              </w:rPr>
              <w:fldChar w:fldCharType="separate"/>
            </w:r>
            <w:r w:rsidR="007E6FB9">
              <w:rPr>
                <w:noProof/>
                <w:webHidden/>
              </w:rPr>
              <w:t>15</w:t>
            </w:r>
            <w:r w:rsidR="00B20EAA" w:rsidRPr="00F21567">
              <w:rPr>
                <w:noProof/>
                <w:webHidden/>
              </w:rPr>
              <w:fldChar w:fldCharType="end"/>
            </w:r>
          </w:hyperlink>
        </w:p>
        <w:p w14:paraId="797D7E21" w14:textId="6D87A5C4"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70" w:history="1">
            <w:r w:rsidR="00B20EAA" w:rsidRPr="00F21567">
              <w:rPr>
                <w:rStyle w:val="Hyperlink"/>
                <w:noProof/>
                <w:color w:val="262626" w:themeColor="text1" w:themeTint="D9"/>
              </w:rPr>
              <w:t>4</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rPr>
              <w:t>Method</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_Toc50033370 \h </w:instrText>
            </w:r>
            <w:r w:rsidR="00B20EAA" w:rsidRPr="00F21567">
              <w:rPr>
                <w:noProof/>
                <w:webHidden/>
              </w:rPr>
            </w:r>
            <w:r w:rsidR="00B20EAA" w:rsidRPr="00F21567">
              <w:rPr>
                <w:noProof/>
                <w:webHidden/>
              </w:rPr>
              <w:fldChar w:fldCharType="separate"/>
            </w:r>
            <w:r w:rsidR="007E6FB9">
              <w:rPr>
                <w:noProof/>
                <w:webHidden/>
              </w:rPr>
              <w:t>17</w:t>
            </w:r>
            <w:r w:rsidR="00B20EAA" w:rsidRPr="00F21567">
              <w:rPr>
                <w:noProof/>
                <w:webHidden/>
              </w:rPr>
              <w:fldChar w:fldCharType="end"/>
            </w:r>
          </w:hyperlink>
        </w:p>
        <w:p w14:paraId="5E5CA6E1" w14:textId="5EBF4B89"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71" w:history="1">
            <w:r w:rsidR="00B20EAA" w:rsidRPr="00F21567">
              <w:rPr>
                <w:rStyle w:val="Hyperlink"/>
                <w:noProof/>
                <w:color w:val="262626" w:themeColor="text1" w:themeTint="D9"/>
                <w:lang w:eastAsia="en-NZ"/>
              </w:rPr>
              <w:t>5</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Results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_Toc50033371 \h </w:instrText>
            </w:r>
            <w:r w:rsidR="00B20EAA" w:rsidRPr="00F21567">
              <w:rPr>
                <w:noProof/>
                <w:webHidden/>
              </w:rPr>
            </w:r>
            <w:r w:rsidR="00B20EAA" w:rsidRPr="00F21567">
              <w:rPr>
                <w:noProof/>
                <w:webHidden/>
              </w:rPr>
              <w:fldChar w:fldCharType="separate"/>
            </w:r>
            <w:r w:rsidR="007E6FB9">
              <w:rPr>
                <w:noProof/>
                <w:webHidden/>
              </w:rPr>
              <w:t>18</w:t>
            </w:r>
            <w:r w:rsidR="00B20EAA" w:rsidRPr="00F21567">
              <w:rPr>
                <w:noProof/>
                <w:webHidden/>
              </w:rPr>
              <w:fldChar w:fldCharType="end"/>
            </w:r>
          </w:hyperlink>
        </w:p>
        <w:p w14:paraId="237AFF59" w14:textId="2B231E91"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72" w:history="1">
            <w:r w:rsidR="00B20EAA" w:rsidRPr="00F21567">
              <w:rPr>
                <w:rStyle w:val="Hyperlink"/>
                <w:noProof/>
                <w:color w:val="262626" w:themeColor="text1" w:themeTint="D9"/>
                <w:lang w:eastAsia="en-NZ"/>
              </w:rPr>
              <w:t xml:space="preserve">6 </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Impact on problem gambling service use</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_Toc50033372 \h </w:instrText>
            </w:r>
            <w:r w:rsidR="00B20EAA" w:rsidRPr="00F21567">
              <w:rPr>
                <w:noProof/>
                <w:webHidden/>
              </w:rPr>
            </w:r>
            <w:r w:rsidR="00B20EAA" w:rsidRPr="00F21567">
              <w:rPr>
                <w:noProof/>
                <w:webHidden/>
              </w:rPr>
              <w:fldChar w:fldCharType="separate"/>
            </w:r>
            <w:r w:rsidR="007E6FB9">
              <w:rPr>
                <w:noProof/>
                <w:webHidden/>
              </w:rPr>
              <w:t>20</w:t>
            </w:r>
            <w:r w:rsidR="00B20EAA" w:rsidRPr="00F21567">
              <w:rPr>
                <w:noProof/>
                <w:webHidden/>
              </w:rPr>
              <w:fldChar w:fldCharType="end"/>
            </w:r>
          </w:hyperlink>
        </w:p>
        <w:p w14:paraId="40A2CB9B" w14:textId="48D24EA8"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73" w:history="1">
            <w:r w:rsidR="00B20EAA" w:rsidRPr="00F21567">
              <w:rPr>
                <w:rStyle w:val="Hyperlink"/>
                <w:noProof/>
                <w:color w:val="262626" w:themeColor="text1" w:themeTint="D9"/>
                <w:lang w:eastAsia="en-NZ"/>
              </w:rPr>
              <w:t>7</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Impact on bankruptcies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_Toc50033373 \h </w:instrText>
            </w:r>
            <w:r w:rsidR="00B20EAA" w:rsidRPr="00F21567">
              <w:rPr>
                <w:noProof/>
                <w:webHidden/>
              </w:rPr>
            </w:r>
            <w:r w:rsidR="00B20EAA" w:rsidRPr="00F21567">
              <w:rPr>
                <w:noProof/>
                <w:webHidden/>
              </w:rPr>
              <w:fldChar w:fldCharType="separate"/>
            </w:r>
            <w:r w:rsidR="007E6FB9">
              <w:rPr>
                <w:noProof/>
                <w:webHidden/>
              </w:rPr>
              <w:t>24</w:t>
            </w:r>
            <w:r w:rsidR="00B20EAA" w:rsidRPr="00F21567">
              <w:rPr>
                <w:noProof/>
                <w:webHidden/>
              </w:rPr>
              <w:fldChar w:fldCharType="end"/>
            </w:r>
          </w:hyperlink>
        </w:p>
        <w:p w14:paraId="4069BDB8" w14:textId="4C4C0990"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74" w:history="1">
            <w:r w:rsidR="00B20EAA" w:rsidRPr="00F21567">
              <w:rPr>
                <w:rStyle w:val="Hyperlink"/>
                <w:noProof/>
                <w:color w:val="262626" w:themeColor="text1" w:themeTint="D9"/>
                <w:lang w:eastAsia="en-NZ"/>
                <w14:scene3d>
                  <w14:camera w14:prst="orthographicFront"/>
                  <w14:lightRig w14:rig="threePt" w14:dir="t">
                    <w14:rot w14:lat="0" w14:lon="0" w14:rev="0"/>
                  </w14:lightRig>
                </w14:scene3d>
              </w:rPr>
              <w:t>7.1</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Introduction</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_Toc50033374 \h </w:instrText>
            </w:r>
            <w:r w:rsidR="00B20EAA" w:rsidRPr="00F21567">
              <w:rPr>
                <w:noProof/>
                <w:webHidden/>
              </w:rPr>
            </w:r>
            <w:r w:rsidR="00B20EAA" w:rsidRPr="00F21567">
              <w:rPr>
                <w:noProof/>
                <w:webHidden/>
              </w:rPr>
              <w:fldChar w:fldCharType="separate"/>
            </w:r>
            <w:r w:rsidR="007E6FB9">
              <w:rPr>
                <w:noProof/>
                <w:webHidden/>
              </w:rPr>
              <w:t>24</w:t>
            </w:r>
            <w:r w:rsidR="00B20EAA" w:rsidRPr="00F21567">
              <w:rPr>
                <w:noProof/>
                <w:webHidden/>
              </w:rPr>
              <w:fldChar w:fldCharType="end"/>
            </w:r>
          </w:hyperlink>
        </w:p>
        <w:p w14:paraId="33A00F77" w14:textId="1736E582"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75" w:history="1">
            <w:r w:rsidR="00B20EAA" w:rsidRPr="00F21567">
              <w:rPr>
                <w:rStyle w:val="Hyperlink"/>
                <w:noProof/>
                <w:color w:val="262626" w:themeColor="text1" w:themeTint="D9"/>
                <w:lang w:eastAsia="en-NZ"/>
              </w:rPr>
              <w:t xml:space="preserve">7.2 </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Data</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_Toc50033375 \h </w:instrText>
            </w:r>
            <w:r w:rsidR="00B20EAA" w:rsidRPr="00F21567">
              <w:rPr>
                <w:noProof/>
                <w:webHidden/>
              </w:rPr>
            </w:r>
            <w:r w:rsidR="00B20EAA" w:rsidRPr="00F21567">
              <w:rPr>
                <w:noProof/>
                <w:webHidden/>
              </w:rPr>
              <w:fldChar w:fldCharType="separate"/>
            </w:r>
            <w:r w:rsidR="007E6FB9">
              <w:rPr>
                <w:noProof/>
                <w:webHidden/>
              </w:rPr>
              <w:t>25</w:t>
            </w:r>
            <w:r w:rsidR="00B20EAA" w:rsidRPr="00F21567">
              <w:rPr>
                <w:noProof/>
                <w:webHidden/>
              </w:rPr>
              <w:fldChar w:fldCharType="end"/>
            </w:r>
          </w:hyperlink>
        </w:p>
        <w:p w14:paraId="1E7E16FC" w14:textId="58A25C28"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76" w:history="1">
            <w:r w:rsidR="00B20EAA" w:rsidRPr="00F21567">
              <w:rPr>
                <w:rStyle w:val="Hyperlink"/>
                <w:noProof/>
                <w:color w:val="262626" w:themeColor="text1" w:themeTint="D9"/>
                <w:lang w:eastAsia="en-NZ"/>
              </w:rPr>
              <w:t xml:space="preserve">7.3 </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Method</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_Toc50033376 \h </w:instrText>
            </w:r>
            <w:r w:rsidR="00B20EAA" w:rsidRPr="00F21567">
              <w:rPr>
                <w:noProof/>
                <w:webHidden/>
              </w:rPr>
            </w:r>
            <w:r w:rsidR="00B20EAA" w:rsidRPr="00F21567">
              <w:rPr>
                <w:noProof/>
                <w:webHidden/>
              </w:rPr>
              <w:fldChar w:fldCharType="separate"/>
            </w:r>
            <w:r w:rsidR="007E6FB9">
              <w:rPr>
                <w:noProof/>
                <w:webHidden/>
              </w:rPr>
              <w:t>28</w:t>
            </w:r>
            <w:r w:rsidR="00B20EAA" w:rsidRPr="00F21567">
              <w:rPr>
                <w:noProof/>
                <w:webHidden/>
              </w:rPr>
              <w:fldChar w:fldCharType="end"/>
            </w:r>
          </w:hyperlink>
        </w:p>
        <w:p w14:paraId="66447159" w14:textId="76902431" w:rsidR="00B20EAA" w:rsidRPr="00F21567" w:rsidRDefault="00C11F4F" w:rsidP="00F21567">
          <w:pPr>
            <w:pStyle w:val="TOC2"/>
            <w:spacing w:line="360" w:lineRule="auto"/>
            <w:rPr>
              <w:rFonts w:asciiTheme="minorHAnsi" w:eastAsiaTheme="minorEastAsia" w:hAnsiTheme="minorHAnsi" w:cstheme="minorBidi"/>
              <w:noProof/>
              <w:lang w:eastAsia="en-NZ"/>
            </w:rPr>
          </w:pPr>
          <w:hyperlink w:anchor="_Toc50033377" w:history="1">
            <w:r w:rsidR="00B20EAA" w:rsidRPr="00F21567">
              <w:rPr>
                <w:rStyle w:val="Hyperlink"/>
                <w:noProof/>
                <w:color w:val="262626" w:themeColor="text1" w:themeTint="D9"/>
                <w:lang w:eastAsia="en-NZ"/>
              </w:rPr>
              <w:t xml:space="preserve">7.4 </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Results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_Toc50033377 \h </w:instrText>
            </w:r>
            <w:r w:rsidR="00B20EAA" w:rsidRPr="00F21567">
              <w:rPr>
                <w:noProof/>
                <w:webHidden/>
              </w:rPr>
            </w:r>
            <w:r w:rsidR="00B20EAA" w:rsidRPr="00F21567">
              <w:rPr>
                <w:noProof/>
                <w:webHidden/>
              </w:rPr>
              <w:fldChar w:fldCharType="separate"/>
            </w:r>
            <w:r w:rsidR="007E6FB9">
              <w:rPr>
                <w:noProof/>
                <w:webHidden/>
              </w:rPr>
              <w:t>29</w:t>
            </w:r>
            <w:r w:rsidR="00B20EAA" w:rsidRPr="00F21567">
              <w:rPr>
                <w:noProof/>
                <w:webHidden/>
              </w:rPr>
              <w:fldChar w:fldCharType="end"/>
            </w:r>
          </w:hyperlink>
        </w:p>
        <w:p w14:paraId="6ABD5F30" w14:textId="4EB63DF3"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78" w:history="1">
            <w:r w:rsidR="00B20EAA" w:rsidRPr="00F21567">
              <w:rPr>
                <w:rStyle w:val="Hyperlink"/>
                <w:noProof/>
                <w:color w:val="262626" w:themeColor="text1" w:themeTint="D9"/>
                <w:lang w:eastAsia="en-NZ"/>
              </w:rPr>
              <w:t xml:space="preserve">8 </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lang w:eastAsia="en-NZ"/>
              </w:rPr>
              <w:t>Conclusions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_Toc50033378 \h </w:instrText>
            </w:r>
            <w:r w:rsidR="00B20EAA" w:rsidRPr="00F21567">
              <w:rPr>
                <w:noProof/>
                <w:webHidden/>
              </w:rPr>
            </w:r>
            <w:r w:rsidR="00B20EAA" w:rsidRPr="00F21567">
              <w:rPr>
                <w:noProof/>
                <w:webHidden/>
              </w:rPr>
              <w:fldChar w:fldCharType="separate"/>
            </w:r>
            <w:r w:rsidR="007E6FB9">
              <w:rPr>
                <w:noProof/>
                <w:webHidden/>
              </w:rPr>
              <w:t>31</w:t>
            </w:r>
            <w:r w:rsidR="00B20EAA" w:rsidRPr="00F21567">
              <w:rPr>
                <w:noProof/>
                <w:webHidden/>
              </w:rPr>
              <w:fldChar w:fldCharType="end"/>
            </w:r>
          </w:hyperlink>
        </w:p>
        <w:p w14:paraId="7DF997F0" w14:textId="13A6C827" w:rsidR="00B20EAA" w:rsidRPr="00F21567" w:rsidRDefault="00C11F4F" w:rsidP="00F21567">
          <w:pPr>
            <w:pStyle w:val="TOC1"/>
            <w:tabs>
              <w:tab w:val="left" w:pos="440"/>
              <w:tab w:val="right" w:leader="dot" w:pos="9322"/>
            </w:tabs>
            <w:spacing w:line="360" w:lineRule="auto"/>
            <w:rPr>
              <w:rFonts w:asciiTheme="minorHAnsi" w:eastAsiaTheme="minorEastAsia" w:hAnsiTheme="minorHAnsi" w:cstheme="minorBidi"/>
              <w:noProof/>
              <w:lang w:eastAsia="en-NZ"/>
            </w:rPr>
          </w:pPr>
          <w:hyperlink w:anchor="_Toc50033379" w:history="1">
            <w:r w:rsidR="00B20EAA" w:rsidRPr="00F21567">
              <w:rPr>
                <w:rStyle w:val="Hyperlink"/>
                <w:noProof/>
                <w:color w:val="262626" w:themeColor="text1" w:themeTint="D9"/>
              </w:rPr>
              <w:t>9</w:t>
            </w:r>
            <w:r w:rsidR="00B20EAA" w:rsidRPr="00F21567">
              <w:rPr>
                <w:rFonts w:asciiTheme="minorHAnsi" w:eastAsiaTheme="minorEastAsia" w:hAnsiTheme="minorHAnsi" w:cstheme="minorBidi"/>
                <w:noProof/>
                <w:lang w:eastAsia="en-NZ"/>
              </w:rPr>
              <w:tab/>
            </w:r>
            <w:r w:rsidR="00B20EAA" w:rsidRPr="00F21567">
              <w:rPr>
                <w:rStyle w:val="Hyperlink"/>
                <w:noProof/>
                <w:color w:val="262626" w:themeColor="text1" w:themeTint="D9"/>
              </w:rPr>
              <w:t>References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_Toc50033379 \h </w:instrText>
            </w:r>
            <w:r w:rsidR="00B20EAA" w:rsidRPr="00F21567">
              <w:rPr>
                <w:noProof/>
                <w:webHidden/>
              </w:rPr>
            </w:r>
            <w:r w:rsidR="00B20EAA" w:rsidRPr="00F21567">
              <w:rPr>
                <w:noProof/>
                <w:webHidden/>
              </w:rPr>
              <w:fldChar w:fldCharType="separate"/>
            </w:r>
            <w:r w:rsidR="007E6FB9">
              <w:rPr>
                <w:noProof/>
                <w:webHidden/>
              </w:rPr>
              <w:t>33</w:t>
            </w:r>
            <w:r w:rsidR="00B20EAA" w:rsidRPr="00F21567">
              <w:rPr>
                <w:noProof/>
                <w:webHidden/>
              </w:rPr>
              <w:fldChar w:fldCharType="end"/>
            </w:r>
          </w:hyperlink>
        </w:p>
        <w:p w14:paraId="6B46DAC8" w14:textId="10B9D8FA" w:rsidR="00B20EAA" w:rsidRPr="00F21567" w:rsidRDefault="00C11F4F" w:rsidP="00F21567">
          <w:pPr>
            <w:pStyle w:val="TOC1"/>
            <w:tabs>
              <w:tab w:val="left" w:pos="660"/>
              <w:tab w:val="right" w:leader="dot" w:pos="9322"/>
            </w:tabs>
            <w:spacing w:line="360" w:lineRule="auto"/>
            <w:rPr>
              <w:rFonts w:asciiTheme="minorHAnsi" w:eastAsiaTheme="minorEastAsia" w:hAnsiTheme="minorHAnsi" w:cstheme="minorBidi"/>
              <w:noProof/>
              <w:lang w:eastAsia="en-NZ"/>
            </w:rPr>
          </w:pPr>
          <w:hyperlink w:anchor="_Toc50033380" w:history="1">
            <w:r w:rsidR="00B20EAA" w:rsidRPr="00F21567">
              <w:rPr>
                <w:rStyle w:val="Hyperlink"/>
                <w:noProof/>
                <w:color w:val="262626" w:themeColor="text1" w:themeTint="D9"/>
              </w:rPr>
              <w:t>10</w:t>
            </w:r>
            <w:r w:rsidR="005328D6" w:rsidRPr="00F21567">
              <w:rPr>
                <w:rFonts w:asciiTheme="minorHAnsi" w:eastAsiaTheme="minorEastAsia" w:hAnsiTheme="minorHAnsi" w:cstheme="minorBidi"/>
                <w:noProof/>
                <w:lang w:eastAsia="en-NZ"/>
              </w:rPr>
              <w:t xml:space="preserve">    </w:t>
            </w:r>
            <w:r w:rsidR="00B20EAA" w:rsidRPr="00F21567">
              <w:rPr>
                <w:rStyle w:val="Hyperlink"/>
                <w:noProof/>
                <w:color w:val="262626" w:themeColor="text1" w:themeTint="D9"/>
              </w:rPr>
              <w:t>Appendix</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_Toc50033380 \h </w:instrText>
            </w:r>
            <w:r w:rsidR="00B20EAA" w:rsidRPr="00F21567">
              <w:rPr>
                <w:noProof/>
                <w:webHidden/>
              </w:rPr>
            </w:r>
            <w:r w:rsidR="00B20EAA" w:rsidRPr="00F21567">
              <w:rPr>
                <w:noProof/>
                <w:webHidden/>
              </w:rPr>
              <w:fldChar w:fldCharType="separate"/>
            </w:r>
            <w:r w:rsidR="007E6FB9">
              <w:rPr>
                <w:noProof/>
                <w:webHidden/>
              </w:rPr>
              <w:t>39</w:t>
            </w:r>
            <w:r w:rsidR="00B20EAA" w:rsidRPr="00F21567">
              <w:rPr>
                <w:noProof/>
                <w:webHidden/>
              </w:rPr>
              <w:fldChar w:fldCharType="end"/>
            </w:r>
          </w:hyperlink>
        </w:p>
        <w:p w14:paraId="33377CFD" w14:textId="097AD663" w:rsidR="00680C5B" w:rsidRPr="005272A1" w:rsidRDefault="00932673" w:rsidP="00F21567">
          <w:pPr>
            <w:spacing w:line="360" w:lineRule="auto"/>
            <w:rPr>
              <w:b/>
            </w:rPr>
          </w:pPr>
          <w:r w:rsidRPr="00F21567">
            <w:rPr>
              <w:b/>
            </w:rPr>
            <w:fldChar w:fldCharType="end"/>
          </w:r>
        </w:p>
      </w:sdtContent>
    </w:sdt>
    <w:bookmarkStart w:id="0" w:name="_Toc26448920" w:displacedByCustomXml="prev"/>
    <w:bookmarkStart w:id="1" w:name="_Toc31275804" w:displacedByCustomXml="prev"/>
    <w:p w14:paraId="7C5C87AA" w14:textId="51CCA735" w:rsidR="00245858" w:rsidRPr="00B5248D" w:rsidRDefault="00245858" w:rsidP="00680C5B">
      <w:pPr>
        <w:spacing w:line="240" w:lineRule="auto"/>
        <w:rPr>
          <w:rFonts w:eastAsiaTheme="majorEastAsia" w:cstheme="majorBidi"/>
          <w:color w:val="002060"/>
          <w:spacing w:val="-10"/>
          <w:kern w:val="28"/>
          <w:sz w:val="44"/>
          <w:szCs w:val="56"/>
        </w:rPr>
      </w:pPr>
      <w:r w:rsidRPr="00B5248D">
        <w:br w:type="page"/>
      </w:r>
    </w:p>
    <w:p w14:paraId="4B670E51" w14:textId="77777777" w:rsidR="007E0B26" w:rsidRPr="00B5248D" w:rsidRDefault="007E0B26" w:rsidP="00680C5B">
      <w:pPr>
        <w:pStyle w:val="Title"/>
        <w:sectPr w:rsidR="007E0B26" w:rsidRPr="00B5248D" w:rsidSect="009D04EF">
          <w:footerReference w:type="default" r:id="rId12"/>
          <w:footerReference w:type="first" r:id="rId13"/>
          <w:pgSz w:w="11906" w:h="16838"/>
          <w:pgMar w:top="232" w:right="1440" w:bottom="1440" w:left="1134" w:header="709" w:footer="0" w:gutter="0"/>
          <w:pgNumType w:fmt="lowerRoman" w:start="1"/>
          <w:cols w:space="708"/>
          <w:titlePg/>
          <w:docGrid w:linePitch="360"/>
        </w:sectPr>
      </w:pPr>
    </w:p>
    <w:p w14:paraId="41978771" w14:textId="32F1802B" w:rsidR="003F5622" w:rsidRPr="00B5248D" w:rsidRDefault="003F5622" w:rsidP="00680C5B">
      <w:pPr>
        <w:pStyle w:val="Title"/>
        <w:rPr>
          <w:rFonts w:eastAsiaTheme="minorHAnsi"/>
          <w:color w:val="262626" w:themeColor="text1" w:themeTint="D9"/>
          <w:spacing w:val="0"/>
        </w:rPr>
      </w:pPr>
      <w:r w:rsidRPr="00B5248D">
        <w:lastRenderedPageBreak/>
        <w:t>FIGURES</w:t>
      </w:r>
      <w:bookmarkEnd w:id="1"/>
      <w:bookmarkEnd w:id="0"/>
    </w:p>
    <w:p w14:paraId="5BEEA1A0" w14:textId="747BC046" w:rsidR="000C3793" w:rsidRPr="00F21567" w:rsidRDefault="00E345F1" w:rsidP="00F21567">
      <w:pPr>
        <w:pStyle w:val="TableofFigures"/>
        <w:tabs>
          <w:tab w:val="right" w:leader="dot" w:pos="9016"/>
        </w:tabs>
        <w:spacing w:line="360" w:lineRule="auto"/>
        <w:rPr>
          <w:rFonts w:asciiTheme="minorHAnsi" w:eastAsiaTheme="minorEastAsia" w:hAnsiTheme="minorHAnsi" w:cstheme="minorBidi"/>
          <w:noProof/>
          <w:lang w:eastAsia="en-NZ"/>
        </w:rPr>
      </w:pPr>
      <w:r w:rsidRPr="00DC1734">
        <w:fldChar w:fldCharType="begin"/>
      </w:r>
      <w:r w:rsidRPr="00B5248D">
        <w:instrText xml:space="preserve"> TOC \h \z \c "Figure" </w:instrText>
      </w:r>
      <w:r w:rsidRPr="00DC1734">
        <w:fldChar w:fldCharType="separate"/>
      </w:r>
      <w:hyperlink w:anchor="_Toc50034202" w:history="1">
        <w:r w:rsidR="000C3793" w:rsidRPr="00F21567">
          <w:rPr>
            <w:rStyle w:val="Hyperlink"/>
            <w:noProof/>
            <w:color w:val="262626" w:themeColor="text1" w:themeTint="D9"/>
          </w:rPr>
          <w:t>Figure 1. Class 4 gambling policy types, by year</w:t>
        </w:r>
        <w:r w:rsidR="000C3793" w:rsidRPr="00F21567">
          <w:rPr>
            <w:noProof/>
            <w:webHidden/>
          </w:rPr>
          <w:tab/>
        </w:r>
        <w:r w:rsidR="000C3793" w:rsidRPr="00F21567">
          <w:rPr>
            <w:noProof/>
            <w:webHidden/>
          </w:rPr>
          <w:fldChar w:fldCharType="begin"/>
        </w:r>
        <w:r w:rsidR="000C3793" w:rsidRPr="00F21567">
          <w:rPr>
            <w:noProof/>
            <w:webHidden/>
          </w:rPr>
          <w:instrText xml:space="preserve"> PAGEREF _Toc50034202 \h </w:instrText>
        </w:r>
        <w:r w:rsidR="000C3793" w:rsidRPr="00F21567">
          <w:rPr>
            <w:noProof/>
            <w:webHidden/>
          </w:rPr>
        </w:r>
        <w:r w:rsidR="000C3793" w:rsidRPr="00F21567">
          <w:rPr>
            <w:noProof/>
            <w:webHidden/>
          </w:rPr>
          <w:fldChar w:fldCharType="separate"/>
        </w:r>
        <w:r w:rsidR="007E6FB9">
          <w:rPr>
            <w:noProof/>
            <w:webHidden/>
          </w:rPr>
          <w:t>16</w:t>
        </w:r>
        <w:r w:rsidR="000C3793" w:rsidRPr="00F21567">
          <w:rPr>
            <w:noProof/>
            <w:webHidden/>
          </w:rPr>
          <w:fldChar w:fldCharType="end"/>
        </w:r>
      </w:hyperlink>
    </w:p>
    <w:p w14:paraId="6CBB51DC" w14:textId="70105F56" w:rsidR="000C3793"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4203" w:history="1">
        <w:r w:rsidR="000C3793" w:rsidRPr="00F21567">
          <w:rPr>
            <w:rStyle w:val="Hyperlink"/>
            <w:noProof/>
            <w:color w:val="262626" w:themeColor="text1" w:themeTint="D9"/>
          </w:rPr>
          <w:t>Figure 2. Information available in the CLIC database</w:t>
        </w:r>
        <w:r w:rsidR="000C3793" w:rsidRPr="00F21567">
          <w:rPr>
            <w:noProof/>
            <w:webHidden/>
          </w:rPr>
          <w:tab/>
        </w:r>
        <w:r w:rsidR="000C3793" w:rsidRPr="00F21567">
          <w:rPr>
            <w:noProof/>
            <w:webHidden/>
          </w:rPr>
          <w:fldChar w:fldCharType="begin"/>
        </w:r>
        <w:r w:rsidR="000C3793" w:rsidRPr="00F21567">
          <w:rPr>
            <w:noProof/>
            <w:webHidden/>
          </w:rPr>
          <w:instrText xml:space="preserve"> PAGEREF _Toc50034203 \h </w:instrText>
        </w:r>
        <w:r w:rsidR="000C3793" w:rsidRPr="00F21567">
          <w:rPr>
            <w:noProof/>
            <w:webHidden/>
          </w:rPr>
        </w:r>
        <w:r w:rsidR="000C3793" w:rsidRPr="00F21567">
          <w:rPr>
            <w:noProof/>
            <w:webHidden/>
          </w:rPr>
          <w:fldChar w:fldCharType="separate"/>
        </w:r>
        <w:r w:rsidR="007E6FB9">
          <w:rPr>
            <w:noProof/>
            <w:webHidden/>
          </w:rPr>
          <w:t>20</w:t>
        </w:r>
        <w:r w:rsidR="000C3793" w:rsidRPr="00F21567">
          <w:rPr>
            <w:noProof/>
            <w:webHidden/>
          </w:rPr>
          <w:fldChar w:fldCharType="end"/>
        </w:r>
      </w:hyperlink>
    </w:p>
    <w:p w14:paraId="694063D9" w14:textId="7F487F40" w:rsidR="000C3793"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4204" w:history="1">
        <w:r w:rsidR="000C3793" w:rsidRPr="00F21567">
          <w:rPr>
            <w:rStyle w:val="Hyperlink"/>
            <w:noProof/>
            <w:color w:val="262626" w:themeColor="text1" w:themeTint="D9"/>
          </w:rPr>
          <w:t>Figure 3. Severity of selected gambling harms</w:t>
        </w:r>
        <w:r w:rsidR="000C3793" w:rsidRPr="00F21567">
          <w:rPr>
            <w:noProof/>
            <w:webHidden/>
          </w:rPr>
          <w:tab/>
        </w:r>
        <w:r w:rsidR="000C3793" w:rsidRPr="00F21567">
          <w:rPr>
            <w:noProof/>
            <w:webHidden/>
          </w:rPr>
          <w:fldChar w:fldCharType="begin"/>
        </w:r>
        <w:r w:rsidR="000C3793" w:rsidRPr="00F21567">
          <w:rPr>
            <w:noProof/>
            <w:webHidden/>
          </w:rPr>
          <w:instrText xml:space="preserve"> PAGEREF _Toc50034204 \h </w:instrText>
        </w:r>
        <w:r w:rsidR="000C3793" w:rsidRPr="00F21567">
          <w:rPr>
            <w:noProof/>
            <w:webHidden/>
          </w:rPr>
        </w:r>
        <w:r w:rsidR="000C3793" w:rsidRPr="00F21567">
          <w:rPr>
            <w:noProof/>
            <w:webHidden/>
          </w:rPr>
          <w:fldChar w:fldCharType="separate"/>
        </w:r>
        <w:r w:rsidR="007E6FB9">
          <w:rPr>
            <w:noProof/>
            <w:webHidden/>
          </w:rPr>
          <w:t>25</w:t>
        </w:r>
        <w:r w:rsidR="000C3793" w:rsidRPr="00F21567">
          <w:rPr>
            <w:noProof/>
            <w:webHidden/>
          </w:rPr>
          <w:fldChar w:fldCharType="end"/>
        </w:r>
      </w:hyperlink>
    </w:p>
    <w:p w14:paraId="664370A5" w14:textId="3AD4F5CC" w:rsidR="000C3793"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4205" w:history="1">
        <w:r w:rsidR="000C3793" w:rsidRPr="00F21567">
          <w:rPr>
            <w:rStyle w:val="Hyperlink"/>
            <w:noProof/>
            <w:color w:val="262626" w:themeColor="text1" w:themeTint="D9"/>
          </w:rPr>
          <w:t>Figure 4. Number of bankruptcies, by financial year</w:t>
        </w:r>
        <w:r w:rsidR="000C3793" w:rsidRPr="00F21567">
          <w:rPr>
            <w:noProof/>
            <w:webHidden/>
          </w:rPr>
          <w:tab/>
        </w:r>
        <w:r w:rsidR="000C3793" w:rsidRPr="00F21567">
          <w:rPr>
            <w:noProof/>
            <w:webHidden/>
          </w:rPr>
          <w:fldChar w:fldCharType="begin"/>
        </w:r>
        <w:r w:rsidR="000C3793" w:rsidRPr="00F21567">
          <w:rPr>
            <w:noProof/>
            <w:webHidden/>
          </w:rPr>
          <w:instrText xml:space="preserve"> PAGEREF _Toc50034205 \h </w:instrText>
        </w:r>
        <w:r w:rsidR="000C3793" w:rsidRPr="00F21567">
          <w:rPr>
            <w:noProof/>
            <w:webHidden/>
          </w:rPr>
        </w:r>
        <w:r w:rsidR="000C3793" w:rsidRPr="00F21567">
          <w:rPr>
            <w:noProof/>
            <w:webHidden/>
          </w:rPr>
          <w:fldChar w:fldCharType="separate"/>
        </w:r>
        <w:r w:rsidR="007E6FB9">
          <w:rPr>
            <w:noProof/>
            <w:webHidden/>
          </w:rPr>
          <w:t>25</w:t>
        </w:r>
        <w:r w:rsidR="000C3793" w:rsidRPr="00F21567">
          <w:rPr>
            <w:noProof/>
            <w:webHidden/>
          </w:rPr>
          <w:fldChar w:fldCharType="end"/>
        </w:r>
      </w:hyperlink>
    </w:p>
    <w:p w14:paraId="44454A99" w14:textId="602D5979" w:rsidR="000C3793" w:rsidRPr="00F21567" w:rsidRDefault="00C11F4F" w:rsidP="00F21567">
      <w:pPr>
        <w:pStyle w:val="TableofFigures"/>
        <w:tabs>
          <w:tab w:val="right" w:leader="dot" w:pos="9016"/>
        </w:tabs>
        <w:spacing w:line="360" w:lineRule="auto"/>
        <w:rPr>
          <w:rStyle w:val="Hyperlink"/>
          <w:noProof/>
          <w:color w:val="262626" w:themeColor="text1" w:themeTint="D9"/>
        </w:rPr>
      </w:pPr>
      <w:hyperlink w:anchor="_Toc50034206" w:history="1">
        <w:r w:rsidR="000C3793" w:rsidRPr="00F21567">
          <w:rPr>
            <w:rStyle w:val="Hyperlink"/>
            <w:noProof/>
            <w:color w:val="262626" w:themeColor="text1" w:themeTint="D9"/>
          </w:rPr>
          <w:t>Figure 5. Access to EGMs</w:t>
        </w:r>
        <w:r w:rsidR="000C3793" w:rsidRPr="00F21567">
          <w:rPr>
            <w:noProof/>
            <w:webHidden/>
          </w:rPr>
          <w:tab/>
        </w:r>
        <w:r w:rsidR="000C3793" w:rsidRPr="00F21567">
          <w:rPr>
            <w:noProof/>
            <w:webHidden/>
          </w:rPr>
          <w:fldChar w:fldCharType="begin"/>
        </w:r>
        <w:r w:rsidR="000C3793" w:rsidRPr="00F21567">
          <w:rPr>
            <w:noProof/>
            <w:webHidden/>
          </w:rPr>
          <w:instrText xml:space="preserve"> PAGEREF _Toc50034206 \h </w:instrText>
        </w:r>
        <w:r w:rsidR="000C3793" w:rsidRPr="00F21567">
          <w:rPr>
            <w:noProof/>
            <w:webHidden/>
          </w:rPr>
        </w:r>
        <w:r w:rsidR="000C3793" w:rsidRPr="00F21567">
          <w:rPr>
            <w:noProof/>
            <w:webHidden/>
          </w:rPr>
          <w:fldChar w:fldCharType="separate"/>
        </w:r>
        <w:r w:rsidR="007E6FB9">
          <w:rPr>
            <w:noProof/>
            <w:webHidden/>
          </w:rPr>
          <w:t>27</w:t>
        </w:r>
        <w:r w:rsidR="000C3793" w:rsidRPr="00F21567">
          <w:rPr>
            <w:noProof/>
            <w:webHidden/>
          </w:rPr>
          <w:fldChar w:fldCharType="end"/>
        </w:r>
      </w:hyperlink>
    </w:p>
    <w:p w14:paraId="78AC78C7" w14:textId="5480D79B" w:rsidR="000C3793" w:rsidRPr="00F21567" w:rsidRDefault="000C3793" w:rsidP="00F21567">
      <w:pPr>
        <w:spacing w:line="360" w:lineRule="auto"/>
        <w:rPr>
          <w:noProof/>
        </w:rPr>
      </w:pPr>
      <w:r w:rsidRPr="00F21567">
        <w:rPr>
          <w:noProof/>
        </w:rPr>
        <w:t>Figure A1. Approximate proportion of the TA population within 1 km of an EGM, 2018………………</w:t>
      </w:r>
      <w:r w:rsidR="00FA3328" w:rsidRPr="00F21567">
        <w:rPr>
          <w:noProof/>
        </w:rPr>
        <w:t>.</w:t>
      </w:r>
      <w:r w:rsidRPr="00F21567">
        <w:rPr>
          <w:noProof/>
        </w:rPr>
        <w:t>…..</w:t>
      </w:r>
      <w:r w:rsidR="00B81560" w:rsidRPr="00F21567">
        <w:rPr>
          <w:noProof/>
        </w:rPr>
        <w:t xml:space="preserve">39 </w:t>
      </w:r>
    </w:p>
    <w:p w14:paraId="2390B737" w14:textId="63089951" w:rsidR="002C37E7" w:rsidRPr="00B5248D" w:rsidRDefault="00E345F1" w:rsidP="005B4303">
      <w:pPr>
        <w:spacing w:line="360" w:lineRule="auto"/>
      </w:pPr>
      <w:r w:rsidRPr="00DC1734">
        <w:rPr>
          <w:b/>
          <w:bCs/>
          <w:noProof/>
        </w:rPr>
        <w:fldChar w:fldCharType="end"/>
      </w:r>
    </w:p>
    <w:p w14:paraId="08E5A263" w14:textId="5E420E19" w:rsidR="002C37E7" w:rsidRPr="00B5248D" w:rsidRDefault="002C37E7" w:rsidP="002C37E7">
      <w:pPr>
        <w:pStyle w:val="Title"/>
      </w:pPr>
      <w:r w:rsidRPr="00B5248D">
        <w:t>TABLES</w:t>
      </w:r>
    </w:p>
    <w:p w14:paraId="2B6BDA73" w14:textId="6426520F" w:rsidR="00B20EAA" w:rsidRPr="00F21567" w:rsidRDefault="009B7C98" w:rsidP="00F21567">
      <w:pPr>
        <w:pStyle w:val="TableofFigures"/>
        <w:tabs>
          <w:tab w:val="right" w:leader="dot" w:pos="9016"/>
        </w:tabs>
        <w:spacing w:line="360" w:lineRule="auto"/>
        <w:rPr>
          <w:rFonts w:asciiTheme="minorHAnsi" w:eastAsiaTheme="minorEastAsia" w:hAnsiTheme="minorHAnsi" w:cstheme="minorBidi"/>
          <w:noProof/>
          <w:lang w:eastAsia="en-NZ"/>
        </w:rPr>
      </w:pPr>
      <w:r w:rsidRPr="00DC1734">
        <w:fldChar w:fldCharType="begin"/>
      </w:r>
      <w:r w:rsidRPr="00B5248D">
        <w:instrText xml:space="preserve"> TOC \h \z \c "Table" </w:instrText>
      </w:r>
      <w:r w:rsidRPr="00DC1734">
        <w:fldChar w:fldCharType="separate"/>
      </w:r>
      <w:hyperlink w:anchor="_Toc50033351" w:history="1">
        <w:r w:rsidR="00B20EAA" w:rsidRPr="00F21567">
          <w:rPr>
            <w:rStyle w:val="Hyperlink"/>
            <w:noProof/>
            <w:color w:val="262626" w:themeColor="text1" w:themeTint="D9"/>
          </w:rPr>
          <w:t>Table 1. Common policies that limit access to EGMs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_Toc50033351 \h </w:instrText>
        </w:r>
        <w:r w:rsidR="00B20EAA" w:rsidRPr="00F21567">
          <w:rPr>
            <w:noProof/>
            <w:webHidden/>
          </w:rPr>
        </w:r>
        <w:r w:rsidR="00B20EAA" w:rsidRPr="00F21567">
          <w:rPr>
            <w:noProof/>
            <w:webHidden/>
          </w:rPr>
          <w:fldChar w:fldCharType="separate"/>
        </w:r>
        <w:r w:rsidR="007E6FB9">
          <w:rPr>
            <w:noProof/>
            <w:webHidden/>
          </w:rPr>
          <w:t>7</w:t>
        </w:r>
        <w:r w:rsidR="00B20EAA" w:rsidRPr="00F21567">
          <w:rPr>
            <w:noProof/>
            <w:webHidden/>
          </w:rPr>
          <w:fldChar w:fldCharType="end"/>
        </w:r>
      </w:hyperlink>
    </w:p>
    <w:p w14:paraId="63A82B97" w14:textId="0C7FBFCF" w:rsidR="00B20EAA"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3352" w:history="1">
        <w:r w:rsidR="00B20EAA" w:rsidRPr="00F21567">
          <w:rPr>
            <w:rStyle w:val="Hyperlink"/>
            <w:noProof/>
            <w:color w:val="262626" w:themeColor="text1" w:themeTint="D9"/>
          </w:rPr>
          <w:t>Table 2. Summary of selected international studies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_Toc50033352 \h </w:instrText>
        </w:r>
        <w:r w:rsidR="00B20EAA" w:rsidRPr="00F21567">
          <w:rPr>
            <w:noProof/>
            <w:webHidden/>
          </w:rPr>
        </w:r>
        <w:r w:rsidR="00B20EAA" w:rsidRPr="00F21567">
          <w:rPr>
            <w:noProof/>
            <w:webHidden/>
          </w:rPr>
          <w:fldChar w:fldCharType="separate"/>
        </w:r>
        <w:r w:rsidR="007E6FB9">
          <w:rPr>
            <w:noProof/>
            <w:webHidden/>
          </w:rPr>
          <w:t>10</w:t>
        </w:r>
        <w:r w:rsidR="00B20EAA" w:rsidRPr="00F21567">
          <w:rPr>
            <w:noProof/>
            <w:webHidden/>
          </w:rPr>
          <w:fldChar w:fldCharType="end"/>
        </w:r>
      </w:hyperlink>
    </w:p>
    <w:p w14:paraId="459D3A70" w14:textId="40F44EB7" w:rsidR="00B20EAA"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3353" w:history="1">
        <w:r w:rsidR="00B20EAA" w:rsidRPr="00F21567">
          <w:rPr>
            <w:rStyle w:val="Hyperlink"/>
            <w:noProof/>
            <w:color w:val="262626" w:themeColor="text1" w:themeTint="D9"/>
          </w:rPr>
          <w:t>Table 3. Descriptive statistics for gambling policy evaluation</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_Toc50033353 \h </w:instrText>
        </w:r>
        <w:r w:rsidR="00B20EAA" w:rsidRPr="00F21567">
          <w:rPr>
            <w:noProof/>
            <w:webHidden/>
          </w:rPr>
        </w:r>
        <w:r w:rsidR="00B20EAA" w:rsidRPr="00F21567">
          <w:rPr>
            <w:noProof/>
            <w:webHidden/>
          </w:rPr>
          <w:fldChar w:fldCharType="separate"/>
        </w:r>
        <w:r w:rsidR="007E6FB9">
          <w:rPr>
            <w:noProof/>
            <w:webHidden/>
          </w:rPr>
          <w:t>14</w:t>
        </w:r>
        <w:r w:rsidR="00B20EAA" w:rsidRPr="00F21567">
          <w:rPr>
            <w:noProof/>
            <w:webHidden/>
          </w:rPr>
          <w:fldChar w:fldCharType="end"/>
        </w:r>
      </w:hyperlink>
    </w:p>
    <w:p w14:paraId="3BD7BAD2" w14:textId="109ACC4A" w:rsidR="00B20EAA"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3354" w:history="1">
        <w:r w:rsidR="00B20EAA" w:rsidRPr="00F21567">
          <w:rPr>
            <w:rStyle w:val="Hyperlink"/>
            <w:noProof/>
            <w:color w:val="262626" w:themeColor="text1" w:themeTint="D9"/>
          </w:rPr>
          <w:t>Table 4. Impact of gambling policies on EGMs, Venues and Machine spending</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_Toc50033354 \h </w:instrText>
        </w:r>
        <w:r w:rsidR="00B20EAA" w:rsidRPr="00F21567">
          <w:rPr>
            <w:noProof/>
            <w:webHidden/>
          </w:rPr>
        </w:r>
        <w:r w:rsidR="00B20EAA" w:rsidRPr="00F21567">
          <w:rPr>
            <w:noProof/>
            <w:webHidden/>
          </w:rPr>
          <w:fldChar w:fldCharType="separate"/>
        </w:r>
        <w:r w:rsidR="007E6FB9">
          <w:rPr>
            <w:noProof/>
            <w:webHidden/>
          </w:rPr>
          <w:t>19</w:t>
        </w:r>
        <w:r w:rsidR="00B20EAA" w:rsidRPr="00F21567">
          <w:rPr>
            <w:noProof/>
            <w:webHidden/>
          </w:rPr>
          <w:fldChar w:fldCharType="end"/>
        </w:r>
      </w:hyperlink>
    </w:p>
    <w:p w14:paraId="5E26E5DA" w14:textId="11535786" w:rsidR="00B20EAA"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3355" w:history="1">
        <w:r w:rsidR="00B20EAA" w:rsidRPr="00F21567">
          <w:rPr>
            <w:rStyle w:val="Hyperlink"/>
            <w:noProof/>
            <w:color w:val="262626" w:themeColor="text1" w:themeTint="D9"/>
          </w:rPr>
          <w:t>Table 5. Descriptive statistics of intervention service use variables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_Toc50033355 \h </w:instrText>
        </w:r>
        <w:r w:rsidR="00B20EAA" w:rsidRPr="00F21567">
          <w:rPr>
            <w:noProof/>
            <w:webHidden/>
          </w:rPr>
        </w:r>
        <w:r w:rsidR="00B20EAA" w:rsidRPr="00F21567">
          <w:rPr>
            <w:noProof/>
            <w:webHidden/>
          </w:rPr>
          <w:fldChar w:fldCharType="separate"/>
        </w:r>
        <w:r w:rsidR="007E6FB9">
          <w:rPr>
            <w:noProof/>
            <w:webHidden/>
          </w:rPr>
          <w:t>21</w:t>
        </w:r>
        <w:r w:rsidR="00B20EAA" w:rsidRPr="00F21567">
          <w:rPr>
            <w:noProof/>
            <w:webHidden/>
          </w:rPr>
          <w:fldChar w:fldCharType="end"/>
        </w:r>
      </w:hyperlink>
    </w:p>
    <w:p w14:paraId="154CB4B0" w14:textId="1373B7E0" w:rsidR="00B20EAA"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3356" w:history="1">
        <w:r w:rsidR="00B20EAA" w:rsidRPr="00F21567">
          <w:rPr>
            <w:rStyle w:val="Hyperlink"/>
            <w:noProof/>
            <w:color w:val="262626" w:themeColor="text1" w:themeTint="D9"/>
          </w:rPr>
          <w:t>Table 6. Impact of gambling policies on intervention service use</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_Toc50033356 \h </w:instrText>
        </w:r>
        <w:r w:rsidR="00B20EAA" w:rsidRPr="00F21567">
          <w:rPr>
            <w:noProof/>
            <w:webHidden/>
          </w:rPr>
        </w:r>
        <w:r w:rsidR="00B20EAA" w:rsidRPr="00F21567">
          <w:rPr>
            <w:noProof/>
            <w:webHidden/>
          </w:rPr>
          <w:fldChar w:fldCharType="separate"/>
        </w:r>
        <w:r w:rsidR="007E6FB9">
          <w:rPr>
            <w:noProof/>
            <w:webHidden/>
          </w:rPr>
          <w:t>23</w:t>
        </w:r>
        <w:r w:rsidR="00B20EAA" w:rsidRPr="00F21567">
          <w:rPr>
            <w:noProof/>
            <w:webHidden/>
          </w:rPr>
          <w:fldChar w:fldCharType="end"/>
        </w:r>
      </w:hyperlink>
    </w:p>
    <w:p w14:paraId="3ABC8B45" w14:textId="5E34EA48" w:rsidR="00B20EAA"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3357" w:history="1">
        <w:r w:rsidR="00B20EAA" w:rsidRPr="00F21567">
          <w:rPr>
            <w:rStyle w:val="Hyperlink"/>
            <w:noProof/>
            <w:color w:val="262626" w:themeColor="text1" w:themeTint="D9"/>
          </w:rPr>
          <w:t>Table 7. Descriptive statistics of bankruptcies, economic controls and distance variables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_Toc50033357 \h </w:instrText>
        </w:r>
        <w:r w:rsidR="00B20EAA" w:rsidRPr="00F21567">
          <w:rPr>
            <w:noProof/>
            <w:webHidden/>
          </w:rPr>
        </w:r>
        <w:r w:rsidR="00B20EAA" w:rsidRPr="00F21567">
          <w:rPr>
            <w:noProof/>
            <w:webHidden/>
          </w:rPr>
          <w:fldChar w:fldCharType="separate"/>
        </w:r>
        <w:r w:rsidR="007E6FB9">
          <w:rPr>
            <w:noProof/>
            <w:webHidden/>
          </w:rPr>
          <w:t>28</w:t>
        </w:r>
        <w:r w:rsidR="00B20EAA" w:rsidRPr="00F21567">
          <w:rPr>
            <w:noProof/>
            <w:webHidden/>
          </w:rPr>
          <w:fldChar w:fldCharType="end"/>
        </w:r>
      </w:hyperlink>
    </w:p>
    <w:p w14:paraId="6E37ACE8" w14:textId="06F96639" w:rsidR="00B20EAA" w:rsidRPr="00F21567" w:rsidRDefault="00C11F4F" w:rsidP="00F21567">
      <w:pPr>
        <w:pStyle w:val="TableofFigures"/>
        <w:tabs>
          <w:tab w:val="right" w:leader="dot" w:pos="9016"/>
        </w:tabs>
        <w:spacing w:line="360" w:lineRule="auto"/>
        <w:rPr>
          <w:rFonts w:asciiTheme="minorHAnsi" w:eastAsiaTheme="minorEastAsia" w:hAnsiTheme="minorHAnsi" w:cstheme="minorBidi"/>
          <w:noProof/>
          <w:lang w:eastAsia="en-NZ"/>
        </w:rPr>
      </w:pPr>
      <w:hyperlink w:anchor="_Toc50033358" w:history="1">
        <w:r w:rsidR="00B20EAA" w:rsidRPr="00F21567">
          <w:rPr>
            <w:rStyle w:val="Hyperlink"/>
            <w:noProof/>
            <w:color w:val="262626" w:themeColor="text1" w:themeTint="D9"/>
          </w:rPr>
          <w:t>Table 8. Impact of gambling policies on bankruptcies</w:t>
        </w:r>
        <w:r w:rsidR="00B20EAA" w:rsidRPr="00F21567">
          <w:rPr>
            <w:noProof/>
            <w:webHidden/>
          </w:rPr>
          <w:tab/>
        </w:r>
        <w:r w:rsidR="00B20EAA" w:rsidRPr="00F21567">
          <w:rPr>
            <w:noProof/>
            <w:webHidden/>
          </w:rPr>
          <w:fldChar w:fldCharType="begin"/>
        </w:r>
        <w:r w:rsidR="00B20EAA" w:rsidRPr="00F21567">
          <w:rPr>
            <w:noProof/>
            <w:webHidden/>
          </w:rPr>
          <w:instrText xml:space="preserve"> PAGEREF _Toc50033358 \h </w:instrText>
        </w:r>
        <w:r w:rsidR="00B20EAA" w:rsidRPr="00F21567">
          <w:rPr>
            <w:noProof/>
            <w:webHidden/>
          </w:rPr>
        </w:r>
        <w:r w:rsidR="00B20EAA" w:rsidRPr="00F21567">
          <w:rPr>
            <w:noProof/>
            <w:webHidden/>
          </w:rPr>
          <w:fldChar w:fldCharType="separate"/>
        </w:r>
        <w:r w:rsidR="007E6FB9">
          <w:rPr>
            <w:noProof/>
            <w:webHidden/>
          </w:rPr>
          <w:t>29</w:t>
        </w:r>
        <w:r w:rsidR="00B20EAA" w:rsidRPr="00F21567">
          <w:rPr>
            <w:noProof/>
            <w:webHidden/>
          </w:rPr>
          <w:fldChar w:fldCharType="end"/>
        </w:r>
      </w:hyperlink>
    </w:p>
    <w:p w14:paraId="48E05DFF" w14:textId="2E905775" w:rsidR="008474CF" w:rsidRPr="00B5248D" w:rsidRDefault="009B7C98" w:rsidP="00F20322">
      <w:pPr>
        <w:spacing w:after="0" w:line="360" w:lineRule="auto"/>
      </w:pPr>
      <w:r w:rsidRPr="00DC1734">
        <w:rPr>
          <w:b/>
          <w:bCs/>
          <w:noProof/>
        </w:rPr>
        <w:fldChar w:fldCharType="end"/>
      </w:r>
    </w:p>
    <w:p w14:paraId="767E5885" w14:textId="77777777" w:rsidR="007D7E77" w:rsidRDefault="007A640A">
      <w:pPr>
        <w:sectPr w:rsidR="007D7E77" w:rsidSect="007D7E77">
          <w:headerReference w:type="default" r:id="rId14"/>
          <w:footerReference w:type="default" r:id="rId15"/>
          <w:headerReference w:type="first" r:id="rId16"/>
          <w:footerReference w:type="first" r:id="rId17"/>
          <w:pgSz w:w="11906" w:h="16838"/>
          <w:pgMar w:top="1440" w:right="1440" w:bottom="1440" w:left="1440" w:header="708" w:footer="708" w:gutter="0"/>
          <w:pgNumType w:fmt="lowerRoman"/>
          <w:cols w:space="708"/>
          <w:docGrid w:linePitch="360"/>
        </w:sectPr>
      </w:pPr>
      <w:r w:rsidRPr="00B5248D">
        <w:br w:type="page"/>
      </w:r>
    </w:p>
    <w:p w14:paraId="45E2D45F" w14:textId="77777777" w:rsidR="00C52A54" w:rsidRPr="00B5248D" w:rsidRDefault="00BD74DC" w:rsidP="369FC40A">
      <w:pPr>
        <w:pStyle w:val="EXECUTIVESUMMARYReferences"/>
        <w:spacing w:line="240" w:lineRule="auto"/>
      </w:pPr>
      <w:bookmarkStart w:id="2" w:name="_Toc50033359"/>
      <w:r w:rsidRPr="00B5248D">
        <w:lastRenderedPageBreak/>
        <w:drawing>
          <wp:anchor distT="0" distB="0" distL="114300" distR="114300" simplePos="0" relativeHeight="251658240" behindDoc="1" locked="0" layoutInCell="1" allowOverlap="1" wp14:anchorId="2E161185" wp14:editId="48F14ECA">
            <wp:simplePos x="0" y="0"/>
            <wp:positionH relativeFrom="column">
              <wp:posOffset>5076190</wp:posOffset>
            </wp:positionH>
            <wp:positionV relativeFrom="page">
              <wp:posOffset>24765</wp:posOffset>
            </wp:positionV>
            <wp:extent cx="1555750" cy="1464310"/>
            <wp:effectExtent l="0" t="0" r="635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_NZWRI-logo-kor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5750" cy="1464310"/>
                    </a:xfrm>
                    <a:prstGeom prst="rect">
                      <a:avLst/>
                    </a:prstGeom>
                  </pic:spPr>
                </pic:pic>
              </a:graphicData>
            </a:graphic>
            <wp14:sizeRelH relativeFrom="margin">
              <wp14:pctWidth>0</wp14:pctWidth>
            </wp14:sizeRelH>
            <wp14:sizeRelV relativeFrom="margin">
              <wp14:pctHeight>0</wp14:pctHeight>
            </wp14:sizeRelV>
          </wp:anchor>
        </w:drawing>
      </w:r>
      <w:r w:rsidR="7B17B99A" w:rsidRPr="00B5248D">
        <w:t>EXECUTIVE SUMMARY</w:t>
      </w:r>
      <w:bookmarkEnd w:id="2"/>
    </w:p>
    <w:p w14:paraId="7FC89AD7" w14:textId="7A0EF512" w:rsidR="006B65C4" w:rsidRPr="007F5957" w:rsidRDefault="00CF1E21" w:rsidP="000D6A90">
      <w:pPr>
        <w:spacing w:after="240" w:line="288" w:lineRule="auto"/>
        <w:jc w:val="both"/>
      </w:pPr>
      <w:r w:rsidRPr="007F5957">
        <w:t>The overarching aim of this</w:t>
      </w:r>
      <w:r w:rsidR="00A90DF4" w:rsidRPr="007F5957">
        <w:t xml:space="preserve"> research </w:t>
      </w:r>
      <w:r w:rsidRPr="007F5957">
        <w:t>is</w:t>
      </w:r>
      <w:r w:rsidR="00A308C9" w:rsidRPr="007F5957">
        <w:t xml:space="preserve"> </w:t>
      </w:r>
      <w:r w:rsidRPr="007F5957">
        <w:t>t</w:t>
      </w:r>
      <w:r w:rsidR="00A308C9" w:rsidRPr="007F5957">
        <w:t>o</w:t>
      </w:r>
      <w:r w:rsidR="00CD6F4E" w:rsidRPr="007F5957">
        <w:t xml:space="preserve"> understand the impact of public policy interventions on gambling</w:t>
      </w:r>
      <w:r w:rsidRPr="007F5957">
        <w:t xml:space="preserve"> in </w:t>
      </w:r>
      <w:r w:rsidR="00AB1899" w:rsidRPr="007F5957">
        <w:t>New Zealand</w:t>
      </w:r>
      <w:r w:rsidR="00F30660" w:rsidRPr="007F5957">
        <w:t>.</w:t>
      </w:r>
      <w:r w:rsidR="009E58B9">
        <w:t xml:space="preserve"> </w:t>
      </w:r>
      <w:r w:rsidR="0002319B" w:rsidRPr="007F5957">
        <w:t xml:space="preserve">For </w:t>
      </w:r>
      <w:r w:rsidR="00F37F01" w:rsidRPr="007F5957">
        <w:t>this purpose</w:t>
      </w:r>
      <w:r w:rsidR="0002319B" w:rsidRPr="007F5957">
        <w:t>, we focus on Class 4 gam</w:t>
      </w:r>
      <w:r w:rsidR="00B85C6D" w:rsidRPr="007F5957">
        <w:t>b</w:t>
      </w:r>
      <w:r w:rsidR="004C0D7A" w:rsidRPr="007F5957">
        <w:t>l</w:t>
      </w:r>
      <w:r w:rsidR="0002319B" w:rsidRPr="007F5957">
        <w:t>ing (</w:t>
      </w:r>
      <w:proofErr w:type="gramStart"/>
      <w:r w:rsidR="0002319B" w:rsidRPr="007F5957">
        <w:t>i.e.</w:t>
      </w:r>
      <w:proofErr w:type="gramEnd"/>
      <w:r w:rsidR="0002319B" w:rsidRPr="007F5957">
        <w:t xml:space="preserve"> pokies)</w:t>
      </w:r>
      <w:r w:rsidR="007C49BA" w:rsidRPr="007F5957">
        <w:t xml:space="preserve">. </w:t>
      </w:r>
      <w:r w:rsidR="002228FC" w:rsidRPr="007F5957" w:rsidDel="001A1554">
        <w:t xml:space="preserve">The </w:t>
      </w:r>
      <w:r w:rsidR="002228FC" w:rsidRPr="007F5957">
        <w:t xml:space="preserve">Gambling Act 2003 mandates baseline restrictions regarding </w:t>
      </w:r>
      <w:r w:rsidR="00E365FC" w:rsidRPr="007F5957">
        <w:t>the</w:t>
      </w:r>
      <w:r w:rsidR="002228FC" w:rsidRPr="007F5957">
        <w:t xml:space="preserve"> number of electronic gaming machines (EGMs) per Class 4 venue. However, many </w:t>
      </w:r>
      <w:r w:rsidR="003961A3" w:rsidRPr="007F5957">
        <w:t>territorial authorities (</w:t>
      </w:r>
      <w:r w:rsidR="002228FC" w:rsidRPr="007F5957">
        <w:t>TAs</w:t>
      </w:r>
      <w:r w:rsidR="003961A3" w:rsidRPr="007F5957">
        <w:t>)</w:t>
      </w:r>
      <w:r w:rsidR="002228FC" w:rsidRPr="007F5957">
        <w:t xml:space="preserve"> have adopted stronger regulations in recent years, including absolute caps on number of EGM</w:t>
      </w:r>
      <w:r w:rsidR="007C14B0" w:rsidRPr="007F5957">
        <w:t>s</w:t>
      </w:r>
      <w:r w:rsidR="002228FC" w:rsidRPr="007F5957">
        <w:t xml:space="preserve"> and / or venues; per capita caps on number of EGMs and / or venues; and sinking lid policies </w:t>
      </w:r>
      <w:r w:rsidR="00D568E7" w:rsidRPr="007F5957">
        <w:t>(</w:t>
      </w:r>
      <w:r w:rsidR="002228FC" w:rsidRPr="007F5957">
        <w:t xml:space="preserve">restricting transfer of Class 4 licenses </w:t>
      </w:r>
      <w:proofErr w:type="gramStart"/>
      <w:r w:rsidR="002228FC" w:rsidRPr="007F5957">
        <w:t>in order to</w:t>
      </w:r>
      <w:proofErr w:type="gramEnd"/>
      <w:r w:rsidR="002228FC" w:rsidRPr="007F5957">
        <w:t xml:space="preserve"> slowly reduce availability over time</w:t>
      </w:r>
      <w:r w:rsidR="00D568E7" w:rsidRPr="007F5957">
        <w:t>)</w:t>
      </w:r>
      <w:r w:rsidR="002228FC" w:rsidRPr="007F5957">
        <w:t xml:space="preserve">. </w:t>
      </w:r>
      <w:r w:rsidR="00075F75" w:rsidRPr="007F5957">
        <w:t>W</w:t>
      </w:r>
      <w:r w:rsidR="00547817" w:rsidRPr="007F5957">
        <w:t>e use quasi-experimental methods</w:t>
      </w:r>
      <w:r w:rsidR="00752214" w:rsidRPr="007F5957">
        <w:t xml:space="preserve"> to a</w:t>
      </w:r>
      <w:r w:rsidR="00075F75" w:rsidRPr="007F5957">
        <w:t xml:space="preserve">ssess the impact of these local government policies on </w:t>
      </w:r>
      <w:r w:rsidR="003961A3" w:rsidRPr="007F5957">
        <w:t xml:space="preserve">the </w:t>
      </w:r>
      <w:r w:rsidR="00075F75" w:rsidRPr="007F5957">
        <w:t>number of EGMs, venues</w:t>
      </w:r>
      <w:r w:rsidR="00BC5686" w:rsidRPr="007F5957">
        <w:t>, and machine spending</w:t>
      </w:r>
      <w:r w:rsidR="00A35527" w:rsidRPr="007F5957">
        <w:t>.</w:t>
      </w:r>
      <w:r w:rsidR="00BC5686" w:rsidRPr="007F5957">
        <w:t xml:space="preserve"> </w:t>
      </w:r>
      <w:r w:rsidR="00A35527" w:rsidRPr="007F5957">
        <w:t xml:space="preserve">We also assess </w:t>
      </w:r>
      <w:r w:rsidR="00BC5686" w:rsidRPr="007F5957">
        <w:t xml:space="preserve">the indirect impact on use of gambling </w:t>
      </w:r>
      <w:r w:rsidR="006C33C6" w:rsidRPr="007F5957">
        <w:t xml:space="preserve">intervention </w:t>
      </w:r>
      <w:r w:rsidR="00BC5686" w:rsidRPr="007F5957">
        <w:t>service</w:t>
      </w:r>
      <w:r w:rsidR="00D568E7" w:rsidRPr="007F5957">
        <w:t>s</w:t>
      </w:r>
      <w:r w:rsidR="006663EA" w:rsidRPr="007F5957">
        <w:t>, as well as personal bankruptcy</w:t>
      </w:r>
      <w:r w:rsidR="002B2A1E" w:rsidRPr="007F5957">
        <w:t xml:space="preserve"> rates</w:t>
      </w:r>
      <w:r w:rsidR="00BC5686" w:rsidRPr="007F5957">
        <w:t>.</w:t>
      </w:r>
      <w:r w:rsidR="007C14B0" w:rsidRPr="007F5957">
        <w:t xml:space="preserve"> Our analysis is at the TA-level over the period 20</w:t>
      </w:r>
      <w:r w:rsidR="00D568E7" w:rsidRPr="007F5957">
        <w:t>10 to 2018.</w:t>
      </w:r>
    </w:p>
    <w:p w14:paraId="13700104" w14:textId="2683076D" w:rsidR="00E82F32" w:rsidRPr="007F5957" w:rsidRDefault="00BE1ABB" w:rsidP="000D6A90">
      <w:pPr>
        <w:spacing w:after="240" w:line="288" w:lineRule="auto"/>
        <w:jc w:val="both"/>
      </w:pPr>
      <w:r w:rsidRPr="007F5957">
        <w:t xml:space="preserve">Key </w:t>
      </w:r>
      <w:r w:rsidR="003035C9" w:rsidRPr="007F5957">
        <w:t>f</w:t>
      </w:r>
      <w:r w:rsidR="003F258F" w:rsidRPr="007F5957">
        <w:t>inding</w:t>
      </w:r>
      <w:r w:rsidRPr="007F5957">
        <w:t>s</w:t>
      </w:r>
      <w:r w:rsidR="00CD7479" w:rsidRPr="007F5957">
        <w:t xml:space="preserve"> include</w:t>
      </w:r>
      <w:r w:rsidRPr="007F5957">
        <w:t>:</w:t>
      </w:r>
    </w:p>
    <w:p w14:paraId="08319075" w14:textId="1A19722B" w:rsidR="00BE1ABB" w:rsidRPr="007F5957" w:rsidRDefault="00AC0A4C" w:rsidP="000D6A90">
      <w:pPr>
        <w:numPr>
          <w:ilvl w:val="0"/>
          <w:numId w:val="20"/>
        </w:numPr>
        <w:spacing w:after="240" w:line="288" w:lineRule="auto"/>
        <w:jc w:val="both"/>
      </w:pPr>
      <w:r w:rsidRPr="007F5957">
        <w:t>All</w:t>
      </w:r>
      <w:r w:rsidR="00CA58F3" w:rsidRPr="007F5957">
        <w:t xml:space="preserve"> </w:t>
      </w:r>
      <w:r w:rsidR="00AD7D9F" w:rsidRPr="007F5957">
        <w:t>three</w:t>
      </w:r>
      <w:r w:rsidR="00956734" w:rsidRPr="007F5957">
        <w:t xml:space="preserve"> forms of policy intervention </w:t>
      </w:r>
      <w:r w:rsidR="00BE1ABB" w:rsidRPr="007F5957">
        <w:t>are effective in reducing Class 4 venues and EGMs relative to the reference group (</w:t>
      </w:r>
      <w:proofErr w:type="gramStart"/>
      <w:r w:rsidR="00387D55" w:rsidRPr="007F5957">
        <w:t>i.e.</w:t>
      </w:r>
      <w:proofErr w:type="gramEnd"/>
      <w:r w:rsidR="00387D55" w:rsidRPr="007F5957">
        <w:t xml:space="preserve"> </w:t>
      </w:r>
      <w:r w:rsidR="00BE1ABB" w:rsidRPr="007F5957">
        <w:t xml:space="preserve">TAs with no restrictions beyond those </w:t>
      </w:r>
      <w:r w:rsidR="00C230A2" w:rsidRPr="007F5957">
        <w:t>i</w:t>
      </w:r>
      <w:r w:rsidR="00BE1ABB" w:rsidRPr="007F5957">
        <w:t xml:space="preserve">n </w:t>
      </w:r>
      <w:r w:rsidR="00C230A2" w:rsidRPr="007F5957">
        <w:t xml:space="preserve">the </w:t>
      </w:r>
      <w:r w:rsidR="00BE1ABB" w:rsidRPr="007F5957">
        <w:t>Gambling Act 2003).</w:t>
      </w:r>
      <w:r w:rsidR="00E32DDF" w:rsidRPr="007F5957">
        <w:t xml:space="preserve"> </w:t>
      </w:r>
      <w:r w:rsidR="00E32DDF" w:rsidRPr="007F5957">
        <w:rPr>
          <w:b/>
          <w:bCs/>
        </w:rPr>
        <w:t>All</w:t>
      </w:r>
      <w:r w:rsidR="00DD3CD2" w:rsidRPr="007F5957">
        <w:rPr>
          <w:b/>
          <w:bCs/>
        </w:rPr>
        <w:t xml:space="preserve"> </w:t>
      </w:r>
      <w:r w:rsidR="00AE5985" w:rsidRPr="007F5957">
        <w:rPr>
          <w:b/>
          <w:bCs/>
        </w:rPr>
        <w:t>imp</w:t>
      </w:r>
      <w:r w:rsidR="00ED79A8" w:rsidRPr="007F5957">
        <w:rPr>
          <w:b/>
          <w:bCs/>
        </w:rPr>
        <w:t xml:space="preserve">acts </w:t>
      </w:r>
      <w:r w:rsidR="005B0056" w:rsidRPr="007F5957">
        <w:rPr>
          <w:b/>
          <w:bCs/>
        </w:rPr>
        <w:t>described below are in comparison to the reference group</w:t>
      </w:r>
      <w:r w:rsidR="00600770" w:rsidRPr="007F5957">
        <w:rPr>
          <w:b/>
          <w:bCs/>
        </w:rPr>
        <w:t>.</w:t>
      </w:r>
    </w:p>
    <w:p w14:paraId="65ABCA90" w14:textId="271D6F28" w:rsidR="00BE1ABB" w:rsidRPr="007F5957" w:rsidRDefault="00BE1ABB" w:rsidP="000D6A90">
      <w:pPr>
        <w:numPr>
          <w:ilvl w:val="0"/>
          <w:numId w:val="20"/>
        </w:numPr>
        <w:spacing w:after="240" w:line="288" w:lineRule="auto"/>
        <w:ind w:left="714" w:hanging="357"/>
        <w:jc w:val="both"/>
      </w:pPr>
      <w:r w:rsidRPr="007F5957">
        <w:t xml:space="preserve">Absolute caps are estimated to reduce the number of </w:t>
      </w:r>
      <w:r w:rsidRPr="00DA6C97">
        <w:t>EGMs by 6</w:t>
      </w:r>
      <w:r w:rsidR="006D1783" w:rsidRPr="00DA6C97">
        <w:t>7</w:t>
      </w:r>
      <w:r w:rsidRPr="00DA6C97">
        <w:t xml:space="preserve"> (1</w:t>
      </w:r>
      <w:r w:rsidR="00D93FC4" w:rsidRPr="00DA6C97">
        <w:t>5</w:t>
      </w:r>
      <w:r w:rsidRPr="00DA6C97">
        <w:t xml:space="preserve"> percent) and the number of venues by 7 (</w:t>
      </w:r>
      <w:r w:rsidR="00081874" w:rsidRPr="00DA6C97">
        <w:t>16.</w:t>
      </w:r>
      <w:r w:rsidR="00D93FC4" w:rsidRPr="00DA6C97">
        <w:t>9</w:t>
      </w:r>
      <w:r w:rsidRPr="00DA6C97">
        <w:t xml:space="preserve"> percent), on a per 100,000 population </w:t>
      </w:r>
      <w:proofErr w:type="gramStart"/>
      <w:r w:rsidRPr="00DA6C97">
        <w:t>basis</w:t>
      </w:r>
      <w:proofErr w:type="gramEnd"/>
      <w:r w:rsidRPr="00DA6C97">
        <w:t xml:space="preserve"> over one year. Estimated reductions are similar for per capita caps (</w:t>
      </w:r>
      <w:r w:rsidR="00896733" w:rsidRPr="00DA6C97">
        <w:t>8</w:t>
      </w:r>
      <w:r w:rsidR="00EA3871" w:rsidRPr="00DA6C97">
        <w:t>5</w:t>
      </w:r>
      <w:r w:rsidRPr="00DA6C97">
        <w:t xml:space="preserve"> EGMs and 8 venues</w:t>
      </w:r>
      <w:r w:rsidRPr="007F5957">
        <w:t>, respectively).</w:t>
      </w:r>
    </w:p>
    <w:p w14:paraId="461B22F9" w14:textId="18542946" w:rsidR="00600770" w:rsidRPr="007F5957" w:rsidRDefault="0065542C" w:rsidP="000D6A90">
      <w:pPr>
        <w:numPr>
          <w:ilvl w:val="0"/>
          <w:numId w:val="20"/>
        </w:numPr>
        <w:spacing w:after="240" w:line="288" w:lineRule="auto"/>
        <w:jc w:val="both"/>
      </w:pPr>
      <w:r w:rsidRPr="007F5957">
        <w:t xml:space="preserve">Sinking lids and per capita caps are equally </w:t>
      </w:r>
      <w:r w:rsidR="00871B91" w:rsidRPr="007F5957">
        <w:t xml:space="preserve">the most </w:t>
      </w:r>
      <w:r w:rsidRPr="007F5957">
        <w:t xml:space="preserve">effective at reducing machine spending. The sum of contemporaneous and lagged effects </w:t>
      </w:r>
      <w:proofErr w:type="gramStart"/>
      <w:r w:rsidRPr="007F5957">
        <w:t>equate</w:t>
      </w:r>
      <w:proofErr w:type="gramEnd"/>
      <w:r w:rsidRPr="007F5957">
        <w:t xml:space="preserve"> to a drop in machine spending of 1</w:t>
      </w:r>
      <w:r w:rsidR="00DB1377" w:rsidRPr="007F5957">
        <w:t>3</w:t>
      </w:r>
      <w:r w:rsidRPr="007F5957">
        <w:t xml:space="preserve"> percent for the sinking lid, while for the per capita cap, the 14 percent reduction in machine spending is wholly contemporaneous.</w:t>
      </w:r>
    </w:p>
    <w:p w14:paraId="66918F21" w14:textId="1075CA16" w:rsidR="00BE1ABB" w:rsidRPr="007F5957" w:rsidRDefault="005B574F" w:rsidP="000D6A90">
      <w:pPr>
        <w:numPr>
          <w:ilvl w:val="0"/>
          <w:numId w:val="20"/>
        </w:numPr>
        <w:spacing w:after="240" w:line="288" w:lineRule="auto"/>
        <w:jc w:val="both"/>
      </w:pPr>
      <w:bookmarkStart w:id="3" w:name="_Hlk48910743"/>
      <w:r w:rsidRPr="007F5957">
        <w:t xml:space="preserve">There are mixed </w:t>
      </w:r>
      <w:r w:rsidR="00B05A00" w:rsidRPr="007F5957">
        <w:t xml:space="preserve">findings </w:t>
      </w:r>
      <w:r w:rsidR="00F951A7" w:rsidRPr="007F5957">
        <w:t>with respect to</w:t>
      </w:r>
      <w:r w:rsidR="00BE433C" w:rsidRPr="007F5957">
        <w:t xml:space="preserve"> the impact of gambling policies on use of intervention services. For example, </w:t>
      </w:r>
      <w:r w:rsidR="00DD5DC1" w:rsidRPr="007F5957">
        <w:t xml:space="preserve">an increase in service use </w:t>
      </w:r>
      <w:r w:rsidR="00E74726" w:rsidRPr="007F5957">
        <w:t xml:space="preserve">is found </w:t>
      </w:r>
      <w:r w:rsidR="00F323F9" w:rsidRPr="007F5957">
        <w:t xml:space="preserve">a year after implementation of per capita </w:t>
      </w:r>
      <w:proofErr w:type="gramStart"/>
      <w:r w:rsidR="00F323F9" w:rsidRPr="007F5957">
        <w:t>caps;</w:t>
      </w:r>
      <w:proofErr w:type="gramEnd"/>
      <w:r w:rsidR="00F323F9" w:rsidRPr="007F5957">
        <w:t xml:space="preserve"> whereas a decrease is detected in </w:t>
      </w:r>
      <w:r w:rsidR="00430ADB" w:rsidRPr="007F5957">
        <w:t>the year of implementing a sinking lid policy.</w:t>
      </w:r>
      <w:r w:rsidR="00D43425" w:rsidRPr="007F5957">
        <w:t xml:space="preserve"> </w:t>
      </w:r>
    </w:p>
    <w:bookmarkEnd w:id="3"/>
    <w:p w14:paraId="559C5B4C" w14:textId="55BA20B7" w:rsidR="00F92833" w:rsidRPr="007F5957" w:rsidRDefault="00346B83" w:rsidP="000D6A90">
      <w:pPr>
        <w:pStyle w:val="ListParagraph"/>
        <w:numPr>
          <w:ilvl w:val="0"/>
          <w:numId w:val="28"/>
        </w:numPr>
        <w:spacing w:after="240" w:line="288" w:lineRule="auto"/>
        <w:ind w:left="714" w:hanging="357"/>
        <w:contextualSpacing w:val="0"/>
        <w:jc w:val="both"/>
        <w:rPr>
          <w:rFonts w:asciiTheme="majorHAnsi" w:hAnsiTheme="majorHAnsi"/>
        </w:rPr>
      </w:pPr>
      <w:r w:rsidRPr="007F5957">
        <w:rPr>
          <w:rFonts w:asciiTheme="majorHAnsi" w:hAnsiTheme="majorHAnsi"/>
        </w:rPr>
        <w:t xml:space="preserve">In modelling personal bankruptcy rates, we </w:t>
      </w:r>
      <w:r w:rsidR="00162F77">
        <w:rPr>
          <w:rFonts w:asciiTheme="majorHAnsi" w:hAnsiTheme="majorHAnsi"/>
        </w:rPr>
        <w:t>tested various</w:t>
      </w:r>
      <w:r w:rsidR="007E2DC8" w:rsidRPr="007F5957">
        <w:rPr>
          <w:rFonts w:asciiTheme="majorHAnsi" w:hAnsiTheme="majorHAnsi"/>
        </w:rPr>
        <w:t xml:space="preserve"> indicators of</w:t>
      </w:r>
      <w:r w:rsidR="00C2605E" w:rsidRPr="007F5957">
        <w:rPr>
          <w:rFonts w:asciiTheme="majorHAnsi" w:hAnsiTheme="majorHAnsi"/>
        </w:rPr>
        <w:t xml:space="preserve"> </w:t>
      </w:r>
      <w:r w:rsidR="002C25A0" w:rsidRPr="007F5957">
        <w:rPr>
          <w:rFonts w:asciiTheme="majorHAnsi" w:hAnsiTheme="majorHAnsi"/>
        </w:rPr>
        <w:t>accessibility</w:t>
      </w:r>
      <w:r w:rsidR="004A6400" w:rsidRPr="007F5957">
        <w:rPr>
          <w:rFonts w:asciiTheme="majorHAnsi" w:hAnsiTheme="majorHAnsi"/>
        </w:rPr>
        <w:t xml:space="preserve">. These </w:t>
      </w:r>
      <w:r w:rsidR="007C12F7" w:rsidRPr="007F5957">
        <w:rPr>
          <w:rFonts w:asciiTheme="majorHAnsi" w:hAnsiTheme="majorHAnsi"/>
        </w:rPr>
        <w:t>indicators approximated</w:t>
      </w:r>
      <w:r w:rsidR="004A6400" w:rsidRPr="007F5957">
        <w:rPr>
          <w:rFonts w:asciiTheme="majorHAnsi" w:hAnsiTheme="majorHAnsi"/>
        </w:rPr>
        <w:t xml:space="preserve"> </w:t>
      </w:r>
      <w:r w:rsidR="00E00160" w:rsidRPr="007F5957">
        <w:rPr>
          <w:rFonts w:asciiTheme="majorHAnsi" w:hAnsiTheme="majorHAnsi"/>
        </w:rPr>
        <w:t xml:space="preserve">proportion </w:t>
      </w:r>
      <w:r w:rsidR="00935251" w:rsidRPr="007F5957">
        <w:rPr>
          <w:rFonts w:asciiTheme="majorHAnsi" w:hAnsiTheme="majorHAnsi"/>
        </w:rPr>
        <w:t xml:space="preserve">of </w:t>
      </w:r>
      <w:r w:rsidR="00804C43">
        <w:rPr>
          <w:rFonts w:asciiTheme="majorHAnsi" w:hAnsiTheme="majorHAnsi"/>
        </w:rPr>
        <w:t xml:space="preserve">the TA </w:t>
      </w:r>
      <w:r w:rsidR="00935251" w:rsidRPr="007F5957">
        <w:rPr>
          <w:rFonts w:asciiTheme="majorHAnsi" w:hAnsiTheme="majorHAnsi"/>
        </w:rPr>
        <w:t xml:space="preserve">population </w:t>
      </w:r>
      <w:r w:rsidR="005448E7" w:rsidRPr="007F5957">
        <w:rPr>
          <w:rFonts w:asciiTheme="majorHAnsi" w:hAnsiTheme="majorHAnsi"/>
        </w:rPr>
        <w:t xml:space="preserve">within </w:t>
      </w:r>
      <w:r w:rsidR="00804338" w:rsidRPr="007F5957">
        <w:rPr>
          <w:rFonts w:asciiTheme="majorHAnsi" w:hAnsiTheme="majorHAnsi"/>
        </w:rPr>
        <w:t xml:space="preserve">0.5km; </w:t>
      </w:r>
      <w:r w:rsidR="006248A4" w:rsidRPr="007F5957">
        <w:rPr>
          <w:rFonts w:asciiTheme="majorHAnsi" w:hAnsiTheme="majorHAnsi"/>
        </w:rPr>
        <w:t>1km; and 2km</w:t>
      </w:r>
      <w:r w:rsidR="005448E7" w:rsidRPr="007F5957">
        <w:rPr>
          <w:rFonts w:asciiTheme="majorHAnsi" w:hAnsiTheme="majorHAnsi"/>
        </w:rPr>
        <w:t xml:space="preserve"> of an EGM</w:t>
      </w:r>
      <w:r w:rsidR="0018604A" w:rsidRPr="007F5957">
        <w:rPr>
          <w:rFonts w:asciiTheme="majorHAnsi" w:hAnsiTheme="majorHAnsi"/>
        </w:rPr>
        <w:t xml:space="preserve">. </w:t>
      </w:r>
      <w:r w:rsidR="002264DD" w:rsidRPr="007F5957">
        <w:rPr>
          <w:rFonts w:asciiTheme="majorHAnsi" w:hAnsiTheme="majorHAnsi"/>
        </w:rPr>
        <w:t xml:space="preserve">None of these accessibility indicators were </w:t>
      </w:r>
      <w:r w:rsidR="003C20B0" w:rsidRPr="007F5957">
        <w:rPr>
          <w:rFonts w:asciiTheme="majorHAnsi" w:hAnsiTheme="majorHAnsi"/>
        </w:rPr>
        <w:t xml:space="preserve">statistically significant in </w:t>
      </w:r>
      <w:r w:rsidR="000C6BDE" w:rsidRPr="007F5957">
        <w:rPr>
          <w:rFonts w:asciiTheme="majorHAnsi" w:hAnsiTheme="majorHAnsi"/>
        </w:rPr>
        <w:t>explaining bankruptcy</w:t>
      </w:r>
      <w:r w:rsidR="009223A5" w:rsidRPr="007F5957">
        <w:rPr>
          <w:rFonts w:asciiTheme="majorHAnsi" w:hAnsiTheme="majorHAnsi"/>
        </w:rPr>
        <w:t>.</w:t>
      </w:r>
    </w:p>
    <w:p w14:paraId="570F6D89" w14:textId="6085FCA5" w:rsidR="00EF54FA" w:rsidRPr="007F5957" w:rsidRDefault="00C201EC" w:rsidP="000D6A90">
      <w:pPr>
        <w:pStyle w:val="ListParagraph"/>
        <w:numPr>
          <w:ilvl w:val="0"/>
          <w:numId w:val="28"/>
        </w:numPr>
        <w:spacing w:after="240" w:line="288" w:lineRule="auto"/>
        <w:ind w:left="714" w:hanging="357"/>
        <w:contextualSpacing w:val="0"/>
        <w:jc w:val="both"/>
        <w:rPr>
          <w:rFonts w:asciiTheme="majorHAnsi" w:hAnsiTheme="majorHAnsi"/>
        </w:rPr>
      </w:pPr>
      <w:bookmarkStart w:id="4" w:name="_Hlk44018201"/>
      <w:r w:rsidRPr="007F5957">
        <w:rPr>
          <w:rFonts w:asciiTheme="majorHAnsi" w:hAnsiTheme="majorHAnsi"/>
          <w:lang w:eastAsia="en-NZ"/>
        </w:rPr>
        <w:t xml:space="preserve">There </w:t>
      </w:r>
      <w:r w:rsidR="001A51C3" w:rsidRPr="007F5957">
        <w:rPr>
          <w:rFonts w:asciiTheme="majorHAnsi" w:hAnsiTheme="majorHAnsi"/>
          <w:lang w:eastAsia="en-NZ"/>
        </w:rPr>
        <w:t>is li</w:t>
      </w:r>
      <w:r w:rsidR="009A66D6" w:rsidRPr="007F5957">
        <w:rPr>
          <w:rFonts w:asciiTheme="majorHAnsi" w:hAnsiTheme="majorHAnsi"/>
          <w:lang w:eastAsia="en-NZ"/>
        </w:rPr>
        <w:t>mited</w:t>
      </w:r>
      <w:r w:rsidR="001A51C3" w:rsidRPr="007F5957">
        <w:rPr>
          <w:rFonts w:asciiTheme="majorHAnsi" w:hAnsiTheme="majorHAnsi"/>
          <w:lang w:eastAsia="en-NZ"/>
        </w:rPr>
        <w:t xml:space="preserve"> </w:t>
      </w:r>
      <w:r w:rsidR="00813AC7" w:rsidRPr="007F5957">
        <w:rPr>
          <w:rFonts w:asciiTheme="majorHAnsi" w:hAnsiTheme="majorHAnsi"/>
          <w:lang w:eastAsia="en-NZ"/>
        </w:rPr>
        <w:t xml:space="preserve">evidence </w:t>
      </w:r>
      <w:r w:rsidR="00A1766E">
        <w:rPr>
          <w:rFonts w:asciiTheme="majorHAnsi" w:hAnsiTheme="majorHAnsi"/>
          <w:lang w:eastAsia="en-NZ"/>
        </w:rPr>
        <w:t>linking</w:t>
      </w:r>
      <w:r w:rsidR="00813AC7" w:rsidRPr="007F5957">
        <w:rPr>
          <w:rFonts w:asciiTheme="majorHAnsi" w:hAnsiTheme="majorHAnsi"/>
          <w:lang w:eastAsia="en-NZ"/>
        </w:rPr>
        <w:t xml:space="preserve"> policy interventions to lower levels of bankruptcy. </w:t>
      </w:r>
      <w:r w:rsidR="00BA4D17" w:rsidRPr="007F5957">
        <w:rPr>
          <w:rFonts w:asciiTheme="majorHAnsi" w:hAnsiTheme="majorHAnsi"/>
          <w:lang w:eastAsia="en-NZ"/>
        </w:rPr>
        <w:t>For</w:t>
      </w:r>
      <w:r w:rsidR="00696864" w:rsidRPr="007F5957">
        <w:rPr>
          <w:rFonts w:asciiTheme="majorHAnsi" w:hAnsiTheme="majorHAnsi"/>
          <w:lang w:eastAsia="en-NZ"/>
        </w:rPr>
        <w:t xml:space="preserve"> only one out of three specifications trialled </w:t>
      </w:r>
      <w:r w:rsidR="00D171AE" w:rsidRPr="007F5957">
        <w:rPr>
          <w:rFonts w:asciiTheme="majorHAnsi" w:hAnsiTheme="majorHAnsi"/>
          <w:lang w:eastAsia="en-NZ"/>
        </w:rPr>
        <w:t xml:space="preserve">was there </w:t>
      </w:r>
      <w:r w:rsidR="00BA4D17" w:rsidRPr="007F5957">
        <w:rPr>
          <w:rFonts w:asciiTheme="majorHAnsi" w:hAnsiTheme="majorHAnsi"/>
          <w:lang w:eastAsia="en-NZ"/>
        </w:rPr>
        <w:t xml:space="preserve">weak evidence </w:t>
      </w:r>
      <w:r w:rsidR="00831E80" w:rsidRPr="007F5957">
        <w:rPr>
          <w:rFonts w:asciiTheme="majorHAnsi" w:hAnsiTheme="majorHAnsi"/>
          <w:lang w:eastAsia="en-NZ"/>
        </w:rPr>
        <w:t>that a sinking lid reduces bankruptcies.</w:t>
      </w:r>
    </w:p>
    <w:p w14:paraId="0B0C8FD8" w14:textId="72201797" w:rsidR="00952CB6" w:rsidRPr="00B5248D" w:rsidRDefault="006B03FC" w:rsidP="00952CB6">
      <w:pPr>
        <w:pStyle w:val="Heading1"/>
      </w:pPr>
      <w:bookmarkStart w:id="5" w:name="_Toc39574630"/>
      <w:bookmarkStart w:id="6" w:name="_Toc39574631"/>
      <w:bookmarkStart w:id="7" w:name="_Toc39574632"/>
      <w:bookmarkStart w:id="8" w:name="_Toc39574633"/>
      <w:bookmarkStart w:id="9" w:name="_Toc39574634"/>
      <w:bookmarkStart w:id="10" w:name="_Toc50033360"/>
      <w:bookmarkEnd w:id="4"/>
      <w:bookmarkEnd w:id="5"/>
      <w:bookmarkEnd w:id="6"/>
      <w:bookmarkEnd w:id="7"/>
      <w:bookmarkEnd w:id="8"/>
      <w:bookmarkEnd w:id="9"/>
      <w:r w:rsidRPr="00B5248D">
        <w:lastRenderedPageBreak/>
        <w:t>Introduction</w:t>
      </w:r>
      <w:bookmarkEnd w:id="10"/>
    </w:p>
    <w:p w14:paraId="017684C3" w14:textId="2269A2BF" w:rsidR="00D337FD" w:rsidRPr="007F5957" w:rsidDel="00D337FD" w:rsidRDefault="00D20CBE">
      <w:pPr>
        <w:spacing w:after="240" w:line="312" w:lineRule="auto"/>
        <w:jc w:val="both"/>
      </w:pPr>
      <w:r w:rsidRPr="007F5957">
        <w:t>Problem gambling is a significant public health concern in New Zealand</w:t>
      </w:r>
      <w:r w:rsidR="002510C6" w:rsidRPr="007F5957">
        <w:t xml:space="preserve"> (NZ)</w:t>
      </w:r>
      <w:r w:rsidRPr="007F5957">
        <w:t xml:space="preserve">, affecting approximately </w:t>
      </w:r>
      <w:r w:rsidR="006010FD" w:rsidRPr="007F5957">
        <w:t>11</w:t>
      </w:r>
      <w:r w:rsidR="009B7135" w:rsidRPr="007F5957">
        <w:t xml:space="preserve"> percent of</w:t>
      </w:r>
      <w:r w:rsidRPr="007F5957">
        <w:t xml:space="preserve"> New Zeal</w:t>
      </w:r>
      <w:r w:rsidR="00E56586" w:rsidRPr="007F5957">
        <w:t>and</w:t>
      </w:r>
      <w:r w:rsidRPr="007F5957">
        <w:t>ers each year</w:t>
      </w:r>
      <w:r w:rsidR="00E4560D" w:rsidRPr="007F5957">
        <w:t xml:space="preserve"> (Department of Internal Affairs, 200</w:t>
      </w:r>
      <w:r w:rsidR="00F005E2" w:rsidRPr="007F5957">
        <w:t>8)</w:t>
      </w:r>
      <w:r w:rsidRPr="007F5957">
        <w:t>.</w:t>
      </w:r>
      <w:r w:rsidR="00866C5A" w:rsidRPr="007F5957">
        <w:rPr>
          <w:rStyle w:val="FootnoteReference"/>
        </w:rPr>
        <w:footnoteReference w:id="3"/>
      </w:r>
      <w:r w:rsidRPr="007F5957">
        <w:t xml:space="preserve"> </w:t>
      </w:r>
      <w:r w:rsidR="00D33332" w:rsidRPr="007F5957">
        <w:t>Class 4 gam</w:t>
      </w:r>
      <w:r w:rsidR="006F0C7D" w:rsidRPr="007F5957">
        <w:t>bl</w:t>
      </w:r>
      <w:r w:rsidR="00D33332" w:rsidRPr="007F5957">
        <w:t>ing</w:t>
      </w:r>
      <w:r w:rsidR="00FD0F2D" w:rsidRPr="007F5957">
        <w:t xml:space="preserve">, defined as non-casino electronic gaming machines (EGMs) and commonly referred to as ‘pokies,’ </w:t>
      </w:r>
      <w:r w:rsidR="00D33332" w:rsidRPr="007F5957">
        <w:t>contribute</w:t>
      </w:r>
      <w:r w:rsidR="00FD0F2D" w:rsidRPr="007F5957">
        <w:t>s</w:t>
      </w:r>
      <w:r w:rsidR="00D33332" w:rsidRPr="007F5957">
        <w:t xml:space="preserve"> the most harm to </w:t>
      </w:r>
      <w:r w:rsidR="007E5BD2" w:rsidRPr="007F5957">
        <w:t>NZ</w:t>
      </w:r>
      <w:r w:rsidR="00D33332" w:rsidRPr="007F5957">
        <w:t xml:space="preserve"> compared to other types </w:t>
      </w:r>
      <w:r w:rsidR="00D708A7" w:rsidRPr="007F5957">
        <w:t xml:space="preserve">of </w:t>
      </w:r>
      <w:r w:rsidR="00D33332" w:rsidRPr="007F5957">
        <w:t>gambling</w:t>
      </w:r>
      <w:r w:rsidRPr="007F5957">
        <w:t xml:space="preserve"> (Ministry of Health, 2019).</w:t>
      </w:r>
      <w:r w:rsidR="00DB121A" w:rsidRPr="007F5957">
        <w:rPr>
          <w:rStyle w:val="FootnoteReference"/>
        </w:rPr>
        <w:footnoteReference w:id="4"/>
      </w:r>
      <w:r w:rsidRPr="007F5957">
        <w:t xml:space="preserve"> </w:t>
      </w:r>
      <w:r w:rsidR="00FD0F2D" w:rsidRPr="007F5957">
        <w:t xml:space="preserve">According to the National Gambling Study of 2014, over half of </w:t>
      </w:r>
      <w:r w:rsidR="00D708A7" w:rsidRPr="007F5957">
        <w:t xml:space="preserve">the </w:t>
      </w:r>
      <w:r w:rsidR="00FD0F2D" w:rsidRPr="007F5957">
        <w:t xml:space="preserve">total Class 4 gambling expenditure comes from individuals considered to be high risk or problem gamblers (Abbott </w:t>
      </w:r>
      <w:r w:rsidR="00FD0F2D" w:rsidRPr="009C18D4">
        <w:rPr>
          <w:iCs/>
        </w:rPr>
        <w:t>et al.,</w:t>
      </w:r>
      <w:r w:rsidR="00FD0F2D" w:rsidRPr="007F5957">
        <w:t xml:space="preserve"> 2016)</w:t>
      </w:r>
      <w:r w:rsidR="007034AA" w:rsidRPr="007F5957">
        <w:t>.</w:t>
      </w:r>
      <w:r w:rsidR="00FD0F2D" w:rsidRPr="007F5957">
        <w:t xml:space="preserve"> </w:t>
      </w:r>
    </w:p>
    <w:p w14:paraId="19F1A9EE" w14:textId="4995491C" w:rsidR="00803C20" w:rsidRPr="007F5957" w:rsidRDefault="001947C7" w:rsidP="000D6A90">
      <w:pPr>
        <w:spacing w:after="240" w:line="312" w:lineRule="auto"/>
        <w:jc w:val="both"/>
      </w:pPr>
      <w:r w:rsidRPr="007F5957" w:rsidDel="001A1554">
        <w:t xml:space="preserve">The </w:t>
      </w:r>
      <w:r w:rsidR="00681843" w:rsidRPr="007F5957">
        <w:t xml:space="preserve">Gambling Act 2003 mandates </w:t>
      </w:r>
      <w:r w:rsidR="003836D6" w:rsidRPr="007F5957">
        <w:t xml:space="preserve">the </w:t>
      </w:r>
      <w:r w:rsidRPr="007F5957">
        <w:t xml:space="preserve">baseline set of restrictions regarding number of </w:t>
      </w:r>
      <w:r w:rsidR="00E11989" w:rsidRPr="007F5957">
        <w:t xml:space="preserve">EGMs per </w:t>
      </w:r>
      <w:r w:rsidR="009F4BCA" w:rsidRPr="007F5957">
        <w:t xml:space="preserve">Class 4 </w:t>
      </w:r>
      <w:r w:rsidRPr="007F5957">
        <w:t>venue</w:t>
      </w:r>
      <w:r w:rsidR="00D87C5E" w:rsidRPr="007F5957">
        <w:t xml:space="preserve">. </w:t>
      </w:r>
      <w:r w:rsidR="001256D1" w:rsidRPr="007F5957">
        <w:t>However, m</w:t>
      </w:r>
      <w:r w:rsidR="00C17BE8" w:rsidRPr="007F5957">
        <w:t xml:space="preserve">any </w:t>
      </w:r>
      <w:r w:rsidR="00E11989" w:rsidRPr="007F5957">
        <w:t>territorial authorities (</w:t>
      </w:r>
      <w:r w:rsidR="00C17BE8" w:rsidRPr="007F5957">
        <w:t>TAs</w:t>
      </w:r>
      <w:r w:rsidR="00E11989" w:rsidRPr="007F5957">
        <w:t>)</w:t>
      </w:r>
      <w:r w:rsidR="00C17BE8" w:rsidRPr="007F5957">
        <w:t xml:space="preserve"> have adopted stronger </w:t>
      </w:r>
      <w:r w:rsidR="00626886" w:rsidRPr="007F5957">
        <w:t>regulation</w:t>
      </w:r>
      <w:r w:rsidR="004600CF" w:rsidRPr="007F5957">
        <w:t>s</w:t>
      </w:r>
      <w:r w:rsidR="00D708A7" w:rsidRPr="007F5957">
        <w:t xml:space="preserve"> </w:t>
      </w:r>
      <w:r w:rsidR="004600CF" w:rsidRPr="007F5957">
        <w:t xml:space="preserve">in </w:t>
      </w:r>
      <w:r w:rsidR="00D708A7" w:rsidRPr="007F5957">
        <w:t>recent years</w:t>
      </w:r>
      <w:r w:rsidR="00A32D40" w:rsidRPr="007F5957">
        <w:t>, including</w:t>
      </w:r>
      <w:r w:rsidR="00626886" w:rsidRPr="007F5957">
        <w:t xml:space="preserve"> absolute caps on </w:t>
      </w:r>
      <w:r w:rsidR="008542D1" w:rsidRPr="007F5957">
        <w:t xml:space="preserve">the </w:t>
      </w:r>
      <w:r w:rsidR="00626886" w:rsidRPr="007F5957">
        <w:t>number of machines</w:t>
      </w:r>
      <w:r w:rsidR="000B0E35" w:rsidRPr="007F5957">
        <w:t>, the number of</w:t>
      </w:r>
      <w:r w:rsidR="00626886" w:rsidRPr="007F5957">
        <w:t xml:space="preserve"> venues</w:t>
      </w:r>
      <w:r w:rsidR="000B0E35" w:rsidRPr="007F5957">
        <w:t>, or both</w:t>
      </w:r>
      <w:r w:rsidR="00626886" w:rsidRPr="007F5957">
        <w:t>; per capita caps on</w:t>
      </w:r>
      <w:r w:rsidR="005E5906" w:rsidRPr="007F5957">
        <w:t xml:space="preserve"> the</w:t>
      </w:r>
      <w:r w:rsidR="00626886" w:rsidRPr="007F5957">
        <w:t xml:space="preserve"> number of machines</w:t>
      </w:r>
      <w:r w:rsidR="005E5906" w:rsidRPr="007F5957">
        <w:t>,</w:t>
      </w:r>
      <w:r w:rsidR="00626886" w:rsidRPr="007F5957" w:rsidDel="009F186F">
        <w:t xml:space="preserve"> </w:t>
      </w:r>
      <w:r w:rsidR="005E5906" w:rsidRPr="007F5957">
        <w:t xml:space="preserve">the number of </w:t>
      </w:r>
      <w:r w:rsidR="00626886" w:rsidRPr="007F5957">
        <w:t>venues</w:t>
      </w:r>
      <w:r w:rsidR="005E5906" w:rsidRPr="007F5957">
        <w:t>, or both</w:t>
      </w:r>
      <w:r w:rsidR="00626886" w:rsidRPr="007F5957">
        <w:t>; and sinking lid polic</w:t>
      </w:r>
      <w:r w:rsidR="005E5906" w:rsidRPr="007F5957">
        <w:t xml:space="preserve">ies </w:t>
      </w:r>
      <w:r w:rsidR="00B442AF" w:rsidRPr="007F5957">
        <w:t>restrict</w:t>
      </w:r>
      <w:r w:rsidR="00C6172C" w:rsidRPr="007F5957">
        <w:t>ing</w:t>
      </w:r>
      <w:r w:rsidR="00B442AF" w:rsidRPr="007F5957">
        <w:t xml:space="preserve"> the transfer of </w:t>
      </w:r>
      <w:r w:rsidR="007173D8" w:rsidRPr="007F5957">
        <w:t xml:space="preserve">Class 4 licenses </w:t>
      </w:r>
      <w:proofErr w:type="gramStart"/>
      <w:r w:rsidR="00C6172C" w:rsidRPr="007F5957">
        <w:t>in order to</w:t>
      </w:r>
      <w:proofErr w:type="gramEnd"/>
      <w:r w:rsidR="007173D8" w:rsidRPr="007F5957">
        <w:t xml:space="preserve"> slowly reduce availability over time</w:t>
      </w:r>
      <w:r w:rsidR="002279B3" w:rsidRPr="007F5957">
        <w:t>.</w:t>
      </w:r>
      <w:r w:rsidR="00C17BE8" w:rsidRPr="007F5957">
        <w:t xml:space="preserve"> </w:t>
      </w:r>
    </w:p>
    <w:p w14:paraId="1EEE91C2" w14:textId="6ACFD8A0" w:rsidR="00AC622F" w:rsidRPr="007F5957" w:rsidRDefault="00156064" w:rsidP="000D6A90">
      <w:pPr>
        <w:spacing w:after="240" w:line="312" w:lineRule="auto"/>
        <w:jc w:val="both"/>
      </w:pPr>
      <w:r w:rsidRPr="007F5957">
        <w:t xml:space="preserve">The </w:t>
      </w:r>
      <w:r w:rsidR="008B4F6D" w:rsidRPr="007F5957">
        <w:t>main</w:t>
      </w:r>
      <w:r w:rsidR="000E2D96" w:rsidRPr="007F5957">
        <w:t xml:space="preserve"> </w:t>
      </w:r>
      <w:r w:rsidRPr="007F5957">
        <w:t xml:space="preserve">aim of this study is to assess the impact of </w:t>
      </w:r>
      <w:r w:rsidR="009000A7" w:rsidRPr="007F5957" w:rsidDel="00D0058A">
        <w:t xml:space="preserve">these </w:t>
      </w:r>
      <w:r w:rsidRPr="007F5957">
        <w:t xml:space="preserve">local government responses to problem gambling using </w:t>
      </w:r>
      <w:r w:rsidR="00A15DA2" w:rsidRPr="007F5957">
        <w:t>quasi-experimental methods</w:t>
      </w:r>
      <w:r w:rsidR="00FA412C" w:rsidRPr="007F5957">
        <w:t>.</w:t>
      </w:r>
      <w:r w:rsidR="005035D2" w:rsidRPr="007F5957" w:rsidDel="00110C5A">
        <w:t xml:space="preserve"> </w:t>
      </w:r>
      <w:r w:rsidR="00110C5A" w:rsidRPr="007F5957">
        <w:t>We</w:t>
      </w:r>
      <w:r w:rsidR="00592579" w:rsidRPr="007F5957">
        <w:t xml:space="preserve"> first</w:t>
      </w:r>
      <w:r w:rsidR="00110C5A" w:rsidRPr="007F5957">
        <w:t xml:space="preserve"> </w:t>
      </w:r>
      <w:r w:rsidR="005035D2" w:rsidRPr="007F5957">
        <w:t xml:space="preserve">focus on the direct impact of </w:t>
      </w:r>
      <w:r w:rsidR="00A15DA2" w:rsidRPr="007F5957" w:rsidDel="00936231">
        <w:t xml:space="preserve">the </w:t>
      </w:r>
      <w:proofErr w:type="gramStart"/>
      <w:r w:rsidR="00A15DA2" w:rsidRPr="007F5957" w:rsidDel="00936231">
        <w:t xml:space="preserve">aforementioned </w:t>
      </w:r>
      <w:r w:rsidR="005035D2" w:rsidRPr="007F5957" w:rsidDel="00936231">
        <w:t>local</w:t>
      </w:r>
      <w:proofErr w:type="gramEnd"/>
      <w:r w:rsidR="005035D2" w:rsidRPr="007F5957" w:rsidDel="00936231">
        <w:t xml:space="preserve"> government </w:t>
      </w:r>
      <w:r w:rsidR="005035D2" w:rsidRPr="007F5957">
        <w:t xml:space="preserve">policy instruments on number of </w:t>
      </w:r>
      <w:r w:rsidR="00A15DA2" w:rsidRPr="007F5957">
        <w:t>EGMs</w:t>
      </w:r>
      <w:r w:rsidR="003D00DD" w:rsidRPr="007F5957">
        <w:t>,</w:t>
      </w:r>
      <w:r w:rsidR="005035D2" w:rsidRPr="007F5957" w:rsidDel="003D00DD">
        <w:t xml:space="preserve"> </w:t>
      </w:r>
      <w:r w:rsidR="005035D2" w:rsidRPr="007F5957">
        <w:t>venues, a</w:t>
      </w:r>
      <w:r w:rsidR="003D00DD" w:rsidRPr="007F5957">
        <w:t xml:space="preserve">nd </w:t>
      </w:r>
      <w:r w:rsidR="005035D2" w:rsidRPr="007F5957">
        <w:t xml:space="preserve">gambling expenditure. </w:t>
      </w:r>
      <w:r w:rsidR="00AC622F" w:rsidRPr="007F5957">
        <w:t>We find that all forms of Class 4 gambling policy interventions are effective in reducing venues and EGMs</w:t>
      </w:r>
      <w:r w:rsidR="00F77AD7" w:rsidRPr="007F5957">
        <w:t xml:space="preserve">, relative to </w:t>
      </w:r>
      <w:r w:rsidR="00BB10F3" w:rsidRPr="007F5957">
        <w:t>the reference grou</w:t>
      </w:r>
      <w:r w:rsidR="00775463" w:rsidRPr="007F5957">
        <w:t>p</w:t>
      </w:r>
      <w:r w:rsidR="00A21879" w:rsidRPr="007F5957">
        <w:t xml:space="preserve"> of TAs that only</w:t>
      </w:r>
      <w:r w:rsidR="00E24360" w:rsidRPr="007F5957">
        <w:t xml:space="preserve"> employ the baseline restrictions </w:t>
      </w:r>
      <w:r w:rsidR="00C71194" w:rsidRPr="007F5957">
        <w:t xml:space="preserve">outlined in the </w:t>
      </w:r>
      <w:r w:rsidR="00897B3E" w:rsidRPr="007F5957">
        <w:t>Gambling Act 2003</w:t>
      </w:r>
      <w:r w:rsidR="00AC622F" w:rsidRPr="007F5957">
        <w:t>. Our key finding is that reduction in access to Class 4 gam</w:t>
      </w:r>
      <w:r w:rsidR="000A4509" w:rsidRPr="007F5957">
        <w:t>bl</w:t>
      </w:r>
      <w:r w:rsidR="00AC622F" w:rsidRPr="007F5957">
        <w:t>ing is estimated to reduce gambling expenditure from EGMs by between 10 and 14 percent</w:t>
      </w:r>
      <w:r w:rsidR="00A919C7" w:rsidRPr="007F5957">
        <w:t>, relative to the reference group</w:t>
      </w:r>
      <w:r w:rsidR="00AC622F" w:rsidRPr="007F5957">
        <w:t xml:space="preserve">. </w:t>
      </w:r>
    </w:p>
    <w:p w14:paraId="099FCDE2" w14:textId="0B2648B8" w:rsidR="00244B35" w:rsidRPr="007F5957" w:rsidRDefault="005035D2" w:rsidP="00F90F85">
      <w:pPr>
        <w:spacing w:after="240" w:line="288" w:lineRule="auto"/>
        <w:jc w:val="both"/>
      </w:pPr>
      <w:r w:rsidRPr="007F5957">
        <w:t xml:space="preserve">We </w:t>
      </w:r>
      <w:r w:rsidR="00803C20" w:rsidRPr="007F5957">
        <w:t>also</w:t>
      </w:r>
      <w:r w:rsidRPr="007F5957">
        <w:t xml:space="preserve"> examine </w:t>
      </w:r>
      <w:r w:rsidR="000E2D96" w:rsidRPr="007F5957">
        <w:t xml:space="preserve">the </w:t>
      </w:r>
      <w:r w:rsidR="0004674E" w:rsidRPr="007F5957">
        <w:t xml:space="preserve">indirect effect </w:t>
      </w:r>
      <w:r w:rsidR="00107C55" w:rsidRPr="007F5957">
        <w:t xml:space="preserve">of TA policies on </w:t>
      </w:r>
      <w:r w:rsidRPr="007F5957">
        <w:t xml:space="preserve">gambling </w:t>
      </w:r>
      <w:r w:rsidR="00DF3E48" w:rsidRPr="007F5957">
        <w:t>intervention</w:t>
      </w:r>
      <w:r w:rsidRPr="007F5957">
        <w:t xml:space="preserve"> service</w:t>
      </w:r>
      <w:r w:rsidR="00803C20" w:rsidRPr="007F5957">
        <w:t>s.</w:t>
      </w:r>
      <w:r w:rsidR="00244B35" w:rsidRPr="007F5957">
        <w:t xml:space="preserve"> </w:t>
      </w:r>
      <w:r w:rsidR="003339C2" w:rsidRPr="007F5957">
        <w:t xml:space="preserve">There are mixed findings </w:t>
      </w:r>
      <w:r w:rsidR="00101A18" w:rsidRPr="007F5957">
        <w:t>here</w:t>
      </w:r>
      <w:r w:rsidR="003339C2" w:rsidRPr="007F5957">
        <w:t xml:space="preserve">. </w:t>
      </w:r>
      <w:r w:rsidR="00F263F7" w:rsidRPr="007F5957">
        <w:t>For TAs that have implemented per capita caps, r</w:t>
      </w:r>
      <w:r w:rsidR="00101A18" w:rsidRPr="007F5957">
        <w:t>e</w:t>
      </w:r>
      <w:r w:rsidR="00C1601E" w:rsidRPr="007F5957">
        <w:t>sults suggest</w:t>
      </w:r>
      <w:r w:rsidR="003339C2" w:rsidRPr="007F5957">
        <w:t xml:space="preserve"> an increase in service use </w:t>
      </w:r>
      <w:r w:rsidR="00CA614B" w:rsidRPr="007F5957">
        <w:t>a year</w:t>
      </w:r>
      <w:r w:rsidR="003339C2" w:rsidRPr="007F5957">
        <w:t xml:space="preserve"> after implementatio</w:t>
      </w:r>
      <w:r w:rsidR="00E40687" w:rsidRPr="007F5957">
        <w:t xml:space="preserve">n, relative to the reference group. </w:t>
      </w:r>
      <w:r w:rsidR="007D097B">
        <w:t>In contrast</w:t>
      </w:r>
      <w:r w:rsidR="00E40687" w:rsidRPr="007F5957">
        <w:t xml:space="preserve">, </w:t>
      </w:r>
      <w:r w:rsidR="00DE7667" w:rsidRPr="007F5957">
        <w:t>im</w:t>
      </w:r>
      <w:r w:rsidR="00C241EA" w:rsidRPr="007F5957">
        <w:t xml:space="preserve">plementing a </w:t>
      </w:r>
      <w:proofErr w:type="gramStart"/>
      <w:r w:rsidR="00C241EA" w:rsidRPr="007F5957">
        <w:t xml:space="preserve">sinking lid policy </w:t>
      </w:r>
      <w:r w:rsidR="00E40687" w:rsidRPr="007F5957">
        <w:t>results</w:t>
      </w:r>
      <w:proofErr w:type="gramEnd"/>
      <w:r w:rsidR="00E40687" w:rsidRPr="007F5957">
        <w:t xml:space="preserve"> </w:t>
      </w:r>
      <w:r w:rsidR="00C241EA" w:rsidRPr="007F5957">
        <w:t>in a</w:t>
      </w:r>
      <w:r w:rsidR="00E40687" w:rsidRPr="007F5957">
        <w:t xml:space="preserve"> </w:t>
      </w:r>
      <w:r w:rsidR="003339C2" w:rsidRPr="007F5957">
        <w:t xml:space="preserve">decrease in service use in the </w:t>
      </w:r>
      <w:r w:rsidR="00C241EA" w:rsidRPr="007F5957">
        <w:t>current year</w:t>
      </w:r>
      <w:r w:rsidR="00DE7667" w:rsidRPr="007F5957">
        <w:t>, relative to the reference group</w:t>
      </w:r>
      <w:r w:rsidR="003339C2" w:rsidRPr="007F5957">
        <w:t xml:space="preserve">. </w:t>
      </w:r>
    </w:p>
    <w:p w14:paraId="3351790A" w14:textId="548DEE56" w:rsidR="00925EC1" w:rsidRPr="007F5957" w:rsidRDefault="00FF5F54" w:rsidP="00134CD3">
      <w:pPr>
        <w:spacing w:after="240" w:line="312" w:lineRule="auto"/>
        <w:jc w:val="both"/>
        <w:rPr>
          <w:rFonts w:ascii="Calibri Light" w:eastAsia="Calibri" w:hAnsi="Calibri Light" w:cs="Calibri Light"/>
        </w:rPr>
      </w:pPr>
      <w:r w:rsidRPr="007F5957">
        <w:t xml:space="preserve">Finally, we examine the </w:t>
      </w:r>
      <w:r w:rsidR="005C1909" w:rsidRPr="007F5957">
        <w:t xml:space="preserve">impact on </w:t>
      </w:r>
      <w:r w:rsidR="00426F01" w:rsidRPr="007F5957">
        <w:t>personal bankruptcy</w:t>
      </w:r>
      <w:r w:rsidR="005C1909" w:rsidRPr="007F5957">
        <w:t xml:space="preserve"> rates.</w:t>
      </w:r>
      <w:r w:rsidR="00576509" w:rsidRPr="007F5957">
        <w:t xml:space="preserve"> </w:t>
      </w:r>
      <w:r w:rsidR="00E552CD" w:rsidRPr="007F5957">
        <w:t xml:space="preserve">For this </w:t>
      </w:r>
      <w:proofErr w:type="gramStart"/>
      <w:r w:rsidR="00E552CD" w:rsidRPr="007F5957">
        <w:t>purpose</w:t>
      </w:r>
      <w:proofErr w:type="gramEnd"/>
      <w:r w:rsidR="00E552CD" w:rsidRPr="007F5957">
        <w:t xml:space="preserve"> </w:t>
      </w:r>
      <w:r w:rsidR="00925EC1" w:rsidRPr="007F5957">
        <w:rPr>
          <w:rFonts w:ascii="Calibri Light" w:eastAsia="Calibri" w:hAnsi="Calibri Light" w:cs="Calibri Light"/>
        </w:rPr>
        <w:t xml:space="preserve">we create three distance variables that approximate access for population </w:t>
      </w:r>
      <w:r w:rsidR="000D241E" w:rsidRPr="007F5957">
        <w:rPr>
          <w:rFonts w:ascii="Calibri Light" w:eastAsia="Calibri" w:hAnsi="Calibri Light" w:cs="Calibri Light"/>
        </w:rPr>
        <w:t>within</w:t>
      </w:r>
      <w:r w:rsidR="00925EC1" w:rsidRPr="007F5957">
        <w:rPr>
          <w:rFonts w:ascii="Calibri Light" w:eastAsia="Calibri" w:hAnsi="Calibri Light" w:cs="Calibri Light"/>
        </w:rPr>
        <w:t xml:space="preserve"> each TA over time</w:t>
      </w:r>
      <w:r w:rsidR="00DE2041">
        <w:rPr>
          <w:rFonts w:ascii="Calibri Light" w:eastAsia="Calibri" w:hAnsi="Calibri Light" w:cs="Calibri Light"/>
        </w:rPr>
        <w:t xml:space="preserve">: </w:t>
      </w:r>
      <w:r w:rsidR="007D74C4" w:rsidRPr="007F5957">
        <w:rPr>
          <w:rFonts w:ascii="Calibri Light" w:eastAsia="Calibri" w:hAnsi="Calibri Light" w:cs="Calibri Light"/>
        </w:rPr>
        <w:t>being within 0.5km</w:t>
      </w:r>
      <w:r w:rsidR="00C95FCF" w:rsidRPr="007F5957">
        <w:rPr>
          <w:rFonts w:ascii="Calibri Light" w:eastAsia="Calibri" w:hAnsi="Calibri Light" w:cs="Calibri Light"/>
        </w:rPr>
        <w:t xml:space="preserve">; 1km; and 2km </w:t>
      </w:r>
      <w:r w:rsidR="00384BC9" w:rsidRPr="007F5957">
        <w:rPr>
          <w:rFonts w:ascii="Calibri Light" w:eastAsia="Calibri" w:hAnsi="Calibri Light" w:cs="Calibri Light"/>
        </w:rPr>
        <w:t>of an EGM.</w:t>
      </w:r>
      <w:r w:rsidR="00925EC1" w:rsidRPr="007F5957">
        <w:rPr>
          <w:rFonts w:ascii="Calibri Light" w:eastAsia="Calibri" w:hAnsi="Calibri Light" w:cs="Calibri Light"/>
        </w:rPr>
        <w:t xml:space="preserve"> </w:t>
      </w:r>
      <w:r w:rsidR="00760FD6" w:rsidRPr="007F5957">
        <w:rPr>
          <w:rFonts w:ascii="Calibri Light" w:eastAsia="Calibri" w:hAnsi="Calibri Light" w:cs="Calibri Light"/>
        </w:rPr>
        <w:t>Regardless of wh</w:t>
      </w:r>
      <w:r w:rsidR="007D74C4" w:rsidRPr="007F5957">
        <w:rPr>
          <w:rFonts w:ascii="Calibri Light" w:eastAsia="Calibri" w:hAnsi="Calibri Light" w:cs="Calibri Light"/>
        </w:rPr>
        <w:t>ich distance indicator is utilised in our regression model</w:t>
      </w:r>
      <w:r w:rsidR="00384BC9" w:rsidRPr="007F5957">
        <w:rPr>
          <w:rFonts w:ascii="Calibri Light" w:eastAsia="Calibri" w:hAnsi="Calibri Light" w:cs="Calibri Light"/>
        </w:rPr>
        <w:t>, we do not find these variables to be significant in explaining bankruptcy</w:t>
      </w:r>
      <w:r w:rsidR="00D33ED7" w:rsidRPr="007F5957">
        <w:rPr>
          <w:rFonts w:ascii="Calibri Light" w:eastAsia="Calibri" w:hAnsi="Calibri Light" w:cs="Calibri Light"/>
        </w:rPr>
        <w:t xml:space="preserve">. Furthermore, for only one of the three specifications used do we find weak evidence </w:t>
      </w:r>
      <w:r w:rsidR="001D0AEE" w:rsidRPr="007F5957">
        <w:rPr>
          <w:rFonts w:ascii="Calibri Light" w:eastAsia="Calibri" w:hAnsi="Calibri Light" w:cs="Calibri Light"/>
        </w:rPr>
        <w:t>that a sinking lid policy reduces bankruptcies</w:t>
      </w:r>
      <w:r w:rsidR="00925EC1" w:rsidRPr="007F5957">
        <w:rPr>
          <w:rFonts w:ascii="Calibri Light" w:eastAsia="Calibri" w:hAnsi="Calibri Light" w:cs="Calibri Light"/>
        </w:rPr>
        <w:t xml:space="preserve">. </w:t>
      </w:r>
    </w:p>
    <w:p w14:paraId="7D966793" w14:textId="63FD2CC9" w:rsidR="004A6763" w:rsidRPr="007F5957" w:rsidRDefault="005738F2" w:rsidP="00134CD3">
      <w:pPr>
        <w:spacing w:after="240" w:line="312" w:lineRule="auto"/>
        <w:jc w:val="both"/>
      </w:pPr>
      <w:r w:rsidRPr="007F5957">
        <w:t xml:space="preserve">The remainder of this </w:t>
      </w:r>
      <w:r w:rsidR="006C281F" w:rsidRPr="007F5957">
        <w:t xml:space="preserve">report is organised as follows: </w:t>
      </w:r>
      <w:r w:rsidR="00606425" w:rsidRPr="007F5957">
        <w:t>S</w:t>
      </w:r>
      <w:r w:rsidR="00D34C48" w:rsidRPr="007F5957">
        <w:t>ection 2</w:t>
      </w:r>
      <w:r w:rsidR="00606425" w:rsidRPr="007F5957">
        <w:t xml:space="preserve"> </w:t>
      </w:r>
      <w:r w:rsidR="001D2498" w:rsidRPr="007F5957">
        <w:t xml:space="preserve">lays out the legislative </w:t>
      </w:r>
      <w:r w:rsidR="00B73AAA" w:rsidRPr="007F5957">
        <w:t>background in NZ</w:t>
      </w:r>
      <w:r w:rsidR="000D4CAF" w:rsidRPr="007F5957">
        <w:t xml:space="preserve">; </w:t>
      </w:r>
      <w:r w:rsidR="00B73AAA" w:rsidRPr="007F5957">
        <w:t xml:space="preserve">the </w:t>
      </w:r>
      <w:r w:rsidR="004A6763" w:rsidRPr="007F5957">
        <w:t xml:space="preserve">theoretical </w:t>
      </w:r>
      <w:r w:rsidR="00C6463E" w:rsidRPr="007F5957">
        <w:t>understanding</w:t>
      </w:r>
      <w:r w:rsidR="004A6763" w:rsidRPr="007F5957">
        <w:t xml:space="preserve"> </w:t>
      </w:r>
      <w:r w:rsidR="00B73AAA" w:rsidRPr="007F5957">
        <w:t>regarding</w:t>
      </w:r>
      <w:r w:rsidR="00D34C48" w:rsidRPr="007F5957">
        <w:t xml:space="preserve"> </w:t>
      </w:r>
      <w:r w:rsidR="001D2498" w:rsidRPr="007F5957">
        <w:t>problem gambling</w:t>
      </w:r>
      <w:r w:rsidR="000D4CAF" w:rsidRPr="007F5957">
        <w:t xml:space="preserve">; and </w:t>
      </w:r>
      <w:proofErr w:type="gramStart"/>
      <w:r w:rsidR="000D4CAF" w:rsidRPr="007F5957">
        <w:t>a brief summary</w:t>
      </w:r>
      <w:proofErr w:type="gramEnd"/>
      <w:r w:rsidR="000D4CAF" w:rsidRPr="007F5957">
        <w:t xml:space="preserve"> of the international </w:t>
      </w:r>
      <w:r w:rsidR="002E4E41" w:rsidRPr="007F5957">
        <w:lastRenderedPageBreak/>
        <w:t>literature</w:t>
      </w:r>
      <w:r w:rsidR="004A6763" w:rsidRPr="007F5957">
        <w:t>.</w:t>
      </w:r>
      <w:r w:rsidR="00C10BDF" w:rsidRPr="007F5957">
        <w:t xml:space="preserve"> Section </w:t>
      </w:r>
      <w:r w:rsidR="001D2498" w:rsidRPr="007F5957">
        <w:t>3</w:t>
      </w:r>
      <w:r w:rsidR="00C10BDF" w:rsidRPr="007F5957">
        <w:t xml:space="preserve"> </w:t>
      </w:r>
      <w:r w:rsidR="001D2498" w:rsidRPr="007F5957">
        <w:t xml:space="preserve">illustrates </w:t>
      </w:r>
      <w:r w:rsidR="0028659B" w:rsidRPr="007F5957">
        <w:t xml:space="preserve">the </w:t>
      </w:r>
      <w:r w:rsidR="006C281F" w:rsidRPr="007F5957">
        <w:t xml:space="preserve">core </w:t>
      </w:r>
      <w:r w:rsidR="0028659B" w:rsidRPr="007F5957">
        <w:t>data</w:t>
      </w:r>
      <w:r w:rsidR="001D2498" w:rsidRPr="007F5957">
        <w:t>,</w:t>
      </w:r>
      <w:r w:rsidR="00651314" w:rsidRPr="007F5957">
        <w:t xml:space="preserve"> </w:t>
      </w:r>
      <w:r w:rsidR="001D2498" w:rsidRPr="007F5957">
        <w:t>while Section 4 describes</w:t>
      </w:r>
      <w:r w:rsidR="001D2498" w:rsidRPr="007F5957" w:rsidDel="001D2498">
        <w:t xml:space="preserve"> </w:t>
      </w:r>
      <w:r w:rsidR="001D2498" w:rsidRPr="007F5957">
        <w:t xml:space="preserve">the </w:t>
      </w:r>
      <w:r w:rsidR="00651314" w:rsidRPr="007F5957">
        <w:t>methodology</w:t>
      </w:r>
      <w:r w:rsidR="001D2498" w:rsidRPr="007F5957">
        <w:t xml:space="preserve"> used</w:t>
      </w:r>
      <w:r w:rsidR="00651314" w:rsidRPr="007F5957">
        <w:t>. Section 5 reports results of the analysis.</w:t>
      </w:r>
      <w:r w:rsidR="001D2498" w:rsidRPr="007F5957">
        <w:t xml:space="preserve"> Section</w:t>
      </w:r>
      <w:r w:rsidR="000D241E" w:rsidRPr="007F5957">
        <w:t>s</w:t>
      </w:r>
      <w:r w:rsidR="001D2498" w:rsidRPr="007F5957">
        <w:t xml:space="preserve"> 6</w:t>
      </w:r>
      <w:r w:rsidR="00D32918" w:rsidRPr="007F5957">
        <w:t xml:space="preserve"> </w:t>
      </w:r>
      <w:r w:rsidR="000D241E" w:rsidRPr="007F5957">
        <w:t>and 7 provide</w:t>
      </w:r>
      <w:r w:rsidR="001D2498" w:rsidRPr="007F5957">
        <w:t xml:space="preserve"> </w:t>
      </w:r>
      <w:r w:rsidR="004D7F11" w:rsidRPr="007F5957">
        <w:t xml:space="preserve">additional </w:t>
      </w:r>
      <w:r w:rsidR="00AA3175" w:rsidRPr="007F5957">
        <w:t>analysis that examines</w:t>
      </w:r>
      <w:r w:rsidR="004D7F11" w:rsidRPr="007F5957">
        <w:t xml:space="preserve"> the impact on the use of gambling </w:t>
      </w:r>
      <w:r w:rsidR="005D316C" w:rsidRPr="007F5957">
        <w:t xml:space="preserve">intervention </w:t>
      </w:r>
      <w:r w:rsidR="004D7F11" w:rsidRPr="007F5957">
        <w:t>service</w:t>
      </w:r>
      <w:r w:rsidR="00C0444E" w:rsidRPr="007F5957">
        <w:t>s</w:t>
      </w:r>
      <w:r w:rsidR="00AA3175" w:rsidRPr="007F5957">
        <w:t xml:space="preserve"> </w:t>
      </w:r>
      <w:r w:rsidR="00FF6B95" w:rsidRPr="007F5957">
        <w:t xml:space="preserve">and </w:t>
      </w:r>
      <w:r w:rsidR="00592579" w:rsidRPr="007F5957">
        <w:t>personal</w:t>
      </w:r>
      <w:r w:rsidR="00E712F8" w:rsidRPr="007F5957">
        <w:t xml:space="preserve"> </w:t>
      </w:r>
      <w:r w:rsidR="00E6023A" w:rsidRPr="007F5957">
        <w:t>bankruptcies.</w:t>
      </w:r>
      <w:r w:rsidR="001D2498" w:rsidRPr="007F5957">
        <w:t xml:space="preserve"> </w:t>
      </w:r>
      <w:r w:rsidR="0012094A" w:rsidRPr="007F5957">
        <w:t xml:space="preserve">Finally, Section 8 </w:t>
      </w:r>
      <w:r w:rsidR="0034628F" w:rsidRPr="007F5957">
        <w:t xml:space="preserve">concludes </w:t>
      </w:r>
      <w:r w:rsidR="0025297D" w:rsidRPr="007F5957">
        <w:t>along with outlining</w:t>
      </w:r>
      <w:r w:rsidR="00CF074B" w:rsidRPr="007F5957">
        <w:t xml:space="preserve"> </w:t>
      </w:r>
      <w:r w:rsidR="005D2861">
        <w:t>some</w:t>
      </w:r>
      <w:r w:rsidR="005D2861" w:rsidRPr="007F5957">
        <w:t xml:space="preserve"> </w:t>
      </w:r>
      <w:r w:rsidR="00CF074B" w:rsidRPr="007F5957">
        <w:t>limitations and directions for future research.</w:t>
      </w:r>
    </w:p>
    <w:p w14:paraId="5435E37B" w14:textId="40119538" w:rsidR="00FF3679" w:rsidRPr="00B5248D" w:rsidRDefault="007509AA" w:rsidP="00EF003E">
      <w:pPr>
        <w:pStyle w:val="Heading1"/>
        <w:spacing w:after="0"/>
      </w:pPr>
      <w:bookmarkStart w:id="11" w:name="_Toc50033361"/>
      <w:r>
        <w:lastRenderedPageBreak/>
        <w:t>Background</w:t>
      </w:r>
      <w:bookmarkEnd w:id="11"/>
    </w:p>
    <w:p w14:paraId="5D6C406D" w14:textId="77777777" w:rsidR="006A2DC5" w:rsidRPr="00B5248D" w:rsidRDefault="006A2DC5" w:rsidP="00EF003E">
      <w:pPr>
        <w:pStyle w:val="Heading2"/>
        <w:spacing w:after="240" w:line="312" w:lineRule="auto"/>
        <w:ind w:left="578" w:hanging="578"/>
      </w:pPr>
      <w:bookmarkStart w:id="12" w:name="_Toc50033362"/>
      <w:r w:rsidRPr="00B5248D">
        <w:t>Legislative background</w:t>
      </w:r>
      <w:bookmarkEnd w:id="12"/>
    </w:p>
    <w:p w14:paraId="1CF077E8" w14:textId="66B5519D" w:rsidR="006A2DC5" w:rsidRPr="009656BF" w:rsidRDefault="006A2DC5" w:rsidP="003874CC">
      <w:pPr>
        <w:spacing w:after="240" w:line="312" w:lineRule="auto"/>
        <w:jc w:val="both"/>
        <w:rPr>
          <w:rFonts w:ascii="Calibri Light" w:hAnsi="Calibri Light" w:cs="Calibri Light"/>
        </w:rPr>
      </w:pPr>
      <w:r w:rsidRPr="009656BF">
        <w:rPr>
          <w:rFonts w:ascii="Calibri Light" w:hAnsi="Calibri Light" w:cs="Calibri Light"/>
        </w:rPr>
        <w:t>Problem gambling has been recognised as a significant </w:t>
      </w:r>
      <w:r w:rsidR="009D5C2D">
        <w:rPr>
          <w:rFonts w:ascii="Calibri Light" w:hAnsi="Calibri Light" w:cs="Calibri Light"/>
        </w:rPr>
        <w:t>issue</w:t>
      </w:r>
      <w:r w:rsidR="008F4731">
        <w:rPr>
          <w:rFonts w:ascii="Calibri Light" w:hAnsi="Calibri Light" w:cs="Calibri Light"/>
        </w:rPr>
        <w:t xml:space="preserve"> in NZ</w:t>
      </w:r>
      <w:r w:rsidRPr="009656BF">
        <w:rPr>
          <w:rFonts w:ascii="Calibri Light" w:hAnsi="Calibri Light" w:cs="Calibri Light"/>
        </w:rPr>
        <w:t> since the early 2000s, when</w:t>
      </w:r>
      <w:r w:rsidR="00850A8B">
        <w:rPr>
          <w:rFonts w:ascii="Calibri Light" w:hAnsi="Calibri Light" w:cs="Calibri Light"/>
        </w:rPr>
        <w:t xml:space="preserve"> the</w:t>
      </w:r>
      <w:r w:rsidRPr="009656BF">
        <w:rPr>
          <w:rFonts w:ascii="Calibri Light" w:hAnsi="Calibri Light" w:cs="Calibri Light"/>
        </w:rPr>
        <w:t xml:space="preserve"> Gambling Act 2003 (hereafter “the Act”) significantly changed the industry’s regulatory environment and declared gambling to be a public health concern (Adams, Raeburn</w:t>
      </w:r>
      <w:r w:rsidR="00DD49C0">
        <w:rPr>
          <w:rFonts w:ascii="Calibri Light" w:hAnsi="Calibri Light" w:cs="Calibri Light"/>
        </w:rPr>
        <w:t xml:space="preserve"> </w:t>
      </w:r>
      <w:r w:rsidR="00DD49C0">
        <w:t xml:space="preserve">&amp; </w:t>
      </w:r>
      <w:r w:rsidRPr="009656BF">
        <w:rPr>
          <w:rFonts w:ascii="Calibri Light" w:hAnsi="Calibri Light" w:cs="Calibri Light"/>
        </w:rPr>
        <w:t xml:space="preserve">De Silva, 2009).  </w:t>
      </w:r>
      <w:r w:rsidR="00121017">
        <w:rPr>
          <w:rFonts w:ascii="Calibri Light" w:hAnsi="Calibri Light" w:cs="Calibri Light"/>
        </w:rPr>
        <w:t>T</w:t>
      </w:r>
      <w:r w:rsidR="00EC1B31" w:rsidRPr="009656BF">
        <w:rPr>
          <w:rFonts w:ascii="Calibri Light" w:hAnsi="Calibri Light" w:cs="Calibri Light"/>
        </w:rPr>
        <w:t xml:space="preserve">he Act </w:t>
      </w:r>
      <w:r w:rsidR="00EC1B31">
        <w:rPr>
          <w:rFonts w:ascii="Calibri Light" w:hAnsi="Calibri Light" w:cs="Calibri Light"/>
        </w:rPr>
        <w:t xml:space="preserve">has </w:t>
      </w:r>
      <w:r w:rsidRPr="009656BF">
        <w:rPr>
          <w:rFonts w:ascii="Calibri Light" w:hAnsi="Calibri Light" w:cs="Calibri Light"/>
        </w:rPr>
        <w:t>several explicit purposes, including controlling growth in gambling; minimising community harm; clarifying legal versus prohibited gambling; and ensuring that gambling proceeds benefit the community.</w:t>
      </w:r>
    </w:p>
    <w:p w14:paraId="5034BEBF" w14:textId="5DF56191" w:rsidR="006A2DC5" w:rsidRPr="009656BF" w:rsidRDefault="006A2DC5" w:rsidP="003874CC">
      <w:pPr>
        <w:spacing w:after="240" w:line="312" w:lineRule="auto"/>
        <w:jc w:val="both"/>
        <w:rPr>
          <w:rFonts w:ascii="Calibri Light" w:hAnsi="Calibri Light" w:cs="Calibri Light"/>
        </w:rPr>
      </w:pPr>
      <w:r w:rsidRPr="009656BF">
        <w:rPr>
          <w:rFonts w:ascii="Calibri Light" w:hAnsi="Calibri Light" w:cs="Calibri Light"/>
        </w:rPr>
        <w:t xml:space="preserve">Importantly, the Act also clarified regulatory agency roles. The Department of Internal Affairs (DIA) </w:t>
      </w:r>
      <w:r w:rsidR="009B41D2">
        <w:rPr>
          <w:rFonts w:ascii="Calibri Light" w:hAnsi="Calibri Light" w:cs="Calibri Light"/>
        </w:rPr>
        <w:t>is</w:t>
      </w:r>
      <w:r w:rsidRPr="009656BF">
        <w:rPr>
          <w:rFonts w:ascii="Calibri Light" w:hAnsi="Calibri Light" w:cs="Calibri Light"/>
        </w:rPr>
        <w:t xml:space="preserve"> responsible for all forms of gambling law enforcement, while the </w:t>
      </w:r>
      <w:r w:rsidR="00EA0119">
        <w:rPr>
          <w:rFonts w:ascii="Calibri Light" w:hAnsi="Calibri Light" w:cs="Calibri Light"/>
        </w:rPr>
        <w:t>Ministry of Health (</w:t>
      </w:r>
      <w:proofErr w:type="spellStart"/>
      <w:r w:rsidRPr="009656BF">
        <w:rPr>
          <w:rFonts w:ascii="Calibri Light" w:hAnsi="Calibri Light" w:cs="Calibri Light"/>
        </w:rPr>
        <w:t>M</w:t>
      </w:r>
      <w:r w:rsidR="00A24341" w:rsidRPr="009656BF">
        <w:rPr>
          <w:rFonts w:ascii="Calibri Light" w:hAnsi="Calibri Light" w:cs="Calibri Light"/>
        </w:rPr>
        <w:t>o</w:t>
      </w:r>
      <w:r w:rsidRPr="009656BF">
        <w:rPr>
          <w:rFonts w:ascii="Calibri Light" w:hAnsi="Calibri Light" w:cs="Calibri Light"/>
        </w:rPr>
        <w:t>H</w:t>
      </w:r>
      <w:proofErr w:type="spellEnd"/>
      <w:r w:rsidR="00EA0119">
        <w:rPr>
          <w:rFonts w:ascii="Calibri Light" w:hAnsi="Calibri Light" w:cs="Calibri Light"/>
        </w:rPr>
        <w:t>)</w:t>
      </w:r>
      <w:r w:rsidRPr="009656BF">
        <w:rPr>
          <w:rFonts w:ascii="Calibri Light" w:hAnsi="Calibri Light" w:cs="Calibri Light"/>
        </w:rPr>
        <w:t xml:space="preserve"> </w:t>
      </w:r>
      <w:r w:rsidR="007B3D1A">
        <w:rPr>
          <w:rFonts w:ascii="Calibri Light" w:hAnsi="Calibri Light" w:cs="Calibri Light"/>
        </w:rPr>
        <w:t>i</w:t>
      </w:r>
      <w:r w:rsidRPr="009656BF">
        <w:rPr>
          <w:rFonts w:ascii="Calibri Light" w:hAnsi="Calibri Light" w:cs="Calibri Light"/>
        </w:rPr>
        <w:t xml:space="preserve">s tasked with organising and funding NZ’s approach to addressing problem gambling. As part of their role, </w:t>
      </w:r>
      <w:r w:rsidR="00430A29">
        <w:rPr>
          <w:rFonts w:ascii="Calibri Light" w:hAnsi="Calibri Light" w:cs="Calibri Light"/>
        </w:rPr>
        <w:t xml:space="preserve">the </w:t>
      </w:r>
      <w:proofErr w:type="spellStart"/>
      <w:r w:rsidRPr="009656BF">
        <w:rPr>
          <w:rFonts w:ascii="Calibri Light" w:hAnsi="Calibri Light" w:cs="Calibri Light"/>
        </w:rPr>
        <w:t>M</w:t>
      </w:r>
      <w:r w:rsidR="00A24341" w:rsidRPr="009656BF">
        <w:rPr>
          <w:rFonts w:ascii="Calibri Light" w:hAnsi="Calibri Light" w:cs="Calibri Light"/>
        </w:rPr>
        <w:t>o</w:t>
      </w:r>
      <w:r w:rsidRPr="009656BF">
        <w:rPr>
          <w:rFonts w:ascii="Calibri Light" w:hAnsi="Calibri Light" w:cs="Calibri Light"/>
        </w:rPr>
        <w:t>H</w:t>
      </w:r>
      <w:proofErr w:type="spellEnd"/>
      <w:r w:rsidRPr="009656BF">
        <w:rPr>
          <w:rFonts w:ascii="Calibri Light" w:hAnsi="Calibri Light" w:cs="Calibri Light"/>
        </w:rPr>
        <w:t xml:space="preserve"> </w:t>
      </w:r>
      <w:r w:rsidR="007B3D1A">
        <w:rPr>
          <w:rFonts w:ascii="Calibri Light" w:hAnsi="Calibri Light" w:cs="Calibri Light"/>
        </w:rPr>
        <w:t>i</w:t>
      </w:r>
      <w:r w:rsidRPr="009656BF">
        <w:rPr>
          <w:rFonts w:ascii="Calibri Light" w:hAnsi="Calibri Light" w:cs="Calibri Light"/>
        </w:rPr>
        <w:t>s required to regularly develop strategic plans focused on preventing and minimising gambling harm in NZ. This study is intended to contribute to the scientific research and evaluation requirement of the latest strategic plan.  </w:t>
      </w:r>
      <w:r w:rsidRPr="009656BF">
        <w:rPr>
          <w:rStyle w:val="eop"/>
          <w:rFonts w:ascii="Calibri Light" w:hAnsi="Calibri Light" w:cs="Calibri Light"/>
        </w:rPr>
        <w:t> </w:t>
      </w:r>
    </w:p>
    <w:p w14:paraId="12867976" w14:textId="0BC77205" w:rsidR="006A2DC5" w:rsidRPr="009656BF" w:rsidRDefault="006A2DC5" w:rsidP="003874CC">
      <w:pPr>
        <w:spacing w:after="240" w:line="312" w:lineRule="auto"/>
        <w:jc w:val="both"/>
        <w:rPr>
          <w:rFonts w:ascii="Calibri Light" w:hAnsi="Calibri Light" w:cs="Calibri Light"/>
        </w:rPr>
      </w:pPr>
      <w:r w:rsidRPr="009656BF">
        <w:rPr>
          <w:rFonts w:ascii="Calibri Light" w:hAnsi="Calibri Light" w:cs="Calibri Light"/>
        </w:rPr>
        <w:t xml:space="preserve">The </w:t>
      </w:r>
      <w:proofErr w:type="gramStart"/>
      <w:r w:rsidRPr="009656BF">
        <w:rPr>
          <w:rFonts w:ascii="Calibri Light" w:hAnsi="Calibri Light" w:cs="Calibri Light"/>
        </w:rPr>
        <w:t xml:space="preserve">Act  </w:t>
      </w:r>
      <w:r w:rsidR="000F72B0" w:rsidRPr="009656BF">
        <w:rPr>
          <w:rFonts w:ascii="Calibri Light" w:hAnsi="Calibri Light" w:cs="Calibri Light"/>
        </w:rPr>
        <w:t>defined</w:t>
      </w:r>
      <w:proofErr w:type="gramEnd"/>
      <w:r w:rsidR="000F72B0" w:rsidRPr="009656BF">
        <w:rPr>
          <w:rFonts w:ascii="Calibri Light" w:hAnsi="Calibri Light" w:cs="Calibri Light"/>
        </w:rPr>
        <w:t xml:space="preserve"> </w:t>
      </w:r>
      <w:r w:rsidR="007E5A66" w:rsidRPr="009656BF">
        <w:rPr>
          <w:rFonts w:ascii="Calibri Light" w:hAnsi="Calibri Light" w:cs="Calibri Light"/>
        </w:rPr>
        <w:t>Class 4 ga</w:t>
      </w:r>
      <w:r w:rsidR="00846432">
        <w:rPr>
          <w:rFonts w:ascii="Calibri Light" w:hAnsi="Calibri Light" w:cs="Calibri Light"/>
        </w:rPr>
        <w:t>mbling</w:t>
      </w:r>
      <w:r w:rsidR="007E5A66" w:rsidRPr="009656BF">
        <w:rPr>
          <w:rFonts w:ascii="Calibri Light" w:hAnsi="Calibri Light" w:cs="Calibri Light"/>
        </w:rPr>
        <w:t xml:space="preserve"> as operating EGMs in a non-casino venue, such as in pubs and clubs.</w:t>
      </w:r>
      <w:r w:rsidR="007E5A66" w:rsidRPr="009656BF">
        <w:rPr>
          <w:rStyle w:val="FootnoteReference"/>
          <w:rFonts w:ascii="Calibri Light" w:hAnsi="Calibri Light" w:cs="Calibri Light"/>
        </w:rPr>
        <w:footnoteReference w:id="5"/>
      </w:r>
      <w:r w:rsidR="007E5A66">
        <w:rPr>
          <w:rFonts w:ascii="Calibri Light" w:hAnsi="Calibri Light" w:cs="Calibri Light"/>
        </w:rPr>
        <w:t xml:space="preserve"> </w:t>
      </w:r>
      <w:r w:rsidRPr="009656BF">
        <w:rPr>
          <w:rFonts w:ascii="Calibri Light" w:hAnsi="Calibri Light" w:cs="Calibri Light"/>
        </w:rPr>
        <w:t>Several studies have found that Class 4 gam</w:t>
      </w:r>
      <w:r w:rsidR="00846432">
        <w:rPr>
          <w:rFonts w:ascii="Calibri Light" w:hAnsi="Calibri Light" w:cs="Calibri Light"/>
        </w:rPr>
        <w:t>bl</w:t>
      </w:r>
      <w:r w:rsidRPr="009656BF">
        <w:rPr>
          <w:rFonts w:ascii="Calibri Light" w:hAnsi="Calibri Light" w:cs="Calibri Light"/>
        </w:rPr>
        <w:t>ing is the most common form of gambling associated with pathological or problem gambling behaviour (Dowling, Smith</w:t>
      </w:r>
      <w:r w:rsidR="003053E3">
        <w:rPr>
          <w:rFonts w:ascii="Calibri Light" w:hAnsi="Calibri Light" w:cs="Calibri Light"/>
        </w:rPr>
        <w:t xml:space="preserve"> </w:t>
      </w:r>
      <w:r w:rsidR="003053E3">
        <w:t xml:space="preserve">&amp; </w:t>
      </w:r>
      <w:r w:rsidRPr="009656BF">
        <w:rPr>
          <w:rFonts w:ascii="Calibri Light" w:hAnsi="Calibri Light" w:cs="Calibri Light"/>
        </w:rPr>
        <w:t>Thomas, 2005; Abbott, 2006; Storer, Abbott</w:t>
      </w:r>
      <w:r w:rsidR="003053E3">
        <w:rPr>
          <w:rFonts w:ascii="Calibri Light" w:hAnsi="Calibri Light" w:cs="Calibri Light"/>
        </w:rPr>
        <w:t xml:space="preserve"> </w:t>
      </w:r>
      <w:r w:rsidR="003053E3">
        <w:t>&amp;</w:t>
      </w:r>
      <w:r w:rsidRPr="009656BF">
        <w:rPr>
          <w:rFonts w:ascii="Calibri Light" w:hAnsi="Calibri Light" w:cs="Calibri Light"/>
        </w:rPr>
        <w:t xml:space="preserve"> Stubbs, 2009).  </w:t>
      </w:r>
    </w:p>
    <w:p w14:paraId="3951A3DD" w14:textId="4EC16B52" w:rsidR="00B241C8" w:rsidRPr="009656BF" w:rsidRDefault="004304A7" w:rsidP="003874CC">
      <w:pPr>
        <w:spacing w:after="240" w:line="312" w:lineRule="auto"/>
        <w:jc w:val="both"/>
        <w:rPr>
          <w:rFonts w:ascii="Calibri Light" w:hAnsi="Calibri Light" w:cs="Calibri Light"/>
        </w:rPr>
      </w:pPr>
      <w:r w:rsidRPr="009656BF">
        <w:rPr>
          <w:rFonts w:ascii="Calibri Light" w:hAnsi="Calibri Light" w:cs="Calibri Light"/>
        </w:rPr>
        <w:t xml:space="preserve">Most relevant to the present analysis, the Act established limits on the number of EGMs that could be licensed within any Class 4 venue.  Specifically, the Act </w:t>
      </w:r>
      <w:r w:rsidR="003F618F" w:rsidRPr="009656BF">
        <w:rPr>
          <w:rFonts w:ascii="Calibri Light" w:hAnsi="Calibri Light" w:cs="Calibri Light"/>
        </w:rPr>
        <w:t>limit</w:t>
      </w:r>
      <w:r w:rsidR="003F618F">
        <w:rPr>
          <w:rFonts w:ascii="Calibri Light" w:hAnsi="Calibri Light" w:cs="Calibri Light"/>
        </w:rPr>
        <w:t>s</w:t>
      </w:r>
      <w:r w:rsidR="003F618F" w:rsidRPr="009656BF">
        <w:rPr>
          <w:rFonts w:ascii="Calibri Light" w:hAnsi="Calibri Light" w:cs="Calibri Light"/>
        </w:rPr>
        <w:t xml:space="preserve"> </w:t>
      </w:r>
      <w:r w:rsidRPr="009656BF">
        <w:rPr>
          <w:rFonts w:ascii="Calibri Light" w:hAnsi="Calibri Light" w:cs="Calibri Light"/>
        </w:rPr>
        <w:t>the number of EGMs to 18 per venue if a gam</w:t>
      </w:r>
      <w:r w:rsidR="003E6365">
        <w:rPr>
          <w:rFonts w:ascii="Calibri Light" w:hAnsi="Calibri Light" w:cs="Calibri Light"/>
        </w:rPr>
        <w:t>bl</w:t>
      </w:r>
      <w:r w:rsidRPr="009656BF">
        <w:rPr>
          <w:rFonts w:ascii="Calibri Light" w:hAnsi="Calibri Light" w:cs="Calibri Light"/>
        </w:rPr>
        <w:t xml:space="preserve">ing license was granted before 17 October 2001, and </w:t>
      </w:r>
      <w:r w:rsidR="00622C51">
        <w:rPr>
          <w:rFonts w:ascii="Calibri Light" w:hAnsi="Calibri Light" w:cs="Calibri Light"/>
        </w:rPr>
        <w:t>9</w:t>
      </w:r>
      <w:r w:rsidRPr="009656BF">
        <w:rPr>
          <w:rFonts w:ascii="Calibri Light" w:hAnsi="Calibri Light" w:cs="Calibri Light"/>
        </w:rPr>
        <w:t xml:space="preserve"> per venue </w:t>
      </w:r>
      <w:r w:rsidR="001526BF" w:rsidRPr="009656BF">
        <w:rPr>
          <w:rFonts w:ascii="Calibri Light" w:hAnsi="Calibri Light" w:cs="Calibri Light"/>
        </w:rPr>
        <w:t>i</w:t>
      </w:r>
      <w:r w:rsidRPr="009656BF">
        <w:rPr>
          <w:rFonts w:ascii="Calibri Light" w:hAnsi="Calibri Light" w:cs="Calibri Light"/>
        </w:rPr>
        <w:t xml:space="preserve">f </w:t>
      </w:r>
      <w:r w:rsidR="001526BF" w:rsidRPr="009656BF">
        <w:rPr>
          <w:rFonts w:ascii="Calibri Light" w:hAnsi="Calibri Light" w:cs="Calibri Light"/>
        </w:rPr>
        <w:t>a</w:t>
      </w:r>
      <w:r w:rsidRPr="009656BF">
        <w:rPr>
          <w:rFonts w:ascii="Calibri Light" w:hAnsi="Calibri Light" w:cs="Calibri Light"/>
        </w:rPr>
        <w:t xml:space="preserve"> license was granted later. These restrictions provide a baseline level of Class 4 regulations applying to all </w:t>
      </w:r>
      <w:r w:rsidR="001526BF" w:rsidRPr="009656BF">
        <w:rPr>
          <w:rFonts w:ascii="Calibri Light" w:hAnsi="Calibri Light" w:cs="Calibri Light"/>
        </w:rPr>
        <w:t xml:space="preserve">TAs </w:t>
      </w:r>
      <w:r w:rsidRPr="009656BF">
        <w:rPr>
          <w:rFonts w:ascii="Calibri Light" w:hAnsi="Calibri Light" w:cs="Calibri Light"/>
        </w:rPr>
        <w:t xml:space="preserve">in NZ. </w:t>
      </w:r>
    </w:p>
    <w:p w14:paraId="38A60B42" w14:textId="61EE889C" w:rsidR="00C50188" w:rsidRPr="009656BF" w:rsidRDefault="001526BF" w:rsidP="003874CC">
      <w:pPr>
        <w:spacing w:after="240" w:line="312" w:lineRule="auto"/>
        <w:jc w:val="both"/>
        <w:rPr>
          <w:rFonts w:ascii="Calibri Light" w:hAnsi="Calibri Light" w:cs="Calibri Light"/>
        </w:rPr>
      </w:pPr>
      <w:r w:rsidRPr="009656BF">
        <w:rPr>
          <w:rFonts w:ascii="Calibri Light" w:hAnsi="Calibri Light" w:cs="Calibri Light"/>
        </w:rPr>
        <w:t>Since the</w:t>
      </w:r>
      <w:r w:rsidR="00B241C8" w:rsidRPr="009656BF">
        <w:rPr>
          <w:rFonts w:ascii="Calibri Light" w:hAnsi="Calibri Light" w:cs="Calibri Light"/>
        </w:rPr>
        <w:t xml:space="preserve"> introduction of the Act</w:t>
      </w:r>
      <w:r w:rsidRPr="009656BF">
        <w:rPr>
          <w:rFonts w:ascii="Calibri Light" w:hAnsi="Calibri Light" w:cs="Calibri Light"/>
        </w:rPr>
        <w:t xml:space="preserve">, many TAs </w:t>
      </w:r>
      <w:r w:rsidR="00B241C8" w:rsidRPr="009656BF">
        <w:rPr>
          <w:rFonts w:ascii="Calibri Light" w:hAnsi="Calibri Light" w:cs="Calibri Light"/>
        </w:rPr>
        <w:t xml:space="preserve">have </w:t>
      </w:r>
      <w:r w:rsidRPr="009656BF">
        <w:rPr>
          <w:rFonts w:ascii="Calibri Light" w:hAnsi="Calibri Light" w:cs="Calibri Light"/>
        </w:rPr>
        <w:t>put in place stricter limits on EGMs and Class 4 venues.</w:t>
      </w:r>
      <w:r w:rsidR="004304A7" w:rsidRPr="009656BF">
        <w:rPr>
          <w:rFonts w:ascii="Calibri Light" w:hAnsi="Calibri Light" w:cs="Calibri Light"/>
        </w:rPr>
        <w:t xml:space="preserve"> </w:t>
      </w:r>
      <w:r w:rsidR="001862BF" w:rsidRPr="009656BF">
        <w:rPr>
          <w:rFonts w:ascii="Calibri Light" w:hAnsi="Calibri Light" w:cs="Calibri Light"/>
        </w:rPr>
        <w:t>There are</w:t>
      </w:r>
      <w:r w:rsidRPr="009656BF">
        <w:rPr>
          <w:rFonts w:ascii="Calibri Light" w:hAnsi="Calibri Light" w:cs="Calibri Light"/>
        </w:rPr>
        <w:t xml:space="preserve"> three types of such policies: absolute caps on the number of EGMs or Class 4 venues within a TA; per capita caps on EGMs or Class 4 venues within a TA; and sinking lid policies, wherein EGM licenses are non-transferable, and so Class 4 venue closures or relocations serve to permanently lower the absolute cap on EGMs within the TA. Sinking lid policies are the strictest of these measures. </w:t>
      </w:r>
    </w:p>
    <w:p w14:paraId="1858F5BC" w14:textId="584D0F3D" w:rsidR="004657C0" w:rsidRPr="009656BF" w:rsidRDefault="004657C0" w:rsidP="003874CC">
      <w:pPr>
        <w:spacing w:after="240" w:line="312" w:lineRule="auto"/>
        <w:jc w:val="both"/>
        <w:rPr>
          <w:rFonts w:ascii="Calibri Light" w:hAnsi="Calibri Light" w:cs="Calibri Light"/>
        </w:rPr>
      </w:pPr>
      <w:r w:rsidRPr="009656BF">
        <w:rPr>
          <w:rFonts w:ascii="Calibri Light" w:hAnsi="Calibri Light" w:cs="Calibri Light"/>
        </w:rPr>
        <w:t>TAs are also required to revisit their Class 4 gam</w:t>
      </w:r>
      <w:r w:rsidR="00F36B02">
        <w:rPr>
          <w:rFonts w:ascii="Calibri Light" w:hAnsi="Calibri Light" w:cs="Calibri Light"/>
        </w:rPr>
        <w:t>bl</w:t>
      </w:r>
      <w:r w:rsidRPr="009656BF">
        <w:rPr>
          <w:rFonts w:ascii="Calibri Light" w:hAnsi="Calibri Light" w:cs="Calibri Light"/>
        </w:rPr>
        <w:t xml:space="preserve">ing policies every three years.  </w:t>
      </w:r>
      <w:r w:rsidR="00905126" w:rsidRPr="009656BF">
        <w:rPr>
          <w:rFonts w:ascii="Calibri Light" w:hAnsi="Calibri Light" w:cs="Calibri Light"/>
        </w:rPr>
        <w:t xml:space="preserve">Consequently, NZ provides a good case study to understand the impact of local government policy responses to problem </w:t>
      </w:r>
      <w:r w:rsidR="00905126" w:rsidRPr="009656BF">
        <w:rPr>
          <w:rFonts w:ascii="Calibri Light" w:hAnsi="Calibri Light" w:cs="Calibri Light"/>
        </w:rPr>
        <w:lastRenderedPageBreak/>
        <w:t xml:space="preserve">gambling, as </w:t>
      </w:r>
      <w:r w:rsidR="00F874F0">
        <w:rPr>
          <w:rFonts w:ascii="Calibri Light" w:hAnsi="Calibri Light" w:cs="Calibri Light"/>
        </w:rPr>
        <w:t>there is</w:t>
      </w:r>
      <w:r w:rsidR="00905126" w:rsidRPr="009656BF">
        <w:rPr>
          <w:rFonts w:ascii="Calibri Light" w:hAnsi="Calibri Light" w:cs="Calibri Light"/>
        </w:rPr>
        <w:t xml:space="preserve"> both geographical</w:t>
      </w:r>
      <w:r w:rsidR="00075A10" w:rsidRPr="009656BF">
        <w:rPr>
          <w:rFonts w:ascii="Calibri Light" w:hAnsi="Calibri Light" w:cs="Calibri Light"/>
        </w:rPr>
        <w:t xml:space="preserve"> and time variation in policies. This permits the use of quasi-experimental methods to estimate the causal impacts of </w:t>
      </w:r>
      <w:r w:rsidR="007E420B" w:rsidRPr="009656BF">
        <w:rPr>
          <w:rFonts w:ascii="Calibri Light" w:hAnsi="Calibri Light" w:cs="Calibri Light"/>
        </w:rPr>
        <w:t xml:space="preserve">these policies on the number of Class 4 venues, </w:t>
      </w:r>
      <w:r w:rsidR="004B44C7" w:rsidRPr="009656BF">
        <w:rPr>
          <w:rFonts w:ascii="Calibri Light" w:hAnsi="Calibri Light" w:cs="Calibri Light"/>
        </w:rPr>
        <w:t xml:space="preserve">number of EGMs and </w:t>
      </w:r>
      <w:r w:rsidR="00ED2819">
        <w:rPr>
          <w:rFonts w:ascii="Calibri Light" w:hAnsi="Calibri Light" w:cs="Calibri Light"/>
        </w:rPr>
        <w:t>machine spending</w:t>
      </w:r>
      <w:r w:rsidR="004B44C7" w:rsidRPr="009656BF">
        <w:rPr>
          <w:rFonts w:ascii="Calibri Light" w:hAnsi="Calibri Light" w:cs="Calibri Light"/>
        </w:rPr>
        <w:t>.</w:t>
      </w:r>
    </w:p>
    <w:p w14:paraId="511CC866" w14:textId="7935218C" w:rsidR="001A674E" w:rsidRPr="00B5248D" w:rsidRDefault="00BE1ABB" w:rsidP="00EF003E">
      <w:pPr>
        <w:pStyle w:val="Heading2"/>
        <w:spacing w:after="240" w:line="312" w:lineRule="auto"/>
        <w:ind w:left="578" w:hanging="578"/>
        <w:jc w:val="both"/>
      </w:pPr>
      <w:bookmarkStart w:id="13" w:name="_Toc50033363"/>
      <w:bookmarkStart w:id="14" w:name="_Hlk41461268"/>
      <w:r>
        <w:rPr>
          <w:rFonts w:ascii="Calibri Light" w:hAnsi="Calibri Light" w:cs="Calibri Light"/>
        </w:rPr>
        <w:t xml:space="preserve">Theoretical </w:t>
      </w:r>
      <w:r w:rsidR="0051175A">
        <w:rPr>
          <w:rFonts w:ascii="Calibri Light" w:hAnsi="Calibri Light" w:cs="Calibri Light"/>
        </w:rPr>
        <w:t>framework</w:t>
      </w:r>
      <w:bookmarkEnd w:id="13"/>
    </w:p>
    <w:bookmarkEnd w:id="14"/>
    <w:p w14:paraId="5840DD06" w14:textId="36466D8B" w:rsidR="001A674E" w:rsidRPr="009656BF" w:rsidRDefault="001A674E" w:rsidP="00F0333B">
      <w:pPr>
        <w:spacing w:after="240" w:line="312" w:lineRule="auto"/>
        <w:jc w:val="both"/>
        <w:rPr>
          <w:rFonts w:ascii="Calibri Light" w:hAnsi="Calibri Light" w:cs="Calibri Light"/>
        </w:rPr>
      </w:pPr>
      <w:r w:rsidRPr="009656BF">
        <w:rPr>
          <w:rFonts w:ascii="Calibri Light" w:hAnsi="Calibri Light" w:cs="Calibri Light"/>
        </w:rPr>
        <w:t>There are four main theories that seek to understand gambling behaviour, its harm to the community, and potential interventions to reduce the prevalence of problem gambling. These are: 1) availability theory; 2) adaptation theory; 3) the mental health theory of addiction; and 4) the public health model of problem gambling.  These theories have shaped NZ’s public policy strategies</w:t>
      </w:r>
      <w:r w:rsidR="00F0333B">
        <w:rPr>
          <w:rFonts w:ascii="Calibri Light" w:hAnsi="Calibri Light" w:cs="Calibri Light"/>
        </w:rPr>
        <w:t xml:space="preserve"> for minimising </w:t>
      </w:r>
      <w:r w:rsidRPr="009656BF">
        <w:rPr>
          <w:rFonts w:ascii="Calibri Light" w:hAnsi="Calibri Light" w:cs="Calibri Light"/>
        </w:rPr>
        <w:t>harm associated with problem gambling</w:t>
      </w:r>
      <w:r w:rsidR="008F476A" w:rsidRPr="009656BF">
        <w:rPr>
          <w:rFonts w:ascii="Calibri Light" w:hAnsi="Calibri Light" w:cs="Calibri Light"/>
        </w:rPr>
        <w:t xml:space="preserve"> and are detailed below</w:t>
      </w:r>
      <w:r w:rsidRPr="009656BF">
        <w:rPr>
          <w:rFonts w:ascii="Calibri Light" w:hAnsi="Calibri Light" w:cs="Calibri Light"/>
        </w:rPr>
        <w:t>.</w:t>
      </w:r>
      <w:r w:rsidRPr="009656BF">
        <w:rPr>
          <w:rStyle w:val="eop"/>
          <w:rFonts w:ascii="Calibri Light" w:hAnsi="Calibri Light" w:cs="Calibri Light"/>
        </w:rPr>
        <w:t> </w:t>
      </w:r>
    </w:p>
    <w:p w14:paraId="177D663D" w14:textId="54B4BA10" w:rsidR="00807BCE" w:rsidRPr="009656BF" w:rsidRDefault="001A674E" w:rsidP="00CB11C8">
      <w:pPr>
        <w:spacing w:after="240" w:line="312" w:lineRule="auto"/>
        <w:jc w:val="both"/>
        <w:rPr>
          <w:rFonts w:ascii="Calibri Light" w:hAnsi="Calibri Light" w:cs="Calibri Light"/>
        </w:rPr>
      </w:pPr>
      <w:r w:rsidRPr="009656BF">
        <w:rPr>
          <w:rFonts w:ascii="Calibri Light" w:hAnsi="Calibri Light" w:cs="Calibri Light"/>
        </w:rPr>
        <w:t>The earliest </w:t>
      </w:r>
      <w:r w:rsidRPr="009656BF">
        <w:rPr>
          <w:lang w:eastAsia="en-NZ"/>
        </w:rPr>
        <w:t xml:space="preserve">theory of gambling behaviour is known as “availability theory” or </w:t>
      </w:r>
      <w:r w:rsidR="00A24341" w:rsidRPr="009656BF">
        <w:rPr>
          <w:lang w:eastAsia="en-NZ"/>
        </w:rPr>
        <w:t xml:space="preserve">as </w:t>
      </w:r>
      <w:r w:rsidRPr="009656BF">
        <w:rPr>
          <w:lang w:eastAsia="en-NZ"/>
        </w:rPr>
        <w:t>the “availability hypothesis”.  This theory holds that problem gambling is positively linked to exposure.  </w:t>
      </w:r>
      <w:r w:rsidR="000E6A5C" w:rsidRPr="009656BF">
        <w:rPr>
          <w:rFonts w:ascii="Calibri Light" w:hAnsi="Calibri Light" w:cs="Calibri Light"/>
        </w:rPr>
        <w:t>Early</w:t>
      </w:r>
      <w:r w:rsidR="00CB11C8">
        <w:rPr>
          <w:rFonts w:ascii="Calibri Light" w:hAnsi="Calibri Light" w:cs="Calibri Light"/>
        </w:rPr>
        <w:t xml:space="preserve"> research</w:t>
      </w:r>
      <w:r w:rsidR="000E6A5C" w:rsidRPr="009656BF">
        <w:rPr>
          <w:rFonts w:ascii="Calibri Light" w:hAnsi="Calibri Light" w:cs="Calibri Light"/>
        </w:rPr>
        <w:t xml:space="preserve"> examining the state-level legalisation of several new types of gambling in the United States during</w:t>
      </w:r>
      <w:r w:rsidR="00CB11C8">
        <w:rPr>
          <w:rFonts w:ascii="Calibri Light" w:hAnsi="Calibri Light" w:cs="Calibri Light"/>
        </w:rPr>
        <w:t xml:space="preserve"> the</w:t>
      </w:r>
      <w:r w:rsidR="000E6A5C" w:rsidRPr="009656BF">
        <w:rPr>
          <w:rFonts w:ascii="Calibri Light" w:hAnsi="Calibri Light" w:cs="Calibri Light"/>
        </w:rPr>
        <w:t xml:space="preserve"> 1980s and 1990s supported this hypothesis (</w:t>
      </w:r>
      <w:proofErr w:type="spellStart"/>
      <w:r w:rsidR="000E6A5C" w:rsidRPr="009656BF">
        <w:rPr>
          <w:rFonts w:ascii="Calibri Light" w:hAnsi="Calibri Light" w:cs="Calibri Light"/>
        </w:rPr>
        <w:t>Volberg</w:t>
      </w:r>
      <w:proofErr w:type="spellEnd"/>
      <w:r w:rsidR="000E6A5C" w:rsidRPr="009656BF">
        <w:rPr>
          <w:rFonts w:ascii="Calibri Light" w:hAnsi="Calibri Light" w:cs="Calibri Light"/>
        </w:rPr>
        <w:t xml:space="preserve">, 1994). </w:t>
      </w:r>
      <w:r w:rsidRPr="009656BF">
        <w:rPr>
          <w:lang w:eastAsia="en-NZ"/>
        </w:rPr>
        <w:t>As the opportunity to gamble</w:t>
      </w:r>
      <w:r w:rsidR="00CB11C8">
        <w:rPr>
          <w:lang w:eastAsia="en-NZ"/>
        </w:rPr>
        <w:t xml:space="preserve"> increases,</w:t>
      </w:r>
      <w:r w:rsidRPr="009656BF">
        <w:rPr>
          <w:lang w:eastAsia="en-NZ"/>
        </w:rPr>
        <w:t xml:space="preserve"> rates of pathological gambling</w:t>
      </w:r>
      <w:r w:rsidR="00422CE7" w:rsidRPr="009656BF">
        <w:rPr>
          <w:lang w:eastAsia="en-NZ"/>
        </w:rPr>
        <w:t xml:space="preserve"> also</w:t>
      </w:r>
      <w:r w:rsidR="00503615" w:rsidRPr="009656BF">
        <w:rPr>
          <w:lang w:eastAsia="en-NZ"/>
        </w:rPr>
        <w:t xml:space="preserve"> increase. Avai</w:t>
      </w:r>
      <w:r w:rsidR="00992736" w:rsidRPr="009656BF">
        <w:rPr>
          <w:lang w:eastAsia="en-NZ"/>
        </w:rPr>
        <w:t xml:space="preserve">lability theory therefore </w:t>
      </w:r>
      <w:r w:rsidRPr="009656BF">
        <w:rPr>
          <w:lang w:eastAsia="en-NZ"/>
        </w:rPr>
        <w:t xml:space="preserve">predicts that </w:t>
      </w:r>
      <w:r w:rsidR="00625736" w:rsidRPr="009656BF">
        <w:rPr>
          <w:lang w:eastAsia="en-NZ"/>
        </w:rPr>
        <w:t>restrictions on Class 4</w:t>
      </w:r>
      <w:r w:rsidRPr="009656BF">
        <w:rPr>
          <w:lang w:eastAsia="en-NZ"/>
        </w:rPr>
        <w:t xml:space="preserve"> gambling, </w:t>
      </w:r>
      <w:r w:rsidR="00625736" w:rsidRPr="009656BF">
        <w:rPr>
          <w:lang w:eastAsia="en-NZ"/>
        </w:rPr>
        <w:t>including a reduction in</w:t>
      </w:r>
      <w:r w:rsidRPr="009656BF">
        <w:rPr>
          <w:lang w:eastAsia="en-NZ"/>
        </w:rPr>
        <w:t> venues and/or EGMs (on a per capita basis</w:t>
      </w:r>
      <w:r w:rsidRPr="009656BF">
        <w:rPr>
          <w:rFonts w:ascii="Calibri Light" w:hAnsi="Calibri Light" w:cs="Calibri Light"/>
        </w:rPr>
        <w:t>),</w:t>
      </w:r>
      <w:r w:rsidR="00CB11C8">
        <w:rPr>
          <w:rFonts w:ascii="Calibri Light" w:hAnsi="Calibri Light" w:cs="Calibri Light"/>
        </w:rPr>
        <w:t xml:space="preserve"> will indefinitely</w:t>
      </w:r>
      <w:r w:rsidRPr="009656BF">
        <w:rPr>
          <w:rFonts w:ascii="Calibri Light" w:hAnsi="Calibri Light" w:cs="Calibri Light"/>
        </w:rPr>
        <w:t xml:space="preserve"> </w:t>
      </w:r>
      <w:r w:rsidR="00625736" w:rsidRPr="009656BF">
        <w:rPr>
          <w:rFonts w:ascii="Calibri Light" w:hAnsi="Calibri Light" w:cs="Calibri Light"/>
        </w:rPr>
        <w:t>decrease </w:t>
      </w:r>
      <w:r w:rsidRPr="009656BF">
        <w:rPr>
          <w:rFonts w:ascii="Calibri Light" w:hAnsi="Calibri Light" w:cs="Calibri Light"/>
        </w:rPr>
        <w:t xml:space="preserve">rates of problem gambling and associated harms.  </w:t>
      </w:r>
      <w:r w:rsidR="00807BCE" w:rsidRPr="009656BF">
        <w:rPr>
          <w:rFonts w:ascii="Calibri Light" w:hAnsi="Calibri Light" w:cs="Calibri Light"/>
        </w:rPr>
        <w:t xml:space="preserve">This theory drives our hypothesis that </w:t>
      </w:r>
      <w:r w:rsidR="006F3436" w:rsidRPr="009656BF">
        <w:rPr>
          <w:rFonts w:ascii="Calibri Light" w:hAnsi="Calibri Light" w:cs="Calibri Light"/>
        </w:rPr>
        <w:t xml:space="preserve">Class 4 gambling policies that lower </w:t>
      </w:r>
      <w:r w:rsidR="004910A5" w:rsidRPr="009656BF">
        <w:rPr>
          <w:rFonts w:ascii="Calibri Light" w:hAnsi="Calibri Light" w:cs="Calibri Light"/>
        </w:rPr>
        <w:t xml:space="preserve">or restrict </w:t>
      </w:r>
      <w:r w:rsidR="006F3436" w:rsidRPr="009656BF">
        <w:rPr>
          <w:rFonts w:ascii="Calibri Light" w:hAnsi="Calibri Light" w:cs="Calibri Light"/>
        </w:rPr>
        <w:t>the number of gaming machines</w:t>
      </w:r>
      <w:r w:rsidR="004910A5" w:rsidRPr="009656BF">
        <w:rPr>
          <w:rFonts w:ascii="Calibri Light" w:hAnsi="Calibri Light" w:cs="Calibri Light"/>
        </w:rPr>
        <w:t xml:space="preserve"> will ultimately lower the </w:t>
      </w:r>
      <w:r w:rsidR="003E6B00" w:rsidRPr="009656BF">
        <w:rPr>
          <w:rFonts w:ascii="Calibri Light" w:hAnsi="Calibri Light" w:cs="Calibri Light"/>
        </w:rPr>
        <w:t>rates of problem gambling in the affected community.</w:t>
      </w:r>
    </w:p>
    <w:p w14:paraId="7E848E2F" w14:textId="775CACA3" w:rsidR="007E1E0A" w:rsidRPr="009656BF" w:rsidRDefault="000E6A5C" w:rsidP="007052D5">
      <w:pPr>
        <w:spacing w:after="240" w:line="312" w:lineRule="auto"/>
        <w:jc w:val="both"/>
        <w:rPr>
          <w:rFonts w:ascii="Calibri Light" w:hAnsi="Calibri Light" w:cs="Calibri Light"/>
          <w:lang w:eastAsia="en-NZ"/>
        </w:rPr>
      </w:pPr>
      <w:r w:rsidRPr="009656BF">
        <w:rPr>
          <w:rFonts w:ascii="Calibri Light" w:hAnsi="Calibri Light" w:cs="Calibri Light"/>
        </w:rPr>
        <w:t>H</w:t>
      </w:r>
      <w:r w:rsidR="001A674E" w:rsidRPr="009656BF">
        <w:rPr>
          <w:rFonts w:ascii="Calibri Light" w:hAnsi="Calibri Light" w:cs="Calibri Light"/>
        </w:rPr>
        <w:t>owever</w:t>
      </w:r>
      <w:r w:rsidRPr="009656BF">
        <w:rPr>
          <w:rFonts w:ascii="Calibri Light" w:hAnsi="Calibri Light" w:cs="Calibri Light"/>
        </w:rPr>
        <w:t>,</w:t>
      </w:r>
      <w:r w:rsidR="001A674E" w:rsidRPr="009656BF">
        <w:rPr>
          <w:rFonts w:ascii="Calibri Light" w:hAnsi="Calibri Light" w:cs="Calibri Light"/>
        </w:rPr>
        <w:t xml:space="preserve"> research in </w:t>
      </w:r>
      <w:r w:rsidR="003A1E2C" w:rsidRPr="009656BF">
        <w:rPr>
          <w:rFonts w:ascii="Calibri Light" w:hAnsi="Calibri Light" w:cs="Calibri Light"/>
        </w:rPr>
        <w:t>NZ</w:t>
      </w:r>
      <w:r w:rsidR="001A674E" w:rsidRPr="009656BF">
        <w:rPr>
          <w:rFonts w:ascii="Calibri Light" w:hAnsi="Calibri Light" w:cs="Calibri Light"/>
        </w:rPr>
        <w:t xml:space="preserve"> suggests other mechanisms are </w:t>
      </w:r>
      <w:r w:rsidR="002D57D8">
        <w:rPr>
          <w:rFonts w:ascii="Calibri Light" w:hAnsi="Calibri Light" w:cs="Calibri Light"/>
        </w:rPr>
        <w:t xml:space="preserve">also </w:t>
      </w:r>
      <w:r w:rsidR="001A674E" w:rsidRPr="009656BF">
        <w:rPr>
          <w:rFonts w:ascii="Calibri Light" w:hAnsi="Calibri Light" w:cs="Calibri Light"/>
        </w:rPr>
        <w:t>at work (Abbott, 2006; Abbott,</w:t>
      </w:r>
      <w:r w:rsidR="00CB11C8">
        <w:rPr>
          <w:rFonts w:ascii="Calibri Light" w:hAnsi="Calibri Light" w:cs="Calibri Light"/>
        </w:rPr>
        <w:t xml:space="preserve"> 2017).</w:t>
      </w:r>
      <w:r w:rsidR="001A674E" w:rsidRPr="009656BF">
        <w:rPr>
          <w:rFonts w:ascii="Calibri Light" w:hAnsi="Calibri Light" w:cs="Calibri Light"/>
        </w:rPr>
        <w:t xml:space="preserve"> Abbott</w:t>
      </w:r>
      <w:r w:rsidR="001A674E" w:rsidRPr="009656BF">
        <w:rPr>
          <w:rFonts w:ascii="Calibri Light" w:hAnsi="Calibri Light" w:cs="Calibri Light"/>
          <w:lang w:eastAsia="en-NZ"/>
        </w:rPr>
        <w:t xml:space="preserve"> notes that three new types of gambling were legalised in </w:t>
      </w:r>
      <w:r w:rsidR="001B33C1" w:rsidRPr="009656BF">
        <w:rPr>
          <w:rFonts w:ascii="Calibri Light" w:hAnsi="Calibri Light" w:cs="Calibri Light"/>
          <w:lang w:eastAsia="en-NZ"/>
        </w:rPr>
        <w:t>NZ</w:t>
      </w:r>
      <w:r w:rsidR="001A674E" w:rsidRPr="009656BF">
        <w:rPr>
          <w:rFonts w:ascii="Calibri Light" w:hAnsi="Calibri Light" w:cs="Calibri Light"/>
          <w:lang w:eastAsia="en-NZ"/>
        </w:rPr>
        <w:t xml:space="preserve"> in the late 1980s: a national</w:t>
      </w:r>
      <w:r w:rsidR="007052D5">
        <w:rPr>
          <w:rFonts w:ascii="Calibri Light" w:hAnsi="Calibri Light" w:cs="Calibri Light"/>
          <w:lang w:eastAsia="en-NZ"/>
        </w:rPr>
        <w:t xml:space="preserve"> </w:t>
      </w:r>
      <w:r w:rsidR="001A674E" w:rsidRPr="009656BF">
        <w:rPr>
          <w:rFonts w:ascii="Calibri Light" w:hAnsi="Calibri Light" w:cs="Calibri Light"/>
          <w:lang w:eastAsia="en-NZ"/>
        </w:rPr>
        <w:t>lottery, instant lotteries (commonly known as scratch tickets), and EGMs. Data</w:t>
      </w:r>
      <w:r w:rsidR="00E36E3B">
        <w:rPr>
          <w:rFonts w:ascii="Calibri Light" w:hAnsi="Calibri Light" w:cs="Calibri Light"/>
          <w:lang w:eastAsia="en-NZ"/>
        </w:rPr>
        <w:t xml:space="preserve"> suggests that</w:t>
      </w:r>
      <w:r w:rsidR="007052D5">
        <w:rPr>
          <w:rFonts w:ascii="Calibri Light" w:hAnsi="Calibri Light" w:cs="Calibri Light"/>
          <w:lang w:eastAsia="en-NZ"/>
        </w:rPr>
        <w:t xml:space="preserve"> </w:t>
      </w:r>
      <w:r w:rsidR="001A674E" w:rsidRPr="009656BF">
        <w:rPr>
          <w:rFonts w:ascii="Calibri Light" w:hAnsi="Calibri Light" w:cs="Calibri Light"/>
          <w:lang w:eastAsia="en-NZ"/>
        </w:rPr>
        <w:t>availability of new venues and forms of gambling</w:t>
      </w:r>
      <w:r w:rsidR="0024334B" w:rsidRPr="009656BF" w:rsidDel="0024334B">
        <w:rPr>
          <w:rFonts w:ascii="Calibri Light" w:hAnsi="Calibri Light" w:cs="Calibri Light"/>
          <w:lang w:eastAsia="en-NZ"/>
        </w:rPr>
        <w:t xml:space="preserve"> </w:t>
      </w:r>
      <w:r w:rsidR="001A674E" w:rsidRPr="009656BF">
        <w:rPr>
          <w:rFonts w:ascii="Calibri Light" w:hAnsi="Calibri Light" w:cs="Calibri Light"/>
          <w:lang w:eastAsia="en-NZ"/>
        </w:rPr>
        <w:t>was associated with increased participation in</w:t>
      </w:r>
      <w:r w:rsidR="0024334B">
        <w:rPr>
          <w:rFonts w:ascii="Calibri Light" w:hAnsi="Calibri Light" w:cs="Calibri Light"/>
          <w:lang w:eastAsia="en-NZ"/>
        </w:rPr>
        <w:t xml:space="preserve"> </w:t>
      </w:r>
      <w:r w:rsidR="001A674E" w:rsidRPr="009656BF">
        <w:rPr>
          <w:rFonts w:ascii="Calibri Light" w:hAnsi="Calibri Light" w:cs="Calibri Light"/>
          <w:lang w:eastAsia="en-NZ"/>
        </w:rPr>
        <w:t>gambling</w:t>
      </w:r>
      <w:r w:rsidRPr="009656BF">
        <w:rPr>
          <w:rFonts w:ascii="Calibri Light" w:hAnsi="Calibri Light" w:cs="Calibri Light"/>
          <w:lang w:eastAsia="en-NZ"/>
        </w:rPr>
        <w:t xml:space="preserve"> </w:t>
      </w:r>
      <w:r w:rsidR="008E751E">
        <w:rPr>
          <w:rFonts w:ascii="Calibri Light" w:hAnsi="Calibri Light" w:cs="Calibri Light"/>
          <w:lang w:eastAsia="en-NZ"/>
        </w:rPr>
        <w:t>initially</w:t>
      </w:r>
      <w:r w:rsidR="001A674E" w:rsidRPr="009656BF">
        <w:rPr>
          <w:rFonts w:ascii="Calibri Light" w:hAnsi="Calibri Light" w:cs="Calibri Light"/>
          <w:lang w:eastAsia="en-NZ"/>
        </w:rPr>
        <w:t>. However, this increase only continued for up to two years, after</w:t>
      </w:r>
      <w:r w:rsidR="0024334B">
        <w:rPr>
          <w:rFonts w:ascii="Calibri Light" w:hAnsi="Calibri Light" w:cs="Calibri Light"/>
          <w:lang w:eastAsia="en-NZ"/>
        </w:rPr>
        <w:t xml:space="preserve"> which</w:t>
      </w:r>
      <w:r w:rsidR="007052D5">
        <w:rPr>
          <w:rFonts w:ascii="Calibri Light" w:hAnsi="Calibri Light" w:cs="Calibri Light"/>
          <w:lang w:eastAsia="en-NZ"/>
        </w:rPr>
        <w:t xml:space="preserve"> </w:t>
      </w:r>
      <w:r w:rsidR="001A674E" w:rsidRPr="009656BF">
        <w:rPr>
          <w:rFonts w:ascii="Calibri Light" w:hAnsi="Calibri Light" w:cs="Calibri Light"/>
          <w:lang w:eastAsia="en-NZ"/>
        </w:rPr>
        <w:t>gambling participation declined.  This finding </w:t>
      </w:r>
      <w:r w:rsidR="002A06B8" w:rsidRPr="009656BF">
        <w:rPr>
          <w:rFonts w:ascii="Calibri Light" w:hAnsi="Calibri Light" w:cs="Calibri Light"/>
          <w:lang w:eastAsia="en-NZ"/>
        </w:rPr>
        <w:t>is</w:t>
      </w:r>
      <w:r w:rsidR="007052D5">
        <w:rPr>
          <w:rFonts w:ascii="Calibri Light" w:hAnsi="Calibri Light" w:cs="Calibri Light"/>
          <w:lang w:eastAsia="en-NZ"/>
        </w:rPr>
        <w:t xml:space="preserve"> </w:t>
      </w:r>
      <w:r w:rsidR="002A06B8" w:rsidRPr="009656BF">
        <w:rPr>
          <w:rFonts w:ascii="Calibri Light" w:hAnsi="Calibri Light" w:cs="Calibri Light"/>
          <w:lang w:eastAsia="en-NZ"/>
        </w:rPr>
        <w:t>consistent with</w:t>
      </w:r>
      <w:r w:rsidR="00D67943" w:rsidRPr="009656BF">
        <w:rPr>
          <w:rFonts w:ascii="Calibri Light" w:hAnsi="Calibri Light" w:cs="Calibri Light"/>
          <w:lang w:eastAsia="en-NZ"/>
        </w:rPr>
        <w:t xml:space="preserve"> the “adaptation theory” or “adaptation hypothesis”</w:t>
      </w:r>
      <w:r w:rsidR="001A674E" w:rsidRPr="009656BF">
        <w:rPr>
          <w:rFonts w:ascii="Calibri Light" w:hAnsi="Calibri Light" w:cs="Calibri Light"/>
          <w:lang w:eastAsia="en-NZ"/>
        </w:rPr>
        <w:t>.  This theory argues that gambling behaviour is influenced by several psychosocial and economic factors beyond availability, and that problem gambling behaviour may be influenced by public health interventions (Abbott, 2006)</w:t>
      </w:r>
      <w:r w:rsidR="007D5FFA" w:rsidRPr="009656BF">
        <w:rPr>
          <w:rFonts w:ascii="Calibri Light" w:hAnsi="Calibri Light" w:cs="Calibri Light"/>
          <w:lang w:eastAsia="en-NZ"/>
        </w:rPr>
        <w:t>.</w:t>
      </w:r>
      <w:r w:rsidR="00A674FB">
        <w:rPr>
          <w:rStyle w:val="FootnoteReference"/>
          <w:rFonts w:ascii="Calibri Light" w:hAnsi="Calibri Light" w:cs="Calibri Light"/>
          <w:lang w:eastAsia="en-NZ"/>
        </w:rPr>
        <w:footnoteReference w:id="6"/>
      </w:r>
      <w:r w:rsidR="001A674E" w:rsidRPr="009656BF">
        <w:rPr>
          <w:rFonts w:ascii="Calibri Light" w:hAnsi="Calibri Light" w:cs="Calibri Light"/>
          <w:lang w:eastAsia="en-NZ"/>
        </w:rPr>
        <w:t xml:space="preserve">   </w:t>
      </w:r>
    </w:p>
    <w:p w14:paraId="4B6C2591" w14:textId="58EAB77C" w:rsidR="001A674E" w:rsidRPr="009656BF" w:rsidRDefault="001A674E" w:rsidP="001F3446">
      <w:pPr>
        <w:spacing w:after="240" w:line="312" w:lineRule="auto"/>
        <w:jc w:val="both"/>
        <w:rPr>
          <w:lang w:eastAsia="en-NZ"/>
        </w:rPr>
      </w:pPr>
      <w:r w:rsidRPr="009656BF">
        <w:rPr>
          <w:lang w:eastAsia="en-NZ"/>
        </w:rPr>
        <w:t xml:space="preserve">Abbott (2017) </w:t>
      </w:r>
      <w:r w:rsidR="005B0D96" w:rsidRPr="009656BF">
        <w:rPr>
          <w:lang w:eastAsia="en-NZ"/>
        </w:rPr>
        <w:t xml:space="preserve">further </w:t>
      </w:r>
      <w:r w:rsidRPr="009656BF">
        <w:rPr>
          <w:lang w:eastAsia="en-NZ"/>
        </w:rPr>
        <w:t xml:space="preserve">notes that since 2000, gambling participation in </w:t>
      </w:r>
      <w:r w:rsidR="00E83451" w:rsidRPr="009656BF">
        <w:rPr>
          <w:lang w:eastAsia="en-NZ"/>
        </w:rPr>
        <w:t>NZ</w:t>
      </w:r>
      <w:r w:rsidRPr="009656BF">
        <w:rPr>
          <w:lang w:eastAsia="en-NZ"/>
        </w:rPr>
        <w:t> has continued to decrease, but rates of problem gambling have remained relatively constant</w:t>
      </w:r>
      <w:r w:rsidR="000E6A5C" w:rsidRPr="009656BF">
        <w:rPr>
          <w:lang w:eastAsia="en-NZ"/>
        </w:rPr>
        <w:t xml:space="preserve">. </w:t>
      </w:r>
      <w:r w:rsidRPr="009656BF">
        <w:rPr>
          <w:lang w:eastAsia="en-NZ"/>
        </w:rPr>
        <w:t xml:space="preserve">The author speculates that observed declines in gambling participation paired with steady rates of problem gambling may be driven by accumulation of the stock of problem gamblers over time, many of whom are at high risk of </w:t>
      </w:r>
      <w:r w:rsidRPr="009656BF">
        <w:rPr>
          <w:lang w:eastAsia="en-NZ"/>
        </w:rPr>
        <w:lastRenderedPageBreak/>
        <w:t xml:space="preserve">relapse. Abbott concludes that since the 1980s, patterns of gambling and problem gambling in </w:t>
      </w:r>
      <w:r w:rsidR="00B003C5" w:rsidRPr="009656BF">
        <w:rPr>
          <w:lang w:eastAsia="en-NZ"/>
        </w:rPr>
        <w:t xml:space="preserve">NZ </w:t>
      </w:r>
      <w:r w:rsidR="003239F2" w:rsidRPr="009656BF">
        <w:rPr>
          <w:lang w:eastAsia="en-NZ"/>
        </w:rPr>
        <w:t>are at odds with</w:t>
      </w:r>
      <w:r w:rsidRPr="009656BF">
        <w:rPr>
          <w:lang w:eastAsia="en-NZ"/>
        </w:rPr>
        <w:t xml:space="preserve"> features of both the availability and adaptation hypotheses.</w:t>
      </w:r>
      <w:r w:rsidR="000E6A5C" w:rsidRPr="009656BF">
        <w:rPr>
          <w:lang w:eastAsia="en-NZ"/>
        </w:rPr>
        <w:t xml:space="preserve"> The implication is that reducing EGMs or venues won’t be enough to prevent problem gambling and gambling related harms associated with EGMs, and other policy responses may also be necessary.</w:t>
      </w:r>
    </w:p>
    <w:p w14:paraId="51003ECF" w14:textId="7ABA0CA5" w:rsidR="00CD477C" w:rsidRPr="009656BF" w:rsidRDefault="001A674E" w:rsidP="003874CC">
      <w:pPr>
        <w:spacing w:after="240" w:line="312" w:lineRule="auto"/>
        <w:jc w:val="both"/>
        <w:rPr>
          <w:lang w:eastAsia="en-NZ"/>
        </w:rPr>
      </w:pPr>
      <w:r w:rsidRPr="009656BF">
        <w:rPr>
          <w:lang w:eastAsia="en-NZ"/>
        </w:rPr>
        <w:t>The third and fourth theories of gambling—the mental health and public health models, respectively—are </w:t>
      </w:r>
      <w:r w:rsidR="009A0EC9" w:rsidRPr="009656BF">
        <w:rPr>
          <w:lang w:eastAsia="en-NZ"/>
        </w:rPr>
        <w:t>also</w:t>
      </w:r>
      <w:r w:rsidR="000E6A5C" w:rsidRPr="009656BF">
        <w:rPr>
          <w:lang w:eastAsia="en-NZ"/>
        </w:rPr>
        <w:t> </w:t>
      </w:r>
      <w:r w:rsidRPr="009656BF">
        <w:rPr>
          <w:lang w:eastAsia="en-NZ"/>
        </w:rPr>
        <w:t>important drivers of public intervention strategies</w:t>
      </w:r>
      <w:r w:rsidR="00973614" w:rsidRPr="009656BF">
        <w:rPr>
          <w:lang w:eastAsia="en-NZ"/>
        </w:rPr>
        <w:t>.</w:t>
      </w:r>
      <w:r w:rsidRPr="009656BF">
        <w:rPr>
          <w:lang w:eastAsia="en-NZ"/>
        </w:rPr>
        <w:t>  With the publication of the Diagnostic and Statistical Model of Mental Disorder (DSM III) in 1980, the American Psychiatric Association first recognised “pathological gambling as a disorder of impulse control”</w:t>
      </w:r>
      <w:r w:rsidR="00B27AE7" w:rsidRPr="009656BF">
        <w:rPr>
          <w:lang w:eastAsia="en-NZ"/>
        </w:rPr>
        <w:t> (</w:t>
      </w:r>
      <w:proofErr w:type="spellStart"/>
      <w:r w:rsidR="00B27AE7" w:rsidRPr="009656BF">
        <w:rPr>
          <w:lang w:eastAsia="en-NZ"/>
        </w:rPr>
        <w:t>Lesieur</w:t>
      </w:r>
      <w:proofErr w:type="spellEnd"/>
      <w:r w:rsidR="00B27AE7" w:rsidRPr="009656BF">
        <w:rPr>
          <w:lang w:eastAsia="en-NZ"/>
        </w:rPr>
        <w:t> </w:t>
      </w:r>
      <w:r w:rsidR="00095381">
        <w:t>&amp;</w:t>
      </w:r>
      <w:r w:rsidR="00B27AE7" w:rsidRPr="009656BF">
        <w:rPr>
          <w:lang w:eastAsia="en-NZ"/>
        </w:rPr>
        <w:t xml:space="preserve"> Rosenthal, 1991</w:t>
      </w:r>
      <w:r w:rsidR="00CD477C" w:rsidRPr="009656BF">
        <w:rPr>
          <w:lang w:eastAsia="en-NZ"/>
        </w:rPr>
        <w:t xml:space="preserve">; </w:t>
      </w:r>
      <w:r w:rsidR="00CD477C" w:rsidRPr="009656BF">
        <w:t>American Psychiatric Association, 2013</w:t>
      </w:r>
      <w:r w:rsidRPr="009656BF">
        <w:rPr>
          <w:lang w:eastAsia="en-NZ"/>
        </w:rPr>
        <w:t>).  Since then, this theory has become widely recognised as a successful approach to diagnosing and treating pathological gambling</w:t>
      </w:r>
      <w:r w:rsidR="00DC5BBE" w:rsidRPr="009656BF">
        <w:rPr>
          <w:lang w:eastAsia="en-NZ"/>
        </w:rPr>
        <w:t xml:space="preserve">. </w:t>
      </w:r>
      <w:r w:rsidRPr="009656BF">
        <w:rPr>
          <w:lang w:eastAsia="en-NZ"/>
        </w:rPr>
        <w:t>While the mental health theory of addiction has been a useful lens through which to examine pathological gambling, it is not without its</w:t>
      </w:r>
      <w:r w:rsidRPr="009656BF">
        <w:rPr>
          <w:rFonts w:eastAsia="Times New Roman"/>
          <w:lang w:eastAsia="en-NZ"/>
        </w:rPr>
        <w:t xml:space="preserve"> </w:t>
      </w:r>
      <w:r w:rsidRPr="009656BF">
        <w:rPr>
          <w:lang w:eastAsia="en-NZ"/>
        </w:rPr>
        <w:t>criticisms</w:t>
      </w:r>
      <w:r w:rsidR="000E6A5C" w:rsidRPr="009656BF">
        <w:rPr>
          <w:lang w:eastAsia="en-NZ"/>
        </w:rPr>
        <w:t>, due to its focus on the individual</w:t>
      </w:r>
      <w:r w:rsidRPr="009656BF">
        <w:rPr>
          <w:lang w:eastAsia="en-NZ"/>
        </w:rPr>
        <w:t>.</w:t>
      </w:r>
    </w:p>
    <w:p w14:paraId="3F40C110" w14:textId="2C27B714" w:rsidR="00721AAC" w:rsidRPr="009656BF" w:rsidRDefault="001A674E" w:rsidP="003874CC">
      <w:pPr>
        <w:spacing w:after="240" w:line="312" w:lineRule="auto"/>
        <w:jc w:val="both"/>
        <w:rPr>
          <w:lang w:eastAsia="en-NZ"/>
        </w:rPr>
      </w:pPr>
      <w:r w:rsidRPr="00163491">
        <w:rPr>
          <w:lang w:eastAsia="en-NZ"/>
        </w:rPr>
        <w:t>The public health model of gambling, first described by Korn and Shaffer (1999), recognises the importance of the mental health model, but seeks to offer a more holistic approach, including harm minimisation.  Th</w:t>
      </w:r>
      <w:r w:rsidR="00721AAC" w:rsidRPr="00163491">
        <w:rPr>
          <w:lang w:eastAsia="en-NZ"/>
        </w:rPr>
        <w:t>is</w:t>
      </w:r>
      <w:r w:rsidRPr="00163491">
        <w:rPr>
          <w:lang w:eastAsia="en-NZ"/>
        </w:rPr>
        <w:t xml:space="preserve"> model </w:t>
      </w:r>
      <w:r w:rsidR="001B26C0" w:rsidRPr="00163491">
        <w:rPr>
          <w:lang w:eastAsia="en-NZ"/>
        </w:rPr>
        <w:t xml:space="preserve">targets the individual (problem gambler), the activity (gambling), the mechanism (EGMs) and the relevant environment (family, </w:t>
      </w:r>
      <w:proofErr w:type="gramStart"/>
      <w:r w:rsidR="001B26C0" w:rsidRPr="00163491">
        <w:rPr>
          <w:lang w:eastAsia="en-NZ"/>
        </w:rPr>
        <w:t>community</w:t>
      </w:r>
      <w:proofErr w:type="gramEnd"/>
      <w:r w:rsidR="001B26C0" w:rsidRPr="00163491">
        <w:rPr>
          <w:lang w:eastAsia="en-NZ"/>
        </w:rPr>
        <w:t xml:space="preserve"> and society, among others) </w:t>
      </w:r>
      <w:r w:rsidR="001A015A" w:rsidRPr="00163491">
        <w:rPr>
          <w:lang w:eastAsia="en-NZ"/>
        </w:rPr>
        <w:t>which contribute or could abate problem gambling and its related harms</w:t>
      </w:r>
      <w:r w:rsidR="00F677EB" w:rsidRPr="00163491">
        <w:rPr>
          <w:lang w:eastAsia="en-NZ"/>
        </w:rPr>
        <w:t xml:space="preserve"> (Abbott et al.</w:t>
      </w:r>
      <w:r w:rsidR="00016B61" w:rsidRPr="00163491">
        <w:rPr>
          <w:lang w:eastAsia="en-NZ"/>
        </w:rPr>
        <w:t>,</w:t>
      </w:r>
      <w:r w:rsidR="00F677EB" w:rsidRPr="00163491">
        <w:rPr>
          <w:lang w:eastAsia="en-NZ"/>
        </w:rPr>
        <w:t xml:space="preserve"> 2017)</w:t>
      </w:r>
      <w:r w:rsidR="001B26C0" w:rsidRPr="00163491">
        <w:rPr>
          <w:lang w:eastAsia="en-NZ"/>
        </w:rPr>
        <w:t xml:space="preserve">. </w:t>
      </w:r>
    </w:p>
    <w:p w14:paraId="4A666606" w14:textId="0AA54B70" w:rsidR="005C2274" w:rsidRPr="009656BF" w:rsidRDefault="007805D8" w:rsidP="003874CC">
      <w:pPr>
        <w:spacing w:after="240" w:line="312" w:lineRule="auto"/>
        <w:jc w:val="both"/>
        <w:rPr>
          <w:lang w:eastAsia="en-NZ"/>
        </w:rPr>
      </w:pPr>
      <w:r w:rsidRPr="009656BF">
        <w:rPr>
          <w:lang w:eastAsia="en-NZ"/>
        </w:rPr>
        <w:t xml:space="preserve">The broad scope of the public health model </w:t>
      </w:r>
      <w:r w:rsidR="001A674E" w:rsidRPr="009656BF">
        <w:rPr>
          <w:lang w:eastAsia="en-NZ"/>
        </w:rPr>
        <w:t>directly inform</w:t>
      </w:r>
      <w:r w:rsidR="00016B61" w:rsidRPr="009656BF">
        <w:rPr>
          <w:lang w:eastAsia="en-NZ"/>
        </w:rPr>
        <w:t>ed</w:t>
      </w:r>
      <w:r w:rsidR="001A674E" w:rsidRPr="009656BF">
        <w:rPr>
          <w:lang w:eastAsia="en-NZ"/>
        </w:rPr>
        <w:t xml:space="preserve"> the </w:t>
      </w:r>
      <w:proofErr w:type="spellStart"/>
      <w:r w:rsidR="00B27AE7" w:rsidRPr="009656BF">
        <w:rPr>
          <w:lang w:eastAsia="en-NZ"/>
        </w:rPr>
        <w:t>MoH</w:t>
      </w:r>
      <w:r w:rsidR="001A674E" w:rsidRPr="009656BF">
        <w:rPr>
          <w:lang w:eastAsia="en-NZ"/>
        </w:rPr>
        <w:t>’s</w:t>
      </w:r>
      <w:proofErr w:type="spellEnd"/>
      <w:r w:rsidR="001A674E" w:rsidRPr="009656BF">
        <w:rPr>
          <w:lang w:eastAsia="en-NZ"/>
        </w:rPr>
        <w:t> NZ Strategy to Prevent and Minimise Gambling Harm 2016/17 and 2018/</w:t>
      </w:r>
      <w:r w:rsidR="00016B61" w:rsidRPr="009656BF">
        <w:rPr>
          <w:lang w:eastAsia="en-NZ"/>
        </w:rPr>
        <w:t>1</w:t>
      </w:r>
      <w:r w:rsidR="001A674E" w:rsidRPr="009656BF">
        <w:rPr>
          <w:lang w:eastAsia="en-NZ"/>
        </w:rPr>
        <w:t>9</w:t>
      </w:r>
      <w:r w:rsidR="00226299" w:rsidRPr="009656BF">
        <w:rPr>
          <w:lang w:eastAsia="en-NZ"/>
        </w:rPr>
        <w:t>.</w:t>
      </w:r>
      <w:r w:rsidR="00F75072">
        <w:rPr>
          <w:rStyle w:val="FootnoteReference"/>
          <w:lang w:eastAsia="en-NZ"/>
        </w:rPr>
        <w:footnoteReference w:id="7"/>
      </w:r>
      <w:r w:rsidR="00721AAC" w:rsidRPr="009656BF">
        <w:rPr>
          <w:lang w:eastAsia="en-NZ"/>
        </w:rPr>
        <w:t xml:space="preserve"> </w:t>
      </w:r>
      <w:r w:rsidR="001A015A" w:rsidRPr="009656BF">
        <w:rPr>
          <w:lang w:eastAsia="en-NZ"/>
        </w:rPr>
        <w:t xml:space="preserve">The model </w:t>
      </w:r>
      <w:r w:rsidR="001E2735" w:rsidRPr="009656BF">
        <w:rPr>
          <w:lang w:eastAsia="en-NZ"/>
        </w:rPr>
        <w:t>also permits</w:t>
      </w:r>
      <w:r w:rsidR="001A015A" w:rsidRPr="009656BF">
        <w:rPr>
          <w:lang w:eastAsia="en-NZ"/>
        </w:rPr>
        <w:t xml:space="preserve"> policy makers to approach problem gambling minimisation from multiple levels</w:t>
      </w:r>
      <w:r w:rsidR="00BA21C2" w:rsidRPr="009656BF">
        <w:rPr>
          <w:lang w:eastAsia="en-NZ"/>
        </w:rPr>
        <w:t>. For instance,</w:t>
      </w:r>
      <w:r w:rsidR="001A015A" w:rsidRPr="009656BF">
        <w:rPr>
          <w:lang w:eastAsia="en-NZ"/>
        </w:rPr>
        <w:t xml:space="preserve"> by creating policies that help individual problem gamblers </w:t>
      </w:r>
      <w:r w:rsidR="00016B61" w:rsidRPr="009656BF">
        <w:rPr>
          <w:lang w:eastAsia="en-NZ"/>
        </w:rPr>
        <w:t>and</w:t>
      </w:r>
      <w:r w:rsidR="001A015A" w:rsidRPr="009656BF">
        <w:rPr>
          <w:lang w:eastAsia="en-NZ"/>
        </w:rPr>
        <w:t xml:space="preserve"> </w:t>
      </w:r>
      <w:r w:rsidR="00D04FC7" w:rsidRPr="009656BF">
        <w:rPr>
          <w:lang w:eastAsia="en-NZ"/>
        </w:rPr>
        <w:t xml:space="preserve">by </w:t>
      </w:r>
      <w:r w:rsidR="001A015A" w:rsidRPr="009656BF">
        <w:rPr>
          <w:lang w:eastAsia="en-NZ"/>
        </w:rPr>
        <w:t>implementing community-wide policies and programmes. The Class 4 gambling policies</w:t>
      </w:r>
      <w:r w:rsidR="00946800" w:rsidRPr="009656BF">
        <w:rPr>
          <w:lang w:eastAsia="en-NZ"/>
        </w:rPr>
        <w:t>,</w:t>
      </w:r>
      <w:r w:rsidR="001A015A" w:rsidRPr="009656BF">
        <w:rPr>
          <w:lang w:eastAsia="en-NZ"/>
        </w:rPr>
        <w:t xml:space="preserve"> enacted at the TA</w:t>
      </w:r>
      <w:r w:rsidR="00016B61" w:rsidRPr="009656BF">
        <w:rPr>
          <w:lang w:eastAsia="en-NZ"/>
        </w:rPr>
        <w:t>-</w:t>
      </w:r>
      <w:r w:rsidR="001A015A" w:rsidRPr="009656BF">
        <w:rPr>
          <w:lang w:eastAsia="en-NZ"/>
        </w:rPr>
        <w:t>level</w:t>
      </w:r>
      <w:r w:rsidR="00946800" w:rsidRPr="009656BF">
        <w:rPr>
          <w:lang w:eastAsia="en-NZ"/>
        </w:rPr>
        <w:t>,</w:t>
      </w:r>
      <w:r w:rsidR="001A015A" w:rsidRPr="009656BF">
        <w:rPr>
          <w:lang w:eastAsia="en-NZ"/>
        </w:rPr>
        <w:t xml:space="preserve"> are </w:t>
      </w:r>
      <w:r w:rsidR="00946800" w:rsidRPr="009656BF">
        <w:rPr>
          <w:lang w:eastAsia="en-NZ"/>
        </w:rPr>
        <w:t>a community approach to minimising gambling related harm associated with pokies.</w:t>
      </w:r>
      <w:r w:rsidR="005C2274" w:rsidRPr="009656BF">
        <w:t xml:space="preserve"> </w:t>
      </w:r>
    </w:p>
    <w:p w14:paraId="347EA69F" w14:textId="0BEBB3AA" w:rsidR="00BE4203" w:rsidRPr="009656BF" w:rsidRDefault="00B35B22" w:rsidP="003874CC">
      <w:pPr>
        <w:spacing w:after="240" w:line="312" w:lineRule="auto"/>
        <w:jc w:val="both"/>
        <w:rPr>
          <w:rFonts w:ascii="Calibri Light" w:hAnsi="Calibri Light" w:cs="Calibri Light"/>
          <w:lang w:eastAsia="en-NZ"/>
        </w:rPr>
      </w:pPr>
      <w:r w:rsidRPr="009656BF">
        <w:rPr>
          <w:rFonts w:ascii="Calibri Light" w:hAnsi="Calibri Light" w:cs="Calibri Light"/>
          <w:lang w:eastAsia="en-NZ"/>
        </w:rPr>
        <w:t>In t</w:t>
      </w:r>
      <w:r w:rsidR="004850FF" w:rsidRPr="009656BF">
        <w:rPr>
          <w:rFonts w:ascii="Calibri Light" w:hAnsi="Calibri Light" w:cs="Calibri Light"/>
          <w:lang w:eastAsia="en-NZ"/>
        </w:rPr>
        <w:t xml:space="preserve">erms of relevant NZ literature, </w:t>
      </w:r>
      <w:r w:rsidR="00BE4203" w:rsidRPr="009656BF">
        <w:rPr>
          <w:rFonts w:ascii="Calibri Light" w:hAnsi="Calibri Light" w:cs="Calibri Light"/>
          <w:lang w:eastAsia="en-NZ"/>
        </w:rPr>
        <w:t xml:space="preserve">there is little evidence </w:t>
      </w:r>
      <w:r w:rsidR="003C1E1D">
        <w:rPr>
          <w:rFonts w:ascii="Calibri Light" w:hAnsi="Calibri Light" w:cs="Calibri Light"/>
          <w:lang w:eastAsia="en-NZ"/>
        </w:rPr>
        <w:t>regarding</w:t>
      </w:r>
      <w:r w:rsidR="00BE4203" w:rsidRPr="009656BF">
        <w:rPr>
          <w:rFonts w:ascii="Calibri Light" w:hAnsi="Calibri Light" w:cs="Calibri Light"/>
          <w:lang w:eastAsia="en-NZ"/>
        </w:rPr>
        <w:t xml:space="preserve"> the effectiveness of Class 4 gambling policies.  In a descriptive analysis of sinking lid policies by the </w:t>
      </w:r>
      <w:proofErr w:type="spellStart"/>
      <w:r w:rsidR="00BE4203" w:rsidRPr="009656BF">
        <w:rPr>
          <w:rFonts w:ascii="Calibri Light" w:hAnsi="Calibri Light" w:cs="Calibri Light"/>
          <w:lang w:eastAsia="en-NZ"/>
        </w:rPr>
        <w:t>Sapere</w:t>
      </w:r>
      <w:proofErr w:type="spellEnd"/>
      <w:r w:rsidR="00BE4203" w:rsidRPr="009656BF">
        <w:rPr>
          <w:rFonts w:ascii="Calibri Light" w:hAnsi="Calibri Light" w:cs="Calibri Light"/>
          <w:lang w:eastAsia="en-NZ"/>
        </w:rPr>
        <w:t xml:space="preserve"> Research Group in 2018, the authors note that reductions in EGMs are not strongly correlated with reduced expenditure in high deprivation neighbourhoods, which may be due to the small magnitude of reductions relative to their existing numbers (Rook et al., 2018).  The authors plot the change in EGMs against the change in gambling expenditure for each TA over fiscal years 2014 to</w:t>
      </w:r>
      <w:r w:rsidR="00CD477C" w:rsidRPr="009656BF">
        <w:rPr>
          <w:rFonts w:ascii="Calibri Light" w:hAnsi="Calibri Light" w:cs="Calibri Light"/>
          <w:lang w:eastAsia="en-NZ"/>
        </w:rPr>
        <w:t xml:space="preserve"> </w:t>
      </w:r>
      <w:r w:rsidR="00BE4203" w:rsidRPr="009656BF">
        <w:rPr>
          <w:rFonts w:ascii="Calibri Light" w:hAnsi="Calibri Light" w:cs="Calibri Light"/>
          <w:lang w:eastAsia="en-NZ"/>
        </w:rPr>
        <w:t xml:space="preserve">2017.  Although some TAs showed reductions in both EGMs and gambling expenditure, many did not. In fact, many TAs (especially those with high levels of deprivation) exhibited increased gambling expenditure despite a reduction in EGMs. </w:t>
      </w:r>
    </w:p>
    <w:p w14:paraId="340B44F3" w14:textId="75F234D4" w:rsidR="0033418E" w:rsidRPr="009656BF" w:rsidRDefault="00BE4203" w:rsidP="003874CC">
      <w:pPr>
        <w:spacing w:after="240" w:line="312" w:lineRule="auto"/>
        <w:jc w:val="both"/>
        <w:rPr>
          <w:rFonts w:ascii="Calibri Light" w:hAnsi="Calibri Light" w:cs="Calibri Light"/>
          <w:lang w:eastAsia="en-NZ"/>
        </w:rPr>
      </w:pPr>
      <w:r w:rsidRPr="009656BF">
        <w:rPr>
          <w:rFonts w:ascii="Calibri Light" w:hAnsi="Calibri Light" w:cs="Calibri Light"/>
          <w:lang w:eastAsia="en-NZ"/>
        </w:rPr>
        <w:t xml:space="preserve">In another study of Class 4 venues and EGMs, Cox and </w:t>
      </w:r>
      <w:proofErr w:type="spellStart"/>
      <w:r w:rsidRPr="009656BF">
        <w:rPr>
          <w:rFonts w:ascii="Calibri Light" w:hAnsi="Calibri Light" w:cs="Calibri Light"/>
          <w:lang w:eastAsia="en-NZ"/>
        </w:rPr>
        <w:t>Hurren</w:t>
      </w:r>
      <w:proofErr w:type="spellEnd"/>
      <w:r w:rsidRPr="009656BF">
        <w:rPr>
          <w:rFonts w:ascii="Calibri Light" w:hAnsi="Calibri Light" w:cs="Calibri Light"/>
          <w:lang w:eastAsia="en-NZ"/>
        </w:rPr>
        <w:t xml:space="preserve"> (2017) investigate why </w:t>
      </w:r>
      <w:r w:rsidR="00C51AE9">
        <w:rPr>
          <w:rFonts w:ascii="Calibri Light" w:hAnsi="Calibri Light" w:cs="Calibri Light"/>
          <w:lang w:eastAsia="en-NZ"/>
        </w:rPr>
        <w:t xml:space="preserve">nominal gross </w:t>
      </w:r>
      <w:r w:rsidRPr="009656BF">
        <w:rPr>
          <w:rFonts w:ascii="Calibri Light" w:hAnsi="Calibri Light" w:cs="Calibri Light"/>
          <w:lang w:eastAsia="en-NZ"/>
        </w:rPr>
        <w:t xml:space="preserve">gaming machine proceeds suddenly increased in late-2013 after a steady decline since the Act came </w:t>
      </w:r>
      <w:r w:rsidRPr="009656BF">
        <w:rPr>
          <w:rFonts w:ascii="Calibri Light" w:hAnsi="Calibri Light" w:cs="Calibri Light"/>
          <w:lang w:eastAsia="en-NZ"/>
        </w:rPr>
        <w:lastRenderedPageBreak/>
        <w:t xml:space="preserve">into force.  The authors use time series models that predict machine </w:t>
      </w:r>
      <w:r w:rsidR="000B2CDC">
        <w:rPr>
          <w:rFonts w:ascii="Calibri Light" w:hAnsi="Calibri Light" w:cs="Calibri Light"/>
          <w:lang w:eastAsia="en-NZ"/>
        </w:rPr>
        <w:t>spending</w:t>
      </w:r>
      <w:r w:rsidRPr="009656BF">
        <w:rPr>
          <w:rFonts w:ascii="Calibri Light" w:hAnsi="Calibri Light" w:cs="Calibri Light"/>
          <w:lang w:eastAsia="en-NZ"/>
        </w:rPr>
        <w:t xml:space="preserve"> based on lagged values of machine </w:t>
      </w:r>
      <w:r w:rsidR="00282DBF">
        <w:rPr>
          <w:rFonts w:ascii="Calibri Light" w:hAnsi="Calibri Light" w:cs="Calibri Light"/>
          <w:lang w:eastAsia="en-NZ"/>
        </w:rPr>
        <w:t>spending</w:t>
      </w:r>
      <w:r w:rsidRPr="009656BF">
        <w:rPr>
          <w:rFonts w:ascii="Calibri Light" w:hAnsi="Calibri Light" w:cs="Calibri Light"/>
          <w:lang w:eastAsia="en-NZ"/>
        </w:rPr>
        <w:t xml:space="preserve">, personal income, venue numbers, </w:t>
      </w:r>
      <w:r w:rsidRPr="00E7760E">
        <w:rPr>
          <w:rFonts w:ascii="Calibri Light" w:hAnsi="Calibri Light" w:cs="Calibri Light"/>
          <w:lang w:eastAsia="en-NZ"/>
        </w:rPr>
        <w:t>gross domestic product</w:t>
      </w:r>
      <w:r w:rsidR="007E6B7A" w:rsidRPr="00E7760E">
        <w:rPr>
          <w:rFonts w:ascii="Calibri Light" w:hAnsi="Calibri Light" w:cs="Calibri Light"/>
          <w:lang w:eastAsia="en-NZ"/>
        </w:rPr>
        <w:t xml:space="preserve"> (GDP)</w:t>
      </w:r>
      <w:r w:rsidRPr="00E7760E">
        <w:rPr>
          <w:rFonts w:ascii="Calibri Light" w:hAnsi="Calibri Light" w:cs="Calibri Light"/>
          <w:lang w:eastAsia="en-NZ"/>
        </w:rPr>
        <w:t>,</w:t>
      </w:r>
      <w:r w:rsidRPr="009656BF">
        <w:rPr>
          <w:rFonts w:ascii="Calibri Light" w:hAnsi="Calibri Light" w:cs="Calibri Light"/>
          <w:lang w:eastAsia="en-NZ"/>
        </w:rPr>
        <w:t xml:space="preserve"> population, and tourism visitor numbers.  Additional lags of the right-hand side variables are also included</w:t>
      </w:r>
      <w:r w:rsidR="0031734A">
        <w:rPr>
          <w:rFonts w:ascii="Calibri Light" w:hAnsi="Calibri Light" w:cs="Calibri Light"/>
          <w:lang w:eastAsia="en-NZ"/>
        </w:rPr>
        <w:t xml:space="preserve"> in the model as covariates</w:t>
      </w:r>
      <w:r w:rsidRPr="009656BF">
        <w:rPr>
          <w:rFonts w:ascii="Calibri Light" w:hAnsi="Calibri Light" w:cs="Calibri Light"/>
          <w:lang w:eastAsia="en-NZ"/>
        </w:rPr>
        <w:t xml:space="preserve">.  However, the models were not successful in predicting gaming machine proceeds.  The authors </w:t>
      </w:r>
      <w:r w:rsidR="00374DCE" w:rsidRPr="009656BF">
        <w:rPr>
          <w:rFonts w:ascii="Calibri Light" w:hAnsi="Calibri Light" w:cs="Calibri Light"/>
          <w:lang w:eastAsia="en-NZ"/>
        </w:rPr>
        <w:t xml:space="preserve">stated that promising avenues for </w:t>
      </w:r>
      <w:r w:rsidRPr="009656BF">
        <w:rPr>
          <w:rFonts w:ascii="Calibri Light" w:hAnsi="Calibri Light" w:cs="Calibri Light"/>
          <w:lang w:eastAsia="en-NZ"/>
        </w:rPr>
        <w:t xml:space="preserve">future research </w:t>
      </w:r>
      <w:r w:rsidR="00374DCE" w:rsidRPr="009656BF">
        <w:rPr>
          <w:rFonts w:ascii="Calibri Light" w:hAnsi="Calibri Light" w:cs="Calibri Light"/>
          <w:lang w:eastAsia="en-NZ"/>
        </w:rPr>
        <w:t>include consideration of micro</w:t>
      </w:r>
      <w:r w:rsidR="00016B61" w:rsidRPr="009656BF">
        <w:rPr>
          <w:rFonts w:ascii="Calibri Light" w:hAnsi="Calibri Light" w:cs="Calibri Light"/>
          <w:lang w:eastAsia="en-NZ"/>
        </w:rPr>
        <w:t>-</w:t>
      </w:r>
      <w:r w:rsidR="00374DCE" w:rsidRPr="009656BF">
        <w:rPr>
          <w:rFonts w:ascii="Calibri Light" w:hAnsi="Calibri Light" w:cs="Calibri Light"/>
          <w:lang w:eastAsia="en-NZ"/>
        </w:rPr>
        <w:t>level</w:t>
      </w:r>
      <w:r w:rsidR="00295B85">
        <w:rPr>
          <w:rFonts w:ascii="Calibri Light" w:hAnsi="Calibri Light" w:cs="Calibri Light"/>
          <w:lang w:eastAsia="en-NZ"/>
        </w:rPr>
        <w:t xml:space="preserve"> data</w:t>
      </w:r>
      <w:r w:rsidR="00374DCE" w:rsidRPr="009656BF">
        <w:rPr>
          <w:rFonts w:ascii="Calibri Light" w:hAnsi="Calibri Light" w:cs="Calibri Light"/>
          <w:lang w:eastAsia="en-NZ"/>
        </w:rPr>
        <w:t>, which</w:t>
      </w:r>
      <w:r w:rsidRPr="009656BF">
        <w:rPr>
          <w:rFonts w:ascii="Calibri Light" w:hAnsi="Calibri Light" w:cs="Calibri Light"/>
          <w:lang w:eastAsia="en-NZ"/>
        </w:rPr>
        <w:t xml:space="preserve"> directly highlights our main contribution to this literature</w:t>
      </w:r>
      <w:r w:rsidR="00374DCE" w:rsidRPr="009656BF">
        <w:rPr>
          <w:rFonts w:ascii="Calibri Light" w:hAnsi="Calibri Light" w:cs="Calibri Light"/>
          <w:lang w:eastAsia="en-NZ"/>
        </w:rPr>
        <w:t>.</w:t>
      </w:r>
      <w:bookmarkStart w:id="15" w:name="_Toc39217192"/>
      <w:bookmarkStart w:id="16" w:name="_Toc39217193"/>
      <w:bookmarkStart w:id="17" w:name="_Toc39217194"/>
      <w:bookmarkStart w:id="18" w:name="_Toc39217195"/>
      <w:bookmarkEnd w:id="15"/>
      <w:bookmarkEnd w:id="16"/>
      <w:bookmarkEnd w:id="17"/>
      <w:bookmarkEnd w:id="18"/>
    </w:p>
    <w:p w14:paraId="12B2AF20" w14:textId="7EB5D800" w:rsidR="00624C3B" w:rsidRPr="00DD6C4F" w:rsidRDefault="00624C3B" w:rsidP="00EF003E">
      <w:pPr>
        <w:pStyle w:val="Heading2"/>
        <w:spacing w:after="240" w:line="312" w:lineRule="auto"/>
        <w:ind w:left="578" w:hanging="578"/>
        <w:rPr>
          <w:rFonts w:ascii="Calibri Light" w:hAnsi="Calibri Light" w:cs="Calibri Light"/>
        </w:rPr>
      </w:pPr>
      <w:bookmarkStart w:id="19" w:name="_Toc50033364"/>
      <w:r w:rsidRPr="00DD6C4F">
        <w:rPr>
          <w:rFonts w:ascii="Calibri Light" w:hAnsi="Calibri Light" w:cs="Calibri Light"/>
        </w:rPr>
        <w:t xml:space="preserve">International </w:t>
      </w:r>
      <w:r w:rsidR="006E7C91">
        <w:rPr>
          <w:rFonts w:ascii="Calibri Light" w:hAnsi="Calibri Light" w:cs="Calibri Light"/>
        </w:rPr>
        <w:t>literature</w:t>
      </w:r>
      <w:bookmarkEnd w:id="19"/>
    </w:p>
    <w:p w14:paraId="18A1AD67" w14:textId="784E2972" w:rsidR="00866C8B" w:rsidRPr="0093416E" w:rsidRDefault="00016E11" w:rsidP="0031526A">
      <w:pPr>
        <w:spacing w:after="240" w:line="312" w:lineRule="auto"/>
        <w:jc w:val="both"/>
      </w:pPr>
      <w:r w:rsidRPr="0093416E">
        <w:t xml:space="preserve">Many </w:t>
      </w:r>
      <w:r w:rsidR="00170CC5" w:rsidRPr="0093416E">
        <w:t xml:space="preserve">international </w:t>
      </w:r>
      <w:r w:rsidRPr="0093416E">
        <w:t xml:space="preserve">jurisdictions implement policies that limit access to EGMs. These restrictions vary in both intensity and reach. </w:t>
      </w:r>
      <w:r w:rsidR="001C68B7" w:rsidRPr="0093416E">
        <w:t>Regulatory coverage can be at the national-level</w:t>
      </w:r>
      <w:r w:rsidR="00785E8C" w:rsidRPr="0093416E">
        <w:t xml:space="preserve">, </w:t>
      </w:r>
      <w:r w:rsidR="001C68B7" w:rsidRPr="0093416E">
        <w:t>such as in Norway</w:t>
      </w:r>
      <w:r w:rsidR="00785E8C" w:rsidRPr="0093416E">
        <w:t>,</w:t>
      </w:r>
      <w:r w:rsidR="00FC04F5" w:rsidRPr="0093416E">
        <w:t xml:space="preserve"> or</w:t>
      </w:r>
      <w:r w:rsidR="00D9798B" w:rsidRPr="0093416E">
        <w:t xml:space="preserve"> at the</w:t>
      </w:r>
      <w:r w:rsidR="00FC04F5" w:rsidRPr="0093416E">
        <w:t xml:space="preserve"> regional-level. Examples of the latter occur in </w:t>
      </w:r>
      <w:r w:rsidRPr="0093416E">
        <w:t xml:space="preserve">Canada, </w:t>
      </w:r>
      <w:r w:rsidR="00FC04F5" w:rsidRPr="0093416E">
        <w:t xml:space="preserve">where </w:t>
      </w:r>
      <w:r w:rsidRPr="0093416E">
        <w:t>regulations vary provincially, and in the U</w:t>
      </w:r>
      <w:r w:rsidR="272AE16C" w:rsidRPr="0093416E">
        <w:t>.</w:t>
      </w:r>
      <w:r w:rsidRPr="0093416E">
        <w:t>S</w:t>
      </w:r>
      <w:r w:rsidR="272AE16C" w:rsidRPr="0093416E">
        <w:t>.</w:t>
      </w:r>
      <w:r w:rsidRPr="0093416E">
        <w:t xml:space="preserve"> and Australia, </w:t>
      </w:r>
      <w:r w:rsidR="00D30E8A" w:rsidRPr="0093416E">
        <w:t xml:space="preserve">where </w:t>
      </w:r>
      <w:r w:rsidR="00996172" w:rsidRPr="0093416E">
        <w:t xml:space="preserve">regulations </w:t>
      </w:r>
      <w:r w:rsidR="00A074F9" w:rsidRPr="0093416E">
        <w:t>are determined at the state-level</w:t>
      </w:r>
      <w:r w:rsidR="005173C2" w:rsidRPr="0093416E">
        <w:t>.</w:t>
      </w:r>
      <w:r w:rsidR="00C144DE" w:rsidRPr="0093416E">
        <w:t xml:space="preserve"> In this section we provide a</w:t>
      </w:r>
      <w:r w:rsidR="00BE5DED" w:rsidRPr="0093416E">
        <w:t xml:space="preserve">n overview of common policies utilised internationally and a summary of </w:t>
      </w:r>
      <w:r w:rsidR="007369ED" w:rsidRPr="0093416E">
        <w:t>relevant</w:t>
      </w:r>
      <w:r w:rsidR="00975A3A" w:rsidRPr="0093416E">
        <w:t xml:space="preserve"> policy evaluations in this space.</w:t>
      </w:r>
      <w:r w:rsidR="002922A2" w:rsidRPr="002922A2">
        <w:rPr>
          <w:rStyle w:val="FootnoteReference"/>
        </w:rPr>
        <w:t xml:space="preserve"> </w:t>
      </w:r>
      <w:r w:rsidR="00676CF0">
        <w:rPr>
          <w:rStyle w:val="FootnoteReference"/>
        </w:rPr>
        <w:footnoteReference w:id="8"/>
      </w:r>
      <w:r w:rsidR="00E65F75" w:rsidRPr="0093416E">
        <w:t xml:space="preserve"> </w:t>
      </w:r>
    </w:p>
    <w:p w14:paraId="3EFB2738" w14:textId="1319DA1B" w:rsidR="00026BB5" w:rsidRPr="0093416E" w:rsidRDefault="006623EB" w:rsidP="0031526A">
      <w:pPr>
        <w:pStyle w:val="Heading3"/>
        <w:spacing w:before="0" w:after="240" w:line="312" w:lineRule="auto"/>
        <w:jc w:val="both"/>
        <w:rPr>
          <w14:textFill>
            <w14:solidFill>
              <w14:schemeClr w14:val="tx1">
                <w14:lumMod w14:val="85000"/>
                <w14:lumOff w14:val="15000"/>
                <w14:lumMod w14:val="85000"/>
                <w14:lumOff w14:val="15000"/>
                <w14:lumMod w14:val="75000"/>
              </w14:schemeClr>
            </w14:solidFill>
          </w14:textFill>
        </w:rPr>
      </w:pPr>
      <w:bookmarkStart w:id="20" w:name="_Toc43645829"/>
      <w:bookmarkStart w:id="21" w:name="_Toc43798233"/>
      <w:bookmarkStart w:id="22" w:name="_Toc44046881"/>
      <w:bookmarkStart w:id="23" w:name="_Toc44307406"/>
      <w:bookmarkStart w:id="24" w:name="_Toc49961666"/>
      <w:bookmarkStart w:id="25" w:name="_Toc49961708"/>
      <w:bookmarkStart w:id="26" w:name="_Toc49961763"/>
      <w:bookmarkStart w:id="27" w:name="_Toc50012233"/>
      <w:bookmarkStart w:id="28" w:name="_Toc50012359"/>
      <w:bookmarkStart w:id="29" w:name="_Toc50012386"/>
      <w:bookmarkStart w:id="30" w:name="_Toc50015914"/>
      <w:bookmarkStart w:id="31" w:name="_Toc50033365"/>
      <w:r w:rsidRPr="0093416E">
        <w:rPr>
          <w14:textFill>
            <w14:solidFill>
              <w14:schemeClr w14:val="tx1">
                <w14:lumMod w14:val="85000"/>
                <w14:lumOff w14:val="15000"/>
                <w14:lumMod w14:val="85000"/>
                <w14:lumOff w14:val="15000"/>
                <w14:lumMod w14:val="75000"/>
              </w14:schemeClr>
            </w14:solidFill>
          </w14:textFill>
        </w:rPr>
        <w:t>COMMON POLICIES</w:t>
      </w:r>
      <w:r w:rsidR="00BD44D2" w:rsidRPr="0093416E">
        <w:rPr>
          <w14:textFill>
            <w14:solidFill>
              <w14:schemeClr w14:val="tx1">
                <w14:lumMod w14:val="85000"/>
                <w14:lumOff w14:val="15000"/>
                <w14:lumMod w14:val="85000"/>
                <w14:lumOff w14:val="15000"/>
                <w14:lumMod w14:val="75000"/>
              </w14:schemeClr>
            </w14:solidFill>
          </w14:textFill>
        </w:rPr>
        <w:t xml:space="preserve"> THAT LIMIT EGM ACCESS</w:t>
      </w:r>
      <w:bookmarkEnd w:id="20"/>
      <w:bookmarkEnd w:id="21"/>
      <w:bookmarkEnd w:id="22"/>
      <w:bookmarkEnd w:id="23"/>
      <w:bookmarkEnd w:id="24"/>
      <w:bookmarkEnd w:id="25"/>
      <w:bookmarkEnd w:id="26"/>
      <w:bookmarkEnd w:id="27"/>
      <w:bookmarkEnd w:id="28"/>
      <w:bookmarkEnd w:id="29"/>
      <w:bookmarkEnd w:id="30"/>
      <w:bookmarkEnd w:id="31"/>
    </w:p>
    <w:p w14:paraId="15611626" w14:textId="6D06CBF2" w:rsidR="000D6A90" w:rsidRDefault="292A36B5" w:rsidP="0041350A">
      <w:pPr>
        <w:spacing w:after="240" w:line="312" w:lineRule="auto"/>
        <w:jc w:val="both"/>
        <w:rPr>
          <w:b/>
          <w:bCs/>
          <w:color w:val="2F5496" w:themeColor="accent5" w:themeShade="BF"/>
        </w:rPr>
      </w:pPr>
      <w:r w:rsidRPr="0093416E">
        <w:t xml:space="preserve">Policies </w:t>
      </w:r>
      <w:r w:rsidR="4955B3E6" w:rsidRPr="0093416E">
        <w:t>limiting access</w:t>
      </w:r>
      <w:r w:rsidR="006E2CDA" w:rsidRPr="0093416E">
        <w:t xml:space="preserve"> to EGMs</w:t>
      </w:r>
      <w:r w:rsidR="4955B3E6" w:rsidRPr="0093416E">
        <w:t xml:space="preserve"> </w:t>
      </w:r>
      <w:r w:rsidR="000764D4">
        <w:t xml:space="preserve">cover a broad </w:t>
      </w:r>
      <w:r w:rsidR="008F16C2" w:rsidRPr="0093416E">
        <w:t>range</w:t>
      </w:r>
      <w:r w:rsidR="000026EA">
        <w:t>,</w:t>
      </w:r>
      <w:r w:rsidR="004149E2">
        <w:t xml:space="preserve"> </w:t>
      </w:r>
      <w:r w:rsidR="008F16C2" w:rsidRPr="0093416E">
        <w:t>from the extreme (</w:t>
      </w:r>
      <w:proofErr w:type="gramStart"/>
      <w:r w:rsidR="008F16C2" w:rsidRPr="0093416E">
        <w:t>e.g.</w:t>
      </w:r>
      <w:proofErr w:type="gramEnd"/>
      <w:r w:rsidR="008F16C2" w:rsidRPr="0093416E">
        <w:t xml:space="preserve"> total bans) to </w:t>
      </w:r>
      <w:r w:rsidR="00AF6AD6" w:rsidRPr="0093416E">
        <w:t xml:space="preserve">those that are </w:t>
      </w:r>
      <w:r w:rsidR="004C5C5B">
        <w:t>lower coverage</w:t>
      </w:r>
      <w:r w:rsidR="00AF6AD6" w:rsidRPr="0093416E" w:rsidDel="004C5C5B">
        <w:t xml:space="preserve"> </w:t>
      </w:r>
      <w:r w:rsidR="00CC6ECB">
        <w:t>in nature</w:t>
      </w:r>
      <w:r w:rsidR="00AF6AD6" w:rsidRPr="0093416E">
        <w:t xml:space="preserve"> (e.g. age restrictions).</w:t>
      </w:r>
      <w:r w:rsidR="003948FA" w:rsidRPr="0093416E">
        <w:rPr>
          <w:rStyle w:val="FootnoteReference"/>
        </w:rPr>
        <w:footnoteReference w:id="9"/>
      </w:r>
      <w:r w:rsidR="00AF6AD6" w:rsidRPr="0093416E">
        <w:t xml:space="preserve"> </w:t>
      </w:r>
      <w:r w:rsidR="006B5D5C" w:rsidRPr="0093416E">
        <w:t xml:space="preserve">Table 1 </w:t>
      </w:r>
      <w:r w:rsidR="4BF8E48C" w:rsidRPr="0093416E">
        <w:t>presents</w:t>
      </w:r>
      <w:r w:rsidR="006B5D5C" w:rsidRPr="0093416E">
        <w:t xml:space="preserve"> </w:t>
      </w:r>
      <w:r w:rsidR="00F22795" w:rsidRPr="0093416E">
        <w:t>a</w:t>
      </w:r>
      <w:r w:rsidR="293A8F9F" w:rsidRPr="0093416E">
        <w:t xml:space="preserve"> brief</w:t>
      </w:r>
      <w:r w:rsidR="00F22795" w:rsidRPr="0093416E">
        <w:t xml:space="preserve"> overview of the most common </w:t>
      </w:r>
      <w:r w:rsidR="008977BE" w:rsidRPr="0093416E">
        <w:t>polic</w:t>
      </w:r>
      <w:r w:rsidR="0051645A" w:rsidRPr="0093416E">
        <w:t>y categories</w:t>
      </w:r>
      <w:r w:rsidR="006E2CDA" w:rsidRPr="0093416E">
        <w:t xml:space="preserve"> internationally</w:t>
      </w:r>
      <w:r w:rsidR="281C1EEB" w:rsidRPr="0093416E">
        <w:t>.</w:t>
      </w:r>
      <w:r w:rsidR="00EA71A3" w:rsidRPr="0093416E">
        <w:t xml:space="preserve"> </w:t>
      </w:r>
    </w:p>
    <w:p w14:paraId="2E5C9056" w14:textId="52056E8A" w:rsidR="000C6D95" w:rsidRDefault="000C6D95" w:rsidP="00853FA9">
      <w:pPr>
        <w:pStyle w:val="FigureTableTitle"/>
        <w:spacing w:after="0"/>
      </w:pPr>
      <w:bookmarkStart w:id="32" w:name="_Toc50033351"/>
      <w:r>
        <w:t xml:space="preserve">Table </w:t>
      </w:r>
      <w:r>
        <w:fldChar w:fldCharType="begin"/>
      </w:r>
      <w:r>
        <w:instrText>SEQ Table \* ARABIC</w:instrText>
      </w:r>
      <w:r>
        <w:fldChar w:fldCharType="separate"/>
      </w:r>
      <w:r w:rsidR="00CB2BDA">
        <w:rPr>
          <w:noProof/>
        </w:rPr>
        <w:t>1</w:t>
      </w:r>
      <w:r>
        <w:fldChar w:fldCharType="end"/>
      </w:r>
      <w:r>
        <w:t xml:space="preserve">. </w:t>
      </w:r>
      <w:r w:rsidRPr="00952266">
        <w:t>Common policies that limit access to EGMs</w:t>
      </w:r>
      <w:bookmarkEnd w:id="32"/>
    </w:p>
    <w:tbl>
      <w:tblPr>
        <w:tblStyle w:val="TableGrid1"/>
        <w:tblW w:w="0" w:type="auto"/>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2830"/>
        <w:gridCol w:w="6186"/>
      </w:tblGrid>
      <w:tr w:rsidR="00170CC5" w:rsidRPr="00453AFA" w14:paraId="2F025172" w14:textId="77777777" w:rsidTr="04CF382C">
        <w:tc>
          <w:tcPr>
            <w:tcW w:w="2830" w:type="dxa"/>
            <w:tcBorders>
              <w:bottom w:val="single" w:sz="4" w:space="0" w:color="B4C6E7" w:themeColor="accent5" w:themeTint="66"/>
            </w:tcBorders>
            <w:shd w:val="clear" w:color="auto" w:fill="4472C4" w:themeFill="accent5"/>
          </w:tcPr>
          <w:p w14:paraId="0B0F859B" w14:textId="77777777" w:rsidR="00170CC5" w:rsidRPr="00453AFA" w:rsidRDefault="00170CC5" w:rsidP="00170CC5">
            <w:pPr>
              <w:rPr>
                <w:rFonts w:eastAsiaTheme="majorEastAsia"/>
                <w:color w:val="FFFFFF" w:themeColor="background1"/>
                <w:lang w:eastAsia="en-NZ"/>
              </w:rPr>
            </w:pPr>
            <w:r w:rsidRPr="00453AFA">
              <w:rPr>
                <w:rFonts w:eastAsiaTheme="majorEastAsia"/>
                <w:color w:val="FFFFFF" w:themeColor="background1"/>
                <w:lang w:eastAsia="en-NZ"/>
              </w:rPr>
              <w:t>Policies</w:t>
            </w:r>
          </w:p>
        </w:tc>
        <w:tc>
          <w:tcPr>
            <w:tcW w:w="6186" w:type="dxa"/>
            <w:tcBorders>
              <w:bottom w:val="single" w:sz="4" w:space="0" w:color="B4C6E7" w:themeColor="accent5" w:themeTint="66"/>
            </w:tcBorders>
            <w:shd w:val="clear" w:color="auto" w:fill="4472C4" w:themeFill="accent5"/>
          </w:tcPr>
          <w:p w14:paraId="6D85545C" w14:textId="77777777" w:rsidR="00170CC5" w:rsidRPr="00453AFA" w:rsidRDefault="00170CC5" w:rsidP="00170CC5">
            <w:pPr>
              <w:rPr>
                <w:rFonts w:eastAsiaTheme="majorEastAsia"/>
                <w:color w:val="FFFFFF" w:themeColor="background1"/>
                <w:lang w:eastAsia="en-NZ"/>
              </w:rPr>
            </w:pPr>
            <w:r w:rsidRPr="00453AFA">
              <w:rPr>
                <w:rFonts w:eastAsiaTheme="majorEastAsia"/>
                <w:color w:val="FFFFFF" w:themeColor="background1"/>
                <w:lang w:eastAsia="en-NZ"/>
              </w:rPr>
              <w:t>Definitions</w:t>
            </w:r>
          </w:p>
        </w:tc>
      </w:tr>
      <w:tr w:rsidR="00170CC5" w:rsidRPr="00453AFA" w14:paraId="0D7E8DDA" w14:textId="77777777" w:rsidTr="007052D5">
        <w:trPr>
          <w:trHeight w:val="283"/>
        </w:trPr>
        <w:tc>
          <w:tcPr>
            <w:tcW w:w="2830" w:type="dxa"/>
            <w:tcBorders>
              <w:top w:val="single" w:sz="4" w:space="0" w:color="B4C6E7" w:themeColor="accent5" w:themeTint="66"/>
              <w:bottom w:val="single" w:sz="4" w:space="0" w:color="B4C6E7" w:themeColor="accent5" w:themeTint="66"/>
              <w:right w:val="nil"/>
            </w:tcBorders>
            <w:shd w:val="clear" w:color="auto" w:fill="D9E2F3" w:themeFill="accent5" w:themeFillTint="33"/>
          </w:tcPr>
          <w:p w14:paraId="06FB5E5B" w14:textId="73402A4D" w:rsidR="00170CC5" w:rsidRPr="0093416E" w:rsidRDefault="00170CC5" w:rsidP="00174293">
            <w:pPr>
              <w:rPr>
                <w:rFonts w:eastAsia="Calibri"/>
                <w:b/>
              </w:rPr>
            </w:pPr>
            <w:r w:rsidRPr="0093416E">
              <w:rPr>
                <w:rFonts w:eastAsia="Calibri"/>
                <w:b/>
              </w:rPr>
              <w:t>Bans</w:t>
            </w:r>
          </w:p>
        </w:tc>
        <w:tc>
          <w:tcPr>
            <w:tcW w:w="6186" w:type="dxa"/>
            <w:tcBorders>
              <w:top w:val="single" w:sz="4" w:space="0" w:color="B4C6E7" w:themeColor="accent5" w:themeTint="66"/>
              <w:left w:val="nil"/>
              <w:bottom w:val="single" w:sz="4" w:space="0" w:color="B4C6E7" w:themeColor="accent5" w:themeTint="66"/>
              <w:right w:val="single" w:sz="4" w:space="0" w:color="B4C6E7" w:themeColor="accent5" w:themeTint="66"/>
            </w:tcBorders>
            <w:shd w:val="clear" w:color="auto" w:fill="D9E2F3" w:themeFill="accent5" w:themeFillTint="33"/>
          </w:tcPr>
          <w:p w14:paraId="745F77A9" w14:textId="77777777" w:rsidR="00170CC5" w:rsidRPr="0093416E" w:rsidRDefault="00170CC5" w:rsidP="00170CC5">
            <w:pPr>
              <w:rPr>
                <w:rFonts w:eastAsia="Calibri"/>
              </w:rPr>
            </w:pPr>
          </w:p>
        </w:tc>
      </w:tr>
      <w:tr w:rsidR="00170CC5" w:rsidRPr="00453AFA" w14:paraId="7A73D473" w14:textId="77777777" w:rsidTr="04CF382C">
        <w:tc>
          <w:tcPr>
            <w:tcW w:w="2830" w:type="dxa"/>
            <w:tcBorders>
              <w:top w:val="single" w:sz="4" w:space="0" w:color="B4C6E7" w:themeColor="accent5" w:themeTint="66"/>
            </w:tcBorders>
            <w:shd w:val="clear" w:color="auto" w:fill="D9E2F3" w:themeFill="accent5" w:themeFillTint="33"/>
          </w:tcPr>
          <w:p w14:paraId="4B14969F" w14:textId="77777777" w:rsidR="00170CC5" w:rsidRPr="0093416E" w:rsidRDefault="00170CC5" w:rsidP="00170CC5">
            <w:pPr>
              <w:rPr>
                <w:rFonts w:eastAsia="Calibri"/>
              </w:rPr>
            </w:pPr>
            <w:r w:rsidRPr="0093416E">
              <w:rPr>
                <w:rFonts w:eastAsia="Calibri"/>
              </w:rPr>
              <w:t>Blanket ban</w:t>
            </w:r>
          </w:p>
        </w:tc>
        <w:tc>
          <w:tcPr>
            <w:tcW w:w="6186" w:type="dxa"/>
            <w:tcBorders>
              <w:top w:val="single" w:sz="4" w:space="0" w:color="B4C6E7" w:themeColor="accent5" w:themeTint="66"/>
            </w:tcBorders>
          </w:tcPr>
          <w:p w14:paraId="6FE334F7" w14:textId="293719A3" w:rsidR="00170CC5" w:rsidRPr="0093416E" w:rsidRDefault="00170CC5" w:rsidP="00170CC5">
            <w:pPr>
              <w:rPr>
                <w:rFonts w:eastAsia="Calibri"/>
              </w:rPr>
            </w:pPr>
            <w:r w:rsidRPr="0093416E">
              <w:rPr>
                <w:rFonts w:eastAsia="Calibri"/>
              </w:rPr>
              <w:t>No EGMs allowed to operate anywhere in the jurisdiction.</w:t>
            </w:r>
          </w:p>
        </w:tc>
      </w:tr>
      <w:tr w:rsidR="00170CC5" w:rsidRPr="00453AFA" w14:paraId="0EB5D0B5" w14:textId="77777777" w:rsidTr="04CF382C">
        <w:tc>
          <w:tcPr>
            <w:tcW w:w="2830" w:type="dxa"/>
            <w:tcBorders>
              <w:bottom w:val="single" w:sz="4" w:space="0" w:color="B4C6E7" w:themeColor="accent5" w:themeTint="66"/>
            </w:tcBorders>
            <w:shd w:val="clear" w:color="auto" w:fill="D9E2F3" w:themeFill="accent5" w:themeFillTint="33"/>
          </w:tcPr>
          <w:p w14:paraId="4EDDCFF9" w14:textId="77777777" w:rsidR="00170CC5" w:rsidRPr="0093416E" w:rsidRDefault="00170CC5" w:rsidP="00170CC5">
            <w:pPr>
              <w:rPr>
                <w:rFonts w:eastAsia="Calibri"/>
              </w:rPr>
            </w:pPr>
            <w:r w:rsidRPr="0093416E">
              <w:rPr>
                <w:rFonts w:eastAsia="Calibri"/>
              </w:rPr>
              <w:t>Venue ban</w:t>
            </w:r>
          </w:p>
        </w:tc>
        <w:tc>
          <w:tcPr>
            <w:tcW w:w="6186" w:type="dxa"/>
            <w:tcBorders>
              <w:bottom w:val="single" w:sz="4" w:space="0" w:color="B4C6E7" w:themeColor="accent5" w:themeTint="66"/>
            </w:tcBorders>
          </w:tcPr>
          <w:p w14:paraId="2E80652A" w14:textId="761D8835" w:rsidR="00170CC5" w:rsidRPr="0093416E" w:rsidRDefault="00170CC5" w:rsidP="00170CC5">
            <w:pPr>
              <w:rPr>
                <w:rFonts w:eastAsia="Calibri"/>
              </w:rPr>
            </w:pPr>
            <w:r w:rsidRPr="0093416E">
              <w:rPr>
                <w:rFonts w:eastAsia="Calibri"/>
              </w:rPr>
              <w:t xml:space="preserve">EGMs permitted in specific </w:t>
            </w:r>
            <w:proofErr w:type="gramStart"/>
            <w:r w:rsidRPr="0093416E">
              <w:rPr>
                <w:rFonts w:eastAsia="Calibri"/>
              </w:rPr>
              <w:t>venues</w:t>
            </w:r>
            <w:proofErr w:type="gramEnd"/>
            <w:r w:rsidRPr="0093416E">
              <w:rPr>
                <w:rFonts w:eastAsia="Calibri"/>
              </w:rPr>
              <w:t xml:space="preserve"> types only.</w:t>
            </w:r>
            <w:r w:rsidR="00F2346C" w:rsidRPr="0093416E">
              <w:rPr>
                <w:rStyle w:val="FootnoteReference"/>
                <w:rFonts w:eastAsia="Calibri"/>
              </w:rPr>
              <w:t xml:space="preserve"> </w:t>
            </w:r>
            <w:r w:rsidR="00F2346C" w:rsidRPr="0093416E">
              <w:rPr>
                <w:rStyle w:val="FootnoteReference"/>
                <w:rFonts w:eastAsia="Calibri"/>
              </w:rPr>
              <w:footnoteReference w:id="10"/>
            </w:r>
          </w:p>
        </w:tc>
      </w:tr>
      <w:tr w:rsidR="00170CC5" w:rsidRPr="00453AFA" w14:paraId="64226390" w14:textId="77777777" w:rsidTr="04CF382C">
        <w:tc>
          <w:tcPr>
            <w:tcW w:w="2830" w:type="dxa"/>
            <w:tcBorders>
              <w:top w:val="single" w:sz="4" w:space="0" w:color="B4C6E7" w:themeColor="accent5" w:themeTint="66"/>
              <w:left w:val="single" w:sz="4" w:space="0" w:color="B4C6E7" w:themeColor="accent5" w:themeTint="66"/>
              <w:bottom w:val="single" w:sz="4" w:space="0" w:color="B4C6E7" w:themeColor="accent5" w:themeTint="66"/>
              <w:right w:val="nil"/>
            </w:tcBorders>
            <w:shd w:val="clear" w:color="auto" w:fill="D9E2F3" w:themeFill="accent5" w:themeFillTint="33"/>
          </w:tcPr>
          <w:p w14:paraId="70145810" w14:textId="77777777" w:rsidR="00170CC5" w:rsidRPr="0093416E" w:rsidRDefault="00170CC5" w:rsidP="00174293">
            <w:pPr>
              <w:rPr>
                <w:rFonts w:eastAsia="Calibri"/>
                <w:b/>
              </w:rPr>
            </w:pPr>
            <w:r w:rsidRPr="0093416E">
              <w:rPr>
                <w:rFonts w:eastAsia="Calibri"/>
                <w:b/>
              </w:rPr>
              <w:t>Caps</w:t>
            </w:r>
          </w:p>
        </w:tc>
        <w:tc>
          <w:tcPr>
            <w:tcW w:w="6186" w:type="dxa"/>
            <w:tcBorders>
              <w:top w:val="single" w:sz="4" w:space="0" w:color="B4C6E7" w:themeColor="accent5" w:themeTint="66"/>
              <w:left w:val="nil"/>
              <w:bottom w:val="single" w:sz="4" w:space="0" w:color="B4C6E7" w:themeColor="accent5" w:themeTint="66"/>
              <w:right w:val="single" w:sz="4" w:space="0" w:color="B4C6E7" w:themeColor="accent5" w:themeTint="66"/>
            </w:tcBorders>
            <w:shd w:val="clear" w:color="auto" w:fill="D9E2F3" w:themeFill="accent5" w:themeFillTint="33"/>
          </w:tcPr>
          <w:p w14:paraId="57835360" w14:textId="77777777" w:rsidR="00170CC5" w:rsidRPr="0093416E" w:rsidRDefault="00170CC5" w:rsidP="00170CC5">
            <w:pPr>
              <w:rPr>
                <w:rFonts w:eastAsia="Calibri"/>
              </w:rPr>
            </w:pPr>
          </w:p>
        </w:tc>
      </w:tr>
      <w:tr w:rsidR="00170CC5" w:rsidRPr="00453AFA" w14:paraId="65FC85C4" w14:textId="77777777" w:rsidTr="04CF382C">
        <w:tc>
          <w:tcPr>
            <w:tcW w:w="2830" w:type="dxa"/>
            <w:tcBorders>
              <w:top w:val="single" w:sz="4" w:space="0" w:color="B4C6E7" w:themeColor="accent5" w:themeTint="66"/>
            </w:tcBorders>
            <w:shd w:val="clear" w:color="auto" w:fill="D9E2F3" w:themeFill="accent5" w:themeFillTint="33"/>
          </w:tcPr>
          <w:p w14:paraId="1652756A" w14:textId="77777777" w:rsidR="00170CC5" w:rsidRPr="0093416E" w:rsidRDefault="00170CC5" w:rsidP="00170CC5">
            <w:pPr>
              <w:rPr>
                <w:rFonts w:eastAsia="Calibri"/>
              </w:rPr>
            </w:pPr>
            <w:r w:rsidRPr="0093416E">
              <w:rPr>
                <w:rFonts w:eastAsia="Calibri"/>
              </w:rPr>
              <w:t>Per capita caps</w:t>
            </w:r>
          </w:p>
        </w:tc>
        <w:tc>
          <w:tcPr>
            <w:tcW w:w="6186" w:type="dxa"/>
            <w:tcBorders>
              <w:top w:val="single" w:sz="4" w:space="0" w:color="B4C6E7" w:themeColor="accent5" w:themeTint="66"/>
            </w:tcBorders>
          </w:tcPr>
          <w:p w14:paraId="746F1EC6" w14:textId="75EFFF12" w:rsidR="00170CC5" w:rsidRPr="0093416E" w:rsidRDefault="00170CC5" w:rsidP="00170CC5">
            <w:pPr>
              <w:rPr>
                <w:rFonts w:eastAsia="Calibri"/>
              </w:rPr>
            </w:pPr>
            <w:r w:rsidRPr="0093416E">
              <w:rPr>
                <w:rFonts w:eastAsia="Calibri"/>
              </w:rPr>
              <w:t xml:space="preserve">A cap on number of </w:t>
            </w:r>
            <w:r w:rsidR="006B3E92" w:rsidRPr="0093416E">
              <w:rPr>
                <w:rFonts w:eastAsia="Calibri"/>
              </w:rPr>
              <w:t>EGMs</w:t>
            </w:r>
            <w:r w:rsidRPr="0093416E">
              <w:rPr>
                <w:rFonts w:eastAsia="Calibri"/>
              </w:rPr>
              <w:t xml:space="preserve"> and / or venues on a per capita basis within a jurisdiction.</w:t>
            </w:r>
          </w:p>
        </w:tc>
      </w:tr>
      <w:tr w:rsidR="00170CC5" w:rsidRPr="00453AFA" w14:paraId="6CA9C896" w14:textId="77777777" w:rsidTr="04CF382C">
        <w:tc>
          <w:tcPr>
            <w:tcW w:w="2830" w:type="dxa"/>
            <w:shd w:val="clear" w:color="auto" w:fill="D9E2F3" w:themeFill="accent5" w:themeFillTint="33"/>
          </w:tcPr>
          <w:p w14:paraId="23A4A984" w14:textId="77777777" w:rsidR="00170CC5" w:rsidRPr="0093416E" w:rsidRDefault="00170CC5" w:rsidP="00170CC5">
            <w:pPr>
              <w:rPr>
                <w:rFonts w:eastAsia="Calibri"/>
              </w:rPr>
            </w:pPr>
            <w:r w:rsidRPr="0093416E">
              <w:rPr>
                <w:rFonts w:eastAsia="Calibri"/>
              </w:rPr>
              <w:t>Absolute caps</w:t>
            </w:r>
          </w:p>
        </w:tc>
        <w:tc>
          <w:tcPr>
            <w:tcW w:w="6186" w:type="dxa"/>
          </w:tcPr>
          <w:p w14:paraId="7F07E359" w14:textId="4E1CA6D5" w:rsidR="00170CC5" w:rsidRPr="0093416E" w:rsidRDefault="00170CC5" w:rsidP="00170CC5">
            <w:pPr>
              <w:rPr>
                <w:rFonts w:eastAsia="Calibri"/>
              </w:rPr>
            </w:pPr>
            <w:r w:rsidRPr="0093416E">
              <w:rPr>
                <w:rFonts w:eastAsia="Calibri"/>
              </w:rPr>
              <w:t xml:space="preserve">A cap on number of </w:t>
            </w:r>
            <w:r w:rsidR="006B3E92" w:rsidRPr="0093416E">
              <w:rPr>
                <w:rFonts w:eastAsia="Calibri"/>
              </w:rPr>
              <w:t>EGMs</w:t>
            </w:r>
            <w:r w:rsidRPr="0093416E">
              <w:rPr>
                <w:rFonts w:eastAsia="Calibri"/>
              </w:rPr>
              <w:t xml:space="preserve"> and / or venues within a jurisdiction.</w:t>
            </w:r>
          </w:p>
        </w:tc>
      </w:tr>
      <w:tr w:rsidR="005D7CC5" w:rsidRPr="00453AFA" w14:paraId="4170ED52" w14:textId="77777777" w:rsidTr="04CF382C">
        <w:tc>
          <w:tcPr>
            <w:tcW w:w="2830" w:type="dxa"/>
            <w:shd w:val="clear" w:color="auto" w:fill="D9E2F3" w:themeFill="accent5" w:themeFillTint="33"/>
          </w:tcPr>
          <w:p w14:paraId="4657DAA4" w14:textId="118FF6DB" w:rsidR="005D7CC5" w:rsidRPr="0093416E" w:rsidRDefault="005D7CC5" w:rsidP="005D7CC5">
            <w:pPr>
              <w:rPr>
                <w:rFonts w:eastAsia="Calibri"/>
                <w:highlight w:val="yellow"/>
              </w:rPr>
            </w:pPr>
            <w:r w:rsidRPr="0093416E">
              <w:rPr>
                <w:rFonts w:eastAsia="Calibri"/>
              </w:rPr>
              <w:t>Per venue caps</w:t>
            </w:r>
          </w:p>
        </w:tc>
        <w:tc>
          <w:tcPr>
            <w:tcW w:w="6186" w:type="dxa"/>
          </w:tcPr>
          <w:p w14:paraId="336B9647" w14:textId="63AB2776" w:rsidR="005D7CC5" w:rsidRPr="0093416E" w:rsidRDefault="005D7CC5" w:rsidP="005D7CC5">
            <w:pPr>
              <w:rPr>
                <w:rFonts w:eastAsia="Calibri"/>
                <w:highlight w:val="yellow"/>
              </w:rPr>
            </w:pPr>
            <w:r w:rsidRPr="0093416E">
              <w:rPr>
                <w:rFonts w:eastAsia="Calibri"/>
              </w:rPr>
              <w:t xml:space="preserve">A cap on number of </w:t>
            </w:r>
            <w:r w:rsidR="006B3E92" w:rsidRPr="0093416E">
              <w:rPr>
                <w:rFonts w:eastAsia="Calibri"/>
              </w:rPr>
              <w:t>EGMs</w:t>
            </w:r>
            <w:r w:rsidRPr="0093416E">
              <w:rPr>
                <w:rFonts w:eastAsia="Calibri"/>
              </w:rPr>
              <w:t xml:space="preserve"> per venue within a jurisdiction.</w:t>
            </w:r>
          </w:p>
        </w:tc>
      </w:tr>
      <w:tr w:rsidR="005D7CC5" w:rsidRPr="00453AFA" w14:paraId="0698E3A9" w14:textId="77777777" w:rsidTr="04CF382C">
        <w:tc>
          <w:tcPr>
            <w:tcW w:w="2830" w:type="dxa"/>
            <w:tcBorders>
              <w:bottom w:val="single" w:sz="4" w:space="0" w:color="B4C6E7" w:themeColor="accent5" w:themeTint="66"/>
            </w:tcBorders>
            <w:shd w:val="clear" w:color="auto" w:fill="D9E2F3" w:themeFill="accent5" w:themeFillTint="33"/>
          </w:tcPr>
          <w:p w14:paraId="48811B0D" w14:textId="77777777" w:rsidR="005D7CC5" w:rsidRPr="0093416E" w:rsidRDefault="005D7CC5" w:rsidP="005D7CC5">
            <w:pPr>
              <w:rPr>
                <w:rFonts w:eastAsia="Calibri"/>
              </w:rPr>
            </w:pPr>
            <w:r w:rsidRPr="0093416E">
              <w:rPr>
                <w:rFonts w:eastAsia="Calibri"/>
              </w:rPr>
              <w:t>Sinking lid</w:t>
            </w:r>
          </w:p>
        </w:tc>
        <w:tc>
          <w:tcPr>
            <w:tcW w:w="6186" w:type="dxa"/>
            <w:tcBorders>
              <w:bottom w:val="single" w:sz="4" w:space="0" w:color="B4C6E7" w:themeColor="accent5" w:themeTint="66"/>
            </w:tcBorders>
          </w:tcPr>
          <w:p w14:paraId="1BF7A59B" w14:textId="77777777" w:rsidR="005D7CC5" w:rsidRPr="0093416E" w:rsidRDefault="005D7CC5" w:rsidP="005D7CC5">
            <w:pPr>
              <w:rPr>
                <w:rFonts w:eastAsia="Calibri"/>
              </w:rPr>
            </w:pPr>
            <w:r w:rsidRPr="0093416E">
              <w:rPr>
                <w:rFonts w:eastAsia="Calibri"/>
              </w:rPr>
              <w:t>A limit on number of EGMs and venues within a jurisdiction that is permanently lowered with each reduction of EGMs or venues.</w:t>
            </w:r>
          </w:p>
        </w:tc>
      </w:tr>
      <w:tr w:rsidR="005D7CC5" w:rsidRPr="00453AFA" w14:paraId="4741FAB5" w14:textId="77777777" w:rsidTr="04CF382C">
        <w:tc>
          <w:tcPr>
            <w:tcW w:w="2830" w:type="dxa"/>
            <w:tcBorders>
              <w:top w:val="single" w:sz="4" w:space="0" w:color="B4C6E7" w:themeColor="accent5" w:themeTint="66"/>
              <w:left w:val="single" w:sz="4" w:space="0" w:color="B4C6E7" w:themeColor="accent5" w:themeTint="66"/>
              <w:bottom w:val="single" w:sz="4" w:space="0" w:color="B4C6E7" w:themeColor="accent5" w:themeTint="66"/>
              <w:right w:val="nil"/>
            </w:tcBorders>
            <w:shd w:val="clear" w:color="auto" w:fill="D9E2F3" w:themeFill="accent5" w:themeFillTint="33"/>
          </w:tcPr>
          <w:p w14:paraId="32626E49" w14:textId="77777777" w:rsidR="005D7CC5" w:rsidRPr="0093416E" w:rsidRDefault="005D7CC5" w:rsidP="00174293">
            <w:pPr>
              <w:rPr>
                <w:rFonts w:eastAsia="Calibri"/>
                <w:b/>
              </w:rPr>
            </w:pPr>
            <w:r w:rsidRPr="0093416E">
              <w:rPr>
                <w:rFonts w:eastAsia="Calibri"/>
                <w:b/>
              </w:rPr>
              <w:t>Individuals</w:t>
            </w:r>
          </w:p>
        </w:tc>
        <w:tc>
          <w:tcPr>
            <w:tcW w:w="6186" w:type="dxa"/>
            <w:tcBorders>
              <w:top w:val="single" w:sz="4" w:space="0" w:color="B4C6E7" w:themeColor="accent5" w:themeTint="66"/>
              <w:left w:val="nil"/>
              <w:bottom w:val="single" w:sz="4" w:space="0" w:color="B4C6E7" w:themeColor="accent5" w:themeTint="66"/>
              <w:right w:val="single" w:sz="4" w:space="0" w:color="B4C6E7" w:themeColor="accent5" w:themeTint="66"/>
            </w:tcBorders>
            <w:shd w:val="clear" w:color="auto" w:fill="D9E2F3" w:themeFill="accent5" w:themeFillTint="33"/>
          </w:tcPr>
          <w:p w14:paraId="052DC096" w14:textId="77777777" w:rsidR="005D7CC5" w:rsidRPr="0093416E" w:rsidRDefault="005D7CC5" w:rsidP="005D7CC5">
            <w:pPr>
              <w:rPr>
                <w:rFonts w:eastAsia="Calibri"/>
              </w:rPr>
            </w:pPr>
          </w:p>
        </w:tc>
      </w:tr>
      <w:tr w:rsidR="005D7CC5" w:rsidRPr="00453AFA" w14:paraId="3075E3EA" w14:textId="77777777" w:rsidTr="04CF382C">
        <w:tc>
          <w:tcPr>
            <w:tcW w:w="2830" w:type="dxa"/>
            <w:tcBorders>
              <w:top w:val="single" w:sz="4" w:space="0" w:color="B4C6E7" w:themeColor="accent5" w:themeTint="66"/>
            </w:tcBorders>
            <w:shd w:val="clear" w:color="auto" w:fill="D9E2F3" w:themeFill="accent5" w:themeFillTint="33"/>
          </w:tcPr>
          <w:p w14:paraId="493BBEC8" w14:textId="77777777" w:rsidR="005D7CC5" w:rsidRPr="0093416E" w:rsidRDefault="005D7CC5" w:rsidP="005D7CC5">
            <w:pPr>
              <w:rPr>
                <w:rFonts w:eastAsia="Calibri"/>
              </w:rPr>
            </w:pPr>
            <w:r w:rsidRPr="0093416E">
              <w:rPr>
                <w:rFonts w:eastAsia="Calibri"/>
              </w:rPr>
              <w:t>Age restrictions</w:t>
            </w:r>
          </w:p>
        </w:tc>
        <w:tc>
          <w:tcPr>
            <w:tcW w:w="6186" w:type="dxa"/>
            <w:tcBorders>
              <w:top w:val="single" w:sz="4" w:space="0" w:color="B4C6E7" w:themeColor="accent5" w:themeTint="66"/>
            </w:tcBorders>
          </w:tcPr>
          <w:p w14:paraId="1412CE02" w14:textId="77777777" w:rsidR="005D7CC5" w:rsidRPr="0093416E" w:rsidRDefault="005D7CC5" w:rsidP="005D7CC5">
            <w:pPr>
              <w:rPr>
                <w:rFonts w:eastAsia="Calibri"/>
              </w:rPr>
            </w:pPr>
            <w:r w:rsidRPr="0093416E">
              <w:rPr>
                <w:rFonts w:eastAsia="Calibri"/>
              </w:rPr>
              <w:t>Minimum gambling age.</w:t>
            </w:r>
          </w:p>
        </w:tc>
      </w:tr>
      <w:tr w:rsidR="005D7CC5" w:rsidRPr="00453AFA" w14:paraId="303C5FB9" w14:textId="77777777" w:rsidTr="04CF382C">
        <w:tc>
          <w:tcPr>
            <w:tcW w:w="2830" w:type="dxa"/>
            <w:shd w:val="clear" w:color="auto" w:fill="D9E2F3" w:themeFill="accent5" w:themeFillTint="33"/>
          </w:tcPr>
          <w:p w14:paraId="35B562E6" w14:textId="77777777" w:rsidR="005D7CC5" w:rsidRPr="0093416E" w:rsidRDefault="005D7CC5" w:rsidP="005D7CC5">
            <w:pPr>
              <w:rPr>
                <w:rFonts w:eastAsia="Calibri"/>
              </w:rPr>
            </w:pPr>
            <w:r w:rsidRPr="0093416E">
              <w:rPr>
                <w:rFonts w:eastAsia="Calibri"/>
              </w:rPr>
              <w:t>Intoxication</w:t>
            </w:r>
          </w:p>
        </w:tc>
        <w:tc>
          <w:tcPr>
            <w:tcW w:w="6186" w:type="dxa"/>
          </w:tcPr>
          <w:p w14:paraId="0A9FD1B2" w14:textId="77777777" w:rsidR="005D7CC5" w:rsidRPr="0093416E" w:rsidRDefault="005D7CC5" w:rsidP="005D7CC5">
            <w:pPr>
              <w:rPr>
                <w:rFonts w:eastAsia="Calibri"/>
              </w:rPr>
            </w:pPr>
            <w:r w:rsidRPr="0093416E">
              <w:rPr>
                <w:rFonts w:eastAsia="Calibri"/>
              </w:rPr>
              <w:t>Individuals banned from using machines while intoxicated.</w:t>
            </w:r>
          </w:p>
        </w:tc>
      </w:tr>
    </w:tbl>
    <w:p w14:paraId="25B04D42" w14:textId="77777777" w:rsidR="00016E11" w:rsidRPr="0093416E" w:rsidRDefault="00016E11" w:rsidP="000D6A90">
      <w:pPr>
        <w:spacing w:after="240" w:line="312" w:lineRule="auto"/>
        <w:rPr>
          <w:b/>
        </w:rPr>
      </w:pPr>
      <w:r w:rsidRPr="0093416E">
        <w:rPr>
          <w:b/>
        </w:rPr>
        <w:lastRenderedPageBreak/>
        <w:t>Bans</w:t>
      </w:r>
    </w:p>
    <w:p w14:paraId="0EEB0CDF" w14:textId="413FC352" w:rsidR="009901E1" w:rsidRPr="0093416E" w:rsidRDefault="005B60EB" w:rsidP="000D6A90">
      <w:pPr>
        <w:spacing w:after="240" w:line="312" w:lineRule="auto"/>
        <w:jc w:val="both"/>
      </w:pPr>
      <w:r w:rsidRPr="0093416E">
        <w:t>By far the most extreme polic</w:t>
      </w:r>
      <w:r w:rsidR="002A17B6" w:rsidRPr="0093416E">
        <w:t xml:space="preserve">ies </w:t>
      </w:r>
      <w:r w:rsidR="00F40F71" w:rsidRPr="0093416E">
        <w:t>limiting access to EGMs are</w:t>
      </w:r>
      <w:r w:rsidR="00277B05" w:rsidRPr="0093416E">
        <w:t xml:space="preserve"> </w:t>
      </w:r>
      <w:r w:rsidR="00393684" w:rsidRPr="0093416E">
        <w:t>b</w:t>
      </w:r>
      <w:r w:rsidR="00016E11" w:rsidRPr="0093416E">
        <w:t>lanket bans</w:t>
      </w:r>
      <w:r w:rsidR="00CB154E" w:rsidRPr="0093416E">
        <w:t>.</w:t>
      </w:r>
      <w:r w:rsidR="00016E11" w:rsidRPr="0093416E">
        <w:t xml:space="preserve"> </w:t>
      </w:r>
      <w:r w:rsidR="00CB154E" w:rsidRPr="0093416E">
        <w:t>A</w:t>
      </w:r>
      <w:r w:rsidR="00016E11" w:rsidRPr="0093416E">
        <w:t xml:space="preserve">lthough rare, </w:t>
      </w:r>
      <w:r w:rsidR="000A4363" w:rsidRPr="0093416E">
        <w:t xml:space="preserve">blanket </w:t>
      </w:r>
      <w:r w:rsidR="00CB154E" w:rsidRPr="0093416E">
        <w:t xml:space="preserve">bans </w:t>
      </w:r>
      <w:r w:rsidR="00016E11" w:rsidRPr="0093416E">
        <w:t xml:space="preserve">have been implemented in </w:t>
      </w:r>
      <w:r w:rsidR="00E21840" w:rsidRPr="0093416E">
        <w:t>several</w:t>
      </w:r>
      <w:r w:rsidR="00016E11" w:rsidRPr="0093416E">
        <w:t xml:space="preserve"> jurisdictions</w:t>
      </w:r>
      <w:r w:rsidR="00763832">
        <w:t xml:space="preserve">, including NZ where EGMs were banned until their legalisation in </w:t>
      </w:r>
      <w:r w:rsidR="00317FB5" w:rsidRPr="005542E7">
        <w:t>1988</w:t>
      </w:r>
      <w:r w:rsidR="00F23FA1">
        <w:t xml:space="preserve"> (Abbo</w:t>
      </w:r>
      <w:r w:rsidR="00F42B84">
        <w:t>t</w:t>
      </w:r>
      <w:r w:rsidR="00F23FA1">
        <w:t>t, 2017)</w:t>
      </w:r>
      <w:r w:rsidR="0033165E" w:rsidRPr="0093416E">
        <w:t xml:space="preserve">. </w:t>
      </w:r>
      <w:r w:rsidR="00B94555">
        <w:t>I</w:t>
      </w:r>
      <w:r w:rsidR="00AF6206" w:rsidRPr="0093416E">
        <w:t>n Norway, in 2007, in response to rising concern regarding the harm caused by problem gambling</w:t>
      </w:r>
      <w:r w:rsidR="006F303C" w:rsidRPr="0093416E">
        <w:t>, the government banned all EGMs</w:t>
      </w:r>
      <w:r w:rsidR="0088407B" w:rsidRPr="0093416E">
        <w:t xml:space="preserve"> (Lund, 2009)</w:t>
      </w:r>
      <w:r w:rsidR="00A976BB" w:rsidRPr="0093416E">
        <w:t xml:space="preserve">. Before the ban, EGM revenue had risen </w:t>
      </w:r>
      <w:r w:rsidR="009134EC" w:rsidRPr="0093416E">
        <w:t>substantially from NOK 9 billion in 2001 to NOK 27 billion in 2005</w:t>
      </w:r>
      <w:r w:rsidR="00163D98" w:rsidRPr="0093416E">
        <w:t xml:space="preserve"> and EGMs were available in a wide range of locations, including shopping centres and train stations</w:t>
      </w:r>
      <w:r w:rsidR="00100692" w:rsidRPr="0093416E">
        <w:t xml:space="preserve"> (</w:t>
      </w:r>
      <w:proofErr w:type="spellStart"/>
      <w:r w:rsidR="00100692" w:rsidRPr="00281C56">
        <w:t>Norsk</w:t>
      </w:r>
      <w:proofErr w:type="spellEnd"/>
      <w:r w:rsidR="00100692" w:rsidRPr="00281C56">
        <w:t xml:space="preserve"> Tipping, 2010</w:t>
      </w:r>
      <w:r w:rsidR="00100692" w:rsidRPr="0093416E">
        <w:t>)</w:t>
      </w:r>
      <w:r w:rsidR="00163D98" w:rsidRPr="0093416E">
        <w:t xml:space="preserve">. </w:t>
      </w:r>
      <w:r w:rsidR="00D47134" w:rsidRPr="0093416E">
        <w:t xml:space="preserve">While new </w:t>
      </w:r>
      <w:r w:rsidR="009A66BF">
        <w:t>EGMs</w:t>
      </w:r>
      <w:r w:rsidR="00D47134" w:rsidRPr="0093416E">
        <w:t xml:space="preserve"> were reintroduced into Norway in 2009, the new </w:t>
      </w:r>
      <w:r w:rsidR="00006EAC">
        <w:t>machines</w:t>
      </w:r>
      <w:r w:rsidR="00006EAC" w:rsidRPr="0093416E">
        <w:t xml:space="preserve"> </w:t>
      </w:r>
      <w:r w:rsidR="00D47134" w:rsidRPr="0093416E">
        <w:t xml:space="preserve">are under the control of a government operator and have </w:t>
      </w:r>
      <w:proofErr w:type="gramStart"/>
      <w:r w:rsidR="00D47134" w:rsidRPr="0093416E">
        <w:t xml:space="preserve">particular </w:t>
      </w:r>
      <w:r w:rsidR="000712C5" w:rsidRPr="0093416E">
        <w:t>features</w:t>
      </w:r>
      <w:proofErr w:type="gramEnd"/>
      <w:r w:rsidR="000712C5" w:rsidRPr="0093416E">
        <w:t xml:space="preserve"> aimed at making them less harmful such as mandatory play breaks, lower prizes</w:t>
      </w:r>
      <w:r w:rsidR="00276435" w:rsidRPr="0093416E">
        <w:t>, limits on gambling amount, and inability to insert cash</w:t>
      </w:r>
      <w:r w:rsidR="00F10230" w:rsidRPr="0093416E">
        <w:t xml:space="preserve"> (</w:t>
      </w:r>
      <w:proofErr w:type="spellStart"/>
      <w:r w:rsidR="00F10230" w:rsidRPr="0093416E">
        <w:t>Engebø</w:t>
      </w:r>
      <w:proofErr w:type="spellEnd"/>
      <w:r w:rsidR="00F10230" w:rsidRPr="0093416E">
        <w:t>, 2010)</w:t>
      </w:r>
      <w:r w:rsidR="00276435" w:rsidRPr="0093416E">
        <w:t>.</w:t>
      </w:r>
      <w:r w:rsidR="00016E11" w:rsidRPr="0093416E">
        <w:t xml:space="preserve"> </w:t>
      </w:r>
    </w:p>
    <w:p w14:paraId="271ADCF0" w14:textId="23BC1C4C" w:rsidR="000572B8" w:rsidRPr="0093416E" w:rsidRDefault="007F067A" w:rsidP="000D6A90">
      <w:pPr>
        <w:spacing w:after="240" w:line="312" w:lineRule="auto"/>
        <w:jc w:val="both"/>
      </w:pPr>
      <w:r w:rsidRPr="0093416E">
        <w:t>Other examples</w:t>
      </w:r>
      <w:r w:rsidR="00251F00" w:rsidRPr="0093416E">
        <w:t xml:space="preserve"> </w:t>
      </w:r>
      <w:proofErr w:type="gramStart"/>
      <w:r w:rsidR="00251F00" w:rsidRPr="0093416E">
        <w:t>include:</w:t>
      </w:r>
      <w:proofErr w:type="gramEnd"/>
      <w:r w:rsidRPr="0093416E">
        <w:t xml:space="preserve"> </w:t>
      </w:r>
      <w:r w:rsidR="009F2F4C">
        <w:t>blanket</w:t>
      </w:r>
      <w:r w:rsidR="00487642" w:rsidRPr="0093416E">
        <w:t xml:space="preserve"> </w:t>
      </w:r>
      <w:r w:rsidRPr="0093416E">
        <w:t>bans i</w:t>
      </w:r>
      <w:r w:rsidR="00251F00" w:rsidRPr="0093416E">
        <w:t>n</w:t>
      </w:r>
      <w:r w:rsidRPr="0093416E">
        <w:t xml:space="preserve"> </w:t>
      </w:r>
      <w:r w:rsidR="00296DEB" w:rsidRPr="0093416E">
        <w:t>the three U.S. states of Alaska, Hawaii and Utah (</w:t>
      </w:r>
      <w:proofErr w:type="spellStart"/>
      <w:r w:rsidR="008D44EC" w:rsidRPr="0093416E">
        <w:t>Friedl</w:t>
      </w:r>
      <w:proofErr w:type="spellEnd"/>
      <w:r w:rsidR="008D44EC" w:rsidRPr="0093416E" w:rsidDel="00FF7102">
        <w:t xml:space="preserve">, </w:t>
      </w:r>
      <w:r w:rsidR="008D44EC" w:rsidRPr="0093416E">
        <w:t>2020)</w:t>
      </w:r>
      <w:r w:rsidR="004F6568" w:rsidRPr="0093416E">
        <w:t>, and bans on EGMs in Hungary and Western Australia</w:t>
      </w:r>
      <w:r w:rsidR="002A434B">
        <w:t xml:space="preserve">, apart from </w:t>
      </w:r>
      <w:r w:rsidR="00F7768B">
        <w:t>those within casinos</w:t>
      </w:r>
      <w:r w:rsidR="002D6855" w:rsidRPr="0093416E">
        <w:t xml:space="preserve"> (</w:t>
      </w:r>
      <w:proofErr w:type="spellStart"/>
      <w:r w:rsidR="002D6855" w:rsidRPr="0093416E">
        <w:t>Szczyrba</w:t>
      </w:r>
      <w:proofErr w:type="spellEnd"/>
      <w:r w:rsidR="009A4CF8" w:rsidRPr="009A4CF8">
        <w:t xml:space="preserve">, </w:t>
      </w:r>
      <w:proofErr w:type="spellStart"/>
      <w:r w:rsidR="009A4CF8" w:rsidRPr="009A4CF8">
        <w:t>Fiedor</w:t>
      </w:r>
      <w:proofErr w:type="spellEnd"/>
      <w:r w:rsidR="009A4CF8" w:rsidRPr="009A4CF8">
        <w:t xml:space="preserve"> &amp; </w:t>
      </w:r>
      <w:proofErr w:type="spellStart"/>
      <w:r w:rsidR="009A4CF8" w:rsidRPr="009A4CF8">
        <w:t>Smolová</w:t>
      </w:r>
      <w:proofErr w:type="spellEnd"/>
      <w:r w:rsidR="009A4CF8" w:rsidRPr="009A4CF8" w:rsidDel="009A4CF8">
        <w:t xml:space="preserve"> </w:t>
      </w:r>
      <w:r w:rsidR="002D6855" w:rsidRPr="0093416E">
        <w:t>2016; Stevens</w:t>
      </w:r>
      <w:r w:rsidR="007A2047">
        <w:t xml:space="preserve"> </w:t>
      </w:r>
      <w:r w:rsidR="00123ABC">
        <w:t>&amp;</w:t>
      </w:r>
      <w:r w:rsidR="002D6855" w:rsidRPr="0093416E">
        <w:t xml:space="preserve"> Livingston</w:t>
      </w:r>
      <w:r w:rsidR="002D6855" w:rsidRPr="0093416E" w:rsidDel="007A2047">
        <w:t xml:space="preserve">, </w:t>
      </w:r>
      <w:r w:rsidR="002D6855" w:rsidRPr="0093416E">
        <w:t xml:space="preserve">2019). </w:t>
      </w:r>
    </w:p>
    <w:p w14:paraId="065C9AFE" w14:textId="209B0C25" w:rsidR="00AB5E62" w:rsidRPr="006C10CD" w:rsidRDefault="004D6F4C" w:rsidP="000D6A90">
      <w:pPr>
        <w:spacing w:after="240" w:line="312" w:lineRule="auto"/>
        <w:jc w:val="both"/>
        <w:rPr>
          <w:sz w:val="8"/>
          <w:szCs w:val="8"/>
        </w:rPr>
      </w:pPr>
      <w:r w:rsidRPr="0093416E">
        <w:t xml:space="preserve">Venue bans are a more common policy. </w:t>
      </w:r>
      <w:r w:rsidR="00AB5E62" w:rsidRPr="0093416E">
        <w:t xml:space="preserve">For instance, in 2015, </w:t>
      </w:r>
      <w:r w:rsidR="00016E11" w:rsidRPr="0093416E">
        <w:t>Poland banned EGMs in convenience locations, restricting them to casinos and gaming halls (</w:t>
      </w:r>
      <w:proofErr w:type="spellStart"/>
      <w:r w:rsidR="00016E11" w:rsidRPr="0093416E">
        <w:t>Sulkunen</w:t>
      </w:r>
      <w:proofErr w:type="spellEnd"/>
      <w:r w:rsidR="00016E11" w:rsidRPr="0093416E">
        <w:t xml:space="preserve"> et al., 2018). Similarly, in the Canadian province of British Columbia, EGMs are only permitted in casinos, gaming centres</w:t>
      </w:r>
      <w:r w:rsidR="4FC077C2" w:rsidRPr="0093416E">
        <w:t>,</w:t>
      </w:r>
      <w:r w:rsidR="00016E11" w:rsidRPr="0093416E">
        <w:t xml:space="preserve"> and co-located racetrack casinos (Gaming Policy and Enforcement Branch, 2019).</w:t>
      </w:r>
    </w:p>
    <w:p w14:paraId="0BD8ECE4" w14:textId="7F915AFD" w:rsidR="00016E11" w:rsidRPr="0093416E" w:rsidRDefault="00016E11" w:rsidP="000D6A90">
      <w:pPr>
        <w:spacing w:after="240" w:line="312" w:lineRule="auto"/>
        <w:rPr>
          <w:b/>
        </w:rPr>
      </w:pPr>
      <w:r w:rsidRPr="0093416E">
        <w:rPr>
          <w:b/>
        </w:rPr>
        <w:t>Caps</w:t>
      </w:r>
    </w:p>
    <w:p w14:paraId="4B28B5B2" w14:textId="4BBB6A3D" w:rsidR="00E146AC" w:rsidRPr="0093416E" w:rsidRDefault="004C3E6D" w:rsidP="000D6A90">
      <w:pPr>
        <w:spacing w:after="240" w:line="312" w:lineRule="auto"/>
        <w:jc w:val="both"/>
      </w:pPr>
      <w:r w:rsidRPr="0093416E">
        <w:t xml:space="preserve">A less intensive </w:t>
      </w:r>
      <w:r w:rsidR="00F67A2C">
        <w:t>way</w:t>
      </w:r>
      <w:r w:rsidR="00F67A2C" w:rsidRPr="0093416E">
        <w:t xml:space="preserve"> </w:t>
      </w:r>
      <w:r w:rsidRPr="0093416E">
        <w:t>of restricting access to EGMs</w:t>
      </w:r>
      <w:r w:rsidR="00FA3595">
        <w:t>,</w:t>
      </w:r>
      <w:r w:rsidRPr="0093416E">
        <w:t xml:space="preserve"> compared to bans</w:t>
      </w:r>
      <w:r w:rsidR="00FA3595">
        <w:t>,</w:t>
      </w:r>
      <w:r w:rsidRPr="0093416E">
        <w:t xml:space="preserve"> </w:t>
      </w:r>
      <w:r w:rsidR="00E20B08" w:rsidRPr="0093416E">
        <w:t>involve</w:t>
      </w:r>
      <w:r w:rsidR="00F67A2C">
        <w:t>s</w:t>
      </w:r>
      <w:r w:rsidR="00E20B08" w:rsidRPr="0093416E">
        <w:t xml:space="preserve"> capping EGMs and / or venues in some form.</w:t>
      </w:r>
      <w:r w:rsidR="00AA0243" w:rsidRPr="0093416E">
        <w:t xml:space="preserve"> </w:t>
      </w:r>
      <w:r w:rsidR="00614E6F" w:rsidRPr="0093416E">
        <w:t xml:space="preserve">Australia </w:t>
      </w:r>
      <w:r w:rsidR="001F645D">
        <w:t>is</w:t>
      </w:r>
      <w:r w:rsidR="00614E6F" w:rsidRPr="0093416E">
        <w:t xml:space="preserve"> a good example on this front</w:t>
      </w:r>
      <w:r w:rsidR="00ED5173" w:rsidRPr="0093416E">
        <w:t xml:space="preserve">. </w:t>
      </w:r>
      <w:r w:rsidR="00B13426" w:rsidRPr="0093416E">
        <w:t xml:space="preserve">Each </w:t>
      </w:r>
      <w:r w:rsidR="00E54DF0" w:rsidRPr="0093416E">
        <w:t xml:space="preserve">Australian state </w:t>
      </w:r>
      <w:r w:rsidR="00331306" w:rsidRPr="0093416E">
        <w:t xml:space="preserve">sets </w:t>
      </w:r>
      <w:r w:rsidR="00614CBF">
        <w:t xml:space="preserve">some form of </w:t>
      </w:r>
      <w:r w:rsidR="001932A6" w:rsidRPr="0093416E">
        <w:t xml:space="preserve">cap on EGMs (Livingstone et al, 2019). This is </w:t>
      </w:r>
      <w:proofErr w:type="gramStart"/>
      <w:r w:rsidR="001932A6" w:rsidRPr="0093416E">
        <w:t>similar to</w:t>
      </w:r>
      <w:proofErr w:type="gramEnd"/>
      <w:r w:rsidR="001932A6" w:rsidRPr="0093416E">
        <w:t xml:space="preserve"> the reference policy in NZ that </w:t>
      </w:r>
      <w:r w:rsidR="003162FF" w:rsidRPr="0093416E">
        <w:t>was created by the</w:t>
      </w:r>
      <w:r w:rsidR="00850A8B">
        <w:t xml:space="preserve"> </w:t>
      </w:r>
      <w:r w:rsidR="003162FF" w:rsidRPr="0093416E">
        <w:t>Gambling Act</w:t>
      </w:r>
      <w:r w:rsidR="00850A8B" w:rsidRPr="0093416E">
        <w:t xml:space="preserve"> 2003</w:t>
      </w:r>
      <w:r w:rsidR="003162FF" w:rsidRPr="0093416E">
        <w:t xml:space="preserve">, whereby each TA faces a </w:t>
      </w:r>
      <w:r w:rsidR="008870F2" w:rsidRPr="0093416E">
        <w:t>cap on number of EGMs per venue.</w:t>
      </w:r>
      <w:r w:rsidR="00433059" w:rsidRPr="0093416E">
        <w:t xml:space="preserve"> The point of difference is that </w:t>
      </w:r>
      <w:r w:rsidR="00F822E7" w:rsidRPr="0093416E">
        <w:t xml:space="preserve">this base policy is </w:t>
      </w:r>
      <w:r w:rsidR="00BD79E1" w:rsidRPr="0093416E">
        <w:t>the same across all TAs in NZ, whereas the base cap in Australia is state-specific.</w:t>
      </w:r>
    </w:p>
    <w:p w14:paraId="6404E081" w14:textId="5D28C2B0" w:rsidR="00B303AB" w:rsidRDefault="00BD79E1" w:rsidP="000D6A90">
      <w:pPr>
        <w:spacing w:after="240" w:line="312" w:lineRule="auto"/>
        <w:jc w:val="both"/>
      </w:pPr>
      <w:r w:rsidRPr="00B0653D">
        <w:t>Furthermore</w:t>
      </w:r>
      <w:r w:rsidR="008870F2" w:rsidRPr="00B0653D">
        <w:t xml:space="preserve">, </w:t>
      </w:r>
      <w:r w:rsidR="00FD1163" w:rsidRPr="00B0653D">
        <w:t xml:space="preserve">and again in a similar fashion to NZ, </w:t>
      </w:r>
      <w:r w:rsidR="008870F2" w:rsidRPr="00B0653D">
        <w:t>Australian states can undertake additional regulation.</w:t>
      </w:r>
      <w:r w:rsidR="00C71EB8" w:rsidRPr="00B0653D">
        <w:t xml:space="preserve"> </w:t>
      </w:r>
      <w:r w:rsidR="00C07C93">
        <w:t>For instance, in the state of Victoria, in 2000, a per capita cap was introduced (over and above the base cap of 27 500 non-casino EGMs).</w:t>
      </w:r>
      <w:r w:rsidR="008109CE" w:rsidRPr="008109CE">
        <w:rPr>
          <w:rStyle w:val="FootnoteReference"/>
        </w:rPr>
        <w:t xml:space="preserve"> </w:t>
      </w:r>
      <w:r w:rsidR="007F19BB">
        <w:rPr>
          <w:rStyle w:val="FootnoteReference"/>
        </w:rPr>
        <w:footnoteReference w:id="11"/>
      </w:r>
      <w:r w:rsidR="00C07C93">
        <w:t xml:space="preserve"> The cap was specifically targeted at disadvantaged communities and was 11.7 EGMs per 1,000 adults (McMillen, J. &amp; Doran, B., 2006). Municipalities within Victoria that didn’t meet this threshold were given three years to become compliant.</w:t>
      </w:r>
    </w:p>
    <w:p w14:paraId="28090359" w14:textId="78BC1F2C" w:rsidR="009B17CD" w:rsidRPr="00B0653D" w:rsidRDefault="00D01853" w:rsidP="000D6A90">
      <w:pPr>
        <w:spacing w:after="240" w:line="312" w:lineRule="auto"/>
        <w:jc w:val="both"/>
      </w:pPr>
      <w:r w:rsidRPr="00B0653D">
        <w:t>Other selected examples of per venue caps</w:t>
      </w:r>
      <w:r w:rsidR="00CB27BA" w:rsidRPr="00B0653D">
        <w:t xml:space="preserve"> which illustrate </w:t>
      </w:r>
      <w:r w:rsidR="00F311CE" w:rsidRPr="00B0653D">
        <w:t>differing regulations dependent on the type of venue</w:t>
      </w:r>
      <w:r w:rsidRPr="00B0653D">
        <w:t xml:space="preserve"> include the following: </w:t>
      </w:r>
      <w:r w:rsidR="000476C3" w:rsidRPr="00B0653D">
        <w:t xml:space="preserve">hotels in Australian’s Northern Territory are permitted up to 20 EGMs, while clubs in the same state may have up to 55 (Livingston et al, 2019); </w:t>
      </w:r>
      <w:r w:rsidR="0014797D" w:rsidRPr="00B0653D">
        <w:t xml:space="preserve">most non-casino venues in </w:t>
      </w:r>
      <w:r w:rsidR="0014797D" w:rsidRPr="00B0653D">
        <w:lastRenderedPageBreak/>
        <w:t xml:space="preserve">Alberta (Canada) are permitted up to 14 EGMs, while gaming entertainment centres in the same province </w:t>
      </w:r>
      <w:r w:rsidR="00CB27BA" w:rsidRPr="00B0653D">
        <w:t>may have up to 49</w:t>
      </w:r>
      <w:r w:rsidR="00016E11" w:rsidRPr="00B0653D">
        <w:t xml:space="preserve"> (AGLC, 2020)</w:t>
      </w:r>
      <w:r w:rsidR="00F311CE" w:rsidRPr="00B0653D">
        <w:t xml:space="preserve">; </w:t>
      </w:r>
      <w:r w:rsidR="00CB0FC8" w:rsidRPr="00B0653D">
        <w:t xml:space="preserve">and in the U.S. state of Nevada, up to 7 EGMs are allowed in each convenience store, with a limit of 4 EGMs in </w:t>
      </w:r>
      <w:r w:rsidR="00EF3449" w:rsidRPr="00B0653D">
        <w:t>liquor stores, and other venue types assessed individually</w:t>
      </w:r>
      <w:r w:rsidR="00821F55" w:rsidRPr="00B0653D">
        <w:t xml:space="preserve"> (</w:t>
      </w:r>
      <w:r w:rsidR="008D2E67" w:rsidRPr="00B0653D">
        <w:t xml:space="preserve">Nevada Gaming Commission &amp; Nevada Gaming Control Board, </w:t>
      </w:r>
      <w:r w:rsidR="00511910" w:rsidRPr="00B0653D">
        <w:t>2020</w:t>
      </w:r>
      <w:r w:rsidR="00821F55" w:rsidRPr="00B0653D">
        <w:t>).</w:t>
      </w:r>
    </w:p>
    <w:p w14:paraId="6C91DA83" w14:textId="536945A6" w:rsidR="007B6B49" w:rsidRPr="000D6A90" w:rsidRDefault="00E51986" w:rsidP="000D6A90">
      <w:pPr>
        <w:spacing w:after="240" w:line="312" w:lineRule="auto"/>
        <w:jc w:val="both"/>
        <w:rPr>
          <w:rFonts w:ascii="Calibri Light" w:hAnsi="Calibri Light" w:cs="Calibri Light"/>
        </w:rPr>
      </w:pPr>
      <w:r w:rsidRPr="00B0653D">
        <w:t xml:space="preserve">Finally, </w:t>
      </w:r>
      <w:r w:rsidR="00EF3FD0" w:rsidRPr="00B0653D">
        <w:t xml:space="preserve">to the best of our knowledge, the only jurisdiction with </w:t>
      </w:r>
      <w:r w:rsidR="00B61698" w:rsidRPr="00B0653D">
        <w:t xml:space="preserve">use of </w:t>
      </w:r>
      <w:r w:rsidR="00EF3FD0" w:rsidRPr="00B0653D">
        <w:t xml:space="preserve">a sinking lid </w:t>
      </w:r>
      <w:r w:rsidR="00B61698" w:rsidRPr="00B0653D">
        <w:t>regulation is NZ.</w:t>
      </w:r>
      <w:r w:rsidR="000B5D47" w:rsidRPr="00B0653D">
        <w:t xml:space="preserve"> As indicated earlier, a sinking lid policy </w:t>
      </w:r>
      <w:r w:rsidR="00E46DEB" w:rsidRPr="00B0653D">
        <w:t xml:space="preserve">prohibits transferring </w:t>
      </w:r>
      <w:r w:rsidR="00E46DEB" w:rsidRPr="00B0653D">
        <w:rPr>
          <w:rFonts w:ascii="Calibri Light" w:hAnsi="Calibri Light" w:cs="Calibri Light"/>
        </w:rPr>
        <w:t xml:space="preserve">EGM licenses. As such, </w:t>
      </w:r>
      <w:r w:rsidR="007B6B49" w:rsidRPr="00B0653D">
        <w:rPr>
          <w:rFonts w:ascii="Calibri Light" w:hAnsi="Calibri Light" w:cs="Calibri Light"/>
        </w:rPr>
        <w:t>venue closures</w:t>
      </w:r>
      <w:r w:rsidR="00E46DEB" w:rsidRPr="00B0653D">
        <w:rPr>
          <w:rFonts w:ascii="Calibri Light" w:hAnsi="Calibri Light" w:cs="Calibri Light"/>
        </w:rPr>
        <w:t xml:space="preserve"> serve to permanently lower the </w:t>
      </w:r>
      <w:r w:rsidR="007B6B49" w:rsidRPr="00B0653D">
        <w:rPr>
          <w:rFonts w:ascii="Calibri Light" w:hAnsi="Calibri Light" w:cs="Calibri Light"/>
        </w:rPr>
        <w:t>number</w:t>
      </w:r>
      <w:r w:rsidR="00E46DEB" w:rsidRPr="00B0653D">
        <w:rPr>
          <w:rFonts w:ascii="Calibri Light" w:hAnsi="Calibri Light" w:cs="Calibri Light"/>
        </w:rPr>
        <w:t xml:space="preserve"> o</w:t>
      </w:r>
      <w:r w:rsidR="007B6B49" w:rsidRPr="00B0653D">
        <w:rPr>
          <w:rFonts w:ascii="Calibri Light" w:hAnsi="Calibri Light" w:cs="Calibri Light"/>
        </w:rPr>
        <w:t>f non-casino</w:t>
      </w:r>
      <w:r w:rsidR="00E46DEB" w:rsidRPr="00B0653D">
        <w:rPr>
          <w:rFonts w:ascii="Calibri Light" w:hAnsi="Calibri Light" w:cs="Calibri Light"/>
        </w:rPr>
        <w:t xml:space="preserve"> EGMs within the </w:t>
      </w:r>
      <w:r w:rsidR="007B6B49" w:rsidRPr="00B0653D">
        <w:rPr>
          <w:rFonts w:ascii="Calibri Light" w:hAnsi="Calibri Light" w:cs="Calibri Light"/>
        </w:rPr>
        <w:t>relevant TA.</w:t>
      </w:r>
    </w:p>
    <w:p w14:paraId="72165139" w14:textId="77777777" w:rsidR="00016E11" w:rsidRPr="0093416E" w:rsidRDefault="00016E11" w:rsidP="000D6A90">
      <w:pPr>
        <w:spacing w:after="240" w:line="312" w:lineRule="auto"/>
        <w:jc w:val="both"/>
        <w:rPr>
          <w:b/>
        </w:rPr>
      </w:pPr>
      <w:r w:rsidRPr="0093416E">
        <w:rPr>
          <w:b/>
        </w:rPr>
        <w:t>Individuals</w:t>
      </w:r>
    </w:p>
    <w:p w14:paraId="5D36F3F0" w14:textId="541364A4" w:rsidR="00016E11" w:rsidRPr="0093416E" w:rsidRDefault="00016E11" w:rsidP="000D6A90">
      <w:pPr>
        <w:spacing w:after="240" w:line="312" w:lineRule="auto"/>
        <w:jc w:val="both"/>
      </w:pPr>
      <w:r w:rsidRPr="0093416E">
        <w:t xml:space="preserve">Most jurisdictions have </w:t>
      </w:r>
      <w:r w:rsidR="006F1B13">
        <w:t>a minimum</w:t>
      </w:r>
      <w:r w:rsidRPr="0093416E">
        <w:t xml:space="preserve"> gambling</w:t>
      </w:r>
      <w:r w:rsidR="006F1B13">
        <w:t xml:space="preserve"> </w:t>
      </w:r>
      <w:r w:rsidRPr="0093416E">
        <w:t xml:space="preserve">age, </w:t>
      </w:r>
      <w:r w:rsidR="006F1B13">
        <w:t>usually</w:t>
      </w:r>
      <w:r w:rsidRPr="0093416E">
        <w:t xml:space="preserve"> varying between 1</w:t>
      </w:r>
      <w:r w:rsidR="00527B7A" w:rsidRPr="0093416E">
        <w:t>8</w:t>
      </w:r>
      <w:r w:rsidRPr="0093416E">
        <w:t xml:space="preserve"> - 21 years</w:t>
      </w:r>
      <w:r w:rsidR="007D4487" w:rsidRPr="0093416E">
        <w:t xml:space="preserve">, </w:t>
      </w:r>
      <w:r w:rsidR="002B62DB">
        <w:t>with</w:t>
      </w:r>
      <w:r w:rsidR="00E7615D" w:rsidRPr="0093416E">
        <w:t xml:space="preserve"> limit</w:t>
      </w:r>
      <w:r w:rsidR="002B62DB">
        <w:t>s</w:t>
      </w:r>
      <w:r w:rsidR="00E7615D" w:rsidRPr="0093416E">
        <w:t xml:space="preserve"> often depend</w:t>
      </w:r>
      <w:r w:rsidR="002B62DB">
        <w:t>ing</w:t>
      </w:r>
      <w:r w:rsidR="00E7615D" w:rsidRPr="0093416E">
        <w:t xml:space="preserve"> on the form of gambling </w:t>
      </w:r>
      <w:r w:rsidR="002014D4" w:rsidRPr="0093416E">
        <w:t>(</w:t>
      </w:r>
      <w:proofErr w:type="spellStart"/>
      <w:r w:rsidR="002014D4" w:rsidRPr="0093416E">
        <w:t>Sulkunen</w:t>
      </w:r>
      <w:proofErr w:type="spellEnd"/>
      <w:r w:rsidR="002014D4" w:rsidRPr="0093416E">
        <w:t xml:space="preserve"> et al., 2018)</w:t>
      </w:r>
      <w:r w:rsidRPr="0093416E">
        <w:t>.</w:t>
      </w:r>
      <w:r w:rsidR="007064AA" w:rsidRPr="0093416E">
        <w:rPr>
          <w:rStyle w:val="FootnoteReference"/>
        </w:rPr>
        <w:footnoteReference w:id="12"/>
      </w:r>
    </w:p>
    <w:p w14:paraId="7D2C4B9F" w14:textId="29FDD791" w:rsidR="00016E11" w:rsidRPr="0093416E" w:rsidRDefault="00016E11" w:rsidP="000D6A90">
      <w:pPr>
        <w:spacing w:after="240" w:line="312" w:lineRule="auto"/>
        <w:jc w:val="both"/>
      </w:pPr>
      <w:r w:rsidRPr="0093416E">
        <w:t>In m</w:t>
      </w:r>
      <w:r w:rsidR="000139DF" w:rsidRPr="0093416E">
        <w:t>any</w:t>
      </w:r>
      <w:r w:rsidRPr="0093416E">
        <w:t xml:space="preserve"> jurisdictions, </w:t>
      </w:r>
      <w:r w:rsidR="004D2607" w:rsidRPr="0093416E">
        <w:t xml:space="preserve">the </w:t>
      </w:r>
      <w:r w:rsidRPr="0093416E">
        <w:t xml:space="preserve">minimum gambling age is set with reference to the minimum drinking age, especially since most gambling venues are </w:t>
      </w:r>
      <w:r w:rsidR="0068218C" w:rsidRPr="0093416E">
        <w:t xml:space="preserve">often </w:t>
      </w:r>
      <w:r w:rsidRPr="0093416E">
        <w:t>liquor-licenced</w:t>
      </w:r>
      <w:r w:rsidR="004E1655" w:rsidRPr="0093416E">
        <w:t>.</w:t>
      </w:r>
      <w:r w:rsidRPr="0093416E">
        <w:t xml:space="preserve"> In Canada, for example, gambling and alcohol consumption are regulated under the same legislation, the Gaming, Liquor and Cannabis Act. </w:t>
      </w:r>
      <w:r w:rsidR="00C27C1B" w:rsidRPr="0093416E">
        <w:t xml:space="preserve">While access to EGMs and liquor are often co-located, </w:t>
      </w:r>
      <w:r w:rsidR="00D4691C" w:rsidRPr="0093416E">
        <w:t xml:space="preserve">jurisdictions often regulate against intoxicated individuals </w:t>
      </w:r>
      <w:r w:rsidR="003E7D76" w:rsidRPr="0093416E">
        <w:t xml:space="preserve">gambling. Using another example from Canada (from the </w:t>
      </w:r>
      <w:r w:rsidRPr="0093416E">
        <w:t>province of Alberta</w:t>
      </w:r>
      <w:r w:rsidR="003E7D76" w:rsidRPr="0093416E">
        <w:t>)</w:t>
      </w:r>
      <w:r w:rsidRPr="0093416E">
        <w:t xml:space="preserve">, individuals who </w:t>
      </w:r>
      <w:r w:rsidR="00FD6757" w:rsidRPr="0093416E">
        <w:t>“</w:t>
      </w:r>
      <w:r w:rsidRPr="0093416E">
        <w:t>appear to be intoxicated</w:t>
      </w:r>
      <w:r w:rsidR="00FD6757" w:rsidRPr="0093416E">
        <w:t>”</w:t>
      </w:r>
      <w:r w:rsidRPr="0093416E">
        <w:t xml:space="preserve"> are not allowed to engage with EGMs (AGLC, 2020).</w:t>
      </w:r>
      <w:r w:rsidR="007064AA" w:rsidRPr="0093416E">
        <w:rPr>
          <w:rStyle w:val="FootnoteReference"/>
        </w:rPr>
        <w:footnoteReference w:id="13"/>
      </w:r>
    </w:p>
    <w:p w14:paraId="4F2D1613" w14:textId="53E77497" w:rsidR="00F10F4E" w:rsidRPr="0093416E" w:rsidRDefault="00F855D5" w:rsidP="000D6A90">
      <w:pPr>
        <w:spacing w:after="240" w:line="312" w:lineRule="auto"/>
        <w:jc w:val="both"/>
      </w:pPr>
      <w:r w:rsidRPr="0093416E">
        <w:t>In Europe, the most common gambling age is 18</w:t>
      </w:r>
      <w:r w:rsidR="00AC4D82" w:rsidRPr="0093416E">
        <w:t xml:space="preserve">. Across </w:t>
      </w:r>
      <w:r w:rsidR="00267F4B">
        <w:t>much</w:t>
      </w:r>
      <w:r w:rsidR="00AC4D82" w:rsidRPr="0093416E">
        <w:t xml:space="preserve"> of the U.S., </w:t>
      </w:r>
      <w:r w:rsidR="00A367A0" w:rsidRPr="0093416E">
        <w:t xml:space="preserve">the gambling age is 21, </w:t>
      </w:r>
      <w:r w:rsidR="002C3ECB" w:rsidRPr="0093416E">
        <w:t>although</w:t>
      </w:r>
      <w:r w:rsidR="00B83C31">
        <w:t xml:space="preserve"> it</w:t>
      </w:r>
      <w:r w:rsidR="002C3ECB" w:rsidRPr="0093416E">
        <w:t xml:space="preserve"> </w:t>
      </w:r>
      <w:r w:rsidR="00B83C31">
        <w:t>is set</w:t>
      </w:r>
      <w:r w:rsidR="006532F3" w:rsidRPr="0093416E">
        <w:t xml:space="preserve"> </w:t>
      </w:r>
      <w:r w:rsidR="00B83C31">
        <w:t>at</w:t>
      </w:r>
      <w:r w:rsidR="006532F3" w:rsidRPr="0093416E">
        <w:t xml:space="preserve"> 18 in </w:t>
      </w:r>
      <w:proofErr w:type="gramStart"/>
      <w:r w:rsidR="006532F3" w:rsidRPr="0093416E">
        <w:t>a number of</w:t>
      </w:r>
      <w:proofErr w:type="gramEnd"/>
      <w:r w:rsidR="006532F3" w:rsidRPr="0093416E">
        <w:t xml:space="preserve"> states for casino gambling</w:t>
      </w:r>
      <w:r w:rsidR="007C59FD" w:rsidRPr="0093416E">
        <w:t xml:space="preserve"> (American Gambling Association, 2020)</w:t>
      </w:r>
      <w:r w:rsidR="006532F3" w:rsidRPr="0093416E">
        <w:t xml:space="preserve">. </w:t>
      </w:r>
      <w:r w:rsidRPr="0093416E">
        <w:t xml:space="preserve">In </w:t>
      </w:r>
      <w:r w:rsidR="00C04F96">
        <w:t>N</w:t>
      </w:r>
      <w:r w:rsidRPr="0093416E">
        <w:t>Z,</w:t>
      </w:r>
      <w:r w:rsidR="008067AE" w:rsidRPr="0093416E">
        <w:t xml:space="preserve"> the gambling age is 20 for casinos, and 18 for EGMs</w:t>
      </w:r>
      <w:r w:rsidR="002809E2">
        <w:t xml:space="preserve"> outside of casinos</w:t>
      </w:r>
      <w:r w:rsidR="008067AE" w:rsidRPr="0093416E">
        <w:t>.</w:t>
      </w:r>
    </w:p>
    <w:p w14:paraId="275E1DE8" w14:textId="23BFD999" w:rsidR="00016E11" w:rsidRPr="0093416E" w:rsidRDefault="0096476D" w:rsidP="000D6A90">
      <w:pPr>
        <w:pStyle w:val="Heading3"/>
        <w:spacing w:before="0" w:after="240" w:line="312" w:lineRule="auto"/>
        <w:jc w:val="both"/>
        <w:rPr>
          <w14:textFill>
            <w14:solidFill>
              <w14:schemeClr w14:val="tx1">
                <w14:lumMod w14:val="85000"/>
                <w14:lumOff w14:val="15000"/>
                <w14:lumMod w14:val="85000"/>
                <w14:lumOff w14:val="15000"/>
                <w14:lumMod w14:val="75000"/>
              </w14:schemeClr>
            </w14:solidFill>
          </w14:textFill>
        </w:rPr>
      </w:pPr>
      <w:bookmarkStart w:id="33" w:name="_Toc43645830"/>
      <w:bookmarkStart w:id="34" w:name="_Toc43798234"/>
      <w:bookmarkStart w:id="35" w:name="_Toc44046882"/>
      <w:bookmarkStart w:id="36" w:name="_Toc44307407"/>
      <w:bookmarkStart w:id="37" w:name="_Toc49961667"/>
      <w:bookmarkStart w:id="38" w:name="_Toc49961709"/>
      <w:bookmarkStart w:id="39" w:name="_Toc49961764"/>
      <w:bookmarkStart w:id="40" w:name="_Toc50012234"/>
      <w:bookmarkStart w:id="41" w:name="_Toc50012360"/>
      <w:bookmarkStart w:id="42" w:name="_Toc50012387"/>
      <w:bookmarkStart w:id="43" w:name="_Toc50015915"/>
      <w:bookmarkStart w:id="44" w:name="_Toc50033366"/>
      <w:r w:rsidRPr="0093416E">
        <w:rPr>
          <w14:textFill>
            <w14:solidFill>
              <w14:schemeClr w14:val="tx1">
                <w14:lumMod w14:val="85000"/>
                <w14:lumOff w14:val="15000"/>
                <w14:lumMod w14:val="85000"/>
                <w14:lumOff w14:val="15000"/>
                <w14:lumMod w14:val="75000"/>
              </w14:schemeClr>
            </w14:solidFill>
          </w14:textFill>
        </w:rPr>
        <w:t>INTERNATION</w:t>
      </w:r>
      <w:r w:rsidR="7EFC1463" w:rsidRPr="0093416E">
        <w:rPr>
          <w14:textFill>
            <w14:solidFill>
              <w14:schemeClr w14:val="tx1">
                <w14:lumMod w14:val="85000"/>
                <w14:lumOff w14:val="15000"/>
                <w14:lumMod w14:val="85000"/>
                <w14:lumOff w14:val="15000"/>
                <w14:lumMod w14:val="75000"/>
              </w14:schemeClr>
            </w14:solidFill>
          </w14:textFill>
        </w:rPr>
        <w:t>A</w:t>
      </w:r>
      <w:r w:rsidRPr="0093416E">
        <w:rPr>
          <w14:textFill>
            <w14:solidFill>
              <w14:schemeClr w14:val="tx1">
                <w14:lumMod w14:val="85000"/>
                <w14:lumOff w14:val="15000"/>
                <w14:lumMod w14:val="85000"/>
                <w14:lumOff w14:val="15000"/>
                <w14:lumMod w14:val="75000"/>
              </w14:schemeClr>
            </w14:solidFill>
          </w14:textFill>
        </w:rPr>
        <w:t>L LITERATURE</w:t>
      </w:r>
      <w:r w:rsidR="00016E11" w:rsidRPr="0093416E">
        <w:rPr>
          <w14:textFill>
            <w14:solidFill>
              <w14:schemeClr w14:val="tx1">
                <w14:lumMod w14:val="85000"/>
                <w14:lumOff w14:val="15000"/>
                <w14:lumMod w14:val="85000"/>
                <w14:lumOff w14:val="15000"/>
                <w14:lumMod w14:val="75000"/>
              </w14:schemeClr>
            </w14:solidFill>
          </w14:textFill>
        </w:rPr>
        <w:t xml:space="preserve"> FINDINGS</w:t>
      </w:r>
      <w:bookmarkEnd w:id="33"/>
      <w:bookmarkEnd w:id="34"/>
      <w:bookmarkEnd w:id="35"/>
      <w:bookmarkEnd w:id="36"/>
      <w:bookmarkEnd w:id="37"/>
      <w:bookmarkEnd w:id="38"/>
      <w:bookmarkEnd w:id="39"/>
      <w:bookmarkEnd w:id="40"/>
      <w:bookmarkEnd w:id="41"/>
      <w:bookmarkEnd w:id="42"/>
      <w:bookmarkEnd w:id="43"/>
      <w:bookmarkEnd w:id="44"/>
    </w:p>
    <w:p w14:paraId="6E52C1EE" w14:textId="5EDD288B" w:rsidR="00807FAE" w:rsidRDefault="00B512F8" w:rsidP="000D6A90">
      <w:pPr>
        <w:spacing w:after="240" w:line="312" w:lineRule="auto"/>
        <w:jc w:val="both"/>
      </w:pPr>
      <w:r w:rsidRPr="0093416E">
        <w:t xml:space="preserve">Policy evaluations in this space are </w:t>
      </w:r>
      <w:r w:rsidR="00DF049E">
        <w:t>scant</w:t>
      </w:r>
      <w:r w:rsidR="00533F58" w:rsidRPr="0093416E">
        <w:t>.</w:t>
      </w:r>
      <w:r w:rsidR="004D2FA1" w:rsidRPr="0093416E">
        <w:t xml:space="preserve"> </w:t>
      </w:r>
      <w:r w:rsidR="00533F58" w:rsidRPr="0093416E">
        <w:t xml:space="preserve">This is </w:t>
      </w:r>
      <w:r w:rsidR="004D2FA1" w:rsidRPr="0093416E">
        <w:t xml:space="preserve">likely due to lack of relevant data, and </w:t>
      </w:r>
      <w:r w:rsidR="00533F58" w:rsidRPr="0093416E">
        <w:t>a scant number of</w:t>
      </w:r>
      <w:r w:rsidR="004D2FA1" w:rsidRPr="0093416E">
        <w:t xml:space="preserve"> quasi-experimental settings to draw from</w:t>
      </w:r>
      <w:r w:rsidR="00533F58" w:rsidRPr="0093416E">
        <w:t>.</w:t>
      </w:r>
      <w:r w:rsidR="00B07622" w:rsidRPr="0093416E">
        <w:t xml:space="preserve"> As such</w:t>
      </w:r>
      <w:r w:rsidR="000148B6">
        <w:t>,</w:t>
      </w:r>
      <w:r w:rsidR="00B07622" w:rsidRPr="0093416E">
        <w:t xml:space="preserve"> many of the studies</w:t>
      </w:r>
      <w:r w:rsidR="00C068D8" w:rsidRPr="0093416E">
        <w:t xml:space="preserve"> </w:t>
      </w:r>
      <w:r w:rsidR="00B07622" w:rsidRPr="0093416E">
        <w:t xml:space="preserve">referred to </w:t>
      </w:r>
      <w:r w:rsidR="00C8295B" w:rsidRPr="0093416E">
        <w:t>in this sub-section refer to cross-sectional analysis.</w:t>
      </w:r>
      <w:r w:rsidR="009710DE" w:rsidRPr="0093416E">
        <w:t xml:space="preserve"> </w:t>
      </w:r>
      <w:r w:rsidR="00C068D8" w:rsidRPr="0093416E">
        <w:t xml:space="preserve">Table 2 presents a summary of </w:t>
      </w:r>
      <w:r w:rsidR="00397A46" w:rsidRPr="0093416E">
        <w:t>selected studies</w:t>
      </w:r>
      <w:r w:rsidR="00414B26" w:rsidRPr="0093416E">
        <w:t>.</w:t>
      </w:r>
      <w:r w:rsidR="002809E2">
        <w:rPr>
          <w:rStyle w:val="FootnoteReference"/>
        </w:rPr>
        <w:footnoteReference w:id="14"/>
      </w:r>
      <w:r w:rsidR="00414B26" w:rsidRPr="0093416E">
        <w:t xml:space="preserve"> </w:t>
      </w:r>
    </w:p>
    <w:p w14:paraId="54B7723B" w14:textId="7852E690" w:rsidR="00C46B79" w:rsidRDefault="00C46B79">
      <w:r>
        <w:br w:type="page"/>
      </w:r>
    </w:p>
    <w:p w14:paraId="02939576" w14:textId="77522FD3" w:rsidR="00864A59" w:rsidRDefault="00864A59" w:rsidP="0093416E">
      <w:pPr>
        <w:pStyle w:val="FigureTableTitle"/>
        <w:spacing w:after="0"/>
      </w:pPr>
      <w:bookmarkStart w:id="45" w:name="_Toc50033352"/>
      <w:r>
        <w:lastRenderedPageBreak/>
        <w:t xml:space="preserve">Table </w:t>
      </w:r>
      <w:fldSimple w:instr=" SEQ Table \* ARABIC ">
        <w:r w:rsidR="00CB2BDA">
          <w:rPr>
            <w:noProof/>
          </w:rPr>
          <w:t>2</w:t>
        </w:r>
      </w:fldSimple>
      <w:r>
        <w:t xml:space="preserve">. </w:t>
      </w:r>
      <w:r w:rsidRPr="00972EC2">
        <w:t xml:space="preserve">Summary of </w:t>
      </w:r>
      <w:r w:rsidR="00782A13">
        <w:t xml:space="preserve">selected </w:t>
      </w:r>
      <w:r w:rsidR="00A53787">
        <w:t xml:space="preserve">international </w:t>
      </w:r>
      <w:r w:rsidR="00463878">
        <w:t>studies</w:t>
      </w:r>
      <w:bookmarkEnd w:id="45"/>
      <w:r w:rsidR="00463878">
        <w:t xml:space="preserve"> </w:t>
      </w:r>
    </w:p>
    <w:tbl>
      <w:tblPr>
        <w:tblStyle w:val="TableGrid"/>
        <w:tblW w:w="0" w:type="auto"/>
        <w:tblLook w:val="04A0" w:firstRow="1" w:lastRow="0" w:firstColumn="1" w:lastColumn="0" w:noHBand="0" w:noVBand="1"/>
      </w:tblPr>
      <w:tblGrid>
        <w:gridCol w:w="1579"/>
        <w:gridCol w:w="2140"/>
        <w:gridCol w:w="723"/>
        <w:gridCol w:w="4574"/>
      </w:tblGrid>
      <w:tr w:rsidR="00634613" w14:paraId="43F7B4DC"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tcPr>
          <w:p w14:paraId="70BDB0CF" w14:textId="612EE804" w:rsidR="00634613" w:rsidRPr="003F721D" w:rsidRDefault="00634613" w:rsidP="00634613">
            <w:pPr>
              <w:jc w:val="both"/>
            </w:pPr>
            <w:r w:rsidRPr="00AA7E29">
              <w:rPr>
                <w:color w:val="FFFFFF" w:themeColor="background1"/>
              </w:rPr>
              <w:t>Region</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tcPr>
          <w:p w14:paraId="3834EBE3" w14:textId="5F87CE6F" w:rsidR="00634613" w:rsidRDefault="00634613" w:rsidP="00634613">
            <w:pPr>
              <w:jc w:val="both"/>
            </w:pPr>
            <w:r w:rsidRPr="00AA7E29">
              <w:rPr>
                <w:color w:val="FFFFFF" w:themeColor="background1"/>
              </w:rPr>
              <w:t xml:space="preserve">Availability </w:t>
            </w:r>
            <w:r>
              <w:rPr>
                <w:color w:val="FFFFFF" w:themeColor="background1"/>
              </w:rPr>
              <w:t>c</w:t>
            </w:r>
            <w:r w:rsidRPr="00AA7E29">
              <w:rPr>
                <w:color w:val="FFFFFF" w:themeColor="background1"/>
              </w:rPr>
              <w:t>hange</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tcPr>
          <w:p w14:paraId="614A3283" w14:textId="78076CE9" w:rsidR="00634613" w:rsidRDefault="00634613" w:rsidP="00634613">
            <w:pPr>
              <w:jc w:val="both"/>
            </w:pPr>
            <w:r w:rsidRPr="00AA7E29">
              <w:rPr>
                <w:color w:val="FFFFFF" w:themeColor="background1"/>
              </w:rPr>
              <w:t>Year</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tcPr>
          <w:p w14:paraId="7680BDA1" w14:textId="4FEA18C2" w:rsidR="00634613" w:rsidRDefault="00634613" w:rsidP="00634613">
            <w:pPr>
              <w:jc w:val="both"/>
            </w:pPr>
            <w:r w:rsidRPr="00AA7E29">
              <w:rPr>
                <w:color w:val="FFFFFF" w:themeColor="background1"/>
              </w:rPr>
              <w:t xml:space="preserve">Key </w:t>
            </w:r>
            <w:r>
              <w:rPr>
                <w:color w:val="FFFFFF" w:themeColor="background1"/>
              </w:rPr>
              <w:t>f</w:t>
            </w:r>
            <w:r w:rsidRPr="00AA7E29">
              <w:rPr>
                <w:color w:val="FFFFFF" w:themeColor="background1"/>
              </w:rPr>
              <w:t>indings</w:t>
            </w:r>
          </w:p>
        </w:tc>
      </w:tr>
      <w:tr w:rsidR="00634613" w14:paraId="2EE14F48" w14:textId="77777777" w:rsidTr="004C6DD8">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EB9C299" w14:textId="52B9E3FF" w:rsidR="00634613" w:rsidRPr="0093416E" w:rsidRDefault="00634613" w:rsidP="00634613">
            <w:pPr>
              <w:jc w:val="both"/>
              <w:rPr>
                <w:b/>
              </w:rPr>
            </w:pPr>
            <w:r w:rsidRPr="0093416E">
              <w:rPr>
                <w:b/>
              </w:rPr>
              <w:t>Australia</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76B4612" w14:textId="77777777" w:rsidR="00634613" w:rsidRPr="0093416E" w:rsidRDefault="00634613" w:rsidP="00634613">
            <w:pPr>
              <w:jc w:val="both"/>
            </w:pP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596BD5E3" w14:textId="77777777" w:rsidR="00634613" w:rsidRPr="0093416E" w:rsidRDefault="00634613" w:rsidP="00634613">
            <w:pPr>
              <w:jc w:val="both"/>
            </w:pP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18F94BE5" w14:textId="77777777" w:rsidR="00634613" w:rsidRPr="0093416E" w:rsidRDefault="00634613" w:rsidP="00634613">
            <w:pPr>
              <w:jc w:val="both"/>
            </w:pPr>
          </w:p>
        </w:tc>
      </w:tr>
      <w:tr w:rsidR="00634613" w14:paraId="5B1B98E9"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C2CEF52" w14:textId="2A6B58FD" w:rsidR="00634613" w:rsidRPr="0093416E" w:rsidRDefault="00634613" w:rsidP="00634613">
            <w:pPr>
              <w:jc w:val="both"/>
            </w:pPr>
            <w:r w:rsidRPr="0093416E">
              <w:t>Queensland</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2E603F6" w14:textId="7341B4EE" w:rsidR="00634613" w:rsidRPr="0093416E" w:rsidRDefault="00634613" w:rsidP="002A4D2F">
            <w:r w:rsidRPr="0093416E">
              <w:t>Allowed EGMs in hotels</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D32F923" w14:textId="3AC6F231" w:rsidR="00634613" w:rsidRPr="0093416E" w:rsidRDefault="00634613" w:rsidP="00634613">
            <w:pPr>
              <w:jc w:val="both"/>
            </w:pPr>
            <w:r w:rsidRPr="0093416E">
              <w:t>1991</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78CAED3" w14:textId="7F2FA418" w:rsidR="00634613" w:rsidRPr="0093416E" w:rsidRDefault="00634613" w:rsidP="00634613">
            <w:pPr>
              <w:jc w:val="both"/>
            </w:pPr>
            <w:r w:rsidRPr="0093416E">
              <w:t>The increase in EGM availability was associated with an increase in problem gambling (Australian Institute for Gambling Research, 1995).</w:t>
            </w:r>
            <w:r w:rsidR="00900A10" w:rsidRPr="0093416E">
              <w:rPr>
                <w:rStyle w:val="FootnoteReference"/>
              </w:rPr>
              <w:footnoteReference w:id="15"/>
            </w:r>
          </w:p>
        </w:tc>
      </w:tr>
      <w:tr w:rsidR="00634613" w14:paraId="51A18413"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5D8CA844" w14:textId="5AF58318" w:rsidR="00634613" w:rsidRPr="0093416E" w:rsidRDefault="00634613" w:rsidP="00634613">
            <w:pPr>
              <w:jc w:val="both"/>
              <w:rPr>
                <w:highlight w:val="yellow"/>
              </w:rPr>
            </w:pPr>
            <w:r w:rsidRPr="0093416E">
              <w:t>Victoria</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8201FCD" w14:textId="17B307EA" w:rsidR="00634613" w:rsidRPr="0093416E" w:rsidRDefault="00634613" w:rsidP="002A4D2F">
            <w:r w:rsidRPr="0093416E">
              <w:t>Absolute cap of 27,500 EGMs</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0370F948" w14:textId="4A434777" w:rsidR="00634613" w:rsidRPr="0093416E" w:rsidRDefault="00634613" w:rsidP="00634613">
            <w:pPr>
              <w:jc w:val="both"/>
            </w:pPr>
            <w:r w:rsidRPr="0093416E">
              <w:t>1995</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017F1BC" w14:textId="663CF710" w:rsidR="00634613" w:rsidRPr="0093416E" w:rsidRDefault="00634613" w:rsidP="00634613">
            <w:pPr>
              <w:jc w:val="both"/>
            </w:pPr>
            <w:r w:rsidRPr="0093416E">
              <w:t xml:space="preserve">The </w:t>
            </w:r>
            <w:r w:rsidR="008B2192">
              <w:t>decrease in EGM</w:t>
            </w:r>
            <w:r w:rsidR="00BC5C2D">
              <w:t xml:space="preserve"> availability</w:t>
            </w:r>
            <w:r w:rsidRPr="0093416E">
              <w:t xml:space="preserve"> was associated with no impact on EGM expenditure (South Australian Centre for Economic Studies, 2008).</w:t>
            </w:r>
          </w:p>
        </w:tc>
      </w:tr>
      <w:tr w:rsidR="00634613" w14:paraId="4937951E"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78E88266" w14:textId="1D4A234E" w:rsidR="00634613" w:rsidRPr="0093416E" w:rsidRDefault="00634613" w:rsidP="00634613">
            <w:pPr>
              <w:jc w:val="both"/>
              <w:rPr>
                <w:highlight w:val="yellow"/>
              </w:rPr>
            </w:pPr>
            <w:r w:rsidRPr="0093416E">
              <w:t>Victoria</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0ADF7147" w14:textId="40391A23" w:rsidR="00634613" w:rsidRPr="0093416E" w:rsidRDefault="00634613" w:rsidP="002A4D2F">
            <w:r w:rsidRPr="0093416E">
              <w:t>Per capita cap of 11.7 EGMs per 1,000 adults</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39096BC3" w14:textId="1C2C712C" w:rsidR="00634613" w:rsidRPr="0093416E" w:rsidRDefault="00634613" w:rsidP="00634613">
            <w:pPr>
              <w:jc w:val="both"/>
            </w:pPr>
            <w:r w:rsidRPr="0093416E">
              <w:t>2000</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3977EFCE" w14:textId="518FE7CE" w:rsidR="00634613" w:rsidRPr="0093416E" w:rsidRDefault="00634613" w:rsidP="00634613">
            <w:pPr>
              <w:jc w:val="both"/>
            </w:pPr>
            <w:r w:rsidRPr="0093416E">
              <w:t xml:space="preserve">The reduction in the number of EGMs </w:t>
            </w:r>
            <w:r w:rsidR="0002460F" w:rsidRPr="0093416E">
              <w:t>resulted in</w:t>
            </w:r>
            <w:r w:rsidRPr="0093416E">
              <w:t xml:space="preserve"> no impact on gambling </w:t>
            </w:r>
            <w:r w:rsidR="00F02C19" w:rsidRPr="0093416E">
              <w:t>expenditure</w:t>
            </w:r>
            <w:r w:rsidR="00EA7247" w:rsidRPr="0093416E">
              <w:t xml:space="preserve"> </w:t>
            </w:r>
            <w:r w:rsidRPr="0093416E">
              <w:t>and little change in the spatial distribution of gambling expenditure (McMillen &amp; Doran, 2006).</w:t>
            </w:r>
            <w:r w:rsidR="00900A10" w:rsidRPr="0093416E">
              <w:rPr>
                <w:rStyle w:val="FootnoteReference"/>
              </w:rPr>
              <w:footnoteReference w:id="16"/>
            </w:r>
          </w:p>
        </w:tc>
      </w:tr>
      <w:tr w:rsidR="00634613" w14:paraId="1DA410A0" w14:textId="77777777" w:rsidTr="007369ED">
        <w:tc>
          <w:tcPr>
            <w:tcW w:w="9016" w:type="dxa"/>
            <w:gridSpan w:val="4"/>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D2EF61A" w14:textId="432B4D83" w:rsidR="00634613" w:rsidRPr="0093416E" w:rsidRDefault="00634613" w:rsidP="002A4D2F">
            <w:r w:rsidRPr="0093416E">
              <w:rPr>
                <w:b/>
              </w:rPr>
              <w:t>U.S.</w:t>
            </w:r>
          </w:p>
        </w:tc>
      </w:tr>
      <w:tr w:rsidR="00634613" w14:paraId="4562BB8A"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2150D54" w14:textId="40215290" w:rsidR="00634613" w:rsidRPr="0093416E" w:rsidRDefault="00634613" w:rsidP="00634613">
            <w:pPr>
              <w:jc w:val="both"/>
              <w:rPr>
                <w:highlight w:val="yellow"/>
              </w:rPr>
            </w:pPr>
            <w:r w:rsidRPr="0093416E">
              <w:t>Louisiana</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3CAD3891" w14:textId="5969456A" w:rsidR="00634613" w:rsidRPr="0093416E" w:rsidRDefault="00634613" w:rsidP="002A4D2F">
            <w:r w:rsidRPr="0093416E">
              <w:t>Allowed EGMs in parishes</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5C5FDF7A" w14:textId="3698CAF3" w:rsidR="00634613" w:rsidRPr="0093416E" w:rsidRDefault="00634613" w:rsidP="00634613">
            <w:pPr>
              <w:jc w:val="both"/>
            </w:pPr>
            <w:r w:rsidRPr="0093416E">
              <w:t>1992</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650D2C20" w14:textId="1EAEA525" w:rsidR="00634613" w:rsidRPr="0093416E" w:rsidRDefault="00634613" w:rsidP="00634613">
            <w:pPr>
              <w:jc w:val="both"/>
            </w:pPr>
            <w:r w:rsidRPr="0093416E">
              <w:t>The increase in EGM availability was associated with an increase in gamblers anonymous groups (Campbell &amp; Lester, 1999).</w:t>
            </w:r>
          </w:p>
        </w:tc>
      </w:tr>
      <w:tr w:rsidR="00634613" w14:paraId="17646B6F"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20A3D0E" w14:textId="269CDC9B" w:rsidR="00634613" w:rsidRPr="0093416E" w:rsidRDefault="00634613" w:rsidP="00634613">
            <w:pPr>
              <w:jc w:val="both"/>
              <w:rPr>
                <w:highlight w:val="yellow"/>
              </w:rPr>
            </w:pPr>
            <w:r w:rsidRPr="0093416E">
              <w:t>South Dakota</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DD4FCFA" w14:textId="6AC7E6E5" w:rsidR="00634613" w:rsidRPr="0093416E" w:rsidRDefault="00634613" w:rsidP="002A4D2F">
            <w:r w:rsidRPr="0093416E">
              <w:t>Blanket ban</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6EF9FA2E" w14:textId="11F1CF10" w:rsidR="00634613" w:rsidRPr="0093416E" w:rsidRDefault="00634613" w:rsidP="00634613">
            <w:pPr>
              <w:jc w:val="both"/>
            </w:pPr>
            <w:r w:rsidRPr="0093416E">
              <w:t>1995</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06FF9E31" w14:textId="6C9A5A2E" w:rsidR="00634613" w:rsidRPr="0093416E" w:rsidRDefault="00634613" w:rsidP="00634613">
            <w:pPr>
              <w:jc w:val="both"/>
            </w:pPr>
            <w:r w:rsidRPr="0093416E">
              <w:t>The reduction in EGMs was associated with a reduction in demand for problem gambling treatment services (</w:t>
            </w:r>
            <w:proofErr w:type="spellStart"/>
            <w:r w:rsidRPr="0093416E">
              <w:t>Carr</w:t>
            </w:r>
            <w:proofErr w:type="spellEnd"/>
            <w:r w:rsidRPr="0093416E">
              <w:t xml:space="preserve"> et al., 1996).</w:t>
            </w:r>
            <w:r w:rsidR="00900A10" w:rsidRPr="0093416E">
              <w:rPr>
                <w:rStyle w:val="FootnoteReference"/>
              </w:rPr>
              <w:footnoteReference w:id="17"/>
            </w:r>
          </w:p>
        </w:tc>
      </w:tr>
      <w:tr w:rsidR="00634613" w14:paraId="5E3883D0"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981F072" w14:textId="460D131B" w:rsidR="00634613" w:rsidRPr="0093416E" w:rsidRDefault="00634613" w:rsidP="00634613">
            <w:pPr>
              <w:jc w:val="both"/>
              <w:rPr>
                <w:highlight w:val="yellow"/>
              </w:rPr>
            </w:pPr>
            <w:r w:rsidRPr="0093416E">
              <w:t>South Carolina</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8F20EFE" w14:textId="7EA2BE7C" w:rsidR="00634613" w:rsidRPr="0093416E" w:rsidRDefault="00634613" w:rsidP="002A4D2F">
            <w:r w:rsidRPr="0093416E">
              <w:t>Blanket ban</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9360E58" w14:textId="4472866B" w:rsidR="00634613" w:rsidRPr="0093416E" w:rsidRDefault="00634613" w:rsidP="00634613">
            <w:pPr>
              <w:jc w:val="both"/>
            </w:pPr>
            <w:r w:rsidRPr="0093416E">
              <w:t>2000</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9D151B6" w14:textId="3067E572" w:rsidR="00634613" w:rsidRPr="0093416E" w:rsidRDefault="00634613" w:rsidP="00634613">
            <w:pPr>
              <w:jc w:val="both"/>
            </w:pPr>
            <w:r w:rsidRPr="0093416E">
              <w:t>The reduction in the number of EGMs was associated with a reduction in gambling anonymous groups and a long-term reduction in demand for problem gambling help (Bridwell &amp; Quinn 2002, Williams</w:t>
            </w:r>
            <w:r w:rsidR="003C2C1E">
              <w:t>,</w:t>
            </w:r>
            <w:r w:rsidRPr="0093416E">
              <w:t xml:space="preserve"> </w:t>
            </w:r>
            <w:r w:rsidR="003C2C1E" w:rsidRPr="003C2C1E">
              <w:t>West</w:t>
            </w:r>
            <w:r w:rsidR="003C2C1E">
              <w:t xml:space="preserve"> </w:t>
            </w:r>
            <w:r w:rsidR="003C2C1E" w:rsidRPr="003C2C1E">
              <w:t>&amp; Simpson</w:t>
            </w:r>
            <w:r w:rsidR="003C2C1E" w:rsidRPr="003C2C1E" w:rsidDel="003C2C1E">
              <w:t xml:space="preserve"> </w:t>
            </w:r>
            <w:r w:rsidRPr="0093416E">
              <w:t>2012)</w:t>
            </w:r>
            <w:r w:rsidR="00D97DA7">
              <w:t>.</w:t>
            </w:r>
          </w:p>
        </w:tc>
      </w:tr>
      <w:tr w:rsidR="00634613" w14:paraId="1EA54A0A" w14:textId="77777777" w:rsidTr="007369ED">
        <w:tc>
          <w:tcPr>
            <w:tcW w:w="9016" w:type="dxa"/>
            <w:gridSpan w:val="4"/>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E376833" w14:textId="0E67AF7E" w:rsidR="00634613" w:rsidRPr="0093416E" w:rsidRDefault="00634613" w:rsidP="002A4D2F">
            <w:r w:rsidRPr="0093416E">
              <w:rPr>
                <w:b/>
              </w:rPr>
              <w:t>Others</w:t>
            </w:r>
          </w:p>
        </w:tc>
      </w:tr>
      <w:tr w:rsidR="00634613" w14:paraId="205C177E"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3626D8E0" w14:textId="0C459942" w:rsidR="00634613" w:rsidRPr="0093416E" w:rsidRDefault="00634613" w:rsidP="00634613">
            <w:pPr>
              <w:jc w:val="both"/>
              <w:rPr>
                <w:highlight w:val="yellow"/>
              </w:rPr>
            </w:pPr>
            <w:r w:rsidRPr="0093416E">
              <w:t>Switzerland</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0B5AD8CD" w14:textId="65153E49" w:rsidR="00634613" w:rsidRPr="0093416E" w:rsidRDefault="00634613" w:rsidP="002A4D2F">
            <w:r w:rsidRPr="0093416E">
              <w:t xml:space="preserve">Venue ban – no EGMs permitted outside casinos </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373BF8A1" w14:textId="7B035108" w:rsidR="00634613" w:rsidRPr="0093416E" w:rsidRDefault="00634613" w:rsidP="00634613">
            <w:pPr>
              <w:jc w:val="both"/>
            </w:pPr>
            <w:r w:rsidRPr="0093416E">
              <w:t>2005</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12BE0F42" w14:textId="61E4CD69" w:rsidR="00634613" w:rsidRPr="0093416E" w:rsidRDefault="00634613" w:rsidP="00634613">
            <w:pPr>
              <w:jc w:val="both"/>
            </w:pPr>
            <w:r w:rsidRPr="0093416E">
              <w:t xml:space="preserve">The reduction in EGMs was associated with no change in problem gambling, but a clear </w:t>
            </w:r>
            <w:r w:rsidR="00BC5C2D">
              <w:t>drop</w:t>
            </w:r>
            <w:r w:rsidRPr="0093416E">
              <w:t xml:space="preserve"> in problem gamblers with probable alcohol problems (</w:t>
            </w:r>
            <w:proofErr w:type="spellStart"/>
            <w:r w:rsidRPr="0093416E">
              <w:t>Bondolfi</w:t>
            </w:r>
            <w:proofErr w:type="spellEnd"/>
            <w:r w:rsidRPr="0093416E">
              <w:t xml:space="preserve"> et al. 2008).</w:t>
            </w:r>
            <w:r w:rsidR="00900A10" w:rsidRPr="0093416E">
              <w:rPr>
                <w:rStyle w:val="FootnoteReference"/>
              </w:rPr>
              <w:footnoteReference w:id="18"/>
            </w:r>
          </w:p>
        </w:tc>
      </w:tr>
      <w:tr w:rsidR="00634613" w14:paraId="571CDBA0"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D2A4F59" w14:textId="454065E6" w:rsidR="00634613" w:rsidRPr="0093416E" w:rsidRDefault="00634613" w:rsidP="00634613">
            <w:pPr>
              <w:jc w:val="both"/>
              <w:rPr>
                <w:highlight w:val="yellow"/>
              </w:rPr>
            </w:pPr>
            <w:r w:rsidRPr="0093416E">
              <w:t>Norway</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4B32D768" w14:textId="52921041" w:rsidR="00634613" w:rsidRPr="0093416E" w:rsidRDefault="00634613" w:rsidP="002A4D2F">
            <w:r w:rsidRPr="0093416E">
              <w:t>Blanket ban</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87E94F5" w14:textId="48867670" w:rsidR="00634613" w:rsidRPr="0093416E" w:rsidRDefault="00634613" w:rsidP="00634613">
            <w:pPr>
              <w:jc w:val="both"/>
            </w:pPr>
            <w:r w:rsidRPr="0093416E">
              <w:t>2007</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B257597" w14:textId="229C26C2" w:rsidR="00634613" w:rsidRPr="0093416E" w:rsidRDefault="00634613" w:rsidP="00634613">
            <w:pPr>
              <w:jc w:val="both"/>
            </w:pPr>
            <w:r w:rsidRPr="0093416E">
              <w:t>The reduction in EGMs was associated with no increase in other forms of gambling by either high, or low-intensity EGM players (Lund, 2009).</w:t>
            </w:r>
          </w:p>
        </w:tc>
      </w:tr>
      <w:tr w:rsidR="00634613" w14:paraId="44EC1D3F" w14:textId="77777777" w:rsidTr="00A63394">
        <w:tc>
          <w:tcPr>
            <w:tcW w:w="15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78F622E3" w14:textId="5F86F15E" w:rsidR="00634613" w:rsidRPr="0093416E" w:rsidRDefault="00634613" w:rsidP="00634613">
            <w:pPr>
              <w:rPr>
                <w:highlight w:val="yellow"/>
              </w:rPr>
            </w:pPr>
            <w:r w:rsidRPr="0093416E">
              <w:t>Nova Scotia (Canada)</w:t>
            </w:r>
          </w:p>
        </w:tc>
        <w:tc>
          <w:tcPr>
            <w:tcW w:w="21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15A54964" w14:textId="2CAA85C0" w:rsidR="00634613" w:rsidRPr="0093416E" w:rsidRDefault="00634613" w:rsidP="002A4D2F">
            <w:r w:rsidRPr="0093416E">
              <w:t>Reduction in EGM venue opening hours</w:t>
            </w:r>
          </w:p>
        </w:tc>
        <w:tc>
          <w:tcPr>
            <w:tcW w:w="7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00FD3C9A" w14:textId="14F98F18" w:rsidR="00634613" w:rsidRPr="0093416E" w:rsidRDefault="00C8680E" w:rsidP="00634613">
            <w:pPr>
              <w:jc w:val="both"/>
            </w:pPr>
            <w:r>
              <w:t>2005</w:t>
            </w:r>
          </w:p>
        </w:tc>
        <w:tc>
          <w:tcPr>
            <w:tcW w:w="45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0E0A8710" w14:textId="32AFA5D7" w:rsidR="00634613" w:rsidRPr="0093416E" w:rsidRDefault="00634613" w:rsidP="00634613">
            <w:pPr>
              <w:jc w:val="both"/>
            </w:pPr>
            <w:r w:rsidRPr="0093416E">
              <w:t>The decrease in EGM availability was associated with a 5 – 9% reduction in gambling revenue and 18% reduction in spending by problem gamblers (Nova Scotia Gaming Corporations, 2005)</w:t>
            </w:r>
            <w:r w:rsidR="00DB1B9E">
              <w:t>.</w:t>
            </w:r>
          </w:p>
        </w:tc>
      </w:tr>
    </w:tbl>
    <w:p w14:paraId="7AD97DDD" w14:textId="77777777" w:rsidR="00A27EDA" w:rsidRDefault="00A27EDA" w:rsidP="00FF0D90">
      <w:pPr>
        <w:spacing w:after="0" w:line="312" w:lineRule="auto"/>
        <w:jc w:val="both"/>
      </w:pPr>
    </w:p>
    <w:p w14:paraId="223ED091" w14:textId="5DD621BF" w:rsidR="00613B79" w:rsidRPr="0093416E" w:rsidRDefault="00782A13" w:rsidP="00BC5C2D">
      <w:pPr>
        <w:spacing w:after="240" w:line="312" w:lineRule="auto"/>
        <w:jc w:val="both"/>
      </w:pPr>
      <w:r w:rsidRPr="0093416E">
        <w:t xml:space="preserve">As shown in Table 2, </w:t>
      </w:r>
      <w:r w:rsidR="0006042C" w:rsidRPr="0093416E">
        <w:t xml:space="preserve">there are </w:t>
      </w:r>
      <w:r w:rsidR="00801D7D" w:rsidRPr="0093416E">
        <w:t xml:space="preserve">two main </w:t>
      </w:r>
      <w:r w:rsidR="00B03C05" w:rsidRPr="0093416E">
        <w:t xml:space="preserve">types </w:t>
      </w:r>
      <w:r w:rsidR="004F2086" w:rsidRPr="0093416E">
        <w:t>of</w:t>
      </w:r>
      <w:r w:rsidR="0006042C" w:rsidRPr="0093416E">
        <w:t xml:space="preserve"> results regarding a change in EGM availability and the resulting impact on gambling behaviour</w:t>
      </w:r>
      <w:r w:rsidR="0082330D" w:rsidRPr="0093416E">
        <w:t xml:space="preserve">. </w:t>
      </w:r>
      <w:r w:rsidR="00613B79" w:rsidRPr="0093416E">
        <w:t xml:space="preserve">First, there are </w:t>
      </w:r>
      <w:proofErr w:type="gramStart"/>
      <w:r w:rsidR="00613B79" w:rsidRPr="0093416E">
        <w:t>a number of</w:t>
      </w:r>
      <w:proofErr w:type="gramEnd"/>
      <w:r w:rsidR="00613B79" w:rsidRPr="0093416E">
        <w:t xml:space="preserve"> studies that find a positive</w:t>
      </w:r>
      <w:r w:rsidR="003B4196" w:rsidRPr="0093416E">
        <w:t xml:space="preserve"> </w:t>
      </w:r>
      <w:r w:rsidR="00AA442B" w:rsidRPr="0093416E">
        <w:t>association</w:t>
      </w:r>
      <w:r w:rsidR="00886A43" w:rsidRPr="0093416E">
        <w:t>, and thus align with the availability hypothesis put forward in the theoretical</w:t>
      </w:r>
      <w:r w:rsidR="00B9515D" w:rsidRPr="0093416E">
        <w:t xml:space="preserve"> framework</w:t>
      </w:r>
      <w:r w:rsidR="009F0D93" w:rsidRPr="0093416E">
        <w:t xml:space="preserve"> </w:t>
      </w:r>
      <w:r w:rsidR="00ED5A6F" w:rsidRPr="0093416E">
        <w:t>description</w:t>
      </w:r>
      <w:r w:rsidR="00613B79" w:rsidRPr="0093416E">
        <w:t>. For e</w:t>
      </w:r>
      <w:r w:rsidR="003B4196" w:rsidRPr="0093416E">
        <w:t>xample</w:t>
      </w:r>
      <w:r w:rsidR="00613B79" w:rsidRPr="0093416E">
        <w:t xml:space="preserve">, evidence points to a rise in problem gambling following EGMs being permitted in hotels in Queensland (Australia) in 1991. Further, past research also shows a drop in </w:t>
      </w:r>
      <w:r w:rsidR="00613B79" w:rsidRPr="0093416E">
        <w:lastRenderedPageBreak/>
        <w:t xml:space="preserve">availability in the U.S. states of South Dakota and South Carolina, as well as Nova Scotia in Canada, decreased gambling activity. Here it is important to note the range of measures employed to proxy for gambling behaviour: in South Dakota and South Carolina, the outcome of interest was the demand for problem gambling help </w:t>
      </w:r>
      <w:proofErr w:type="gramStart"/>
      <w:r w:rsidR="00613B79" w:rsidRPr="0093416E">
        <w:t>services;</w:t>
      </w:r>
      <w:proofErr w:type="gramEnd"/>
      <w:r w:rsidR="00613B79" w:rsidRPr="0093416E">
        <w:t xml:space="preserve"> while in Nova Scotia it was spending by problem gamblers and gambling revenue.</w:t>
      </w:r>
      <w:r w:rsidR="001E0849" w:rsidRPr="0093416E">
        <w:t xml:space="preserve"> </w:t>
      </w:r>
    </w:p>
    <w:p w14:paraId="3322207A" w14:textId="6569344F" w:rsidR="0006042C" w:rsidRPr="0093416E" w:rsidRDefault="003B4196" w:rsidP="00BC5C2D">
      <w:pPr>
        <w:spacing w:after="240" w:line="312" w:lineRule="auto"/>
        <w:jc w:val="both"/>
      </w:pPr>
      <w:r w:rsidRPr="0093416E">
        <w:t xml:space="preserve">The second type of result in Table 2 is that of no impact. </w:t>
      </w:r>
      <w:r w:rsidR="0082330D" w:rsidRPr="0093416E">
        <w:t xml:space="preserve">For </w:t>
      </w:r>
      <w:r w:rsidRPr="0093416E">
        <w:t>instance</w:t>
      </w:r>
      <w:r w:rsidR="0082330D" w:rsidRPr="0093416E">
        <w:t xml:space="preserve">, </w:t>
      </w:r>
      <w:r w:rsidR="00C10C43" w:rsidRPr="0093416E">
        <w:t xml:space="preserve">both the absolute cap in 1995 and the </w:t>
      </w:r>
      <w:r w:rsidR="005A0699" w:rsidRPr="0093416E">
        <w:t xml:space="preserve">per capita cap in 2000 introduced in </w:t>
      </w:r>
      <w:r w:rsidR="00EC6727" w:rsidRPr="0093416E">
        <w:t xml:space="preserve">Victoria (Australia) </w:t>
      </w:r>
      <w:r w:rsidR="00C00263" w:rsidRPr="0093416E">
        <w:t>w</w:t>
      </w:r>
      <w:r w:rsidR="000F70FC">
        <w:t>ere</w:t>
      </w:r>
      <w:r w:rsidR="00C00263" w:rsidRPr="0093416E">
        <w:t xml:space="preserve"> not found </w:t>
      </w:r>
      <w:r w:rsidR="005206F2" w:rsidRPr="0093416E">
        <w:t>to be associated with any change</w:t>
      </w:r>
      <w:r w:rsidR="00D035F7">
        <w:t>s</w:t>
      </w:r>
      <w:r w:rsidR="005206F2" w:rsidRPr="0093416E">
        <w:t xml:space="preserve"> in gambling outcomes as </w:t>
      </w:r>
      <w:r w:rsidR="00310CFB" w:rsidRPr="0093416E">
        <w:t xml:space="preserve">measured by EGM </w:t>
      </w:r>
      <w:r w:rsidR="00FA4D77" w:rsidRPr="0093416E">
        <w:t xml:space="preserve">expenditure. Similarly, in Switzerland, the drop in EGM availability </w:t>
      </w:r>
      <w:r w:rsidR="0066389B" w:rsidRPr="0093416E">
        <w:t>was no</w:t>
      </w:r>
      <w:r w:rsidR="00936873" w:rsidRPr="0093416E">
        <w:t xml:space="preserve">t empirically linked to a change in problem gambling. However, </w:t>
      </w:r>
      <w:proofErr w:type="spellStart"/>
      <w:r w:rsidR="00936873" w:rsidRPr="0093416E">
        <w:t>Bondolfi</w:t>
      </w:r>
      <w:proofErr w:type="spellEnd"/>
      <w:r w:rsidR="00936873" w:rsidRPr="0093416E">
        <w:t xml:space="preserve"> et al. (2008) did find </w:t>
      </w:r>
      <w:r w:rsidR="00DF2E62" w:rsidRPr="0093416E">
        <w:t>t</w:t>
      </w:r>
      <w:r w:rsidR="00CE3B03" w:rsidRPr="0093416E">
        <w:t>he policy change in Switzerland was associated with a drop in the number of problem gamblers with alcohol problems.</w:t>
      </w:r>
    </w:p>
    <w:p w14:paraId="691C752D" w14:textId="142435E2" w:rsidR="00DC70C5" w:rsidRPr="0093416E" w:rsidRDefault="00C75C9F" w:rsidP="00BC5C2D">
      <w:pPr>
        <w:spacing w:after="240" w:line="312" w:lineRule="auto"/>
        <w:jc w:val="both"/>
      </w:pPr>
      <w:r>
        <w:t>There</w:t>
      </w:r>
      <w:r w:rsidR="003B4196" w:rsidRPr="0093416E">
        <w:t xml:space="preserve"> are </w:t>
      </w:r>
      <w:r>
        <w:t>a</w:t>
      </w:r>
      <w:r w:rsidR="003B4196" w:rsidRPr="0093416E">
        <w:t xml:space="preserve"> range of arguments put forward </w:t>
      </w:r>
      <w:r w:rsidR="005B0C5B" w:rsidRPr="0093416E">
        <w:t xml:space="preserve">to explain </w:t>
      </w:r>
      <w:r w:rsidR="00203C56" w:rsidRPr="0093416E">
        <w:t xml:space="preserve">finding no impact. </w:t>
      </w:r>
      <w:r w:rsidR="001A218C" w:rsidRPr="0093416E">
        <w:t xml:space="preserve">The South Australian Centre of Economic Studies (2005) argued that </w:t>
      </w:r>
      <w:r w:rsidR="00895CF7" w:rsidRPr="0093416E">
        <w:t>the</w:t>
      </w:r>
      <w:r w:rsidR="008F07DF" w:rsidRPr="0093416E">
        <w:t>re was likely poor enforcement of the</w:t>
      </w:r>
      <w:r w:rsidR="00895CF7" w:rsidRPr="0093416E">
        <w:t xml:space="preserve"> policy </w:t>
      </w:r>
      <w:r w:rsidR="008F07DF" w:rsidRPr="0093416E">
        <w:t>change</w:t>
      </w:r>
      <w:r w:rsidR="00895CF7" w:rsidRPr="0093416E">
        <w:t xml:space="preserve">s </w:t>
      </w:r>
      <w:r w:rsidR="008F623D" w:rsidRPr="0093416E">
        <w:t xml:space="preserve">to reduce </w:t>
      </w:r>
      <w:r w:rsidR="009E065D" w:rsidRPr="0093416E">
        <w:t>EGM availability in</w:t>
      </w:r>
      <w:r w:rsidR="00EC3701" w:rsidRPr="0093416E">
        <w:t xml:space="preserve"> Victoria</w:t>
      </w:r>
      <w:r w:rsidR="008F07DF" w:rsidRPr="0093416E">
        <w:t>. There are also confounding influences to consider</w:t>
      </w:r>
      <w:r w:rsidR="00B80CF0" w:rsidRPr="0093416E">
        <w:t xml:space="preserve"> in these analyses</w:t>
      </w:r>
      <w:r w:rsidR="00B02A56" w:rsidRPr="0093416E">
        <w:t xml:space="preserve"> </w:t>
      </w:r>
      <w:r w:rsidR="00767D8D">
        <w:t>where</w:t>
      </w:r>
      <w:r w:rsidR="0082666F" w:rsidRPr="0093416E">
        <w:t xml:space="preserve"> the research cannot draw on all relevant data requirements. </w:t>
      </w:r>
      <w:r w:rsidR="00D36879" w:rsidRPr="0093416E">
        <w:t xml:space="preserve">It was </w:t>
      </w:r>
      <w:r w:rsidR="00B809A2">
        <w:t>also noted that</w:t>
      </w:r>
      <w:r w:rsidR="00D36879" w:rsidRPr="0093416E">
        <w:t xml:space="preserve"> </w:t>
      </w:r>
      <w:r w:rsidR="0000279B" w:rsidRPr="0093416E">
        <w:t>in the</w:t>
      </w:r>
      <w:r w:rsidR="00B809A2">
        <w:t xml:space="preserve"> case of</w:t>
      </w:r>
      <w:r w:rsidR="0000279B" w:rsidRPr="0093416E">
        <w:t xml:space="preserve"> Australia,</w:t>
      </w:r>
      <w:r w:rsidR="00414301">
        <w:t xml:space="preserve"> </w:t>
      </w:r>
      <w:r w:rsidR="0000279B" w:rsidRPr="0093416E">
        <w:t xml:space="preserve">the machines </w:t>
      </w:r>
      <w:r w:rsidR="00414301" w:rsidRPr="00870E80">
        <w:t>which</w:t>
      </w:r>
      <w:r w:rsidR="0000279B" w:rsidRPr="0093416E">
        <w:t xml:space="preserve"> were removed were the least profitable and least popular (</w:t>
      </w:r>
      <w:proofErr w:type="spellStart"/>
      <w:r w:rsidR="0000279B" w:rsidRPr="00870E80">
        <w:t>Vasiliadis</w:t>
      </w:r>
      <w:proofErr w:type="spellEnd"/>
      <w:r w:rsidR="0000279B" w:rsidRPr="00870E80">
        <w:t xml:space="preserve"> et al. 2013)</w:t>
      </w:r>
      <w:r w:rsidR="00810126" w:rsidRPr="0093416E">
        <w:t xml:space="preserve"> indicating another potential reason for </w:t>
      </w:r>
      <w:r w:rsidR="007051FC" w:rsidRPr="0093416E">
        <w:t xml:space="preserve">finding no impact in </w:t>
      </w:r>
      <w:r w:rsidR="00894DF0" w:rsidRPr="0093416E">
        <w:t>some Australian studies.</w:t>
      </w:r>
      <w:r w:rsidR="00EC3701" w:rsidRPr="0093416E">
        <w:t xml:space="preserve"> </w:t>
      </w:r>
    </w:p>
    <w:p w14:paraId="38E4AACB" w14:textId="4C33E263" w:rsidR="00C8295B" w:rsidRPr="0093416E" w:rsidRDefault="00A57F86" w:rsidP="00BC5C2D">
      <w:pPr>
        <w:spacing w:after="240" w:line="312" w:lineRule="auto"/>
        <w:jc w:val="both"/>
      </w:pPr>
      <w:r w:rsidRPr="0093416E">
        <w:t>One final study to highlight is Storer et al. (2009)</w:t>
      </w:r>
      <w:r w:rsidR="009978A1" w:rsidRPr="0093416E">
        <w:t xml:space="preserve">. </w:t>
      </w:r>
      <w:r w:rsidR="00857BE6" w:rsidRPr="0093416E">
        <w:t xml:space="preserve">This study used data from 34 surveys </w:t>
      </w:r>
      <w:r w:rsidR="0097082E" w:rsidRPr="0093416E">
        <w:t xml:space="preserve">on availability of EGMs and </w:t>
      </w:r>
      <w:r w:rsidR="007336F8" w:rsidRPr="0093416E">
        <w:t xml:space="preserve">prevalence of gambling activity across Australia and NZ to perform a meta-analysis. One of their key findings was that </w:t>
      </w:r>
      <w:r w:rsidR="00C8295B" w:rsidRPr="0093416E">
        <w:t>each</w:t>
      </w:r>
      <w:r w:rsidR="003A2266" w:rsidRPr="0093416E">
        <w:t xml:space="preserve"> additional EGM </w:t>
      </w:r>
      <w:r w:rsidR="00C8295B" w:rsidRPr="0093416E">
        <w:t>introduced into an area was</w:t>
      </w:r>
      <w:r w:rsidR="003A2266" w:rsidRPr="0093416E">
        <w:t xml:space="preserve"> associated with 0.8 new problem gamblers</w:t>
      </w:r>
      <w:r w:rsidR="00C8295B" w:rsidRPr="0093416E">
        <w:t>, on average.</w:t>
      </w:r>
      <w:r w:rsidR="003C4DEB" w:rsidRPr="0093416E">
        <w:t xml:space="preserve"> This finding </w:t>
      </w:r>
      <w:r w:rsidR="001E07F0" w:rsidRPr="0093416E">
        <w:t>con</w:t>
      </w:r>
      <w:r w:rsidR="004D0D12" w:rsidRPr="0093416E">
        <w:t>cu</w:t>
      </w:r>
      <w:r w:rsidR="007E6309" w:rsidRPr="0093416E">
        <w:t xml:space="preserve">rs with the availability hypothesis, which posits </w:t>
      </w:r>
      <w:r w:rsidR="001B08CD" w:rsidRPr="0093416E">
        <w:t xml:space="preserve">that </w:t>
      </w:r>
      <w:r w:rsidR="00824A8C" w:rsidRPr="0093416E">
        <w:t xml:space="preserve">increased exposure to EGMs is </w:t>
      </w:r>
      <w:r w:rsidR="00765A6D" w:rsidRPr="0093416E">
        <w:t>associated with an increase in gambling activity.</w:t>
      </w:r>
    </w:p>
    <w:p w14:paraId="6E785CAE" w14:textId="77777777" w:rsidR="00765A6D" w:rsidRDefault="00765A6D" w:rsidP="7793CBE1">
      <w:pPr>
        <w:jc w:val="both"/>
      </w:pPr>
    </w:p>
    <w:p w14:paraId="7F3CB1E4" w14:textId="77777777" w:rsidR="00765A6D" w:rsidRDefault="00765A6D" w:rsidP="7793CBE1">
      <w:pPr>
        <w:jc w:val="both"/>
      </w:pPr>
    </w:p>
    <w:p w14:paraId="18732476" w14:textId="3CCCBEC0" w:rsidR="0047580A" w:rsidRDefault="001378EF" w:rsidP="00253547">
      <w:pPr>
        <w:pStyle w:val="Heading1"/>
        <w:spacing w:after="0"/>
      </w:pPr>
      <w:bookmarkStart w:id="46" w:name="_Toc50033367"/>
      <w:r w:rsidRPr="00B5248D">
        <w:lastRenderedPageBreak/>
        <w:t>Data</w:t>
      </w:r>
      <w:bookmarkEnd w:id="46"/>
    </w:p>
    <w:p w14:paraId="69F078D0" w14:textId="77777777" w:rsidR="00253547" w:rsidRPr="00F020BF" w:rsidRDefault="00253547" w:rsidP="006E38FC"/>
    <w:p w14:paraId="15BEAFEF" w14:textId="6C7588E8" w:rsidR="00587313" w:rsidRPr="00587313" w:rsidRDefault="00401215" w:rsidP="00BC5C2D">
      <w:pPr>
        <w:pStyle w:val="Heading2"/>
        <w:spacing w:before="0" w:after="240" w:line="312" w:lineRule="auto"/>
        <w:ind w:left="0" w:firstLine="0"/>
        <w:rPr>
          <w:lang w:eastAsia="en-NZ"/>
        </w:rPr>
      </w:pPr>
      <w:bookmarkStart w:id="47" w:name="_Toc50033368"/>
      <w:r>
        <w:rPr>
          <w:lang w:eastAsia="en-NZ"/>
        </w:rPr>
        <w:t xml:space="preserve">Data source and </w:t>
      </w:r>
      <w:proofErr w:type="spellStart"/>
      <w:r>
        <w:rPr>
          <w:lang w:eastAsia="en-NZ"/>
        </w:rPr>
        <w:t>descriptives</w:t>
      </w:r>
      <w:bookmarkEnd w:id="47"/>
      <w:proofErr w:type="spellEnd"/>
    </w:p>
    <w:p w14:paraId="1002D35B" w14:textId="77777777" w:rsidR="009E2DC9" w:rsidRDefault="007A7017" w:rsidP="003874CC">
      <w:pPr>
        <w:spacing w:after="240" w:line="312" w:lineRule="auto"/>
        <w:jc w:val="both"/>
      </w:pPr>
      <w:r>
        <w:t>Data are</w:t>
      </w:r>
      <w:r w:rsidR="00F42FDD">
        <w:t xml:space="preserve"> sourced from</w:t>
      </w:r>
      <w:r w:rsidR="00244298">
        <w:t xml:space="preserve"> the DIA, Stats NZ and</w:t>
      </w:r>
      <w:r w:rsidR="00E51F14">
        <w:t xml:space="preserve"> </w:t>
      </w:r>
      <w:r w:rsidR="007C0E62">
        <w:t>each local government body</w:t>
      </w:r>
      <w:r w:rsidR="004F4C4F">
        <w:t>.</w:t>
      </w:r>
      <w:r w:rsidR="00480D1E">
        <w:t xml:space="preserve"> </w:t>
      </w:r>
    </w:p>
    <w:p w14:paraId="58EF6CF9" w14:textId="03674E98" w:rsidR="00973C53" w:rsidRDefault="00B1443F" w:rsidP="003874CC">
      <w:pPr>
        <w:spacing w:after="240" w:line="312" w:lineRule="auto"/>
        <w:jc w:val="both"/>
      </w:pPr>
      <w:r>
        <w:t xml:space="preserve">We </w:t>
      </w:r>
      <w:r w:rsidR="006712F9">
        <w:t xml:space="preserve">first </w:t>
      </w:r>
      <w:r w:rsidR="00695195">
        <w:t>sourced</w:t>
      </w:r>
      <w:r w:rsidR="0071788C" w:rsidRPr="00B5248D">
        <w:t xml:space="preserve"> </w:t>
      </w:r>
      <w:r w:rsidR="00875BBB">
        <w:t>TA-</w:t>
      </w:r>
      <w:r w:rsidR="00083C63">
        <w:t>level statistics</w:t>
      </w:r>
      <w:r w:rsidR="0071788C" w:rsidRPr="00B5248D">
        <w:t xml:space="preserve"> on</w:t>
      </w:r>
      <w:r w:rsidR="005A5956">
        <w:t xml:space="preserve"> the outcome variables of interest -</w:t>
      </w:r>
      <w:r w:rsidR="0071788C" w:rsidRPr="00B5248D">
        <w:t xml:space="preserve"> </w:t>
      </w:r>
      <w:r w:rsidR="00E573D0">
        <w:t xml:space="preserve">number of </w:t>
      </w:r>
      <w:r w:rsidR="00875BBB">
        <w:t xml:space="preserve">Class 4 venues, </w:t>
      </w:r>
      <w:r w:rsidR="001661DD">
        <w:t xml:space="preserve">number of </w:t>
      </w:r>
      <w:r w:rsidR="0071788C" w:rsidRPr="00B5248D">
        <w:t>EGMs</w:t>
      </w:r>
      <w:r w:rsidR="002137C4">
        <w:t>,</w:t>
      </w:r>
      <w:r w:rsidR="0071788C" w:rsidRPr="00B5248D">
        <w:t xml:space="preserve"> and gaming machine proceeds (GMP)</w:t>
      </w:r>
      <w:r w:rsidR="006521EA">
        <w:t xml:space="preserve"> </w:t>
      </w:r>
      <w:r w:rsidR="00695195">
        <w:t xml:space="preserve">from the DIA. The </w:t>
      </w:r>
      <w:r w:rsidR="00D202B4">
        <w:t xml:space="preserve">data </w:t>
      </w:r>
      <w:r w:rsidR="000C6308">
        <w:t>are</w:t>
      </w:r>
      <w:r w:rsidR="00D202B4">
        <w:t xml:space="preserve"> </w:t>
      </w:r>
      <w:r w:rsidR="0071788C" w:rsidRPr="00B5248D">
        <w:t xml:space="preserve">quarterly </w:t>
      </w:r>
      <w:r w:rsidR="004F6E17">
        <w:t>and span the</w:t>
      </w:r>
      <w:r w:rsidR="00D202B4">
        <w:t xml:space="preserve"> period Q2 2010</w:t>
      </w:r>
      <w:r w:rsidR="0071788C" w:rsidRPr="00B5248D">
        <w:t xml:space="preserve"> to </w:t>
      </w:r>
      <w:r w:rsidR="00D202B4">
        <w:t>Q4 2018</w:t>
      </w:r>
      <w:r w:rsidR="0071788C" w:rsidRPr="00B5248D">
        <w:t xml:space="preserve">. </w:t>
      </w:r>
      <w:r w:rsidR="002A6D75">
        <w:t>We collapse this information to produce annual figures</w:t>
      </w:r>
      <w:r w:rsidR="00F52776">
        <w:t xml:space="preserve"> at the TA-level</w:t>
      </w:r>
      <w:r w:rsidR="002A6D75">
        <w:t xml:space="preserve"> for our outcome variables</w:t>
      </w:r>
      <w:r w:rsidR="00421FFE">
        <w:t xml:space="preserve">, specifically </w:t>
      </w:r>
      <w:r w:rsidR="00263E00">
        <w:t xml:space="preserve">the annual </w:t>
      </w:r>
      <w:r w:rsidR="000A29B5">
        <w:t xml:space="preserve">mean values for number of Class 4 venues and </w:t>
      </w:r>
      <w:r w:rsidR="003537E6">
        <w:t>number of EGMs</w:t>
      </w:r>
      <w:r w:rsidR="0005406D">
        <w:t xml:space="preserve">, and the </w:t>
      </w:r>
      <w:r w:rsidR="00373704">
        <w:t>annual sum of GMP</w:t>
      </w:r>
      <w:r w:rsidR="001260DA">
        <w:t xml:space="preserve">. </w:t>
      </w:r>
      <w:r w:rsidR="00741B8F">
        <w:t xml:space="preserve">We </w:t>
      </w:r>
      <w:r w:rsidR="00643DD7">
        <w:t>also</w:t>
      </w:r>
      <w:r w:rsidR="00741B8F">
        <w:t xml:space="preserve"> </w:t>
      </w:r>
      <w:r w:rsidR="00465673">
        <w:t xml:space="preserve">adjust the </w:t>
      </w:r>
      <w:r w:rsidR="007464E0">
        <w:t>venue and EGM indicators for population</w:t>
      </w:r>
      <w:r w:rsidR="00DF03DB">
        <w:t xml:space="preserve"> </w:t>
      </w:r>
      <w:r w:rsidR="00EB5B07">
        <w:t xml:space="preserve">by </w:t>
      </w:r>
      <w:r w:rsidR="00A37E4A">
        <w:t xml:space="preserve">dividing the annual mean values </w:t>
      </w:r>
      <w:r w:rsidR="002C6D01">
        <w:t>per 100,00</w:t>
      </w:r>
      <w:r w:rsidR="00422888">
        <w:t>0</w:t>
      </w:r>
      <w:r w:rsidR="005F4146">
        <w:t xml:space="preserve"> population. </w:t>
      </w:r>
      <w:r w:rsidR="00894030">
        <w:t>Furthermore, we</w:t>
      </w:r>
      <w:r w:rsidR="005F4146">
        <w:t xml:space="preserve"> adjust</w:t>
      </w:r>
      <w:r w:rsidR="000C4EC4">
        <w:t xml:space="preserve"> the annual GMP figures for population </w:t>
      </w:r>
      <w:r w:rsidR="000C4EC4" w:rsidRPr="006C6103">
        <w:t>and inflation</w:t>
      </w:r>
      <w:r w:rsidR="005864A9">
        <w:t xml:space="preserve"> to derive the </w:t>
      </w:r>
      <w:r w:rsidR="00834BA8">
        <w:t>real GMP per capita at the TA level</w:t>
      </w:r>
      <w:r w:rsidR="006C6103">
        <w:t>, in 201</w:t>
      </w:r>
      <w:r w:rsidR="00DE6D8D">
        <w:t>9</w:t>
      </w:r>
      <w:r w:rsidR="006C6103">
        <w:t xml:space="preserve"> dollars</w:t>
      </w:r>
      <w:r w:rsidR="00834BA8">
        <w:t>.</w:t>
      </w:r>
    </w:p>
    <w:p w14:paraId="375CA70F" w14:textId="4D7C128A" w:rsidR="00BB0883" w:rsidRDefault="003D7212" w:rsidP="003874CC">
      <w:pPr>
        <w:spacing w:after="240" w:line="312" w:lineRule="auto"/>
        <w:jc w:val="both"/>
      </w:pPr>
      <w:r>
        <w:t>Over our sample period of 2010 to 2018</w:t>
      </w:r>
      <w:r w:rsidR="007B3853">
        <w:t xml:space="preserve">, </w:t>
      </w:r>
      <w:r w:rsidR="00173F49">
        <w:t xml:space="preserve">we find the </w:t>
      </w:r>
      <w:r w:rsidR="00461D51">
        <w:t xml:space="preserve">average </w:t>
      </w:r>
      <w:r w:rsidR="00FC7150">
        <w:t>annual</w:t>
      </w:r>
      <w:r w:rsidR="00F07253">
        <w:t xml:space="preserve"> EGMs and venues </w:t>
      </w:r>
      <w:r w:rsidR="00C029A5">
        <w:t xml:space="preserve">per 100,000 population decrease by </w:t>
      </w:r>
      <w:r w:rsidR="00935832">
        <w:t>28.7% and 26.5% respectively</w:t>
      </w:r>
      <w:r w:rsidR="003E761B">
        <w:t xml:space="preserve">; while </w:t>
      </w:r>
      <w:r w:rsidR="001F732C">
        <w:t xml:space="preserve">machine spending (measured in terms of </w:t>
      </w:r>
      <w:r w:rsidR="00634FBC">
        <w:t xml:space="preserve">real </w:t>
      </w:r>
      <w:r w:rsidR="001C23D6">
        <w:t xml:space="preserve">GMP per capita) decreases </w:t>
      </w:r>
      <w:r w:rsidR="005E551C">
        <w:t>by 13.1%.</w:t>
      </w:r>
      <w:r w:rsidR="005E551C">
        <w:rPr>
          <w:rStyle w:val="FootnoteReference"/>
        </w:rPr>
        <w:footnoteReference w:id="19"/>
      </w:r>
      <w:r w:rsidR="005E551C">
        <w:t xml:space="preserve"> </w:t>
      </w:r>
    </w:p>
    <w:p w14:paraId="5FDFC97D" w14:textId="04A07F64" w:rsidR="0037682F" w:rsidRPr="00B5248D" w:rsidRDefault="004D44CA" w:rsidP="003874CC">
      <w:pPr>
        <w:spacing w:after="240" w:line="312" w:lineRule="auto"/>
        <w:jc w:val="both"/>
      </w:pPr>
      <w:r>
        <w:t xml:space="preserve">We </w:t>
      </w:r>
      <w:r w:rsidR="00FA6966">
        <w:t xml:space="preserve">next </w:t>
      </w:r>
      <w:r>
        <w:t>sourced d</w:t>
      </w:r>
      <w:r w:rsidR="0071788C" w:rsidRPr="00B5248D">
        <w:t xml:space="preserve">ata on the type of </w:t>
      </w:r>
      <w:r w:rsidR="00727B7F" w:rsidRPr="00B5248D">
        <w:t>C</w:t>
      </w:r>
      <w:r w:rsidR="0071788C" w:rsidRPr="00B5248D">
        <w:t xml:space="preserve">lass 4 gambling policies adopted by TAs over time </w:t>
      </w:r>
      <w:r w:rsidR="00875BBB">
        <w:t>by contacting each of NZ’s 67 TAs</w:t>
      </w:r>
      <w:r w:rsidR="00C66AAE">
        <w:t xml:space="preserve"> </w:t>
      </w:r>
      <w:r w:rsidR="00981228">
        <w:t>under the umbrella of the Official Information Act (OIA).</w:t>
      </w:r>
      <w:r w:rsidR="00875BBB">
        <w:t xml:space="preserve"> Responses were used to construct a</w:t>
      </w:r>
      <w:r w:rsidR="00C66AAE">
        <w:t xml:space="preserve"> novel</w:t>
      </w:r>
      <w:r w:rsidR="00875BBB">
        <w:t xml:space="preserve"> panel of TA-level Class 4 gambling policy types over the period 2004 to 2019.</w:t>
      </w:r>
      <w:r w:rsidR="0071788C" w:rsidRPr="00B5248D">
        <w:t xml:space="preserve"> </w:t>
      </w:r>
      <w:r w:rsidR="00875BBB">
        <w:t xml:space="preserve"> This </w:t>
      </w:r>
      <w:r w:rsidR="0071788C" w:rsidRPr="00B5248D">
        <w:t xml:space="preserve">unique dataset </w:t>
      </w:r>
      <w:r w:rsidR="00875BBB">
        <w:t xml:space="preserve">also </w:t>
      </w:r>
      <w:r w:rsidR="0071788C" w:rsidRPr="00B5248D">
        <w:t>includes information on the s</w:t>
      </w:r>
      <w:r w:rsidR="00875BBB">
        <w:t>pecific</w:t>
      </w:r>
      <w:r w:rsidR="0071788C" w:rsidRPr="00B5248D">
        <w:t xml:space="preserve"> number of </w:t>
      </w:r>
      <w:r w:rsidR="00055686">
        <w:t>EGMs</w:t>
      </w:r>
      <w:r w:rsidR="0071788C" w:rsidRPr="00B5248D">
        <w:t xml:space="preserve"> and venues allow</w:t>
      </w:r>
      <w:r w:rsidR="00875BBB">
        <w:t>ed within</w:t>
      </w:r>
      <w:r w:rsidR="0071788C" w:rsidRPr="00B5248D">
        <w:t xml:space="preserve"> the </w:t>
      </w:r>
      <w:r w:rsidR="00055686">
        <w:t>TA</w:t>
      </w:r>
      <w:r w:rsidR="00875BBB">
        <w:t xml:space="preserve"> over time</w:t>
      </w:r>
      <w:r w:rsidR="00CA1823" w:rsidRPr="00B5248D">
        <w:t>, on a quarterly basis</w:t>
      </w:r>
      <w:r w:rsidR="0071788C" w:rsidRPr="00B5248D">
        <w:t>.</w:t>
      </w:r>
      <w:r w:rsidR="00303739">
        <w:t xml:space="preserve"> We</w:t>
      </w:r>
      <w:r w:rsidR="005B731E">
        <w:t xml:space="preserve"> collapsed this information to produce annual policy indicators based on the first quarter of available information for each year. Therefore,</w:t>
      </w:r>
      <w:r w:rsidR="00F9475A">
        <w:t xml:space="preserve"> gambling policies were sourced from Q1 for the years 2011 to 2018, and Q2 for the year 2010.</w:t>
      </w:r>
    </w:p>
    <w:p w14:paraId="460F1E73" w14:textId="2C90EEC4" w:rsidR="00BB6A41" w:rsidRPr="00E91738" w:rsidRDefault="006323A9" w:rsidP="003874CC">
      <w:pPr>
        <w:spacing w:after="240" w:line="312" w:lineRule="auto"/>
        <w:jc w:val="both"/>
        <w:rPr>
          <w:rFonts w:ascii="Calibri Light" w:hAnsi="Calibri Light" w:cs="Calibri Light"/>
          <w:color w:val="262626"/>
        </w:rPr>
      </w:pPr>
      <w:r>
        <w:t>We</w:t>
      </w:r>
      <w:r w:rsidR="00C3010C" w:rsidRPr="00DC1734">
        <w:t xml:space="preserve"> control for the age, gender and ethnicity distributions in each TA</w:t>
      </w:r>
      <w:r>
        <w:t xml:space="preserve"> using data from Stats NZ</w:t>
      </w:r>
      <w:r w:rsidR="00C3010C" w:rsidRPr="00DC1734">
        <w:t>.</w:t>
      </w:r>
      <w:r w:rsidR="00B0653D">
        <w:rPr>
          <w:rStyle w:val="FootnoteReference"/>
        </w:rPr>
        <w:footnoteReference w:id="20"/>
      </w:r>
      <w:r w:rsidR="00C3010C" w:rsidRPr="00DC1734">
        <w:t xml:space="preserve"> </w:t>
      </w:r>
      <w:r w:rsidR="00FA3A90">
        <w:rPr>
          <w:rStyle w:val="gmail-normaltextrun"/>
          <w:rFonts w:ascii="Calibri Light" w:hAnsi="Calibri Light" w:cs="Calibri Light"/>
          <w:color w:val="262626"/>
        </w:rPr>
        <w:t>Ethnicity by age cohort is not generally available at the TA</w:t>
      </w:r>
      <w:r w:rsidR="00D202B4">
        <w:rPr>
          <w:rStyle w:val="gmail-normaltextrun"/>
          <w:rFonts w:ascii="Calibri Light" w:hAnsi="Calibri Light" w:cs="Calibri Light"/>
          <w:color w:val="262626"/>
        </w:rPr>
        <w:t>-</w:t>
      </w:r>
      <w:r w:rsidR="00FA3A90">
        <w:rPr>
          <w:rStyle w:val="gmail-normaltextrun"/>
          <w:rFonts w:ascii="Calibri Light" w:hAnsi="Calibri Light" w:cs="Calibri Light"/>
          <w:color w:val="262626"/>
        </w:rPr>
        <w:t>level outside of census years. T</w:t>
      </w:r>
      <w:r w:rsidR="001A0C98">
        <w:rPr>
          <w:rStyle w:val="gmail-normaltextrun"/>
          <w:rFonts w:ascii="Calibri Light" w:hAnsi="Calibri Light" w:cs="Calibri Light"/>
          <w:color w:val="262626"/>
        </w:rPr>
        <w:t>herefore, t</w:t>
      </w:r>
      <w:r w:rsidR="00FA3A90">
        <w:rPr>
          <w:rStyle w:val="gmail-normaltextrun"/>
          <w:rFonts w:ascii="Calibri Light" w:hAnsi="Calibri Light" w:cs="Calibri Light"/>
          <w:color w:val="262626"/>
        </w:rPr>
        <w:t>o estimate ethnicity by age cohort for each TA, for each age cohort</w:t>
      </w:r>
      <w:r w:rsidR="001A0C98">
        <w:rPr>
          <w:rStyle w:val="gmail-normaltextrun"/>
          <w:rFonts w:ascii="Calibri Light" w:hAnsi="Calibri Light" w:cs="Calibri Light"/>
          <w:color w:val="262626"/>
        </w:rPr>
        <w:t>,</w:t>
      </w:r>
      <w:r w:rsidR="00FA3A90">
        <w:rPr>
          <w:rStyle w:val="gmail-normaltextrun"/>
          <w:rFonts w:ascii="Calibri Light" w:hAnsi="Calibri Light" w:cs="Calibri Light"/>
          <w:color w:val="262626"/>
        </w:rPr>
        <w:t xml:space="preserve"> we first construct the proportion of </w:t>
      </w:r>
      <w:r w:rsidR="00E44FC1">
        <w:rPr>
          <w:rStyle w:val="gmail-normaltextrun"/>
          <w:rFonts w:ascii="Calibri Light" w:hAnsi="Calibri Light" w:cs="Calibri Light"/>
          <w:color w:val="262626"/>
        </w:rPr>
        <w:t xml:space="preserve">five </w:t>
      </w:r>
      <w:r w:rsidR="00FA3A90">
        <w:rPr>
          <w:rStyle w:val="gmail-normaltextrun"/>
          <w:rFonts w:ascii="Calibri Light" w:hAnsi="Calibri Light" w:cs="Calibri Light"/>
          <w:color w:val="262626"/>
        </w:rPr>
        <w:t xml:space="preserve">ethnic groups– Asian, European, </w:t>
      </w:r>
      <w:proofErr w:type="spellStart"/>
      <w:r w:rsidR="00FA3A90">
        <w:rPr>
          <w:rStyle w:val="gmail-normaltextrun"/>
          <w:rFonts w:ascii="Calibri Light" w:hAnsi="Calibri Light" w:cs="Calibri Light"/>
          <w:color w:val="262626"/>
        </w:rPr>
        <w:t>Maori</w:t>
      </w:r>
      <w:proofErr w:type="spellEnd"/>
      <w:r w:rsidR="00FA3A90">
        <w:rPr>
          <w:rStyle w:val="gmail-normaltextrun"/>
          <w:rFonts w:ascii="Calibri Light" w:hAnsi="Calibri Light" w:cs="Calibri Light"/>
          <w:color w:val="262626"/>
        </w:rPr>
        <w:t>, MELAA (Middle Eastern/Latin American/African)</w:t>
      </w:r>
      <w:r w:rsidR="00575DEA">
        <w:rPr>
          <w:rStyle w:val="gmail-normaltextrun"/>
          <w:rFonts w:ascii="Calibri Light" w:hAnsi="Calibri Light" w:cs="Calibri Light"/>
          <w:color w:val="262626"/>
        </w:rPr>
        <w:t xml:space="preserve"> and</w:t>
      </w:r>
      <w:r w:rsidR="00FA3A90">
        <w:rPr>
          <w:rStyle w:val="gmail-normaltextrun"/>
          <w:rFonts w:ascii="Calibri Light" w:hAnsi="Calibri Light" w:cs="Calibri Light"/>
          <w:color w:val="262626"/>
        </w:rPr>
        <w:t xml:space="preserve"> Pacific Peoples – for each census year 2006, 2013 and 2018.</w:t>
      </w:r>
      <w:r w:rsidR="001A0C98">
        <w:rPr>
          <w:rFonts w:ascii="Calibri Light" w:hAnsi="Calibri Light" w:cs="Calibri Light"/>
          <w:color w:val="262626"/>
        </w:rPr>
        <w:t xml:space="preserve"> </w:t>
      </w:r>
      <w:r w:rsidR="00FA3A90">
        <w:rPr>
          <w:rStyle w:val="gmail-normaltextrun"/>
          <w:rFonts w:ascii="Calibri Light" w:hAnsi="Calibri Light" w:cs="Calibri Light"/>
          <w:color w:val="262626"/>
        </w:rPr>
        <w:t>With these rates, we use spline functions</w:t>
      </w:r>
      <w:r w:rsidR="00FA3A90" w:rsidDel="00865785">
        <w:rPr>
          <w:rStyle w:val="gmail-normaltextrun"/>
          <w:rFonts w:ascii="Calibri Light" w:hAnsi="Calibri Light" w:cs="Calibri Light"/>
          <w:color w:val="262626"/>
        </w:rPr>
        <w:t xml:space="preserve"> </w:t>
      </w:r>
      <w:r w:rsidR="00FA3A90">
        <w:rPr>
          <w:rStyle w:val="gmail-normaltextrun"/>
          <w:rFonts w:ascii="Calibri Light" w:hAnsi="Calibri Light" w:cs="Calibri Light"/>
          <w:color w:val="262626"/>
        </w:rPr>
        <w:t>to interpolate ethnicity rates.</w:t>
      </w:r>
      <w:r w:rsidR="00FF219D" w:rsidRPr="00FF219D">
        <w:rPr>
          <w:rStyle w:val="FootnoteReference"/>
          <w:rFonts w:ascii="Calibri Light" w:hAnsi="Calibri Light" w:cs="Calibri Light"/>
          <w:color w:val="262626"/>
        </w:rPr>
        <w:t xml:space="preserve"> </w:t>
      </w:r>
      <w:r w:rsidR="00FF219D">
        <w:rPr>
          <w:rStyle w:val="FootnoteReference"/>
          <w:rFonts w:ascii="Calibri Light" w:hAnsi="Calibri Light" w:cs="Calibri Light"/>
          <w:color w:val="262626"/>
        </w:rPr>
        <w:footnoteReference w:id="21"/>
      </w:r>
      <w:r w:rsidR="00FA3A90">
        <w:rPr>
          <w:rStyle w:val="gmail-normaltextrun"/>
          <w:rFonts w:ascii="Calibri Light" w:hAnsi="Calibri Light" w:cs="Calibri Light"/>
          <w:color w:val="262626"/>
        </w:rPr>
        <w:t xml:space="preserve"> We then apply these rates to available population levels available for each TA by year, to obtain </w:t>
      </w:r>
      <w:r w:rsidR="00D202B4">
        <w:rPr>
          <w:rStyle w:val="gmail-normaltextrun"/>
          <w:rFonts w:ascii="Calibri Light" w:hAnsi="Calibri Light" w:cs="Calibri Light"/>
          <w:color w:val="262626"/>
        </w:rPr>
        <w:t xml:space="preserve">annual </w:t>
      </w:r>
      <w:r w:rsidR="00FA3A90">
        <w:rPr>
          <w:rStyle w:val="gmail-normaltextrun"/>
          <w:rFonts w:ascii="Calibri Light" w:hAnsi="Calibri Light" w:cs="Calibri Light"/>
          <w:color w:val="262626"/>
        </w:rPr>
        <w:t>estimates of population by ethnicity, for each age cohort across every TA.</w:t>
      </w:r>
    </w:p>
    <w:p w14:paraId="40B66B5A" w14:textId="07961347" w:rsidR="00D76B00" w:rsidRDefault="00DE34DE" w:rsidP="003874CC">
      <w:pPr>
        <w:spacing w:after="240" w:line="312" w:lineRule="auto"/>
        <w:jc w:val="both"/>
      </w:pPr>
      <w:r>
        <w:lastRenderedPageBreak/>
        <w:t>We also include annual information on th</w:t>
      </w:r>
      <w:r w:rsidR="000330D0">
        <w:t xml:space="preserve">e deprivation level of each TA, which has been interpolated between census years using spline functions, in a similar fashion to </w:t>
      </w:r>
      <w:r w:rsidR="00D76B00">
        <w:t>what was conducted with demographic indicators.</w:t>
      </w:r>
      <w:r w:rsidR="005C314B">
        <w:t xml:space="preserve"> Our final </w:t>
      </w:r>
      <w:r w:rsidR="000F106A">
        <w:t xml:space="preserve">covariate included is estimated annual GDP growth rate for each TA, based on </w:t>
      </w:r>
      <w:r w:rsidR="000D65EC">
        <w:t>TA</w:t>
      </w:r>
      <w:r w:rsidR="007926DE">
        <w:t>-level</w:t>
      </w:r>
      <w:r w:rsidR="000D65EC">
        <w:t xml:space="preserve"> GDP estimates produced by the Ministry of Business, Innovation and Employment (MBIE).</w:t>
      </w:r>
    </w:p>
    <w:p w14:paraId="3D30FC9A" w14:textId="236E4863" w:rsidR="00742DA1" w:rsidRDefault="00A0219F" w:rsidP="003874CC">
      <w:pPr>
        <w:spacing w:after="240" w:line="312" w:lineRule="auto"/>
        <w:jc w:val="both"/>
      </w:pPr>
      <w:r>
        <w:t>Our resulting sample</w:t>
      </w:r>
      <w:r w:rsidR="005A65F2">
        <w:t>, which merges information from the above sources, is annual in nature</w:t>
      </w:r>
      <w:r w:rsidR="00376426">
        <w:t xml:space="preserve">, </w:t>
      </w:r>
      <w:r w:rsidR="002D1219">
        <w:t>cover the 67 TAs in NZ</w:t>
      </w:r>
      <w:r w:rsidR="005A65F2">
        <w:t xml:space="preserve"> and spans the period 2010 to 2018</w:t>
      </w:r>
      <w:r w:rsidR="00F6644E">
        <w:t>.</w:t>
      </w:r>
      <w:r w:rsidR="00B0653D">
        <w:rPr>
          <w:rStyle w:val="FootnoteReference"/>
        </w:rPr>
        <w:footnoteReference w:id="22"/>
      </w:r>
      <w:r w:rsidR="00F96196" w:rsidRPr="00F96196">
        <w:t xml:space="preserve"> </w:t>
      </w:r>
      <w:r w:rsidR="00F96196">
        <w:t xml:space="preserve">Table </w:t>
      </w:r>
      <w:r w:rsidR="007509D1">
        <w:t>2</w:t>
      </w:r>
      <w:r w:rsidR="00F96196">
        <w:t xml:space="preserve"> provides definitions for our</w:t>
      </w:r>
      <w:r w:rsidR="00F96196" w:rsidRPr="001B5CED">
        <w:t xml:space="preserve"> outcome variables, key policy indicators, and control variables</w:t>
      </w:r>
      <w:r w:rsidR="00F96196">
        <w:t xml:space="preserve">. </w:t>
      </w:r>
      <w:r w:rsidR="00D44050">
        <w:t>A</w:t>
      </w:r>
      <w:r w:rsidR="00F96196">
        <w:t xml:space="preserve">ll </w:t>
      </w:r>
      <w:proofErr w:type="spellStart"/>
      <w:r w:rsidR="00F96196">
        <w:t>descriptives</w:t>
      </w:r>
      <w:proofErr w:type="spellEnd"/>
      <w:r w:rsidR="00F96196">
        <w:t xml:space="preserve"> in Table </w:t>
      </w:r>
      <w:r w:rsidR="00D17386">
        <w:t>3</w:t>
      </w:r>
      <w:r w:rsidR="00F96196">
        <w:t xml:space="preserve"> are unweighted TA-year means.</w:t>
      </w:r>
    </w:p>
    <w:p w14:paraId="52D9CF99" w14:textId="77777777" w:rsidR="00634E48" w:rsidRDefault="00634E48">
      <w:pPr>
        <w:rPr>
          <w:b/>
          <w:bCs/>
          <w:color w:val="2F5496" w:themeColor="accent5" w:themeShade="BF"/>
        </w:rPr>
      </w:pPr>
      <w:r>
        <w:br w:type="page"/>
      </w:r>
    </w:p>
    <w:p w14:paraId="22BB3566" w14:textId="12B7DF41" w:rsidR="00E15999" w:rsidRPr="00E15999" w:rsidRDefault="004C0CB0" w:rsidP="00B0653D">
      <w:pPr>
        <w:pStyle w:val="FigureTableTitle"/>
        <w:spacing w:after="0"/>
      </w:pPr>
      <w:bookmarkStart w:id="48" w:name="_Toc50033353"/>
      <w:r w:rsidRPr="00F90F85">
        <w:lastRenderedPageBreak/>
        <w:t xml:space="preserve">Table </w:t>
      </w:r>
      <w:r w:rsidRPr="00F90F85">
        <w:fldChar w:fldCharType="begin"/>
      </w:r>
      <w:r w:rsidRPr="00F90F85">
        <w:instrText>SEQ Table \* ARABIC</w:instrText>
      </w:r>
      <w:r w:rsidRPr="00F90F85">
        <w:fldChar w:fldCharType="separate"/>
      </w:r>
      <w:r w:rsidR="00CB2BDA">
        <w:rPr>
          <w:noProof/>
        </w:rPr>
        <w:t>3</w:t>
      </w:r>
      <w:r w:rsidRPr="00F90F85">
        <w:fldChar w:fldCharType="end"/>
      </w:r>
      <w:r w:rsidR="00F07243" w:rsidRPr="00F90F85">
        <w:t>.</w:t>
      </w:r>
      <w:r w:rsidRPr="00F90F85">
        <w:t xml:space="preserve"> Descriptive statistics</w:t>
      </w:r>
      <w:r w:rsidR="00A91573" w:rsidRPr="00F90F85">
        <w:t xml:space="preserve"> for gambling policy evaluation</w:t>
      </w:r>
      <w:bookmarkEnd w:id="48"/>
    </w:p>
    <w:tbl>
      <w:tblPr>
        <w:tblW w:w="5000" w:type="pct"/>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shd w:val="clear" w:color="auto" w:fill="FFFFFF"/>
        <w:tblCellMar>
          <w:left w:w="85" w:type="dxa"/>
          <w:right w:w="85" w:type="dxa"/>
        </w:tblCellMar>
        <w:tblLook w:val="04A0" w:firstRow="1" w:lastRow="0" w:firstColumn="1" w:lastColumn="0" w:noHBand="0" w:noVBand="1"/>
      </w:tblPr>
      <w:tblGrid>
        <w:gridCol w:w="2398"/>
        <w:gridCol w:w="5659"/>
        <w:gridCol w:w="959"/>
      </w:tblGrid>
      <w:tr w:rsidR="00000866" w:rsidRPr="00B5248D" w14:paraId="5CD30D73" w14:textId="77777777" w:rsidTr="00DC1017">
        <w:tc>
          <w:tcPr>
            <w:tcW w:w="1335" w:type="pct"/>
            <w:shd w:val="clear" w:color="auto" w:fill="4472C4" w:themeFill="accent5"/>
            <w:tcMar>
              <w:top w:w="0" w:type="dxa"/>
              <w:left w:w="108" w:type="dxa"/>
              <w:bottom w:w="0" w:type="dxa"/>
              <w:right w:w="108" w:type="dxa"/>
            </w:tcMar>
            <w:vAlign w:val="bottom"/>
            <w:hideMark/>
          </w:tcPr>
          <w:p w14:paraId="0E5FC854" w14:textId="77777777" w:rsidR="00D958CD" w:rsidRPr="00DC1734" w:rsidRDefault="00D958CD" w:rsidP="006E3B76">
            <w:pPr>
              <w:spacing w:after="0" w:line="240" w:lineRule="auto"/>
              <w:rPr>
                <w:rFonts w:eastAsiaTheme="majorEastAsia" w:cstheme="majorBidi"/>
                <w:color w:val="FFFFFF" w:themeColor="background1"/>
                <w:lang w:eastAsia="en-NZ"/>
              </w:rPr>
            </w:pPr>
            <w:r w:rsidRPr="00DC1734">
              <w:rPr>
                <w:rFonts w:eastAsiaTheme="majorEastAsia" w:cstheme="majorBidi"/>
                <w:color w:val="FFFFFF" w:themeColor="background1"/>
                <w:lang w:eastAsia="en-NZ"/>
              </w:rPr>
              <w:t>Variables</w:t>
            </w:r>
          </w:p>
        </w:tc>
        <w:tc>
          <w:tcPr>
            <w:tcW w:w="3143" w:type="pct"/>
            <w:shd w:val="clear" w:color="auto" w:fill="4472C4" w:themeFill="accent5"/>
            <w:vAlign w:val="bottom"/>
          </w:tcPr>
          <w:p w14:paraId="0B94FCDC" w14:textId="77777777" w:rsidR="00D958CD" w:rsidRPr="00DC1734" w:rsidRDefault="00D958CD" w:rsidP="00DC1734">
            <w:pPr>
              <w:spacing w:after="0" w:line="240" w:lineRule="auto"/>
              <w:rPr>
                <w:rFonts w:eastAsiaTheme="majorEastAsia" w:cstheme="majorBidi"/>
                <w:color w:val="FFFFFF" w:themeColor="background1"/>
                <w:lang w:eastAsia="en-NZ"/>
              </w:rPr>
            </w:pPr>
            <w:r w:rsidRPr="00DC1734">
              <w:rPr>
                <w:rFonts w:eastAsiaTheme="majorEastAsia" w:cstheme="majorBidi"/>
                <w:color w:val="FFFFFF" w:themeColor="background1"/>
                <w:lang w:eastAsia="en-NZ"/>
              </w:rPr>
              <w:t>Definitions</w:t>
            </w:r>
          </w:p>
        </w:tc>
        <w:tc>
          <w:tcPr>
            <w:tcW w:w="522" w:type="pct"/>
            <w:shd w:val="clear" w:color="auto" w:fill="4472C4" w:themeFill="accent5"/>
            <w:tcMar>
              <w:top w:w="0" w:type="dxa"/>
              <w:left w:w="108" w:type="dxa"/>
              <w:bottom w:w="0" w:type="dxa"/>
              <w:right w:w="108" w:type="dxa"/>
            </w:tcMar>
            <w:vAlign w:val="bottom"/>
            <w:hideMark/>
          </w:tcPr>
          <w:p w14:paraId="6DB53C31" w14:textId="77777777" w:rsidR="00D958CD" w:rsidRPr="00DC1734" w:rsidRDefault="00D958CD"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Mean</w:t>
            </w:r>
          </w:p>
        </w:tc>
      </w:tr>
      <w:tr w:rsidR="006E3B76" w:rsidRPr="00B5248D" w14:paraId="304C80DA" w14:textId="77777777" w:rsidTr="00E26938">
        <w:trPr>
          <w:trHeight w:val="283"/>
        </w:trPr>
        <w:tc>
          <w:tcPr>
            <w:tcW w:w="5000" w:type="pct"/>
            <w:gridSpan w:val="3"/>
            <w:tcBorders>
              <w:bottom w:val="single" w:sz="8" w:space="0" w:color="B4C6E7" w:themeColor="accent5" w:themeTint="66"/>
            </w:tcBorders>
            <w:shd w:val="clear" w:color="auto" w:fill="D9E2F3" w:themeFill="accent5" w:themeFillTint="33"/>
            <w:tcMar>
              <w:top w:w="0" w:type="dxa"/>
              <w:left w:w="108" w:type="dxa"/>
              <w:bottom w:w="0" w:type="dxa"/>
              <w:right w:w="108" w:type="dxa"/>
            </w:tcMar>
            <w:vAlign w:val="bottom"/>
          </w:tcPr>
          <w:p w14:paraId="4F133E5E" w14:textId="3A109D3F" w:rsidR="006E3B76" w:rsidRPr="00AE0834" w:rsidRDefault="006E3B76" w:rsidP="006E3B76">
            <w:pPr>
              <w:spacing w:after="0" w:line="240" w:lineRule="auto"/>
              <w:rPr>
                <w:rFonts w:eastAsiaTheme="majorEastAsia" w:cstheme="majorBidi"/>
                <w:color w:val="auto"/>
                <w:lang w:eastAsia="en-NZ"/>
              </w:rPr>
            </w:pPr>
            <w:r w:rsidRPr="00AE0834">
              <w:rPr>
                <w:rFonts w:eastAsiaTheme="majorEastAsia" w:cstheme="majorBidi"/>
                <w:b/>
                <w:color w:val="auto"/>
                <w:lang w:eastAsia="en-NZ"/>
              </w:rPr>
              <w:t>Gambling policy</w:t>
            </w:r>
            <w:r w:rsidR="00F070FB" w:rsidRPr="00AE0834">
              <w:rPr>
                <w:rStyle w:val="FootnoteReference"/>
                <w:rFonts w:eastAsiaTheme="majorEastAsia" w:cstheme="majorBidi"/>
                <w:color w:val="auto"/>
                <w:lang w:eastAsia="en-NZ"/>
              </w:rPr>
              <w:footnoteReference w:id="23"/>
            </w:r>
          </w:p>
        </w:tc>
      </w:tr>
      <w:tr w:rsidR="00000866" w:rsidRPr="00B5248D" w14:paraId="097380C2" w14:textId="77777777" w:rsidTr="00DC1017">
        <w:tc>
          <w:tcPr>
            <w:tcW w:w="1335" w:type="pct"/>
            <w:tcBorders>
              <w:top w:val="single" w:sz="8" w:space="0" w:color="B4C6E7" w:themeColor="accent5" w:themeTint="66"/>
            </w:tcBorders>
            <w:shd w:val="clear" w:color="auto" w:fill="D9E2F3" w:themeFill="accent5" w:themeFillTint="33"/>
            <w:tcMar>
              <w:top w:w="0" w:type="dxa"/>
              <w:left w:w="108" w:type="dxa"/>
              <w:bottom w:w="0" w:type="dxa"/>
              <w:right w:w="108" w:type="dxa"/>
            </w:tcMar>
            <w:hideMark/>
          </w:tcPr>
          <w:p w14:paraId="01F809D5" w14:textId="77777777" w:rsidR="00D958CD" w:rsidRPr="00AE0834" w:rsidRDefault="00D958CD" w:rsidP="006E3B76">
            <w:pPr>
              <w:spacing w:after="0" w:line="240" w:lineRule="auto"/>
              <w:rPr>
                <w:rFonts w:eastAsiaTheme="majorEastAsia" w:cstheme="majorBidi"/>
                <w:color w:val="auto"/>
                <w:lang w:eastAsia="en-NZ"/>
              </w:rPr>
            </w:pPr>
            <w:r w:rsidRPr="00AE0834">
              <w:rPr>
                <w:rFonts w:eastAsiaTheme="majorEastAsia" w:cstheme="majorBidi"/>
                <w:color w:val="auto"/>
                <w:lang w:eastAsia="en-NZ"/>
              </w:rPr>
              <w:t>Reference group</w:t>
            </w:r>
          </w:p>
        </w:tc>
        <w:tc>
          <w:tcPr>
            <w:tcW w:w="3143" w:type="pct"/>
            <w:tcBorders>
              <w:top w:val="single" w:sz="8" w:space="0" w:color="B4C6E7" w:themeColor="accent5" w:themeTint="66"/>
            </w:tcBorders>
            <w:shd w:val="clear" w:color="auto" w:fill="FFFFFF" w:themeFill="background1"/>
          </w:tcPr>
          <w:p w14:paraId="239DF3AB" w14:textId="26EFCCEC" w:rsidR="00D958CD" w:rsidRPr="00AE0834" w:rsidRDefault="00D3527D" w:rsidP="006E3B76">
            <w:pPr>
              <w:spacing w:after="0" w:line="240" w:lineRule="auto"/>
              <w:rPr>
                <w:rFonts w:eastAsiaTheme="majorEastAsia" w:cstheme="majorBidi"/>
                <w:color w:val="auto"/>
                <w:lang w:eastAsia="en-NZ"/>
              </w:rPr>
            </w:pPr>
            <w:r w:rsidRPr="00AE0834">
              <w:rPr>
                <w:rFonts w:eastAsiaTheme="majorEastAsia" w:cstheme="majorBidi"/>
                <w:color w:val="auto"/>
                <w:lang w:eastAsia="en-NZ"/>
              </w:rPr>
              <w:t xml:space="preserve">A policy which re-states the minimum standards in the Gambling Act 2003, </w:t>
            </w:r>
            <w:proofErr w:type="gramStart"/>
            <w:r w:rsidRPr="00AE0834">
              <w:rPr>
                <w:rFonts w:eastAsiaTheme="majorEastAsia" w:cstheme="majorBidi"/>
                <w:color w:val="auto"/>
                <w:lang w:eastAsia="en-NZ"/>
              </w:rPr>
              <w:t>i.e.</w:t>
            </w:r>
            <w:proofErr w:type="gramEnd"/>
            <w:r w:rsidRPr="00AE0834">
              <w:rPr>
                <w:rFonts w:eastAsiaTheme="majorEastAsia" w:cstheme="majorBidi"/>
                <w:color w:val="auto"/>
                <w:lang w:eastAsia="en-NZ"/>
              </w:rPr>
              <w:t xml:space="preserve"> a</w:t>
            </w:r>
            <w:r w:rsidR="000127BA" w:rsidRPr="00AE0834">
              <w:rPr>
                <w:rFonts w:eastAsiaTheme="majorEastAsia" w:cstheme="majorBidi"/>
                <w:color w:val="auto"/>
                <w:lang w:eastAsia="en-NZ"/>
              </w:rPr>
              <w:t xml:space="preserve"> limit on the number of EGMs to 18 per venue if a gam</w:t>
            </w:r>
            <w:r w:rsidR="00C808A5" w:rsidRPr="00AE0834">
              <w:rPr>
                <w:rFonts w:eastAsiaTheme="majorEastAsia" w:cstheme="majorBidi"/>
                <w:color w:val="auto"/>
                <w:lang w:eastAsia="en-NZ"/>
              </w:rPr>
              <w:t>bl</w:t>
            </w:r>
            <w:r w:rsidR="000127BA" w:rsidRPr="00AE0834">
              <w:rPr>
                <w:rFonts w:eastAsiaTheme="majorEastAsia" w:cstheme="majorBidi"/>
                <w:color w:val="auto"/>
                <w:lang w:eastAsia="en-NZ"/>
              </w:rPr>
              <w:t>ing license was granted before 17 October 2001, and nine per venue if granted later.</w:t>
            </w:r>
            <w:r w:rsidR="00C9226A" w:rsidRPr="00AE0834" w:rsidDel="00C9226A">
              <w:rPr>
                <w:rStyle w:val="FootnoteReference"/>
                <w:rFonts w:eastAsiaTheme="majorEastAsia" w:cstheme="majorBidi"/>
                <w:color w:val="auto"/>
                <w:lang w:eastAsia="en-NZ"/>
              </w:rPr>
              <w:t xml:space="preserve"> </w:t>
            </w:r>
          </w:p>
        </w:tc>
        <w:tc>
          <w:tcPr>
            <w:tcW w:w="522" w:type="pct"/>
            <w:tcBorders>
              <w:top w:val="single" w:sz="8" w:space="0" w:color="B4C6E7" w:themeColor="accent5" w:themeTint="66"/>
            </w:tcBorders>
            <w:shd w:val="clear" w:color="auto" w:fill="FFFFFF" w:themeFill="background1"/>
            <w:tcMar>
              <w:top w:w="0" w:type="dxa"/>
              <w:left w:w="108" w:type="dxa"/>
              <w:bottom w:w="0" w:type="dxa"/>
              <w:right w:w="108" w:type="dxa"/>
            </w:tcMar>
            <w:hideMark/>
          </w:tcPr>
          <w:p w14:paraId="7D999EF1" w14:textId="77777777" w:rsidR="00D958CD" w:rsidRPr="00AE0834" w:rsidRDefault="00D958CD" w:rsidP="00DC1734">
            <w:pPr>
              <w:spacing w:after="0" w:line="240" w:lineRule="auto"/>
              <w:jc w:val="center"/>
              <w:rPr>
                <w:rFonts w:eastAsiaTheme="majorEastAsia" w:cstheme="majorBidi"/>
                <w:color w:val="auto"/>
                <w:lang w:eastAsia="en-NZ"/>
              </w:rPr>
            </w:pPr>
            <w:r w:rsidRPr="00AE0834">
              <w:rPr>
                <w:rFonts w:eastAsiaTheme="majorEastAsia" w:cstheme="majorBidi"/>
                <w:color w:val="auto"/>
                <w:lang w:eastAsia="en-NZ"/>
              </w:rPr>
              <w:t>0.18</w:t>
            </w:r>
          </w:p>
        </w:tc>
      </w:tr>
      <w:tr w:rsidR="00000866" w:rsidRPr="00B5248D" w14:paraId="3C702FB5" w14:textId="77777777" w:rsidTr="00DC1017">
        <w:tc>
          <w:tcPr>
            <w:tcW w:w="1335" w:type="pct"/>
            <w:shd w:val="clear" w:color="auto" w:fill="D9E2F3" w:themeFill="accent5" w:themeFillTint="33"/>
            <w:tcMar>
              <w:top w:w="0" w:type="dxa"/>
              <w:left w:w="108" w:type="dxa"/>
              <w:bottom w:w="0" w:type="dxa"/>
              <w:right w:w="108" w:type="dxa"/>
            </w:tcMar>
            <w:hideMark/>
          </w:tcPr>
          <w:p w14:paraId="2F1F5A09" w14:textId="77777777" w:rsidR="00D958CD" w:rsidRPr="00AE0834" w:rsidRDefault="00D958CD" w:rsidP="006E3B76">
            <w:pPr>
              <w:spacing w:after="0" w:line="240" w:lineRule="auto"/>
              <w:rPr>
                <w:rFonts w:eastAsiaTheme="majorEastAsia" w:cstheme="majorBidi"/>
                <w:color w:val="auto"/>
                <w:lang w:eastAsia="en-NZ"/>
              </w:rPr>
            </w:pPr>
            <w:r w:rsidRPr="00AE0834">
              <w:rPr>
                <w:rFonts w:eastAsiaTheme="majorEastAsia" w:cstheme="majorBidi"/>
                <w:color w:val="auto"/>
                <w:lang w:eastAsia="en-NZ"/>
              </w:rPr>
              <w:t>Absolute cap</w:t>
            </w:r>
          </w:p>
        </w:tc>
        <w:tc>
          <w:tcPr>
            <w:tcW w:w="3143" w:type="pct"/>
            <w:shd w:val="clear" w:color="auto" w:fill="FFFFFF" w:themeFill="background1"/>
          </w:tcPr>
          <w:p w14:paraId="60CDD0A7" w14:textId="0FC4E925" w:rsidR="00D958CD" w:rsidRPr="00AE0834" w:rsidRDefault="00D958CD" w:rsidP="006E3B76">
            <w:pPr>
              <w:spacing w:after="0" w:line="240" w:lineRule="auto"/>
              <w:rPr>
                <w:rFonts w:eastAsiaTheme="majorEastAsia" w:cstheme="majorBidi"/>
                <w:color w:val="auto"/>
                <w:lang w:eastAsia="en-NZ"/>
              </w:rPr>
            </w:pPr>
            <w:r w:rsidRPr="00AE0834">
              <w:rPr>
                <w:rFonts w:eastAsiaTheme="majorEastAsia" w:cstheme="majorBidi"/>
                <w:color w:val="auto"/>
                <w:lang w:eastAsia="en-NZ"/>
              </w:rPr>
              <w:t xml:space="preserve">A cap on number of machines and/or venues within a </w:t>
            </w:r>
            <w:r w:rsidR="00971686" w:rsidRPr="00AE0834">
              <w:rPr>
                <w:rFonts w:eastAsiaTheme="majorEastAsia" w:cstheme="majorBidi"/>
                <w:color w:val="auto"/>
                <w:lang w:eastAsia="en-NZ"/>
              </w:rPr>
              <w:t>TA</w:t>
            </w:r>
            <w:r w:rsidRPr="00AE0834">
              <w:rPr>
                <w:rFonts w:eastAsiaTheme="majorEastAsia" w:cstheme="majorBidi"/>
                <w:color w:val="auto"/>
                <w:lang w:eastAsia="en-NZ"/>
              </w:rPr>
              <w:t>.</w:t>
            </w:r>
          </w:p>
        </w:tc>
        <w:tc>
          <w:tcPr>
            <w:tcW w:w="522" w:type="pct"/>
            <w:shd w:val="clear" w:color="auto" w:fill="FFFFFF" w:themeFill="background1"/>
            <w:tcMar>
              <w:top w:w="0" w:type="dxa"/>
              <w:left w:w="108" w:type="dxa"/>
              <w:bottom w:w="0" w:type="dxa"/>
              <w:right w:w="108" w:type="dxa"/>
            </w:tcMar>
            <w:hideMark/>
          </w:tcPr>
          <w:p w14:paraId="52CA7826" w14:textId="77777777" w:rsidR="00D958CD" w:rsidRPr="00AE0834" w:rsidRDefault="00D958CD" w:rsidP="00DC1734">
            <w:pPr>
              <w:spacing w:after="0" w:line="240" w:lineRule="auto"/>
              <w:jc w:val="center"/>
              <w:rPr>
                <w:rFonts w:eastAsiaTheme="majorEastAsia" w:cstheme="majorBidi"/>
                <w:color w:val="auto"/>
                <w:lang w:eastAsia="en-NZ"/>
              </w:rPr>
            </w:pPr>
            <w:r w:rsidRPr="00AE0834">
              <w:rPr>
                <w:rFonts w:eastAsiaTheme="majorEastAsia" w:cstheme="majorBidi"/>
                <w:color w:val="auto"/>
                <w:lang w:eastAsia="en-NZ"/>
              </w:rPr>
              <w:t>0.35</w:t>
            </w:r>
          </w:p>
        </w:tc>
      </w:tr>
      <w:tr w:rsidR="00000866" w:rsidRPr="00B5248D" w14:paraId="00803DD1" w14:textId="77777777" w:rsidTr="00DC1017">
        <w:tc>
          <w:tcPr>
            <w:tcW w:w="1335" w:type="pct"/>
            <w:shd w:val="clear" w:color="auto" w:fill="D9E2F3" w:themeFill="accent5" w:themeFillTint="33"/>
            <w:tcMar>
              <w:top w:w="0" w:type="dxa"/>
              <w:left w:w="108" w:type="dxa"/>
              <w:bottom w:w="0" w:type="dxa"/>
              <w:right w:w="108" w:type="dxa"/>
            </w:tcMar>
            <w:hideMark/>
          </w:tcPr>
          <w:p w14:paraId="36E30DCB" w14:textId="77777777" w:rsidR="00D958CD" w:rsidRPr="00AE0834" w:rsidRDefault="00D958CD" w:rsidP="006E3B76">
            <w:pPr>
              <w:spacing w:after="0" w:line="240" w:lineRule="auto"/>
              <w:rPr>
                <w:rFonts w:eastAsiaTheme="majorEastAsia" w:cstheme="majorBidi"/>
                <w:color w:val="auto"/>
                <w:lang w:eastAsia="en-NZ"/>
              </w:rPr>
            </w:pPr>
            <w:r w:rsidRPr="00AE0834">
              <w:rPr>
                <w:rFonts w:eastAsiaTheme="majorEastAsia" w:cstheme="majorBidi"/>
                <w:color w:val="auto"/>
                <w:lang w:eastAsia="en-NZ"/>
              </w:rPr>
              <w:t>Per capita cap</w:t>
            </w:r>
          </w:p>
        </w:tc>
        <w:tc>
          <w:tcPr>
            <w:tcW w:w="3143" w:type="pct"/>
            <w:shd w:val="clear" w:color="auto" w:fill="FFFFFF" w:themeFill="background1"/>
          </w:tcPr>
          <w:p w14:paraId="3F94F2D2" w14:textId="2A38166F" w:rsidR="00D958CD" w:rsidRPr="00AE0834" w:rsidRDefault="00D958CD" w:rsidP="006E3B76">
            <w:pPr>
              <w:spacing w:after="0" w:line="240" w:lineRule="auto"/>
              <w:rPr>
                <w:rFonts w:eastAsiaTheme="majorEastAsia" w:cstheme="majorBidi"/>
                <w:color w:val="auto"/>
                <w:lang w:eastAsia="en-NZ"/>
              </w:rPr>
            </w:pPr>
            <w:r w:rsidRPr="00AE0834">
              <w:rPr>
                <w:rFonts w:eastAsiaTheme="majorEastAsia" w:cstheme="majorBidi"/>
                <w:color w:val="auto"/>
                <w:lang w:eastAsia="en-NZ"/>
              </w:rPr>
              <w:t xml:space="preserve">A cap on number of machines and / or venues on a per capita basis within a </w:t>
            </w:r>
            <w:r w:rsidR="00971686" w:rsidRPr="00AE0834">
              <w:rPr>
                <w:rFonts w:eastAsiaTheme="majorEastAsia" w:cstheme="majorBidi"/>
                <w:color w:val="auto"/>
                <w:lang w:eastAsia="en-NZ"/>
              </w:rPr>
              <w:t>TA</w:t>
            </w:r>
            <w:r w:rsidRPr="00AE0834">
              <w:rPr>
                <w:rFonts w:eastAsiaTheme="majorEastAsia" w:cstheme="majorBidi"/>
                <w:color w:val="auto"/>
                <w:lang w:eastAsia="en-NZ"/>
              </w:rPr>
              <w:t>.</w:t>
            </w:r>
          </w:p>
        </w:tc>
        <w:tc>
          <w:tcPr>
            <w:tcW w:w="522" w:type="pct"/>
            <w:shd w:val="clear" w:color="auto" w:fill="FFFFFF" w:themeFill="background1"/>
            <w:tcMar>
              <w:top w:w="0" w:type="dxa"/>
              <w:left w:w="108" w:type="dxa"/>
              <w:bottom w:w="0" w:type="dxa"/>
              <w:right w:w="108" w:type="dxa"/>
            </w:tcMar>
            <w:hideMark/>
          </w:tcPr>
          <w:p w14:paraId="50344678" w14:textId="15E22F36" w:rsidR="00D958CD" w:rsidRPr="00AE0834" w:rsidRDefault="00D958CD" w:rsidP="00DC1734">
            <w:pPr>
              <w:spacing w:after="0" w:line="240" w:lineRule="auto"/>
              <w:jc w:val="center"/>
              <w:rPr>
                <w:rFonts w:eastAsiaTheme="majorEastAsia" w:cstheme="majorBidi"/>
                <w:color w:val="auto"/>
                <w:lang w:eastAsia="en-NZ"/>
              </w:rPr>
            </w:pPr>
            <w:r w:rsidRPr="00AE0834">
              <w:rPr>
                <w:rFonts w:eastAsiaTheme="majorEastAsia" w:cstheme="majorBidi"/>
                <w:color w:val="auto"/>
                <w:lang w:eastAsia="en-NZ"/>
              </w:rPr>
              <w:t>0.1</w:t>
            </w:r>
            <w:r w:rsidR="002F4762" w:rsidRPr="00AE0834">
              <w:rPr>
                <w:rFonts w:eastAsiaTheme="majorEastAsia" w:cstheme="majorBidi"/>
                <w:color w:val="auto"/>
                <w:lang w:eastAsia="en-NZ"/>
              </w:rPr>
              <w:t>3</w:t>
            </w:r>
          </w:p>
        </w:tc>
      </w:tr>
      <w:tr w:rsidR="00000866" w:rsidRPr="00B5248D" w14:paraId="4225B8DC" w14:textId="77777777" w:rsidTr="00DC1017">
        <w:tc>
          <w:tcPr>
            <w:tcW w:w="1335" w:type="pct"/>
            <w:tcBorders>
              <w:bottom w:val="single" w:sz="8" w:space="0" w:color="B4C6E7" w:themeColor="accent5" w:themeTint="66"/>
            </w:tcBorders>
            <w:shd w:val="clear" w:color="auto" w:fill="D9E2F3" w:themeFill="accent5" w:themeFillTint="33"/>
            <w:tcMar>
              <w:top w:w="0" w:type="dxa"/>
              <w:left w:w="108" w:type="dxa"/>
              <w:bottom w:w="0" w:type="dxa"/>
              <w:right w:w="108" w:type="dxa"/>
            </w:tcMar>
            <w:hideMark/>
          </w:tcPr>
          <w:p w14:paraId="52D034B2" w14:textId="77777777" w:rsidR="00D958CD" w:rsidRPr="00EE677F" w:rsidRDefault="00D958CD" w:rsidP="006E3B76">
            <w:pPr>
              <w:spacing w:after="0" w:line="240" w:lineRule="auto"/>
              <w:rPr>
                <w:rFonts w:eastAsiaTheme="majorEastAsia" w:cstheme="majorBidi"/>
                <w:color w:val="auto"/>
                <w:lang w:eastAsia="en-NZ"/>
              </w:rPr>
            </w:pPr>
            <w:r w:rsidRPr="00EE677F">
              <w:rPr>
                <w:rFonts w:eastAsiaTheme="majorEastAsia" w:cstheme="majorBidi"/>
                <w:color w:val="auto"/>
                <w:lang w:eastAsia="en-NZ"/>
              </w:rPr>
              <w:t>Sinking lid</w:t>
            </w:r>
          </w:p>
        </w:tc>
        <w:tc>
          <w:tcPr>
            <w:tcW w:w="3143" w:type="pct"/>
            <w:tcBorders>
              <w:bottom w:val="single" w:sz="8" w:space="0" w:color="B4C6E7" w:themeColor="accent5" w:themeTint="66"/>
            </w:tcBorders>
            <w:shd w:val="clear" w:color="auto" w:fill="FFFFFF" w:themeFill="background1"/>
          </w:tcPr>
          <w:p w14:paraId="18826C3B" w14:textId="1650A291" w:rsidR="00D958CD" w:rsidRPr="00EE677F" w:rsidRDefault="00D958CD" w:rsidP="00460458">
            <w:pPr>
              <w:spacing w:after="0" w:line="240" w:lineRule="auto"/>
              <w:rPr>
                <w:rFonts w:eastAsiaTheme="majorEastAsia" w:cstheme="majorBidi"/>
                <w:color w:val="auto"/>
                <w:lang w:eastAsia="en-NZ"/>
              </w:rPr>
            </w:pPr>
            <w:r w:rsidRPr="00EE677F">
              <w:rPr>
                <w:rFonts w:eastAsiaTheme="majorEastAsia" w:cstheme="majorBidi"/>
                <w:color w:val="auto"/>
                <w:lang w:eastAsia="en-NZ"/>
              </w:rPr>
              <w:t xml:space="preserve">A limit on number of EGMs and venues within a </w:t>
            </w:r>
            <w:r w:rsidR="00971686" w:rsidRPr="00EE677F">
              <w:rPr>
                <w:rFonts w:eastAsiaTheme="majorEastAsia" w:cstheme="majorBidi"/>
                <w:color w:val="auto"/>
                <w:lang w:eastAsia="en-NZ"/>
              </w:rPr>
              <w:t>TA</w:t>
            </w:r>
            <w:r w:rsidRPr="00EE677F">
              <w:rPr>
                <w:rFonts w:eastAsiaTheme="majorEastAsia" w:cstheme="majorBidi"/>
                <w:color w:val="auto"/>
                <w:lang w:eastAsia="en-NZ"/>
              </w:rPr>
              <w:t xml:space="preserve"> that is permanently lowered with each reduction of EGM or venue.</w:t>
            </w:r>
          </w:p>
        </w:tc>
        <w:tc>
          <w:tcPr>
            <w:tcW w:w="522" w:type="pct"/>
            <w:shd w:val="clear" w:color="auto" w:fill="FFFFFF" w:themeFill="background1"/>
            <w:tcMar>
              <w:top w:w="0" w:type="dxa"/>
              <w:left w:w="108" w:type="dxa"/>
              <w:bottom w:w="0" w:type="dxa"/>
              <w:right w:w="108" w:type="dxa"/>
            </w:tcMar>
            <w:hideMark/>
          </w:tcPr>
          <w:p w14:paraId="5E7ED106" w14:textId="7D8538DD" w:rsidR="00D958CD" w:rsidRPr="00EE677F" w:rsidRDefault="00D958CD" w:rsidP="00DC1734">
            <w:pPr>
              <w:spacing w:after="0" w:line="240" w:lineRule="auto"/>
              <w:jc w:val="center"/>
              <w:rPr>
                <w:rFonts w:eastAsiaTheme="majorEastAsia" w:cstheme="majorBidi"/>
                <w:color w:val="auto"/>
                <w:lang w:eastAsia="en-NZ"/>
              </w:rPr>
            </w:pPr>
            <w:r w:rsidRPr="00EE677F">
              <w:rPr>
                <w:rFonts w:eastAsiaTheme="majorEastAsia" w:cstheme="majorBidi"/>
                <w:color w:val="auto"/>
                <w:lang w:eastAsia="en-NZ"/>
              </w:rPr>
              <w:t>0.3</w:t>
            </w:r>
            <w:r w:rsidR="00B568D9" w:rsidRPr="00EE677F">
              <w:rPr>
                <w:rFonts w:eastAsiaTheme="majorEastAsia" w:cstheme="majorBidi"/>
                <w:color w:val="auto"/>
                <w:lang w:eastAsia="en-NZ"/>
              </w:rPr>
              <w:t>4</w:t>
            </w:r>
          </w:p>
        </w:tc>
      </w:tr>
      <w:tr w:rsidR="006E3B76" w:rsidRPr="00B5248D" w14:paraId="7C187F14" w14:textId="77777777" w:rsidTr="00E26938">
        <w:trPr>
          <w:trHeight w:val="283"/>
        </w:trPr>
        <w:tc>
          <w:tcPr>
            <w:tcW w:w="5000" w:type="pct"/>
            <w:gridSpan w:val="3"/>
            <w:tcBorders>
              <w:top w:val="single" w:sz="8" w:space="0" w:color="B4C6E7" w:themeColor="accent5" w:themeTint="66"/>
            </w:tcBorders>
            <w:shd w:val="clear" w:color="auto" w:fill="D9E2F3" w:themeFill="accent5" w:themeFillTint="33"/>
            <w:tcMar>
              <w:top w:w="0" w:type="dxa"/>
              <w:left w:w="108" w:type="dxa"/>
              <w:bottom w:w="0" w:type="dxa"/>
              <w:right w:w="108" w:type="dxa"/>
            </w:tcMar>
            <w:vAlign w:val="bottom"/>
          </w:tcPr>
          <w:p w14:paraId="704E04BB" w14:textId="6032D5AA" w:rsidR="006E3B76" w:rsidRPr="00852DF9" w:rsidRDefault="006E3B76" w:rsidP="006E3B76">
            <w:pPr>
              <w:spacing w:after="0" w:line="240" w:lineRule="auto"/>
              <w:rPr>
                <w:rFonts w:eastAsiaTheme="majorEastAsia" w:cstheme="majorBidi"/>
                <w:color w:val="auto"/>
                <w:lang w:eastAsia="en-NZ"/>
              </w:rPr>
            </w:pPr>
            <w:r w:rsidRPr="00852DF9">
              <w:rPr>
                <w:rFonts w:eastAsiaTheme="majorEastAsia" w:cstheme="majorBidi"/>
                <w:b/>
                <w:color w:val="auto"/>
                <w:lang w:eastAsia="en-NZ"/>
              </w:rPr>
              <w:t>Outcome variables</w:t>
            </w:r>
          </w:p>
        </w:tc>
      </w:tr>
      <w:tr w:rsidR="00000866" w:rsidRPr="00B5248D" w14:paraId="54CB22E1" w14:textId="77777777" w:rsidTr="00DC1017">
        <w:tc>
          <w:tcPr>
            <w:tcW w:w="1335" w:type="pct"/>
            <w:tcBorders>
              <w:top w:val="single" w:sz="8" w:space="0" w:color="B4C6E7" w:themeColor="accent5" w:themeTint="66"/>
            </w:tcBorders>
            <w:shd w:val="clear" w:color="auto" w:fill="D9E2F3" w:themeFill="accent5" w:themeFillTint="33"/>
            <w:tcMar>
              <w:top w:w="0" w:type="dxa"/>
              <w:left w:w="108" w:type="dxa"/>
              <w:bottom w:w="0" w:type="dxa"/>
              <w:right w:w="108" w:type="dxa"/>
            </w:tcMar>
            <w:hideMark/>
          </w:tcPr>
          <w:p w14:paraId="52D019ED"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 xml:space="preserve">Machine spending     </w:t>
            </w:r>
          </w:p>
          <w:p w14:paraId="147F7616" w14:textId="77777777" w:rsidR="00D958CD" w:rsidRPr="00F10E9A" w:rsidRDefault="00D958CD" w:rsidP="006E3B76">
            <w:pPr>
              <w:spacing w:after="0" w:line="240" w:lineRule="auto"/>
              <w:rPr>
                <w:rFonts w:eastAsiaTheme="majorEastAsia" w:cstheme="majorBidi"/>
                <w:color w:val="auto"/>
                <w:lang w:eastAsia="en-NZ"/>
              </w:rPr>
            </w:pPr>
          </w:p>
        </w:tc>
        <w:tc>
          <w:tcPr>
            <w:tcW w:w="3143" w:type="pct"/>
            <w:tcBorders>
              <w:top w:val="single" w:sz="8" w:space="0" w:color="B4C6E7" w:themeColor="accent5" w:themeTint="66"/>
            </w:tcBorders>
            <w:shd w:val="clear" w:color="auto" w:fill="FFFFFF" w:themeFill="background1"/>
          </w:tcPr>
          <w:p w14:paraId="78E1ED6D" w14:textId="20FEC46B" w:rsidR="00D958CD" w:rsidRPr="00F10E9A" w:rsidRDefault="00DB7941" w:rsidP="006E3B76">
            <w:pPr>
              <w:spacing w:after="0" w:line="240" w:lineRule="auto"/>
              <w:rPr>
                <w:rFonts w:eastAsiaTheme="majorEastAsia" w:cstheme="majorBidi"/>
                <w:color w:val="auto"/>
                <w:lang w:eastAsia="en-NZ"/>
              </w:rPr>
            </w:pPr>
            <w:r w:rsidRPr="00E1162A">
              <w:rPr>
                <w:rFonts w:eastAsiaTheme="majorEastAsia" w:cstheme="majorBidi"/>
                <w:color w:val="auto"/>
                <w:lang w:eastAsia="en-NZ"/>
              </w:rPr>
              <w:t xml:space="preserve">Gross </w:t>
            </w:r>
            <w:r w:rsidR="00D958CD" w:rsidRPr="00E1162A">
              <w:rPr>
                <w:rFonts w:eastAsiaTheme="majorEastAsia" w:cstheme="majorBidi"/>
                <w:color w:val="auto"/>
                <w:lang w:eastAsia="en-NZ"/>
              </w:rPr>
              <w:t xml:space="preserve">money spent on EGM gambling, less wins paid out (real 2019 $), per capita of each </w:t>
            </w:r>
            <w:r w:rsidR="00971686" w:rsidRPr="00E1162A">
              <w:rPr>
                <w:rFonts w:eastAsiaTheme="majorEastAsia" w:cstheme="majorBidi"/>
                <w:color w:val="auto"/>
                <w:lang w:eastAsia="en-NZ"/>
              </w:rPr>
              <w:t>TA</w:t>
            </w:r>
            <w:r w:rsidR="00D958CD" w:rsidRPr="00E1162A">
              <w:rPr>
                <w:rFonts w:eastAsiaTheme="majorEastAsia" w:cstheme="majorBidi"/>
                <w:color w:val="auto"/>
                <w:lang w:eastAsia="en-NZ"/>
              </w:rPr>
              <w:t>.</w:t>
            </w:r>
            <w:r w:rsidR="00D958CD" w:rsidRPr="00F10E9A">
              <w:rPr>
                <w:rFonts w:eastAsiaTheme="majorEastAsia" w:cstheme="majorBidi"/>
                <w:color w:val="auto"/>
                <w:lang w:eastAsia="en-NZ"/>
              </w:rPr>
              <w:t xml:space="preserve"> </w:t>
            </w:r>
          </w:p>
        </w:tc>
        <w:tc>
          <w:tcPr>
            <w:tcW w:w="522" w:type="pct"/>
            <w:tcBorders>
              <w:top w:val="single" w:sz="8" w:space="0" w:color="B4C6E7" w:themeColor="accent5" w:themeTint="66"/>
            </w:tcBorders>
            <w:shd w:val="clear" w:color="auto" w:fill="auto"/>
            <w:tcMar>
              <w:top w:w="0" w:type="dxa"/>
              <w:left w:w="108" w:type="dxa"/>
              <w:bottom w:w="0" w:type="dxa"/>
              <w:right w:w="108" w:type="dxa"/>
            </w:tcMar>
            <w:hideMark/>
          </w:tcPr>
          <w:p w14:paraId="0E5E5AB9" w14:textId="677067BC"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18</w:t>
            </w:r>
            <w:r w:rsidR="00550F08" w:rsidRPr="00852DF9">
              <w:rPr>
                <w:rFonts w:eastAsiaTheme="majorEastAsia" w:cstheme="majorBidi"/>
                <w:color w:val="auto"/>
                <w:lang w:eastAsia="en-NZ"/>
              </w:rPr>
              <w:t>5</w:t>
            </w:r>
            <w:r w:rsidRPr="00852DF9">
              <w:rPr>
                <w:rFonts w:eastAsiaTheme="majorEastAsia" w:cstheme="majorBidi"/>
                <w:color w:val="auto"/>
                <w:lang w:eastAsia="en-NZ"/>
              </w:rPr>
              <w:t>.</w:t>
            </w:r>
            <w:r w:rsidR="00550F08" w:rsidRPr="00852DF9">
              <w:rPr>
                <w:rFonts w:eastAsiaTheme="majorEastAsia" w:cstheme="majorBidi"/>
                <w:color w:val="auto"/>
                <w:lang w:eastAsia="en-NZ"/>
              </w:rPr>
              <w:t>9</w:t>
            </w:r>
            <w:r w:rsidR="00C53FE4" w:rsidRPr="00852DF9">
              <w:rPr>
                <w:rFonts w:eastAsiaTheme="majorEastAsia" w:cstheme="majorBidi"/>
                <w:color w:val="auto"/>
                <w:lang w:eastAsia="en-NZ"/>
              </w:rPr>
              <w:t>1</w:t>
            </w:r>
            <w:r w:rsidRPr="00852DF9">
              <w:rPr>
                <w:rFonts w:eastAsiaTheme="majorEastAsia" w:cstheme="majorBidi"/>
                <w:color w:val="auto"/>
                <w:lang w:eastAsia="en-NZ"/>
              </w:rPr>
              <w:t xml:space="preserve"> </w:t>
            </w:r>
            <w:r w:rsidR="001A4720" w:rsidRPr="00852DF9">
              <w:rPr>
                <w:rFonts w:eastAsiaTheme="majorEastAsia" w:cstheme="majorBidi"/>
                <w:color w:val="auto"/>
                <w:lang w:eastAsia="en-NZ"/>
              </w:rPr>
              <w:t xml:space="preserve">      </w:t>
            </w:r>
            <w:proofErr w:type="gramStart"/>
            <w:r w:rsidR="001A4720" w:rsidRPr="00852DF9">
              <w:rPr>
                <w:rFonts w:eastAsiaTheme="majorEastAsia" w:cstheme="majorBidi"/>
                <w:color w:val="auto"/>
                <w:lang w:eastAsia="en-NZ"/>
              </w:rPr>
              <w:t xml:space="preserve">   </w:t>
            </w:r>
            <w:r w:rsidRPr="00852DF9">
              <w:rPr>
                <w:rFonts w:eastAsiaTheme="majorEastAsia" w:cstheme="majorBidi"/>
                <w:color w:val="auto"/>
                <w:lang w:eastAsia="en-NZ"/>
              </w:rPr>
              <w:t>(</w:t>
            </w:r>
            <w:proofErr w:type="gramEnd"/>
            <w:r w:rsidRPr="00852DF9">
              <w:rPr>
                <w:rFonts w:eastAsiaTheme="majorEastAsia" w:cstheme="majorBidi"/>
                <w:color w:val="auto"/>
                <w:lang w:eastAsia="en-NZ"/>
              </w:rPr>
              <w:t>56.</w:t>
            </w:r>
            <w:r w:rsidR="00550F08" w:rsidRPr="00852DF9">
              <w:rPr>
                <w:rFonts w:eastAsiaTheme="majorEastAsia" w:cstheme="majorBidi"/>
                <w:color w:val="auto"/>
                <w:lang w:eastAsia="en-NZ"/>
              </w:rPr>
              <w:t>82</w:t>
            </w:r>
            <w:r w:rsidRPr="00852DF9">
              <w:rPr>
                <w:rFonts w:eastAsiaTheme="majorEastAsia" w:cstheme="majorBidi"/>
                <w:color w:val="auto"/>
                <w:lang w:eastAsia="en-NZ"/>
              </w:rPr>
              <w:t>)</w:t>
            </w:r>
          </w:p>
        </w:tc>
      </w:tr>
      <w:tr w:rsidR="00000866" w:rsidRPr="00B5248D" w14:paraId="1C0FE13C" w14:textId="77777777" w:rsidTr="00DC1017">
        <w:tc>
          <w:tcPr>
            <w:tcW w:w="1335" w:type="pct"/>
            <w:shd w:val="clear" w:color="auto" w:fill="D9E2F3" w:themeFill="accent5" w:themeFillTint="33"/>
            <w:tcMar>
              <w:top w:w="0" w:type="dxa"/>
              <w:left w:w="108" w:type="dxa"/>
              <w:bottom w:w="0" w:type="dxa"/>
              <w:right w:w="108" w:type="dxa"/>
            </w:tcMar>
            <w:hideMark/>
          </w:tcPr>
          <w:p w14:paraId="1005EA02"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 xml:space="preserve">EGMs </w:t>
            </w:r>
          </w:p>
        </w:tc>
        <w:tc>
          <w:tcPr>
            <w:tcW w:w="3143" w:type="pct"/>
            <w:shd w:val="clear" w:color="auto" w:fill="FFFFFF" w:themeFill="background1"/>
          </w:tcPr>
          <w:p w14:paraId="4DEF0127" w14:textId="4F85EB42" w:rsidR="00D958CD" w:rsidRPr="00F10E9A" w:rsidRDefault="00E1162A" w:rsidP="006E3B76">
            <w:pPr>
              <w:spacing w:after="0" w:line="240" w:lineRule="auto"/>
              <w:rPr>
                <w:rFonts w:eastAsiaTheme="majorEastAsia" w:cstheme="majorBidi"/>
                <w:color w:val="auto"/>
                <w:lang w:eastAsia="en-NZ"/>
              </w:rPr>
            </w:pPr>
            <w:r>
              <w:rPr>
                <w:rFonts w:eastAsiaTheme="majorEastAsia" w:cstheme="majorBidi"/>
                <w:color w:val="auto"/>
                <w:lang w:eastAsia="en-NZ"/>
              </w:rPr>
              <w:t>Number</w:t>
            </w:r>
            <w:r w:rsidR="00D958CD" w:rsidRPr="00F10E9A">
              <w:rPr>
                <w:rFonts w:eastAsiaTheme="majorEastAsia" w:cstheme="majorBidi"/>
                <w:color w:val="auto"/>
                <w:lang w:eastAsia="en-NZ"/>
              </w:rPr>
              <w:t xml:space="preserve"> of EGMs per 100,000 population of </w:t>
            </w:r>
            <w:r w:rsidR="00971686" w:rsidRPr="00F10E9A">
              <w:rPr>
                <w:rFonts w:eastAsiaTheme="majorEastAsia" w:cstheme="majorBidi"/>
                <w:color w:val="auto"/>
                <w:lang w:eastAsia="en-NZ"/>
              </w:rPr>
              <w:t>TA</w:t>
            </w:r>
            <w:r w:rsidR="00D958CD" w:rsidRPr="00F10E9A">
              <w:rPr>
                <w:rFonts w:eastAsiaTheme="majorEastAsia" w:cstheme="majorBidi"/>
                <w:color w:val="auto"/>
                <w:lang w:eastAsia="en-NZ"/>
              </w:rPr>
              <w:t>.</w:t>
            </w:r>
          </w:p>
        </w:tc>
        <w:tc>
          <w:tcPr>
            <w:tcW w:w="522" w:type="pct"/>
            <w:shd w:val="clear" w:color="auto" w:fill="auto"/>
            <w:tcMar>
              <w:top w:w="0" w:type="dxa"/>
              <w:left w:w="108" w:type="dxa"/>
              <w:bottom w:w="0" w:type="dxa"/>
              <w:right w:w="108" w:type="dxa"/>
            </w:tcMar>
            <w:hideMark/>
          </w:tcPr>
          <w:p w14:paraId="650C185F" w14:textId="5B39CC74"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4</w:t>
            </w:r>
            <w:r w:rsidR="00550F08" w:rsidRPr="00852DF9">
              <w:rPr>
                <w:rFonts w:eastAsiaTheme="majorEastAsia" w:cstheme="majorBidi"/>
                <w:color w:val="auto"/>
                <w:lang w:eastAsia="en-NZ"/>
              </w:rPr>
              <w:t>49.27</w:t>
            </w:r>
            <w:r w:rsidRPr="00852DF9">
              <w:rPr>
                <w:rFonts w:eastAsiaTheme="majorEastAsia" w:cstheme="majorBidi"/>
                <w:color w:val="auto"/>
                <w:lang w:eastAsia="en-NZ"/>
              </w:rPr>
              <w:t xml:space="preserve"> </w:t>
            </w:r>
            <w:r w:rsidR="001A4720" w:rsidRPr="00852DF9">
              <w:rPr>
                <w:rFonts w:eastAsiaTheme="majorEastAsia" w:cstheme="majorBidi"/>
                <w:color w:val="auto"/>
                <w:lang w:eastAsia="en-NZ"/>
              </w:rPr>
              <w:t xml:space="preserve">    </w:t>
            </w:r>
            <w:proofErr w:type="gramStart"/>
            <w:r w:rsidR="001A4720" w:rsidRPr="00852DF9">
              <w:rPr>
                <w:rFonts w:eastAsiaTheme="majorEastAsia" w:cstheme="majorBidi"/>
                <w:color w:val="auto"/>
                <w:lang w:eastAsia="en-NZ"/>
              </w:rPr>
              <w:t xml:space="preserve">   </w:t>
            </w:r>
            <w:r w:rsidRPr="00852DF9">
              <w:rPr>
                <w:rFonts w:eastAsiaTheme="majorEastAsia" w:cstheme="majorBidi"/>
                <w:color w:val="auto"/>
                <w:lang w:eastAsia="en-NZ"/>
              </w:rPr>
              <w:t>(</w:t>
            </w:r>
            <w:proofErr w:type="gramEnd"/>
            <w:r w:rsidRPr="00852DF9">
              <w:rPr>
                <w:rFonts w:eastAsiaTheme="majorEastAsia" w:cstheme="majorBidi"/>
                <w:color w:val="auto"/>
                <w:lang w:eastAsia="en-NZ"/>
              </w:rPr>
              <w:t>1</w:t>
            </w:r>
            <w:r w:rsidR="00CE3F6A" w:rsidRPr="00852DF9">
              <w:rPr>
                <w:rFonts w:eastAsiaTheme="majorEastAsia" w:cstheme="majorBidi"/>
                <w:color w:val="auto"/>
                <w:lang w:eastAsia="en-NZ"/>
              </w:rPr>
              <w:t>67.48</w:t>
            </w:r>
            <w:r w:rsidRPr="00852DF9">
              <w:rPr>
                <w:rFonts w:eastAsiaTheme="majorEastAsia" w:cstheme="majorBidi"/>
                <w:color w:val="auto"/>
                <w:lang w:eastAsia="en-NZ"/>
              </w:rPr>
              <w:t>)</w:t>
            </w:r>
          </w:p>
        </w:tc>
      </w:tr>
      <w:tr w:rsidR="00000866" w:rsidRPr="00B5248D" w14:paraId="53D5FD29" w14:textId="77777777" w:rsidTr="00DC1017">
        <w:tc>
          <w:tcPr>
            <w:tcW w:w="1335" w:type="pct"/>
            <w:tcBorders>
              <w:bottom w:val="single" w:sz="8" w:space="0" w:color="B4C6E7" w:themeColor="accent5" w:themeTint="66"/>
            </w:tcBorders>
            <w:shd w:val="clear" w:color="auto" w:fill="D9E2F3" w:themeFill="accent5" w:themeFillTint="33"/>
            <w:tcMar>
              <w:top w:w="0" w:type="dxa"/>
              <w:left w:w="108" w:type="dxa"/>
              <w:bottom w:w="0" w:type="dxa"/>
              <w:right w:w="108" w:type="dxa"/>
            </w:tcMar>
            <w:hideMark/>
          </w:tcPr>
          <w:p w14:paraId="284083C7"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 xml:space="preserve">Venues </w:t>
            </w:r>
          </w:p>
        </w:tc>
        <w:tc>
          <w:tcPr>
            <w:tcW w:w="3143" w:type="pct"/>
            <w:tcBorders>
              <w:bottom w:val="single" w:sz="8" w:space="0" w:color="B4C6E7" w:themeColor="accent5" w:themeTint="66"/>
            </w:tcBorders>
            <w:shd w:val="clear" w:color="auto" w:fill="FFFFFF" w:themeFill="background1"/>
          </w:tcPr>
          <w:p w14:paraId="4E0C3FFC" w14:textId="5CCADC25" w:rsidR="00D958CD" w:rsidRPr="00F10E9A" w:rsidRDefault="00E1162A" w:rsidP="00460458">
            <w:pPr>
              <w:spacing w:after="0" w:line="240" w:lineRule="auto"/>
              <w:rPr>
                <w:rFonts w:eastAsiaTheme="majorEastAsia" w:cstheme="majorBidi"/>
                <w:color w:val="auto"/>
                <w:lang w:eastAsia="en-NZ"/>
              </w:rPr>
            </w:pPr>
            <w:r>
              <w:rPr>
                <w:rFonts w:eastAsiaTheme="majorEastAsia" w:cstheme="majorBidi"/>
                <w:color w:val="auto"/>
                <w:lang w:eastAsia="en-NZ"/>
              </w:rPr>
              <w:t>Number</w:t>
            </w:r>
            <w:r w:rsidR="00D958CD" w:rsidRPr="00F10E9A">
              <w:rPr>
                <w:rFonts w:eastAsiaTheme="majorEastAsia" w:cstheme="majorBidi"/>
                <w:color w:val="auto"/>
                <w:lang w:eastAsia="en-NZ"/>
              </w:rPr>
              <w:t xml:space="preserve"> of </w:t>
            </w:r>
            <w:r w:rsidR="00727B7F" w:rsidRPr="00F10E9A">
              <w:rPr>
                <w:rFonts w:eastAsiaTheme="majorEastAsia" w:cstheme="majorBidi"/>
                <w:color w:val="auto"/>
                <w:lang w:eastAsia="en-NZ"/>
              </w:rPr>
              <w:t>C</w:t>
            </w:r>
            <w:r w:rsidR="00D958CD" w:rsidRPr="00F10E9A">
              <w:rPr>
                <w:rFonts w:eastAsiaTheme="majorEastAsia" w:cstheme="majorBidi"/>
                <w:color w:val="auto"/>
                <w:lang w:eastAsia="en-NZ"/>
              </w:rPr>
              <w:t xml:space="preserve">lass 4 venues per 100,000 population of </w:t>
            </w:r>
            <w:r w:rsidR="00971686" w:rsidRPr="00F10E9A">
              <w:rPr>
                <w:rFonts w:eastAsiaTheme="majorEastAsia" w:cstheme="majorBidi"/>
                <w:color w:val="auto"/>
                <w:lang w:eastAsia="en-NZ"/>
              </w:rPr>
              <w:t>TA.</w:t>
            </w:r>
          </w:p>
        </w:tc>
        <w:tc>
          <w:tcPr>
            <w:tcW w:w="522" w:type="pct"/>
            <w:shd w:val="clear" w:color="auto" w:fill="auto"/>
            <w:tcMar>
              <w:top w:w="0" w:type="dxa"/>
              <w:left w:w="108" w:type="dxa"/>
              <w:bottom w:w="0" w:type="dxa"/>
              <w:right w:w="108" w:type="dxa"/>
            </w:tcMar>
            <w:hideMark/>
          </w:tcPr>
          <w:p w14:paraId="46FF8674" w14:textId="56F51587"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4</w:t>
            </w:r>
            <w:r w:rsidR="00CE3F6A" w:rsidRPr="00852DF9">
              <w:rPr>
                <w:rFonts w:eastAsiaTheme="majorEastAsia" w:cstheme="majorBidi"/>
                <w:color w:val="auto"/>
                <w:lang w:eastAsia="en-NZ"/>
              </w:rPr>
              <w:t>0.77</w:t>
            </w:r>
            <w:r w:rsidR="007816F3" w:rsidRPr="00852DF9">
              <w:rPr>
                <w:rFonts w:eastAsiaTheme="majorEastAsia" w:cstheme="majorBidi"/>
                <w:color w:val="auto"/>
                <w:lang w:eastAsia="en-NZ"/>
              </w:rPr>
              <w:t xml:space="preserve">         </w:t>
            </w:r>
            <w:proofErr w:type="gramStart"/>
            <w:r w:rsidR="007816F3" w:rsidRPr="00852DF9">
              <w:rPr>
                <w:rFonts w:eastAsiaTheme="majorEastAsia" w:cstheme="majorBidi"/>
                <w:color w:val="auto"/>
                <w:lang w:eastAsia="en-NZ"/>
              </w:rPr>
              <w:t xml:space="preserve">   </w:t>
            </w:r>
            <w:r w:rsidRPr="00852DF9">
              <w:rPr>
                <w:rFonts w:eastAsiaTheme="majorEastAsia" w:cstheme="majorBidi"/>
                <w:color w:val="auto"/>
                <w:lang w:eastAsia="en-NZ"/>
              </w:rPr>
              <w:t>(</w:t>
            </w:r>
            <w:proofErr w:type="gramEnd"/>
            <w:r w:rsidRPr="00852DF9">
              <w:rPr>
                <w:rFonts w:eastAsiaTheme="majorEastAsia" w:cstheme="majorBidi"/>
                <w:color w:val="auto"/>
                <w:lang w:eastAsia="en-NZ"/>
              </w:rPr>
              <w:t>21.</w:t>
            </w:r>
            <w:r w:rsidR="00CE3F6A" w:rsidRPr="00852DF9">
              <w:rPr>
                <w:rFonts w:eastAsiaTheme="majorEastAsia" w:cstheme="majorBidi"/>
                <w:color w:val="auto"/>
                <w:lang w:eastAsia="en-NZ"/>
              </w:rPr>
              <w:t>49</w:t>
            </w:r>
            <w:r w:rsidRPr="00852DF9">
              <w:rPr>
                <w:rFonts w:eastAsiaTheme="majorEastAsia" w:cstheme="majorBidi"/>
                <w:color w:val="auto"/>
                <w:lang w:eastAsia="en-NZ"/>
              </w:rPr>
              <w:t>)</w:t>
            </w:r>
          </w:p>
        </w:tc>
      </w:tr>
      <w:tr w:rsidR="006E3B76" w:rsidRPr="00B5248D" w14:paraId="08D3B015" w14:textId="77777777" w:rsidTr="00E26938">
        <w:trPr>
          <w:trHeight w:val="283"/>
        </w:trPr>
        <w:tc>
          <w:tcPr>
            <w:tcW w:w="5000" w:type="pct"/>
            <w:gridSpan w:val="3"/>
            <w:tcBorders>
              <w:top w:val="single" w:sz="8" w:space="0" w:color="B4C6E7" w:themeColor="accent5" w:themeTint="66"/>
            </w:tcBorders>
            <w:shd w:val="clear" w:color="auto" w:fill="D9E2F3" w:themeFill="accent5" w:themeFillTint="33"/>
            <w:tcMar>
              <w:top w:w="0" w:type="dxa"/>
              <w:left w:w="108" w:type="dxa"/>
              <w:bottom w:w="0" w:type="dxa"/>
              <w:right w:w="108" w:type="dxa"/>
            </w:tcMar>
            <w:vAlign w:val="bottom"/>
          </w:tcPr>
          <w:p w14:paraId="0258196A" w14:textId="0E6D41AD" w:rsidR="006E3B76" w:rsidRPr="00852DF9" w:rsidRDefault="006E3B76" w:rsidP="006E3B76">
            <w:pPr>
              <w:spacing w:after="0" w:line="240" w:lineRule="auto"/>
              <w:rPr>
                <w:rFonts w:eastAsiaTheme="majorEastAsia" w:cstheme="majorBidi"/>
                <w:color w:val="auto"/>
                <w:lang w:eastAsia="en-NZ"/>
              </w:rPr>
            </w:pPr>
            <w:r w:rsidRPr="00852DF9">
              <w:rPr>
                <w:rFonts w:eastAsiaTheme="majorEastAsia" w:cstheme="majorBidi"/>
                <w:b/>
                <w:color w:val="auto"/>
                <w:lang w:eastAsia="en-NZ"/>
              </w:rPr>
              <w:t>Control variables</w:t>
            </w:r>
          </w:p>
        </w:tc>
      </w:tr>
      <w:tr w:rsidR="00000866" w:rsidRPr="00B5248D" w14:paraId="6FCE9AC4" w14:textId="77777777" w:rsidTr="00DC1017">
        <w:tc>
          <w:tcPr>
            <w:tcW w:w="1335" w:type="pct"/>
            <w:tcBorders>
              <w:top w:val="single" w:sz="8" w:space="0" w:color="B4C6E7" w:themeColor="accent5" w:themeTint="66"/>
            </w:tcBorders>
            <w:shd w:val="clear" w:color="auto" w:fill="D9E2F3" w:themeFill="accent5" w:themeFillTint="33"/>
            <w:tcMar>
              <w:top w:w="0" w:type="dxa"/>
              <w:left w:w="108" w:type="dxa"/>
              <w:bottom w:w="0" w:type="dxa"/>
              <w:right w:w="108" w:type="dxa"/>
            </w:tcMar>
            <w:hideMark/>
          </w:tcPr>
          <w:p w14:paraId="3C16CE6D"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Female (%)</w:t>
            </w:r>
          </w:p>
        </w:tc>
        <w:tc>
          <w:tcPr>
            <w:tcW w:w="3143" w:type="pct"/>
            <w:tcBorders>
              <w:top w:val="single" w:sz="8" w:space="0" w:color="B4C6E7" w:themeColor="accent5" w:themeTint="66"/>
            </w:tcBorders>
            <w:shd w:val="clear" w:color="auto" w:fill="FFFFFF" w:themeFill="background1"/>
          </w:tcPr>
          <w:p w14:paraId="51FA104B"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 xml:space="preserve">The percentage of the population that is female. </w:t>
            </w:r>
          </w:p>
        </w:tc>
        <w:tc>
          <w:tcPr>
            <w:tcW w:w="522" w:type="pct"/>
            <w:shd w:val="clear" w:color="auto" w:fill="auto"/>
            <w:tcMar>
              <w:top w:w="0" w:type="dxa"/>
              <w:left w:w="108" w:type="dxa"/>
              <w:bottom w:w="0" w:type="dxa"/>
              <w:right w:w="108" w:type="dxa"/>
            </w:tcMar>
            <w:hideMark/>
          </w:tcPr>
          <w:p w14:paraId="014FDC99" w14:textId="749803FB"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50.</w:t>
            </w:r>
            <w:r w:rsidR="00CE3F6A" w:rsidRPr="00852DF9">
              <w:rPr>
                <w:rFonts w:eastAsiaTheme="majorEastAsia" w:cstheme="majorBidi"/>
                <w:color w:val="auto"/>
                <w:lang w:eastAsia="en-NZ"/>
              </w:rPr>
              <w:t>80</w:t>
            </w:r>
          </w:p>
        </w:tc>
      </w:tr>
      <w:tr w:rsidR="00000866" w:rsidRPr="00B5248D" w14:paraId="15B292AD" w14:textId="77777777" w:rsidTr="00DC1017">
        <w:tc>
          <w:tcPr>
            <w:tcW w:w="1335" w:type="pct"/>
            <w:shd w:val="clear" w:color="auto" w:fill="D9E2F3" w:themeFill="accent5" w:themeFillTint="33"/>
            <w:tcMar>
              <w:top w:w="0" w:type="dxa"/>
              <w:left w:w="108" w:type="dxa"/>
              <w:bottom w:w="0" w:type="dxa"/>
              <w:right w:w="108" w:type="dxa"/>
            </w:tcMar>
            <w:hideMark/>
          </w:tcPr>
          <w:p w14:paraId="64145274"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Aged 15 - 39 (%)</w:t>
            </w:r>
          </w:p>
        </w:tc>
        <w:tc>
          <w:tcPr>
            <w:tcW w:w="3143" w:type="pct"/>
            <w:shd w:val="clear" w:color="auto" w:fill="FFFFFF" w:themeFill="background1"/>
          </w:tcPr>
          <w:p w14:paraId="7AAC1E41" w14:textId="6D64DC5B"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The percentage of the population aged between 15 and 39.</w:t>
            </w:r>
          </w:p>
        </w:tc>
        <w:tc>
          <w:tcPr>
            <w:tcW w:w="522" w:type="pct"/>
            <w:shd w:val="clear" w:color="auto" w:fill="auto"/>
            <w:tcMar>
              <w:top w:w="0" w:type="dxa"/>
              <w:left w:w="108" w:type="dxa"/>
              <w:bottom w:w="0" w:type="dxa"/>
              <w:right w:w="108" w:type="dxa"/>
            </w:tcMar>
            <w:hideMark/>
          </w:tcPr>
          <w:p w14:paraId="381195F4" w14:textId="7DB95828"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27.</w:t>
            </w:r>
            <w:r w:rsidR="00CB123C" w:rsidRPr="00852DF9">
              <w:rPr>
                <w:rFonts w:eastAsiaTheme="majorEastAsia" w:cstheme="majorBidi"/>
                <w:color w:val="auto"/>
                <w:lang w:eastAsia="en-NZ"/>
              </w:rPr>
              <w:t>85</w:t>
            </w:r>
          </w:p>
        </w:tc>
      </w:tr>
      <w:tr w:rsidR="00000866" w:rsidRPr="00B5248D" w14:paraId="5E6A4E69" w14:textId="77777777" w:rsidTr="00DC1017">
        <w:tc>
          <w:tcPr>
            <w:tcW w:w="1335" w:type="pct"/>
            <w:shd w:val="clear" w:color="auto" w:fill="D9E2F3" w:themeFill="accent5" w:themeFillTint="33"/>
            <w:tcMar>
              <w:top w:w="0" w:type="dxa"/>
              <w:left w:w="108" w:type="dxa"/>
              <w:bottom w:w="0" w:type="dxa"/>
              <w:right w:w="108" w:type="dxa"/>
            </w:tcMar>
            <w:hideMark/>
          </w:tcPr>
          <w:p w14:paraId="7EB1B2F0"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Aged 40 - 64 (%)</w:t>
            </w:r>
          </w:p>
        </w:tc>
        <w:tc>
          <w:tcPr>
            <w:tcW w:w="3143" w:type="pct"/>
            <w:shd w:val="clear" w:color="auto" w:fill="FFFFFF" w:themeFill="background1"/>
          </w:tcPr>
          <w:p w14:paraId="022A94F5" w14:textId="1EE4F18F"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The percentage of the population aged between 40 and 64.</w:t>
            </w:r>
          </w:p>
        </w:tc>
        <w:tc>
          <w:tcPr>
            <w:tcW w:w="522" w:type="pct"/>
            <w:shd w:val="clear" w:color="auto" w:fill="auto"/>
            <w:tcMar>
              <w:top w:w="0" w:type="dxa"/>
              <w:left w:w="108" w:type="dxa"/>
              <w:bottom w:w="0" w:type="dxa"/>
              <w:right w:w="108" w:type="dxa"/>
            </w:tcMar>
            <w:hideMark/>
          </w:tcPr>
          <w:p w14:paraId="36A1208B" w14:textId="770ABE6C"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39.0</w:t>
            </w:r>
            <w:r w:rsidR="00CB123C" w:rsidRPr="00852DF9">
              <w:rPr>
                <w:rFonts w:eastAsiaTheme="majorEastAsia" w:cstheme="majorBidi"/>
                <w:color w:val="auto"/>
                <w:lang w:eastAsia="en-NZ"/>
              </w:rPr>
              <w:t>9</w:t>
            </w:r>
          </w:p>
        </w:tc>
      </w:tr>
      <w:tr w:rsidR="00000866" w:rsidRPr="00B5248D" w14:paraId="7B87E286" w14:textId="77777777" w:rsidTr="00DC1017">
        <w:tc>
          <w:tcPr>
            <w:tcW w:w="1335" w:type="pct"/>
            <w:shd w:val="clear" w:color="auto" w:fill="D9E2F3" w:themeFill="accent5" w:themeFillTint="33"/>
            <w:tcMar>
              <w:top w:w="0" w:type="dxa"/>
              <w:left w:w="108" w:type="dxa"/>
              <w:bottom w:w="0" w:type="dxa"/>
              <w:right w:w="108" w:type="dxa"/>
            </w:tcMar>
            <w:hideMark/>
          </w:tcPr>
          <w:p w14:paraId="2F4F01CA"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Aged 65+ (%)</w:t>
            </w:r>
          </w:p>
        </w:tc>
        <w:tc>
          <w:tcPr>
            <w:tcW w:w="3143" w:type="pct"/>
            <w:shd w:val="clear" w:color="auto" w:fill="FFFFFF" w:themeFill="background1"/>
          </w:tcPr>
          <w:p w14:paraId="05046E97"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The percentage of the population aged 65 or more.</w:t>
            </w:r>
          </w:p>
        </w:tc>
        <w:tc>
          <w:tcPr>
            <w:tcW w:w="522" w:type="pct"/>
            <w:shd w:val="clear" w:color="auto" w:fill="auto"/>
            <w:tcMar>
              <w:top w:w="0" w:type="dxa"/>
              <w:left w:w="108" w:type="dxa"/>
              <w:bottom w:w="0" w:type="dxa"/>
              <w:right w:w="108" w:type="dxa"/>
            </w:tcMar>
            <w:hideMark/>
          </w:tcPr>
          <w:p w14:paraId="16133FEB" w14:textId="545E2D8E"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18.</w:t>
            </w:r>
            <w:r w:rsidR="00CB123C" w:rsidRPr="00852DF9">
              <w:rPr>
                <w:rFonts w:eastAsiaTheme="majorEastAsia" w:cstheme="majorBidi"/>
                <w:color w:val="auto"/>
                <w:lang w:eastAsia="en-NZ"/>
              </w:rPr>
              <w:t>60</w:t>
            </w:r>
          </w:p>
        </w:tc>
      </w:tr>
      <w:tr w:rsidR="00000866" w:rsidRPr="00B5248D" w14:paraId="10235374" w14:textId="77777777" w:rsidTr="00DC1017">
        <w:tc>
          <w:tcPr>
            <w:tcW w:w="1335" w:type="pct"/>
            <w:shd w:val="clear" w:color="auto" w:fill="D9E2F3" w:themeFill="accent5" w:themeFillTint="33"/>
            <w:tcMar>
              <w:top w:w="0" w:type="dxa"/>
              <w:left w:w="108" w:type="dxa"/>
              <w:bottom w:w="0" w:type="dxa"/>
              <w:right w:w="108" w:type="dxa"/>
            </w:tcMar>
          </w:tcPr>
          <w:p w14:paraId="4541BE36" w14:textId="577A4998" w:rsidR="00986CB8" w:rsidRPr="00F10E9A" w:rsidRDefault="00986CB8"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NZ European</w:t>
            </w:r>
            <w:r w:rsidR="008C6E72" w:rsidRPr="00F10E9A">
              <w:rPr>
                <w:rFonts w:eastAsiaTheme="majorEastAsia" w:cstheme="majorBidi"/>
                <w:color w:val="auto"/>
                <w:lang w:eastAsia="en-NZ"/>
              </w:rPr>
              <w:t xml:space="preserve"> (%)</w:t>
            </w:r>
          </w:p>
        </w:tc>
        <w:tc>
          <w:tcPr>
            <w:tcW w:w="3143" w:type="pct"/>
            <w:shd w:val="clear" w:color="auto" w:fill="FFFFFF" w:themeFill="background1"/>
          </w:tcPr>
          <w:p w14:paraId="062B076B" w14:textId="3068B02D" w:rsidR="00986CB8" w:rsidRPr="00F10E9A" w:rsidRDefault="000D77D7"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 xml:space="preserve">The percentage of the population whose prioritised ethnicity is </w:t>
            </w:r>
            <w:r w:rsidR="00646D74" w:rsidRPr="00F10E9A">
              <w:rPr>
                <w:rFonts w:eastAsiaTheme="majorEastAsia" w:cstheme="majorBidi"/>
                <w:color w:val="auto"/>
                <w:lang w:eastAsia="en-NZ"/>
              </w:rPr>
              <w:t>NZ European</w:t>
            </w:r>
            <w:r w:rsidRPr="00F10E9A">
              <w:rPr>
                <w:rFonts w:eastAsiaTheme="majorEastAsia" w:cstheme="majorBidi"/>
                <w:color w:val="auto"/>
                <w:lang w:eastAsia="en-NZ"/>
              </w:rPr>
              <w:t>.</w:t>
            </w:r>
          </w:p>
        </w:tc>
        <w:tc>
          <w:tcPr>
            <w:tcW w:w="522" w:type="pct"/>
            <w:shd w:val="clear" w:color="auto" w:fill="auto"/>
            <w:tcMar>
              <w:top w:w="0" w:type="dxa"/>
              <w:left w:w="108" w:type="dxa"/>
              <w:bottom w:w="0" w:type="dxa"/>
              <w:right w:w="108" w:type="dxa"/>
            </w:tcMar>
          </w:tcPr>
          <w:p w14:paraId="3BC859A1" w14:textId="6425DC06" w:rsidR="00986CB8" w:rsidRPr="00852DF9" w:rsidRDefault="001B2D32"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74.</w:t>
            </w:r>
            <w:r w:rsidR="00CB123C" w:rsidRPr="00852DF9">
              <w:rPr>
                <w:rFonts w:eastAsiaTheme="majorEastAsia" w:cstheme="majorBidi"/>
                <w:color w:val="auto"/>
                <w:lang w:eastAsia="en-NZ"/>
              </w:rPr>
              <w:t>56</w:t>
            </w:r>
          </w:p>
        </w:tc>
      </w:tr>
      <w:tr w:rsidR="00000866" w:rsidRPr="00B5248D" w14:paraId="1F9AB17C" w14:textId="77777777" w:rsidTr="00DC1017">
        <w:tc>
          <w:tcPr>
            <w:tcW w:w="1335" w:type="pct"/>
            <w:shd w:val="clear" w:color="auto" w:fill="D9E2F3" w:themeFill="accent5" w:themeFillTint="33"/>
            <w:tcMar>
              <w:top w:w="0" w:type="dxa"/>
              <w:left w:w="108" w:type="dxa"/>
              <w:bottom w:w="0" w:type="dxa"/>
              <w:right w:w="108" w:type="dxa"/>
            </w:tcMar>
            <w:hideMark/>
          </w:tcPr>
          <w:p w14:paraId="270A2BD0"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Māori (%)</w:t>
            </w:r>
          </w:p>
        </w:tc>
        <w:tc>
          <w:tcPr>
            <w:tcW w:w="3143" w:type="pct"/>
            <w:shd w:val="clear" w:color="auto" w:fill="FFFFFF" w:themeFill="background1"/>
          </w:tcPr>
          <w:p w14:paraId="4C3F8B3A"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The percentage of the population whose prioritised ethnicity is Māori.</w:t>
            </w:r>
          </w:p>
        </w:tc>
        <w:tc>
          <w:tcPr>
            <w:tcW w:w="522" w:type="pct"/>
            <w:shd w:val="clear" w:color="auto" w:fill="auto"/>
            <w:tcMar>
              <w:top w:w="0" w:type="dxa"/>
              <w:left w:w="108" w:type="dxa"/>
              <w:bottom w:w="0" w:type="dxa"/>
              <w:right w:w="108" w:type="dxa"/>
            </w:tcMar>
            <w:hideMark/>
          </w:tcPr>
          <w:p w14:paraId="3CCD008B" w14:textId="6DB5C495"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17.</w:t>
            </w:r>
            <w:r w:rsidR="00CB123C" w:rsidRPr="00852DF9">
              <w:rPr>
                <w:rFonts w:eastAsiaTheme="majorEastAsia" w:cstheme="majorBidi"/>
                <w:color w:val="auto"/>
                <w:lang w:eastAsia="en-NZ"/>
              </w:rPr>
              <w:t>67</w:t>
            </w:r>
          </w:p>
        </w:tc>
      </w:tr>
      <w:tr w:rsidR="00000866" w:rsidRPr="00B5248D" w14:paraId="45E49268" w14:textId="77777777" w:rsidTr="00DC1017">
        <w:tc>
          <w:tcPr>
            <w:tcW w:w="1335" w:type="pct"/>
            <w:shd w:val="clear" w:color="auto" w:fill="D9E2F3" w:themeFill="accent5" w:themeFillTint="33"/>
            <w:tcMar>
              <w:top w:w="0" w:type="dxa"/>
              <w:left w:w="108" w:type="dxa"/>
              <w:bottom w:w="0" w:type="dxa"/>
              <w:right w:w="108" w:type="dxa"/>
            </w:tcMar>
            <w:hideMark/>
          </w:tcPr>
          <w:p w14:paraId="0C97A57C"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Pasifika (%)</w:t>
            </w:r>
          </w:p>
        </w:tc>
        <w:tc>
          <w:tcPr>
            <w:tcW w:w="3143" w:type="pct"/>
            <w:shd w:val="clear" w:color="auto" w:fill="FFFFFF" w:themeFill="background1"/>
          </w:tcPr>
          <w:p w14:paraId="30B44BCE"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The percentage of the population whose prioritised ethnicity is Pasifika.</w:t>
            </w:r>
          </w:p>
        </w:tc>
        <w:tc>
          <w:tcPr>
            <w:tcW w:w="522" w:type="pct"/>
            <w:shd w:val="clear" w:color="auto" w:fill="FFFFFF" w:themeFill="background1"/>
            <w:tcMar>
              <w:top w:w="0" w:type="dxa"/>
              <w:left w:w="108" w:type="dxa"/>
              <w:bottom w:w="0" w:type="dxa"/>
              <w:right w:w="108" w:type="dxa"/>
            </w:tcMar>
            <w:hideMark/>
          </w:tcPr>
          <w:p w14:paraId="0FCCFBCD" w14:textId="7D121B66"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3.0</w:t>
            </w:r>
            <w:r w:rsidR="009D2C3F" w:rsidRPr="00852DF9">
              <w:rPr>
                <w:rFonts w:eastAsiaTheme="majorEastAsia" w:cstheme="majorBidi"/>
                <w:color w:val="auto"/>
                <w:lang w:eastAsia="en-NZ"/>
              </w:rPr>
              <w:t>4</w:t>
            </w:r>
          </w:p>
        </w:tc>
      </w:tr>
      <w:tr w:rsidR="00000866" w:rsidRPr="00B5248D" w14:paraId="56918BE3" w14:textId="77777777" w:rsidTr="00DC1017">
        <w:tc>
          <w:tcPr>
            <w:tcW w:w="1335" w:type="pct"/>
            <w:shd w:val="clear" w:color="auto" w:fill="D9E2F3" w:themeFill="accent5" w:themeFillTint="33"/>
            <w:tcMar>
              <w:top w:w="0" w:type="dxa"/>
              <w:left w:w="108" w:type="dxa"/>
              <w:bottom w:w="0" w:type="dxa"/>
              <w:right w:w="108" w:type="dxa"/>
            </w:tcMar>
            <w:hideMark/>
          </w:tcPr>
          <w:p w14:paraId="6CD17CB1"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Asian (%)</w:t>
            </w:r>
          </w:p>
        </w:tc>
        <w:tc>
          <w:tcPr>
            <w:tcW w:w="3143" w:type="pct"/>
            <w:shd w:val="clear" w:color="auto" w:fill="FFFFFF" w:themeFill="background1"/>
          </w:tcPr>
          <w:p w14:paraId="3BA97522"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The percentage of the population whose prioritised ethnicity is Asian.</w:t>
            </w:r>
          </w:p>
        </w:tc>
        <w:tc>
          <w:tcPr>
            <w:tcW w:w="522" w:type="pct"/>
            <w:shd w:val="clear" w:color="auto" w:fill="FFFFFF" w:themeFill="background1"/>
            <w:tcMar>
              <w:top w:w="0" w:type="dxa"/>
              <w:left w:w="108" w:type="dxa"/>
              <w:bottom w:w="0" w:type="dxa"/>
              <w:right w:w="108" w:type="dxa"/>
            </w:tcMar>
            <w:hideMark/>
          </w:tcPr>
          <w:p w14:paraId="6EFF634E" w14:textId="496FC8BC"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4.</w:t>
            </w:r>
            <w:r w:rsidR="009D2C3F" w:rsidRPr="00852DF9">
              <w:rPr>
                <w:rFonts w:eastAsiaTheme="majorEastAsia" w:cstheme="majorBidi"/>
                <w:color w:val="auto"/>
                <w:lang w:eastAsia="en-NZ"/>
              </w:rPr>
              <w:t>19</w:t>
            </w:r>
          </w:p>
        </w:tc>
      </w:tr>
      <w:tr w:rsidR="00000866" w:rsidRPr="00B5248D" w14:paraId="06A8CD9D" w14:textId="77777777" w:rsidTr="00DC1017">
        <w:tc>
          <w:tcPr>
            <w:tcW w:w="1335" w:type="pct"/>
            <w:shd w:val="clear" w:color="auto" w:fill="D9E2F3" w:themeFill="accent5" w:themeFillTint="33"/>
            <w:tcMar>
              <w:top w:w="0" w:type="dxa"/>
              <w:left w:w="108" w:type="dxa"/>
              <w:bottom w:w="0" w:type="dxa"/>
              <w:right w:w="108" w:type="dxa"/>
            </w:tcMar>
            <w:hideMark/>
          </w:tcPr>
          <w:p w14:paraId="28B07AAD"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MELAA (%)</w:t>
            </w:r>
          </w:p>
        </w:tc>
        <w:tc>
          <w:tcPr>
            <w:tcW w:w="3143" w:type="pct"/>
            <w:shd w:val="clear" w:color="auto" w:fill="FFFFFF" w:themeFill="background1"/>
          </w:tcPr>
          <w:p w14:paraId="155F1851" w14:textId="77777777" w:rsidR="00D958CD" w:rsidRPr="00F10E9A" w:rsidRDefault="00D958CD"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The percentage of the population whose prioritised ethnicity is Middle Eastern, Latin American, or African.</w:t>
            </w:r>
          </w:p>
        </w:tc>
        <w:tc>
          <w:tcPr>
            <w:tcW w:w="522" w:type="pct"/>
            <w:shd w:val="clear" w:color="auto" w:fill="FFFFFF" w:themeFill="background1"/>
            <w:tcMar>
              <w:top w:w="0" w:type="dxa"/>
              <w:left w:w="108" w:type="dxa"/>
              <w:bottom w:w="0" w:type="dxa"/>
              <w:right w:w="108" w:type="dxa"/>
            </w:tcMar>
            <w:hideMark/>
          </w:tcPr>
          <w:p w14:paraId="7C348A41" w14:textId="76AE0D5E" w:rsidR="00D958CD" w:rsidRPr="00852DF9" w:rsidRDefault="00D958C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0.5</w:t>
            </w:r>
            <w:r w:rsidR="009D2C3F" w:rsidRPr="00852DF9">
              <w:rPr>
                <w:rFonts w:eastAsiaTheme="majorEastAsia" w:cstheme="majorBidi"/>
                <w:color w:val="auto"/>
                <w:lang w:eastAsia="en-NZ"/>
              </w:rPr>
              <w:t>4</w:t>
            </w:r>
          </w:p>
        </w:tc>
      </w:tr>
      <w:tr w:rsidR="00000866" w:rsidRPr="00B5248D" w14:paraId="630135B0" w14:textId="77777777" w:rsidTr="00DC1017">
        <w:tc>
          <w:tcPr>
            <w:tcW w:w="1335" w:type="pct"/>
            <w:tcBorders>
              <w:bottom w:val="single" w:sz="8" w:space="0" w:color="B4C6E7" w:themeColor="accent5" w:themeTint="66"/>
            </w:tcBorders>
            <w:shd w:val="clear" w:color="auto" w:fill="D9E2F3" w:themeFill="accent5" w:themeFillTint="33"/>
            <w:tcMar>
              <w:top w:w="0" w:type="dxa"/>
              <w:left w:w="108" w:type="dxa"/>
              <w:bottom w:w="0" w:type="dxa"/>
              <w:right w:w="108" w:type="dxa"/>
            </w:tcMar>
          </w:tcPr>
          <w:p w14:paraId="294489D2" w14:textId="527E8A3C" w:rsidR="00CA7C1A" w:rsidRPr="00F10E9A" w:rsidRDefault="00CA7C1A"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Deprivation</w:t>
            </w:r>
          </w:p>
        </w:tc>
        <w:tc>
          <w:tcPr>
            <w:tcW w:w="3143" w:type="pct"/>
            <w:tcBorders>
              <w:bottom w:val="single" w:sz="8" w:space="0" w:color="B4C6E7" w:themeColor="accent5" w:themeTint="66"/>
            </w:tcBorders>
            <w:shd w:val="clear" w:color="auto" w:fill="FFFFFF" w:themeFill="background1"/>
          </w:tcPr>
          <w:p w14:paraId="456817E1" w14:textId="0CB28880" w:rsidR="00CA7C1A" w:rsidRPr="00F10E9A" w:rsidRDefault="005B225D" w:rsidP="00583D62">
            <w:pPr>
              <w:spacing w:after="0" w:line="240" w:lineRule="auto"/>
              <w:jc w:val="both"/>
              <w:rPr>
                <w:rFonts w:eastAsiaTheme="majorEastAsia" w:cstheme="majorBidi"/>
                <w:color w:val="auto"/>
                <w:lang w:eastAsia="en-NZ"/>
              </w:rPr>
            </w:pPr>
            <w:r w:rsidRPr="00F10E9A">
              <w:rPr>
                <w:rFonts w:eastAsiaTheme="majorEastAsia" w:cstheme="majorBidi"/>
                <w:color w:val="auto"/>
                <w:lang w:eastAsia="en-NZ"/>
              </w:rPr>
              <w:t xml:space="preserve">The weighted average of </w:t>
            </w:r>
            <w:proofErr w:type="spellStart"/>
            <w:r w:rsidRPr="00F10E9A">
              <w:rPr>
                <w:rFonts w:eastAsiaTheme="majorEastAsia" w:cstheme="majorBidi"/>
                <w:color w:val="auto"/>
                <w:lang w:eastAsia="en-NZ"/>
              </w:rPr>
              <w:t>meshblock</w:t>
            </w:r>
            <w:proofErr w:type="spellEnd"/>
            <w:r w:rsidRPr="00F10E9A">
              <w:rPr>
                <w:rFonts w:eastAsiaTheme="majorEastAsia" w:cstheme="majorBidi"/>
                <w:color w:val="auto"/>
                <w:lang w:eastAsia="en-NZ"/>
              </w:rPr>
              <w:t xml:space="preserve"> deprivation deciles using the usual resident population within each </w:t>
            </w:r>
            <w:proofErr w:type="spellStart"/>
            <w:r w:rsidRPr="00F10E9A">
              <w:rPr>
                <w:rFonts w:eastAsiaTheme="majorEastAsia" w:cstheme="majorBidi"/>
                <w:color w:val="auto"/>
                <w:lang w:eastAsia="en-NZ"/>
              </w:rPr>
              <w:t>meshblock</w:t>
            </w:r>
            <w:proofErr w:type="spellEnd"/>
            <w:r w:rsidR="00F95CC4" w:rsidRPr="00F10E9A">
              <w:rPr>
                <w:rStyle w:val="FootnoteReference"/>
                <w:rFonts w:eastAsiaTheme="majorEastAsia" w:cstheme="majorBidi"/>
                <w:color w:val="auto"/>
                <w:lang w:eastAsia="en-NZ"/>
              </w:rPr>
              <w:footnoteReference w:id="24"/>
            </w:r>
            <w:r w:rsidR="007B45CA" w:rsidRPr="00F10E9A">
              <w:rPr>
                <w:rFonts w:eastAsiaTheme="majorEastAsia" w:cstheme="majorBidi"/>
                <w:color w:val="auto"/>
                <w:lang w:eastAsia="en-NZ"/>
              </w:rPr>
              <w:t>.</w:t>
            </w:r>
            <w:r w:rsidR="0006061E" w:rsidRPr="00F10E9A">
              <w:rPr>
                <w:rFonts w:eastAsiaTheme="majorEastAsia" w:cstheme="majorBidi"/>
                <w:color w:val="auto"/>
                <w:lang w:eastAsia="en-NZ"/>
              </w:rPr>
              <w:t xml:space="preserve"> </w:t>
            </w:r>
            <w:r w:rsidR="00332479" w:rsidRPr="00F10E9A">
              <w:rPr>
                <w:rFonts w:eastAsiaTheme="majorEastAsia" w:cstheme="majorBidi"/>
                <w:color w:val="auto"/>
                <w:lang w:eastAsia="en-NZ"/>
              </w:rPr>
              <w:t>D</w:t>
            </w:r>
            <w:r w:rsidR="00583D62" w:rsidRPr="00F10E9A">
              <w:rPr>
                <w:rFonts w:eastAsiaTheme="majorEastAsia" w:cstheme="majorBidi"/>
                <w:color w:val="auto"/>
                <w:lang w:eastAsia="en-NZ"/>
              </w:rPr>
              <w:t>eprivation is an ordinal scale ranging from 1 (least deprived) to 10 (most deprived).</w:t>
            </w:r>
          </w:p>
        </w:tc>
        <w:tc>
          <w:tcPr>
            <w:tcW w:w="522" w:type="pct"/>
            <w:tcBorders>
              <w:bottom w:val="single" w:sz="8" w:space="0" w:color="B4C6E7" w:themeColor="accent5" w:themeTint="66"/>
            </w:tcBorders>
            <w:shd w:val="clear" w:color="auto" w:fill="FFFFFF" w:themeFill="background1"/>
            <w:tcMar>
              <w:top w:w="0" w:type="dxa"/>
              <w:left w:w="108" w:type="dxa"/>
              <w:bottom w:w="0" w:type="dxa"/>
              <w:right w:w="108" w:type="dxa"/>
            </w:tcMar>
          </w:tcPr>
          <w:p w14:paraId="11BCD6DF" w14:textId="11267693" w:rsidR="00CA7C1A" w:rsidRPr="00852DF9" w:rsidRDefault="00E23A5F"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5.8</w:t>
            </w:r>
            <w:r w:rsidR="00FF42F2" w:rsidRPr="00852DF9">
              <w:rPr>
                <w:rFonts w:eastAsiaTheme="majorEastAsia" w:cstheme="majorBidi"/>
                <w:color w:val="auto"/>
                <w:lang w:eastAsia="en-NZ"/>
              </w:rPr>
              <w:t>8</w:t>
            </w:r>
          </w:p>
          <w:p w14:paraId="4568DD5E" w14:textId="0B5F5B73" w:rsidR="00E23A5F" w:rsidRPr="00852DF9" w:rsidRDefault="00E23A5F" w:rsidP="00DC1734">
            <w:pPr>
              <w:spacing w:after="0" w:line="240" w:lineRule="auto"/>
              <w:jc w:val="center"/>
              <w:rPr>
                <w:rFonts w:eastAsiaTheme="majorEastAsia" w:cstheme="majorBidi"/>
                <w:color w:val="auto"/>
                <w:highlight w:val="yellow"/>
                <w:lang w:eastAsia="en-NZ"/>
              </w:rPr>
            </w:pPr>
            <w:r w:rsidRPr="00852DF9">
              <w:rPr>
                <w:rFonts w:eastAsiaTheme="majorEastAsia" w:cstheme="majorBidi"/>
                <w:color w:val="auto"/>
                <w:lang w:eastAsia="en-NZ"/>
              </w:rPr>
              <w:t>(1.4</w:t>
            </w:r>
            <w:r w:rsidR="00682B33" w:rsidRPr="00852DF9">
              <w:rPr>
                <w:rFonts w:eastAsiaTheme="majorEastAsia" w:cstheme="majorBidi"/>
                <w:color w:val="auto"/>
                <w:lang w:eastAsia="en-NZ"/>
              </w:rPr>
              <w:t>4</w:t>
            </w:r>
            <w:r w:rsidRPr="00852DF9">
              <w:rPr>
                <w:rFonts w:eastAsiaTheme="majorEastAsia" w:cstheme="majorBidi"/>
                <w:color w:val="auto"/>
                <w:lang w:eastAsia="en-NZ"/>
              </w:rPr>
              <w:t>)</w:t>
            </w:r>
          </w:p>
        </w:tc>
      </w:tr>
      <w:tr w:rsidR="0075278F" w:rsidRPr="00B5248D" w14:paraId="6A4B3E3F" w14:textId="77777777" w:rsidTr="00DC1017">
        <w:tc>
          <w:tcPr>
            <w:tcW w:w="1335" w:type="pct"/>
            <w:tcBorders>
              <w:bottom w:val="single" w:sz="8" w:space="0" w:color="B4C6E7" w:themeColor="accent5" w:themeTint="66"/>
            </w:tcBorders>
            <w:shd w:val="clear" w:color="auto" w:fill="D9E2F3" w:themeFill="accent5" w:themeFillTint="33"/>
            <w:tcMar>
              <w:top w:w="0" w:type="dxa"/>
              <w:left w:w="108" w:type="dxa"/>
              <w:bottom w:w="0" w:type="dxa"/>
              <w:right w:w="108" w:type="dxa"/>
            </w:tcMar>
          </w:tcPr>
          <w:p w14:paraId="69391B6C" w14:textId="4444440E" w:rsidR="0075278F" w:rsidRPr="00F10E9A" w:rsidRDefault="0099742C" w:rsidP="006E3B76">
            <w:pPr>
              <w:spacing w:after="0" w:line="240" w:lineRule="auto"/>
              <w:rPr>
                <w:rFonts w:eastAsiaTheme="majorEastAsia" w:cstheme="majorBidi"/>
                <w:color w:val="auto"/>
                <w:lang w:eastAsia="en-NZ"/>
              </w:rPr>
            </w:pPr>
            <w:r w:rsidRPr="00F10E9A">
              <w:rPr>
                <w:rFonts w:eastAsiaTheme="majorEastAsia" w:cstheme="majorBidi"/>
                <w:color w:val="auto"/>
                <w:lang w:eastAsia="en-NZ"/>
              </w:rPr>
              <w:t>GDP</w:t>
            </w:r>
            <w:r w:rsidR="000933AD" w:rsidRPr="00F10E9A">
              <w:rPr>
                <w:rFonts w:eastAsiaTheme="majorEastAsia" w:cstheme="majorBidi"/>
                <w:color w:val="auto"/>
                <w:lang w:eastAsia="en-NZ"/>
              </w:rPr>
              <w:t xml:space="preserve"> growth rate</w:t>
            </w:r>
          </w:p>
        </w:tc>
        <w:tc>
          <w:tcPr>
            <w:tcW w:w="3143" w:type="pct"/>
            <w:tcBorders>
              <w:bottom w:val="single" w:sz="8" w:space="0" w:color="B4C6E7" w:themeColor="accent5" w:themeTint="66"/>
            </w:tcBorders>
            <w:shd w:val="clear" w:color="auto" w:fill="FFFFFF" w:themeFill="background1"/>
          </w:tcPr>
          <w:p w14:paraId="4EDDE20A" w14:textId="78545120" w:rsidR="0075278F" w:rsidRPr="00F10E9A" w:rsidRDefault="009D7B1E" w:rsidP="00583D62">
            <w:pPr>
              <w:spacing w:after="0" w:line="240" w:lineRule="auto"/>
              <w:jc w:val="both"/>
              <w:rPr>
                <w:rFonts w:eastAsiaTheme="majorEastAsia" w:cstheme="majorBidi"/>
                <w:color w:val="auto"/>
                <w:lang w:eastAsia="en-NZ"/>
              </w:rPr>
            </w:pPr>
            <w:r w:rsidRPr="00F10E9A">
              <w:rPr>
                <w:rFonts w:eastAsiaTheme="majorEastAsia" w:cstheme="majorBidi"/>
                <w:color w:val="auto"/>
                <w:lang w:eastAsia="en-NZ"/>
              </w:rPr>
              <w:t xml:space="preserve">Annual </w:t>
            </w:r>
            <w:r w:rsidR="00491AD9" w:rsidRPr="00F10E9A">
              <w:rPr>
                <w:rFonts w:eastAsiaTheme="majorEastAsia" w:cstheme="majorBidi"/>
                <w:color w:val="auto"/>
                <w:lang w:eastAsia="en-NZ"/>
              </w:rPr>
              <w:t>GDP growth</w:t>
            </w:r>
            <w:r w:rsidRPr="00F10E9A">
              <w:rPr>
                <w:rFonts w:eastAsiaTheme="majorEastAsia" w:cstheme="majorBidi"/>
                <w:color w:val="auto"/>
                <w:lang w:eastAsia="en-NZ"/>
              </w:rPr>
              <w:t xml:space="preserve"> rate</w:t>
            </w:r>
            <w:r w:rsidR="00DB7941">
              <w:rPr>
                <w:rFonts w:eastAsiaTheme="majorEastAsia" w:cstheme="majorBidi"/>
                <w:color w:val="auto"/>
                <w:lang w:eastAsia="en-NZ"/>
              </w:rPr>
              <w:t>.</w:t>
            </w:r>
            <w:r w:rsidRPr="00F10E9A">
              <w:rPr>
                <w:rStyle w:val="FootnoteReference"/>
                <w:rFonts w:eastAsiaTheme="majorEastAsia" w:cstheme="majorBidi"/>
                <w:color w:val="auto"/>
                <w:lang w:eastAsia="en-NZ"/>
              </w:rPr>
              <w:footnoteReference w:id="25"/>
            </w:r>
          </w:p>
        </w:tc>
        <w:tc>
          <w:tcPr>
            <w:tcW w:w="522" w:type="pct"/>
            <w:tcBorders>
              <w:bottom w:val="single" w:sz="8" w:space="0" w:color="B4C6E7" w:themeColor="accent5" w:themeTint="66"/>
            </w:tcBorders>
            <w:shd w:val="clear" w:color="auto" w:fill="FFFFFF" w:themeFill="background1"/>
            <w:tcMar>
              <w:top w:w="0" w:type="dxa"/>
              <w:left w:w="108" w:type="dxa"/>
              <w:bottom w:w="0" w:type="dxa"/>
              <w:right w:w="108" w:type="dxa"/>
            </w:tcMar>
          </w:tcPr>
          <w:p w14:paraId="0C8BC0A0" w14:textId="401DF328" w:rsidR="0075278F" w:rsidRPr="00852DF9" w:rsidRDefault="000933AD"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4.31</w:t>
            </w:r>
          </w:p>
          <w:p w14:paraId="31357160" w14:textId="4377E8C3" w:rsidR="0075278F" w:rsidRPr="00852DF9" w:rsidRDefault="000B5835" w:rsidP="00DC1734">
            <w:pPr>
              <w:spacing w:after="0" w:line="240" w:lineRule="auto"/>
              <w:jc w:val="center"/>
              <w:rPr>
                <w:rFonts w:eastAsiaTheme="majorEastAsia" w:cstheme="majorBidi"/>
                <w:color w:val="auto"/>
                <w:lang w:eastAsia="en-NZ"/>
              </w:rPr>
            </w:pPr>
            <w:r w:rsidRPr="00852DF9">
              <w:rPr>
                <w:rFonts w:eastAsiaTheme="majorEastAsia" w:cstheme="majorBidi"/>
                <w:color w:val="auto"/>
                <w:lang w:eastAsia="en-NZ"/>
              </w:rPr>
              <w:t>(</w:t>
            </w:r>
            <w:r w:rsidR="00852DF9" w:rsidRPr="00852DF9">
              <w:rPr>
                <w:rFonts w:eastAsiaTheme="majorEastAsia" w:cstheme="majorBidi"/>
                <w:color w:val="auto"/>
                <w:lang w:eastAsia="en-NZ"/>
              </w:rPr>
              <w:t>6.67</w:t>
            </w:r>
            <w:r w:rsidR="0034237B" w:rsidRPr="00852DF9">
              <w:rPr>
                <w:rFonts w:eastAsiaTheme="majorEastAsia" w:cstheme="majorBidi"/>
                <w:color w:val="auto"/>
                <w:lang w:eastAsia="en-NZ"/>
              </w:rPr>
              <w:t>)</w:t>
            </w:r>
          </w:p>
        </w:tc>
      </w:tr>
      <w:tr w:rsidR="00000866" w:rsidRPr="00B5248D" w14:paraId="1992BDFF" w14:textId="77777777" w:rsidTr="00DC1017">
        <w:trPr>
          <w:trHeight w:val="283"/>
        </w:trPr>
        <w:tc>
          <w:tcPr>
            <w:tcW w:w="1335" w:type="pct"/>
            <w:tcBorders>
              <w:top w:val="single" w:sz="8" w:space="0" w:color="B4C6E7" w:themeColor="accent5" w:themeTint="66"/>
            </w:tcBorders>
            <w:shd w:val="clear" w:color="auto" w:fill="D9E2F3" w:themeFill="accent5" w:themeFillTint="33"/>
            <w:tcMar>
              <w:top w:w="0" w:type="dxa"/>
              <w:left w:w="108" w:type="dxa"/>
              <w:bottom w:w="0" w:type="dxa"/>
              <w:right w:w="108" w:type="dxa"/>
            </w:tcMar>
            <w:vAlign w:val="bottom"/>
          </w:tcPr>
          <w:p w14:paraId="040D233B" w14:textId="6196D14E" w:rsidR="00D958CD" w:rsidRPr="00F10E9A" w:rsidRDefault="00D158FB" w:rsidP="006E3B76">
            <w:pPr>
              <w:spacing w:after="0" w:line="240" w:lineRule="auto"/>
              <w:rPr>
                <w:rFonts w:eastAsiaTheme="majorEastAsia" w:cstheme="majorBidi"/>
                <w:b/>
                <w:color w:val="auto"/>
                <w:lang w:eastAsia="en-NZ"/>
              </w:rPr>
            </w:pPr>
            <w:r w:rsidRPr="00F10E9A">
              <w:rPr>
                <w:rFonts w:eastAsiaTheme="majorEastAsia" w:cstheme="majorBidi"/>
                <w:b/>
                <w:color w:val="auto"/>
                <w:lang w:eastAsia="en-NZ"/>
              </w:rPr>
              <w:t>Observations</w:t>
            </w:r>
          </w:p>
        </w:tc>
        <w:tc>
          <w:tcPr>
            <w:tcW w:w="3143" w:type="pct"/>
            <w:tcBorders>
              <w:top w:val="single" w:sz="8" w:space="0" w:color="B4C6E7" w:themeColor="accent5" w:themeTint="66"/>
            </w:tcBorders>
            <w:shd w:val="clear" w:color="auto" w:fill="auto"/>
            <w:vAlign w:val="bottom"/>
          </w:tcPr>
          <w:p w14:paraId="070D4E20" w14:textId="77777777" w:rsidR="00D958CD" w:rsidRPr="00F10E9A" w:rsidRDefault="00D958CD" w:rsidP="00DC1734">
            <w:pPr>
              <w:spacing w:after="0" w:line="240" w:lineRule="auto"/>
              <w:rPr>
                <w:rFonts w:eastAsiaTheme="majorEastAsia" w:cstheme="majorBidi"/>
                <w:color w:val="auto"/>
                <w:lang w:eastAsia="en-NZ"/>
              </w:rPr>
            </w:pPr>
          </w:p>
        </w:tc>
        <w:tc>
          <w:tcPr>
            <w:tcW w:w="522" w:type="pct"/>
            <w:tcBorders>
              <w:top w:val="single" w:sz="8" w:space="0" w:color="B4C6E7" w:themeColor="accent5" w:themeTint="66"/>
            </w:tcBorders>
            <w:shd w:val="clear" w:color="auto" w:fill="auto"/>
            <w:tcMar>
              <w:top w:w="0" w:type="dxa"/>
              <w:left w:w="108" w:type="dxa"/>
              <w:bottom w:w="0" w:type="dxa"/>
              <w:right w:w="108" w:type="dxa"/>
            </w:tcMar>
            <w:vAlign w:val="bottom"/>
          </w:tcPr>
          <w:p w14:paraId="247AE43D" w14:textId="2311A0CD" w:rsidR="00D958CD" w:rsidRPr="00781E2D" w:rsidRDefault="009D2C3F" w:rsidP="00DC1734">
            <w:pPr>
              <w:spacing w:after="0" w:line="240" w:lineRule="auto"/>
              <w:jc w:val="center"/>
              <w:rPr>
                <w:rFonts w:eastAsiaTheme="majorEastAsia" w:cstheme="majorBidi"/>
                <w:color w:val="FF0000"/>
                <w:lang w:eastAsia="en-NZ"/>
              </w:rPr>
            </w:pPr>
            <w:r w:rsidRPr="00852DF9">
              <w:rPr>
                <w:rFonts w:eastAsiaTheme="majorEastAsia" w:cstheme="majorBidi"/>
                <w:color w:val="auto"/>
                <w:lang w:eastAsia="en-NZ"/>
              </w:rPr>
              <w:t>536</w:t>
            </w:r>
          </w:p>
        </w:tc>
      </w:tr>
    </w:tbl>
    <w:p w14:paraId="0EB1FB28" w14:textId="32A3C979" w:rsidR="001A4720" w:rsidRPr="00B5248D" w:rsidRDefault="001A4720" w:rsidP="0053772E">
      <w:pPr>
        <w:shd w:val="clear" w:color="auto" w:fill="FFFFFF" w:themeFill="background1"/>
        <w:spacing w:line="240" w:lineRule="auto"/>
        <w:jc w:val="both"/>
      </w:pPr>
      <w:r w:rsidRPr="00B5248D">
        <w:rPr>
          <w:sz w:val="18"/>
          <w:szCs w:val="18"/>
        </w:rPr>
        <w:t>Notes:   Data cover</w:t>
      </w:r>
      <w:r w:rsidR="00301C03">
        <w:rPr>
          <w:sz w:val="18"/>
          <w:szCs w:val="18"/>
        </w:rPr>
        <w:t xml:space="preserve"> the</w:t>
      </w:r>
      <w:r w:rsidRPr="00B5248D">
        <w:rPr>
          <w:sz w:val="18"/>
          <w:szCs w:val="18"/>
        </w:rPr>
        <w:t xml:space="preserve"> 67 </w:t>
      </w:r>
      <w:r w:rsidR="001F540A">
        <w:rPr>
          <w:sz w:val="18"/>
          <w:szCs w:val="18"/>
        </w:rPr>
        <w:t>TA</w:t>
      </w:r>
      <w:r w:rsidRPr="00B5248D">
        <w:rPr>
          <w:sz w:val="18"/>
          <w:szCs w:val="18"/>
        </w:rPr>
        <w:t>s in NZ</w:t>
      </w:r>
      <w:r w:rsidR="00B22263">
        <w:rPr>
          <w:sz w:val="18"/>
          <w:szCs w:val="18"/>
        </w:rPr>
        <w:t xml:space="preserve"> from 2010 to 2018</w:t>
      </w:r>
      <w:r w:rsidRPr="00B5248D">
        <w:rPr>
          <w:sz w:val="18"/>
          <w:szCs w:val="18"/>
        </w:rPr>
        <w:t xml:space="preserve">. </w:t>
      </w:r>
      <w:r w:rsidR="004616F5">
        <w:rPr>
          <w:sz w:val="18"/>
          <w:szCs w:val="18"/>
        </w:rPr>
        <w:t xml:space="preserve">The machine spending variable used in the regression is the natural log of </w:t>
      </w:r>
      <w:r w:rsidR="00984A62">
        <w:rPr>
          <w:sz w:val="18"/>
          <w:szCs w:val="18"/>
        </w:rPr>
        <w:t xml:space="preserve">the </w:t>
      </w:r>
      <w:r w:rsidR="004616F5">
        <w:rPr>
          <w:sz w:val="18"/>
          <w:szCs w:val="18"/>
        </w:rPr>
        <w:t>variable</w:t>
      </w:r>
      <w:r w:rsidR="00984A62">
        <w:rPr>
          <w:sz w:val="18"/>
          <w:szCs w:val="18"/>
        </w:rPr>
        <w:t xml:space="preserve"> defined</w:t>
      </w:r>
      <w:r w:rsidR="004616F5">
        <w:rPr>
          <w:sz w:val="18"/>
          <w:szCs w:val="18"/>
        </w:rPr>
        <w:t xml:space="preserve"> in this table. </w:t>
      </w:r>
      <w:r w:rsidRPr="00B5248D">
        <w:rPr>
          <w:sz w:val="18"/>
          <w:szCs w:val="18"/>
        </w:rPr>
        <w:t xml:space="preserve">All </w:t>
      </w:r>
      <w:proofErr w:type="spellStart"/>
      <w:r w:rsidRPr="00B5248D">
        <w:rPr>
          <w:sz w:val="18"/>
          <w:szCs w:val="18"/>
        </w:rPr>
        <w:t>descriptives</w:t>
      </w:r>
      <w:proofErr w:type="spellEnd"/>
      <w:r w:rsidRPr="00B5248D">
        <w:rPr>
          <w:sz w:val="18"/>
          <w:szCs w:val="18"/>
        </w:rPr>
        <w:t xml:space="preserve"> are </w:t>
      </w:r>
      <w:r w:rsidR="00FE6DFC">
        <w:rPr>
          <w:sz w:val="18"/>
          <w:szCs w:val="18"/>
        </w:rPr>
        <w:t xml:space="preserve">unweighted </w:t>
      </w:r>
      <w:r w:rsidR="00B22263">
        <w:rPr>
          <w:sz w:val="18"/>
          <w:szCs w:val="18"/>
        </w:rPr>
        <w:t xml:space="preserve">TA-year </w:t>
      </w:r>
      <w:r w:rsidRPr="00B5248D">
        <w:rPr>
          <w:sz w:val="18"/>
          <w:szCs w:val="18"/>
        </w:rPr>
        <w:t>means</w:t>
      </w:r>
      <w:r w:rsidR="00E15999" w:rsidRPr="00E15999">
        <w:rPr>
          <w:sz w:val="18"/>
          <w:szCs w:val="18"/>
        </w:rPr>
        <w:t>.</w:t>
      </w:r>
      <w:r w:rsidR="002A238A" w:rsidRPr="002A238A">
        <w:rPr>
          <w:sz w:val="18"/>
          <w:szCs w:val="18"/>
        </w:rPr>
        <w:t xml:space="preserve"> </w:t>
      </w:r>
      <w:r w:rsidR="002A238A">
        <w:rPr>
          <w:sz w:val="18"/>
          <w:szCs w:val="18"/>
        </w:rPr>
        <w:t>S</w:t>
      </w:r>
      <w:r w:rsidR="002A238A" w:rsidRPr="00B5248D">
        <w:rPr>
          <w:sz w:val="18"/>
          <w:szCs w:val="18"/>
        </w:rPr>
        <w:t xml:space="preserve">tandard deviations </w:t>
      </w:r>
      <w:r w:rsidR="00984A62">
        <w:rPr>
          <w:sz w:val="18"/>
          <w:szCs w:val="18"/>
        </w:rPr>
        <w:t xml:space="preserve">are </w:t>
      </w:r>
      <w:r w:rsidR="002A238A" w:rsidRPr="00B5248D">
        <w:rPr>
          <w:sz w:val="18"/>
          <w:szCs w:val="18"/>
        </w:rPr>
        <w:t>shown in parentheses.</w:t>
      </w:r>
    </w:p>
    <w:p w14:paraId="7A0916E7" w14:textId="7EC6F992" w:rsidR="008162D4" w:rsidRPr="00B5248D" w:rsidRDefault="008162D4" w:rsidP="004033C2">
      <w:pPr>
        <w:pStyle w:val="Heading2"/>
        <w:spacing w:after="240" w:line="312" w:lineRule="auto"/>
        <w:rPr>
          <w:lang w:eastAsia="en-NZ"/>
        </w:rPr>
      </w:pPr>
      <w:bookmarkStart w:id="49" w:name="_Toc50033369"/>
      <w:bookmarkStart w:id="50" w:name="_Hlk40984417"/>
      <w:r w:rsidRPr="00B5248D">
        <w:rPr>
          <w:lang w:eastAsia="en-NZ"/>
        </w:rPr>
        <w:lastRenderedPageBreak/>
        <w:t xml:space="preserve">Class 4 </w:t>
      </w:r>
      <w:r w:rsidR="00FB559D">
        <w:rPr>
          <w:lang w:eastAsia="en-NZ"/>
        </w:rPr>
        <w:t>g</w:t>
      </w:r>
      <w:r w:rsidRPr="00B5248D">
        <w:rPr>
          <w:lang w:eastAsia="en-NZ"/>
        </w:rPr>
        <w:t xml:space="preserve">ambling </w:t>
      </w:r>
      <w:r w:rsidR="00FB559D">
        <w:rPr>
          <w:lang w:eastAsia="en-NZ"/>
        </w:rPr>
        <w:t>p</w:t>
      </w:r>
      <w:r w:rsidRPr="00B5248D">
        <w:rPr>
          <w:lang w:eastAsia="en-NZ"/>
        </w:rPr>
        <w:t>olicies</w:t>
      </w:r>
      <w:bookmarkEnd w:id="49"/>
    </w:p>
    <w:bookmarkEnd w:id="50"/>
    <w:p w14:paraId="7F3DBE6D" w14:textId="29B4FC60" w:rsidR="00250804" w:rsidRPr="00DF0A15" w:rsidRDefault="008162D4" w:rsidP="00FA3913">
      <w:pPr>
        <w:spacing w:after="240" w:line="312" w:lineRule="auto"/>
        <w:jc w:val="both"/>
      </w:pPr>
      <w:r w:rsidRPr="00DF0A15">
        <w:t>Since 2004, all TAs have been required to adopt a Class 4 gambling policy.</w:t>
      </w:r>
      <w:r w:rsidR="000441D0" w:rsidRPr="00DF0A15">
        <w:rPr>
          <w:rStyle w:val="FootnoteReference"/>
        </w:rPr>
        <w:footnoteReference w:id="26"/>
      </w:r>
      <w:r w:rsidRPr="00DF0A15">
        <w:t> </w:t>
      </w:r>
      <w:r w:rsidR="00250804" w:rsidRPr="00DF0A15">
        <w:t xml:space="preserve"> At a minimum, they could restate the venue and EGM thresholds provided in the Act.</w:t>
      </w:r>
      <w:r w:rsidR="00862D75" w:rsidRPr="00DF0A15">
        <w:t xml:space="preserve"> These are </w:t>
      </w:r>
      <w:r w:rsidR="00212FD2" w:rsidRPr="00DF0A15">
        <w:t xml:space="preserve">9 gaming machines </w:t>
      </w:r>
      <w:r w:rsidR="00CF6006" w:rsidRPr="00DF0A15">
        <w:t>per Class 4 venue</w:t>
      </w:r>
      <w:r w:rsidR="00490742" w:rsidRPr="00DF0A15">
        <w:t xml:space="preserve">, </w:t>
      </w:r>
      <w:r w:rsidR="00F11E37" w:rsidRPr="00DF0A15">
        <w:t>and 18</w:t>
      </w:r>
      <w:r w:rsidR="00E41A1E" w:rsidRPr="00DF0A15">
        <w:t xml:space="preserve"> if the EGM license was issued before October 2001</w:t>
      </w:r>
      <w:r w:rsidR="008E18C7" w:rsidRPr="00DF0A15">
        <w:t>.</w:t>
      </w:r>
    </w:p>
    <w:p w14:paraId="7A946137" w14:textId="1F05798F" w:rsidR="008162D4" w:rsidRPr="00DF0A15" w:rsidRDefault="00542827" w:rsidP="00FA3913">
      <w:pPr>
        <w:spacing w:after="240" w:line="312" w:lineRule="auto"/>
        <w:jc w:val="both"/>
      </w:pPr>
      <w:r w:rsidRPr="00DF0A15">
        <w:t>As indicated earlier</w:t>
      </w:r>
      <w:r w:rsidR="005C5F59" w:rsidRPr="00DF0A15">
        <w:t>,</w:t>
      </w:r>
      <w:r w:rsidRPr="00DF0A15">
        <w:t xml:space="preserve"> </w:t>
      </w:r>
      <w:r w:rsidR="0047783A" w:rsidRPr="00DF0A15">
        <w:t xml:space="preserve">many TAs have adopted policy interventions that have stricter regulations </w:t>
      </w:r>
      <w:r w:rsidR="00856989" w:rsidRPr="00DF0A15">
        <w:t xml:space="preserve">in addition to </w:t>
      </w:r>
      <w:r w:rsidR="009C6A58" w:rsidRPr="00DF0A15">
        <w:t xml:space="preserve">those provisioned </w:t>
      </w:r>
      <w:r w:rsidR="00856989" w:rsidRPr="00DF0A15">
        <w:t xml:space="preserve">by </w:t>
      </w:r>
      <w:r w:rsidR="009C6A58" w:rsidRPr="00DF0A15">
        <w:t xml:space="preserve">the Act. </w:t>
      </w:r>
      <w:r w:rsidR="008162D4" w:rsidRPr="00DF0A15">
        <w:t xml:space="preserve">The first policy intervention is a simple </w:t>
      </w:r>
      <w:r w:rsidR="00B32A67" w:rsidRPr="00DF0A15">
        <w:t xml:space="preserve">absolute </w:t>
      </w:r>
      <w:r w:rsidR="008162D4" w:rsidRPr="00DF0A15">
        <w:t>cap on the number of either EGM</w:t>
      </w:r>
      <w:r w:rsidR="0034091D" w:rsidRPr="00DF0A15">
        <w:t>s</w:t>
      </w:r>
      <w:r w:rsidR="008162D4" w:rsidRPr="00DF0A15">
        <w:t xml:space="preserve"> or Class 4 venues the TA will allow in the district. It is understood that, in practice, TAs have not set caps below the number of EGMs or venues that were in the district at the time the policy was passed. Therefore, a cap is an instrument used to keep the number of machines or venues </w:t>
      </w:r>
      <w:r w:rsidR="00BE16FB" w:rsidRPr="00DF0A15">
        <w:t xml:space="preserve">relatively </w:t>
      </w:r>
      <w:r w:rsidR="008162D4" w:rsidRPr="00DF0A15">
        <w:t xml:space="preserve">constant. </w:t>
      </w:r>
    </w:p>
    <w:p w14:paraId="2962636F" w14:textId="40677B6F" w:rsidR="008162D4" w:rsidRPr="00DF0A15" w:rsidRDefault="008162D4" w:rsidP="00FA3913">
      <w:pPr>
        <w:spacing w:after="240" w:line="312" w:lineRule="auto"/>
        <w:jc w:val="both"/>
      </w:pPr>
      <w:r w:rsidRPr="00DF0A15">
        <w:t>The second policy intervention is a per capita cap on the number of either EGM</w:t>
      </w:r>
      <w:r w:rsidR="009F6A6C" w:rsidRPr="00DF0A15">
        <w:t>s</w:t>
      </w:r>
      <w:r w:rsidRPr="00DF0A15">
        <w:t xml:space="preserve"> or Class 4 venues. This type of cap aims to keep EGM or venue numbers proportional to the resident population in the TA</w:t>
      </w:r>
      <w:r w:rsidR="009E43EF" w:rsidRPr="00DF0A15">
        <w:t>.</w:t>
      </w:r>
    </w:p>
    <w:p w14:paraId="3E8D54E5" w14:textId="2B1A2202" w:rsidR="008162D4" w:rsidRPr="00DF0A15" w:rsidRDefault="008162D4" w:rsidP="00FA3913">
      <w:pPr>
        <w:spacing w:after="240" w:line="312" w:lineRule="auto"/>
        <w:jc w:val="both"/>
      </w:pPr>
      <w:r w:rsidRPr="00DF0A15">
        <w:t>Finally, the</w:t>
      </w:r>
      <w:r w:rsidR="00762746" w:rsidRPr="00DF0A15">
        <w:t xml:space="preserve"> third </w:t>
      </w:r>
      <w:r w:rsidR="00E31C6D" w:rsidRPr="00DF0A15">
        <w:t xml:space="preserve">and strictest </w:t>
      </w:r>
      <w:r w:rsidR="00762746" w:rsidRPr="00DF0A15">
        <w:t>policy intervention</w:t>
      </w:r>
      <w:r w:rsidR="0030569C" w:rsidRPr="00DF0A15" w:rsidDel="00E31C6D">
        <w:t xml:space="preserve">, </w:t>
      </w:r>
      <w:r w:rsidRPr="00DF0A15">
        <w:t>is the sinking lid policy</w:t>
      </w:r>
      <w:r w:rsidR="0030569C" w:rsidRPr="00DF0A15">
        <w:t>. This</w:t>
      </w:r>
      <w:r w:rsidRPr="00DF0A15">
        <w:t xml:space="preserve"> is a cap on the number of EGMs or Class 4 venues allowed in </w:t>
      </w:r>
      <w:r w:rsidR="0030569C" w:rsidRPr="00DF0A15">
        <w:t>the TA</w:t>
      </w:r>
      <w:r w:rsidRPr="00DF0A15">
        <w:t xml:space="preserve">, which sinks as venues lose their licenses. This means that no new licenses are granted in the TA and any licences lost cannot be </w:t>
      </w:r>
      <w:r w:rsidR="004775BB" w:rsidRPr="00DF0A15">
        <w:t>re</w:t>
      </w:r>
      <w:r w:rsidRPr="00DF0A15">
        <w:t xml:space="preserve">allocated to a new venue or used to expand an existing venue’s EGM capacity. </w:t>
      </w:r>
      <w:r w:rsidR="00463DBC">
        <w:t>Potentially</w:t>
      </w:r>
      <w:r w:rsidRPr="00DF0A15">
        <w:t>, some TAs</w:t>
      </w:r>
      <w:r w:rsidR="00463DBC">
        <w:t xml:space="preserve"> may</w:t>
      </w:r>
      <w:r w:rsidRPr="00DF0A15">
        <w:t xml:space="preserve"> use a sinking lid policy to </w:t>
      </w:r>
      <w:r w:rsidR="00463DBC">
        <w:t>reduce</w:t>
      </w:r>
      <w:r w:rsidRPr="00DF0A15">
        <w:t xml:space="preserve"> the number of EGMs, </w:t>
      </w:r>
      <w:r w:rsidR="00463DBC">
        <w:t>before</w:t>
      </w:r>
      <w:r w:rsidRPr="00DF0A15">
        <w:t xml:space="preserve"> adopt</w:t>
      </w:r>
      <w:r w:rsidR="003E1045">
        <w:t>ing</w:t>
      </w:r>
      <w:r w:rsidRPr="00DF0A15">
        <w:t xml:space="preserve"> a</w:t>
      </w:r>
      <w:r w:rsidR="00B32A67" w:rsidRPr="00DF0A15">
        <w:t>n absolute or per capita</w:t>
      </w:r>
      <w:r w:rsidRPr="00DF0A15">
        <w:t xml:space="preserve"> cap</w:t>
      </w:r>
      <w:r w:rsidR="00FF7A6A" w:rsidRPr="00DF0A15">
        <w:t>.</w:t>
      </w:r>
    </w:p>
    <w:p w14:paraId="505A6C6B" w14:textId="77777777" w:rsidR="004A7822" w:rsidRPr="00DF0A15" w:rsidRDefault="008132DE" w:rsidP="00FA3913">
      <w:pPr>
        <w:spacing w:after="240" w:line="312" w:lineRule="auto"/>
        <w:jc w:val="both"/>
      </w:pPr>
      <w:r w:rsidRPr="00DF0A15">
        <w:t>T</w:t>
      </w:r>
      <w:r w:rsidR="00E83F82" w:rsidRPr="00DF0A15">
        <w:t xml:space="preserve">As which have none of the three policy interventions form the reference group in the following analysis. </w:t>
      </w:r>
    </w:p>
    <w:p w14:paraId="36529FE6" w14:textId="72F767E4" w:rsidR="006B2850" w:rsidRPr="00DF0A15" w:rsidRDefault="00D80943" w:rsidP="00FA3913">
      <w:pPr>
        <w:spacing w:after="240" w:line="312" w:lineRule="auto"/>
        <w:jc w:val="both"/>
      </w:pPr>
      <w:r w:rsidRPr="00DF0A15">
        <w:t xml:space="preserve">There is substantial </w:t>
      </w:r>
      <w:r w:rsidR="00D44A4E" w:rsidRPr="00DF0A15">
        <w:t>geographic</w:t>
      </w:r>
      <w:r w:rsidRPr="00DF0A15">
        <w:t xml:space="preserve"> variation in </w:t>
      </w:r>
      <w:r w:rsidR="00D44A4E" w:rsidRPr="00DF0A15">
        <w:t xml:space="preserve">Class 4 gambling </w:t>
      </w:r>
      <w:r w:rsidRPr="00DF0A15">
        <w:t>polic</w:t>
      </w:r>
      <w:r w:rsidR="00D44A4E" w:rsidRPr="00DF0A15">
        <w:t>ies</w:t>
      </w:r>
      <w:r w:rsidR="00F2397E" w:rsidRPr="00DF0A15">
        <w:t xml:space="preserve"> over time</w:t>
      </w:r>
      <w:r w:rsidR="00D44A4E" w:rsidRPr="00DF0A15">
        <w:t>.</w:t>
      </w:r>
      <w:r w:rsidR="008C0C25" w:rsidRPr="00DF0A15">
        <w:t xml:space="preserve"> </w:t>
      </w:r>
      <w:r w:rsidR="008162D4" w:rsidRPr="00DF0A15">
        <w:t>As illustrated by Figure 1,</w:t>
      </w:r>
      <w:r w:rsidR="0099292E" w:rsidRPr="00DF0A15">
        <w:rPr>
          <w:sz w:val="27"/>
          <w:szCs w:val="27"/>
        </w:rPr>
        <w:t xml:space="preserve"> </w:t>
      </w:r>
      <w:r w:rsidR="0099292E" w:rsidRPr="00DF0A15">
        <w:t xml:space="preserve">the number of TAs in our reference group is just over 25% in </w:t>
      </w:r>
      <w:proofErr w:type="gramStart"/>
      <w:r w:rsidR="0099292E" w:rsidRPr="00DF0A15">
        <w:t>2010;</w:t>
      </w:r>
      <w:proofErr w:type="gramEnd"/>
      <w:r w:rsidR="0099292E" w:rsidRPr="00DF0A15">
        <w:t xml:space="preserve"> decreasing steadily over time </w:t>
      </w:r>
      <w:r w:rsidR="00793771">
        <w:t>to 14% in 2016</w:t>
      </w:r>
      <w:r w:rsidR="0099292E" w:rsidRPr="00DF0A15">
        <w:t>. TAs adopting absolute caps vary considerably over time. The numbers are lowest in 2012 and 2013 at just over 31%, and peak in 2018 just over 43%. The number of TAs adopting per capita caps drops considerably between 2010 (just under 18%) and 2016 (just under 9%). Finally, the number of TAs adopting a sinking lid policy grows from 2011</w:t>
      </w:r>
      <w:r w:rsidR="00B03C2E" w:rsidRPr="00DF0A15">
        <w:t xml:space="preserve"> to 2015 (25% to 40%) and then dips to 34% by 2018.</w:t>
      </w:r>
      <w:r w:rsidR="0099292E" w:rsidRPr="00DF0A15">
        <w:t xml:space="preserve"> </w:t>
      </w:r>
    </w:p>
    <w:p w14:paraId="0350815F" w14:textId="447280AE" w:rsidR="00387FB6" w:rsidRDefault="00387FB6" w:rsidP="00222511">
      <w:pPr>
        <w:pStyle w:val="FigureTableTitle"/>
        <w:spacing w:after="0"/>
      </w:pPr>
      <w:bookmarkStart w:id="51" w:name="_Toc50034202"/>
      <w:r>
        <w:lastRenderedPageBreak/>
        <w:t xml:space="preserve">Figure </w:t>
      </w:r>
      <w:fldSimple w:instr=" SEQ Figure \* ARABIC ">
        <w:r w:rsidR="00CB2BDA">
          <w:rPr>
            <w:noProof/>
          </w:rPr>
          <w:t>1</w:t>
        </w:r>
      </w:fldSimple>
      <w:r>
        <w:t xml:space="preserve">. </w:t>
      </w:r>
      <w:r w:rsidR="00E15999">
        <w:t xml:space="preserve">Class 4 </w:t>
      </w:r>
      <w:r w:rsidR="00AD5C57">
        <w:t xml:space="preserve">gambling </w:t>
      </w:r>
      <w:r w:rsidR="00E15999">
        <w:t>policy types, by year</w:t>
      </w:r>
      <w:bookmarkEnd w:id="51"/>
    </w:p>
    <w:p w14:paraId="0CAF7D38" w14:textId="405ACD4D" w:rsidR="008162D4" w:rsidRDefault="008162D4" w:rsidP="00844130">
      <w:pPr>
        <w:jc w:val="both"/>
      </w:pPr>
      <w:r w:rsidRPr="00B5248D">
        <w:rPr>
          <w:noProof/>
        </w:rPr>
        <w:drawing>
          <wp:inline distT="0" distB="0" distL="0" distR="0" wp14:anchorId="62170C22" wp14:editId="00A8DA56">
            <wp:extent cx="5654675" cy="2819400"/>
            <wp:effectExtent l="0" t="0" r="0" b="0"/>
            <wp:docPr id="3" name="Chart 3">
              <a:extLst xmlns:a="http://schemas.openxmlformats.org/drawingml/2006/main">
                <a:ext uri="{FF2B5EF4-FFF2-40B4-BE49-F238E27FC236}">
                  <a16:creationId xmlns:a16="http://schemas.microsoft.com/office/drawing/2014/main" id="{35D0BD8E-A97B-4FCF-91E7-4A7D923EC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EFFF87" w14:textId="28E02FF7" w:rsidR="00E15999" w:rsidRPr="00B5248D" w:rsidRDefault="00E15999" w:rsidP="00844130">
      <w:pPr>
        <w:shd w:val="clear" w:color="auto" w:fill="FFFFFF" w:themeFill="background1"/>
        <w:spacing w:line="240" w:lineRule="auto"/>
        <w:jc w:val="both"/>
      </w:pPr>
      <w:r w:rsidRPr="00B5248D">
        <w:rPr>
          <w:sz w:val="18"/>
          <w:szCs w:val="18"/>
        </w:rPr>
        <w:t xml:space="preserve">Notes:  </w:t>
      </w:r>
      <w:r w:rsidR="00E21A5E">
        <w:rPr>
          <w:sz w:val="18"/>
          <w:szCs w:val="18"/>
        </w:rPr>
        <w:t>Data source</w:t>
      </w:r>
      <w:r w:rsidR="001D0AEE">
        <w:rPr>
          <w:sz w:val="18"/>
          <w:szCs w:val="18"/>
        </w:rPr>
        <w:t>d</w:t>
      </w:r>
      <w:r w:rsidR="00E21A5E">
        <w:rPr>
          <w:sz w:val="18"/>
          <w:szCs w:val="18"/>
        </w:rPr>
        <w:t xml:space="preserve"> from TAs through individual OIA requests. </w:t>
      </w:r>
      <w:r w:rsidR="00E90A48">
        <w:rPr>
          <w:sz w:val="18"/>
          <w:szCs w:val="18"/>
        </w:rPr>
        <w:t>Percentages</w:t>
      </w:r>
      <w:r>
        <w:rPr>
          <w:sz w:val="18"/>
          <w:szCs w:val="18"/>
        </w:rPr>
        <w:t xml:space="preserve"> represent the TAs policy as of the second quarter in each </w:t>
      </w:r>
      <w:r w:rsidR="0098091B">
        <w:rPr>
          <w:sz w:val="18"/>
          <w:szCs w:val="18"/>
        </w:rPr>
        <w:t>calendar</w:t>
      </w:r>
      <w:r>
        <w:rPr>
          <w:sz w:val="18"/>
          <w:szCs w:val="18"/>
        </w:rPr>
        <w:t xml:space="preserve"> year.</w:t>
      </w:r>
    </w:p>
    <w:p w14:paraId="4C29E316" w14:textId="41B43CA2" w:rsidR="002F09AF" w:rsidRDefault="002F09AF" w:rsidP="002F09AF">
      <w:pPr>
        <w:jc w:val="both"/>
        <w:rPr>
          <w:rFonts w:cstheme="minorBidi"/>
        </w:rPr>
      </w:pPr>
    </w:p>
    <w:p w14:paraId="304D808B" w14:textId="13C2B4A4" w:rsidR="004F47F3" w:rsidRPr="00DC1734" w:rsidRDefault="004F47F3" w:rsidP="00DC1734">
      <w:pPr>
        <w:rPr>
          <w:sz w:val="18"/>
          <w:szCs w:val="18"/>
        </w:rPr>
        <w:sectPr w:rsidR="004F47F3" w:rsidRPr="00DC1734" w:rsidSect="007D7E77">
          <w:pgSz w:w="11906" w:h="16838"/>
          <w:pgMar w:top="1440" w:right="1440" w:bottom="1440" w:left="1440" w:header="708" w:footer="708" w:gutter="0"/>
          <w:pgNumType w:start="1"/>
          <w:cols w:space="708"/>
          <w:docGrid w:linePitch="360"/>
        </w:sectPr>
      </w:pPr>
    </w:p>
    <w:p w14:paraId="42F3D8F0" w14:textId="6DBF81DF" w:rsidR="007762F7" w:rsidRDefault="007762F7">
      <w:pPr>
        <w:pStyle w:val="Heading1"/>
        <w:spacing w:before="0"/>
      </w:pPr>
      <w:bookmarkStart w:id="52" w:name="_Toc50033370"/>
      <w:r w:rsidRPr="00B5248D">
        <w:lastRenderedPageBreak/>
        <w:t>Method</w:t>
      </w:r>
      <w:bookmarkEnd w:id="52"/>
    </w:p>
    <w:p w14:paraId="5714CEAA" w14:textId="5EAB3006" w:rsidR="00A71DB7" w:rsidRPr="00B5248D" w:rsidRDefault="00A71DB7" w:rsidP="00FA3913">
      <w:pPr>
        <w:spacing w:after="240" w:line="312" w:lineRule="auto"/>
        <w:jc w:val="both"/>
      </w:pPr>
      <w:r w:rsidRPr="00B5248D">
        <w:t xml:space="preserve">We </w:t>
      </w:r>
      <w:r w:rsidR="00135422">
        <w:t>evaluate the</w:t>
      </w:r>
      <w:r w:rsidR="0092328D">
        <w:t xml:space="preserve"> effectiveness of</w:t>
      </w:r>
      <w:r w:rsidRPr="00B5248D">
        <w:t xml:space="preserve"> </w:t>
      </w:r>
      <w:r w:rsidR="0092328D">
        <w:t xml:space="preserve">TA-level </w:t>
      </w:r>
      <w:r w:rsidRPr="00B5248D">
        <w:t xml:space="preserve">interventions </w:t>
      </w:r>
      <w:r w:rsidR="00EF6A84">
        <w:t>using variation in</w:t>
      </w:r>
      <w:r w:rsidRPr="00B5248D">
        <w:t xml:space="preserve"> geography and </w:t>
      </w:r>
      <w:r w:rsidR="00A62C51">
        <w:t xml:space="preserve">policy </w:t>
      </w:r>
      <w:r w:rsidRPr="00B5248D">
        <w:t>tim</w:t>
      </w:r>
      <w:r w:rsidR="00A62C51">
        <w:t>ing</w:t>
      </w:r>
      <w:r w:rsidRPr="00B5248D">
        <w:t xml:space="preserve">. </w:t>
      </w:r>
      <w:r w:rsidR="00133658">
        <w:t>We</w:t>
      </w:r>
      <w:r w:rsidRPr="00B5248D">
        <w:t xml:space="preserve"> focus </w:t>
      </w:r>
      <w:r w:rsidR="00133658">
        <w:t>on</w:t>
      </w:r>
      <w:r w:rsidRPr="00B5248D">
        <w:t xml:space="preserve"> Class 4 gambling</w:t>
      </w:r>
      <w:r w:rsidR="00133658">
        <w:t>, of which</w:t>
      </w:r>
      <w:r w:rsidR="00733C35">
        <w:t xml:space="preserve"> t</w:t>
      </w:r>
      <w:r w:rsidRPr="00B5248D">
        <w:t xml:space="preserve">here are three </w:t>
      </w:r>
      <w:r w:rsidR="00133658">
        <w:t xml:space="preserve">distinct </w:t>
      </w:r>
      <w:r w:rsidRPr="00B5248D">
        <w:t>policy interventions: absolute venue and/or EGM caps</w:t>
      </w:r>
      <w:r w:rsidR="00A03A33">
        <w:t xml:space="preserve"> (AC)</w:t>
      </w:r>
      <w:r w:rsidRPr="00B5248D">
        <w:t>; per capita venue and/or EGM caps</w:t>
      </w:r>
      <w:r w:rsidR="00DC1A28">
        <w:t xml:space="preserve"> (PC)</w:t>
      </w:r>
      <w:r w:rsidRPr="00B5248D">
        <w:t>; and sinking lid policies</w:t>
      </w:r>
      <w:r w:rsidR="00DC1A28">
        <w:t xml:space="preserve"> (SL)</w:t>
      </w:r>
      <w:r w:rsidRPr="00B5248D">
        <w:t xml:space="preserve">. </w:t>
      </w:r>
      <w:r w:rsidR="00906D74">
        <w:t xml:space="preserve">Policy interventions are captured by dummy variables equal to one if the policy was in place in the </w:t>
      </w:r>
      <w:r w:rsidR="00095F88">
        <w:t xml:space="preserve">TA in a </w:t>
      </w:r>
      <w:r w:rsidR="00906D74">
        <w:t>particular year, and zero otherwise.</w:t>
      </w:r>
      <w:r w:rsidR="00BC2785">
        <w:t xml:space="preserve"> </w:t>
      </w:r>
      <w:r w:rsidRPr="00B5248D">
        <w:t>The reference group</w:t>
      </w:r>
      <w:r w:rsidRPr="00B5248D" w:rsidDel="005B2026">
        <w:t xml:space="preserve"> </w:t>
      </w:r>
      <w:r w:rsidR="005B2026">
        <w:t>are</w:t>
      </w:r>
      <w:r w:rsidRPr="00B5248D">
        <w:t xml:space="preserve"> TAs that did not impose any additional restrictions on Class 4 gambling beyond</w:t>
      </w:r>
      <w:r w:rsidR="00733C35">
        <w:t xml:space="preserve"> baseline restrictions set forth in the Act</w:t>
      </w:r>
      <w:r w:rsidRPr="00B5248D">
        <w:t>.</w:t>
      </w:r>
    </w:p>
    <w:p w14:paraId="65C732A7" w14:textId="2759492D" w:rsidR="00A71DB7" w:rsidRPr="00B5248D" w:rsidRDefault="00A71DB7" w:rsidP="00FA3913">
      <w:pPr>
        <w:spacing w:after="240" w:line="312" w:lineRule="auto"/>
        <w:jc w:val="both"/>
      </w:pPr>
      <w:r w:rsidRPr="00B5248D">
        <w:t>The econometric model may be expressed as:</w:t>
      </w:r>
    </w:p>
    <w:p w14:paraId="2F5C87CC" w14:textId="756F22CE" w:rsidR="00A71DB7" w:rsidRPr="00B5248D" w:rsidRDefault="00C11F4F" w:rsidP="004315C5">
      <w:pPr>
        <w:spacing w:after="240" w:line="312" w:lineRule="auto"/>
        <w:ind w:left="720"/>
        <w:jc w:val="both"/>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AC</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AC</m:t>
              </m:r>
            </m:e>
            <m:sub>
              <m:r>
                <w:rPr>
                  <w:rFonts w:ascii="Cambria Math" w:hAnsi="Cambria Math"/>
                  <w:sz w:val="24"/>
                  <w:szCs w:val="24"/>
                </w:rPr>
                <m:t>i, 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3</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PC</m:t>
              </m:r>
            </m:e>
            <m:sub>
              <m:r>
                <w:rPr>
                  <w:rFonts w:ascii="Cambria Math" w:eastAsiaTheme="minorEastAsia" w:hAnsi="Cambria Math"/>
                  <w:sz w:val="24"/>
                  <w:szCs w:val="24"/>
                </w:rPr>
                <m:t>i,t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4</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PC</m:t>
              </m:r>
            </m:e>
            <m:sub>
              <m:r>
                <w:rPr>
                  <w:rFonts w:ascii="Cambria Math" w:eastAsiaTheme="minorEastAsia" w:hAnsi="Cambria Math"/>
                  <w:sz w:val="24"/>
                  <w:szCs w:val="24"/>
                </w:rPr>
                <m:t>i,t-1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5</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SL</m:t>
              </m:r>
            </m:e>
            <m:sub>
              <m:r>
                <w:rPr>
                  <w:rFonts w:ascii="Cambria Math" w:eastAsiaTheme="minorEastAsia" w:hAnsi="Cambria Math"/>
                  <w:sz w:val="24"/>
                  <w:szCs w:val="24"/>
                </w:rPr>
                <m:t>i,t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6</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SL</m:t>
              </m:r>
            </m:e>
            <m:sub>
              <m:r>
                <w:rPr>
                  <w:rFonts w:ascii="Cambria Math" w:eastAsiaTheme="minorEastAsia" w:hAnsi="Cambria Math"/>
                  <w:sz w:val="24"/>
                  <w:szCs w:val="24"/>
                </w:rPr>
                <m:t>i,t-1</m:t>
              </m:r>
            </m:sub>
          </m:sSub>
          <m:r>
            <w:rPr>
              <w:rFonts w:ascii="Cambria Math" w:eastAsiaTheme="minorEastAsia" w:hAnsi="Cambria Math"/>
              <w:sz w:val="24"/>
              <w:szCs w:val="24"/>
            </w:rPr>
            <m:t>+</m:t>
          </m:r>
          <m:r>
            <m:rPr>
              <m:sty m:val="bi"/>
            </m:rPr>
            <w:rPr>
              <w:rFonts w:ascii="Cambria Math" w:eastAsiaTheme="minorEastAsia" w:hAnsi="Cambria Math"/>
              <w:sz w:val="24"/>
              <w:szCs w:val="24"/>
            </w:rPr>
            <m:t>Xθ</m:t>
          </m:r>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δ</m:t>
              </m:r>
            </m:e>
            <m:sub>
              <m:r>
                <w:rPr>
                  <w:rFonts w:ascii="Cambria Math" w:eastAsiaTheme="minorEastAsia" w:hAnsi="Cambria Math"/>
                  <w:sz w:val="24"/>
                  <w:szCs w:val="24"/>
                </w:rPr>
                <m:t>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δ</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 xml:space="preserve">it               </m:t>
              </m:r>
            </m:sub>
          </m:sSub>
          <m:r>
            <w:rPr>
              <w:rFonts w:ascii="Cambria Math" w:eastAsiaTheme="minorEastAsia" w:hAnsi="Cambria Math"/>
              <w:sz w:val="24"/>
              <w:szCs w:val="24"/>
            </w:rPr>
            <m:t xml:space="preserve">                                                                                                  (1)</m:t>
          </m:r>
        </m:oMath>
      </m:oMathPara>
    </w:p>
    <w:p w14:paraId="609AD611" w14:textId="2DAEDDC5" w:rsidR="00A71DB7" w:rsidRPr="00B5248D" w:rsidRDefault="00733C35" w:rsidP="00FA3913">
      <w:pPr>
        <w:spacing w:after="240" w:line="312" w:lineRule="auto"/>
        <w:jc w:val="both"/>
      </w:pPr>
      <w:r>
        <w:t>w</w:t>
      </w:r>
      <w:r w:rsidR="00A71DB7" w:rsidRPr="00B5248D">
        <w:t xml:space="preserve">here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it</m:t>
            </m:r>
          </m:sub>
        </m:sSub>
      </m:oMath>
      <w:r w:rsidR="00A71DB7" w:rsidRPr="00B5248D">
        <w:t xml:space="preserve"> is an outcome for </w:t>
      </w:r>
      <w:r w:rsidR="003015DB">
        <w:t>TA</w:t>
      </w:r>
      <w:r w:rsidR="00A71DB7" w:rsidRPr="00B5248D">
        <w:t xml:space="preserve"> </w:t>
      </w:r>
      <w:proofErr w:type="spellStart"/>
      <w:r w:rsidR="00A71DB7" w:rsidRPr="00DC1734">
        <w:rPr>
          <w:i/>
          <w:iCs/>
        </w:rPr>
        <w:t>i</w:t>
      </w:r>
      <w:proofErr w:type="spellEnd"/>
      <w:r w:rsidR="00A71DB7" w:rsidRPr="00B5248D">
        <w:t xml:space="preserve"> in year </w:t>
      </w:r>
      <w:proofErr w:type="gramStart"/>
      <w:r w:rsidR="00A71DB7" w:rsidRPr="00DC1734">
        <w:rPr>
          <w:i/>
          <w:iCs/>
        </w:rPr>
        <w:t>t</w:t>
      </w:r>
      <w:r w:rsidR="00A71DB7" w:rsidRPr="00B5248D">
        <w:t>.</w:t>
      </w:r>
      <w:proofErr w:type="gramEnd"/>
      <w:r w:rsidR="00A71DB7" w:rsidRPr="00B5248D">
        <w:t xml:space="preserve"> Three </w:t>
      </w:r>
      <w:r w:rsidR="003015DB">
        <w:t xml:space="preserve">direct </w:t>
      </w:r>
      <w:r w:rsidR="00A71DB7" w:rsidRPr="00B5248D">
        <w:t xml:space="preserve">outcomes of interest are </w:t>
      </w:r>
      <w:r w:rsidR="003015DB">
        <w:t xml:space="preserve">examined—the </w:t>
      </w:r>
      <w:r w:rsidRPr="00B5248D">
        <w:t>number</w:t>
      </w:r>
      <w:r>
        <w:t xml:space="preserve"> </w:t>
      </w:r>
      <w:r w:rsidRPr="00B5248D">
        <w:t>of</w:t>
      </w:r>
      <w:r w:rsidR="00A71DB7" w:rsidRPr="00B5248D">
        <w:t xml:space="preserve"> </w:t>
      </w:r>
      <w:r w:rsidR="003015DB">
        <w:t xml:space="preserve">Class 4 </w:t>
      </w:r>
      <w:r w:rsidR="00A71DB7" w:rsidRPr="00B5248D">
        <w:t xml:space="preserve">venues; </w:t>
      </w:r>
      <w:r w:rsidR="003015DB">
        <w:t xml:space="preserve">the </w:t>
      </w:r>
      <w:r w:rsidR="00A71DB7" w:rsidRPr="00B5248D">
        <w:t>number of EGMs</w:t>
      </w:r>
      <w:r w:rsidR="003015DB">
        <w:t>;</w:t>
      </w:r>
      <w:r w:rsidR="00A71DB7" w:rsidRPr="00B5248D">
        <w:t xml:space="preserve"> and </w:t>
      </w:r>
      <w:r w:rsidR="00C63A7C">
        <w:t>machine spending</w:t>
      </w:r>
      <w:r w:rsidR="00A71DB7" w:rsidRPr="00B5248D">
        <w:t xml:space="preserve">. </w:t>
      </w:r>
    </w:p>
    <w:p w14:paraId="2F1331F4" w14:textId="246B0340" w:rsidR="00112042" w:rsidRPr="00112042" w:rsidRDefault="00A71DB7" w:rsidP="00112042">
      <w:pPr>
        <w:spacing w:after="240" w:line="312" w:lineRule="auto"/>
        <w:jc w:val="both"/>
      </w:pPr>
      <w:r w:rsidRPr="00B5248D">
        <w:t xml:space="preserve">To capture the impact of varying policy interventions at the TA-level, we use a difference-in-differences </w:t>
      </w:r>
      <w:r w:rsidR="003015DB">
        <w:t>approach</w:t>
      </w:r>
      <w:r w:rsidRPr="00B5248D">
        <w:t xml:space="preserve">. </w:t>
      </w:r>
      <w:r w:rsidRPr="003015DB">
        <w:rPr>
          <w:b/>
          <w:bCs/>
          <w:i/>
          <w:iCs/>
        </w:rPr>
        <w:t>X</w:t>
      </w:r>
      <w:r w:rsidRPr="00B5248D">
        <w:t xml:space="preserve"> is a vector of demographic controls which includes ethnicity, age, and gender composition.  </w:t>
      </w:r>
      <w:r w:rsidRPr="005F7F74">
        <w:rPr>
          <w:b/>
          <w:bCs/>
          <w:i/>
          <w:iCs/>
        </w:rPr>
        <w:t>X</w:t>
      </w:r>
      <w:r w:rsidRPr="00DF7380">
        <w:t xml:space="preserve"> also includes</w:t>
      </w:r>
      <w:r w:rsidR="00D448A3" w:rsidRPr="005F7F74">
        <w:t xml:space="preserve"> the deprivation level</w:t>
      </w:r>
      <w:r w:rsidRPr="005F7F74">
        <w:t xml:space="preserve"> </w:t>
      </w:r>
      <w:r w:rsidRPr="00DF7380">
        <w:t>over the sample period</w:t>
      </w:r>
      <w:r w:rsidRPr="00B5248D">
        <w:t xml:space="preserve"> to help capture </w:t>
      </w:r>
      <w:r w:rsidR="005F7F74">
        <w:t>socio-economic status</w:t>
      </w:r>
      <w:r w:rsidRPr="00B5248D">
        <w:t xml:space="preserve"> at the </w:t>
      </w:r>
      <w:r w:rsidR="003015DB">
        <w:t>TA</w:t>
      </w:r>
      <w:r w:rsidRPr="00B5248D">
        <w:t>-level</w:t>
      </w:r>
      <w:r w:rsidR="00FD253F">
        <w:t>, as well as annual GDP growth rates at the TA-level</w:t>
      </w:r>
      <w:r w:rsidRPr="00B5248D">
        <w:t xml:space="preserve">.  One-year lags are included to estimate the delayed effect of policies on outcomes.  Summing the contemporaneous and lagged impacts of each policy intervention provides an estimate of the cumulative impact in the first two years.  </w:t>
      </w:r>
      <w:r w:rsidR="00B9721C" w:rsidRPr="00DF7380">
        <w:t>TA</w:t>
      </w:r>
      <w:r w:rsidR="00B9721C" w:rsidRPr="00B5248D">
        <w:t xml:space="preserve"> </w:t>
      </w:r>
      <w:r w:rsidRPr="00B5248D">
        <w:t xml:space="preserve">and </w:t>
      </w:r>
      <w:r w:rsidR="003015DB">
        <w:t>year</w:t>
      </w:r>
      <w:r w:rsidRPr="00B5248D">
        <w:t xml:space="preserve"> fixed effects remove time-invariant factors which affect gambling behaviour within each </w:t>
      </w:r>
      <w:r w:rsidR="003015DB">
        <w:t>TA</w:t>
      </w:r>
      <w:r w:rsidRPr="00B5248D">
        <w:t xml:space="preserve">.  An idiosyncratic error term,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it</m:t>
            </m:r>
          </m:sub>
        </m:sSub>
      </m:oMath>
      <w:r w:rsidRPr="00B5248D">
        <w:t xml:space="preserve">, </w:t>
      </w:r>
      <w:r w:rsidR="00733C35">
        <w:t>captures all other factors which are not taken account of in the model</w:t>
      </w:r>
      <w:r w:rsidRPr="00B5248D">
        <w:t>.</w:t>
      </w:r>
    </w:p>
    <w:p w14:paraId="36B01298" w14:textId="3F241F62" w:rsidR="004756B6" w:rsidRDefault="00E0138F" w:rsidP="00FA3913">
      <w:pPr>
        <w:spacing w:after="240" w:line="312" w:lineRule="auto"/>
        <w:jc w:val="both"/>
      </w:pPr>
      <w:r>
        <w:t xml:space="preserve">Because </w:t>
      </w:r>
      <w:r w:rsidR="002506B0">
        <w:t>data are naturally clustered into TA</w:t>
      </w:r>
      <w:r w:rsidR="00FF2911">
        <w:t>s</w:t>
      </w:r>
      <w:r w:rsidR="00664EF6">
        <w:t xml:space="preserve">, </w:t>
      </w:r>
      <w:r w:rsidR="00617A84">
        <w:t xml:space="preserve">ignoring </w:t>
      </w:r>
      <w:r w:rsidR="00286A1C">
        <w:t xml:space="preserve">this feature will result in </w:t>
      </w:r>
      <w:r w:rsidR="00510696">
        <w:t>standard errors that are misleadingly small</w:t>
      </w:r>
      <w:r w:rsidR="00B13A25">
        <w:t xml:space="preserve"> and </w:t>
      </w:r>
      <w:r w:rsidR="009C78DC">
        <w:t>confidence intervals that are too narrow</w:t>
      </w:r>
      <w:r w:rsidR="00B13A25">
        <w:t xml:space="preserve">. As a result, </w:t>
      </w:r>
      <w:r w:rsidR="00BE2F66">
        <w:t xml:space="preserve">estimates would appear </w:t>
      </w:r>
      <w:r w:rsidR="008906AC">
        <w:t xml:space="preserve">more precise than they </w:t>
      </w:r>
      <w:r w:rsidR="002313EE">
        <w:t>are</w:t>
      </w:r>
      <w:r w:rsidR="008906AC">
        <w:t xml:space="preserve">. To </w:t>
      </w:r>
      <w:r w:rsidR="00C7026F">
        <w:t xml:space="preserve">obtain the correct standard errors we </w:t>
      </w:r>
      <w:r w:rsidR="00F4393E">
        <w:t xml:space="preserve">conduct inference using </w:t>
      </w:r>
      <w:r w:rsidR="008C2EF2">
        <w:t>bootstrap</w:t>
      </w:r>
      <w:r w:rsidR="00685C4B">
        <w:t>ped cluster</w:t>
      </w:r>
      <w:r w:rsidR="00D86C79">
        <w:t>ing (see Cameron</w:t>
      </w:r>
      <w:r w:rsidR="00FA1821">
        <w:t xml:space="preserve"> and Miller, 2015</w:t>
      </w:r>
      <w:r w:rsidR="00A2303E">
        <w:t xml:space="preserve">, and MacKinnon, 2019 </w:t>
      </w:r>
      <w:r w:rsidR="002313EE">
        <w:t>for details).</w:t>
      </w:r>
    </w:p>
    <w:p w14:paraId="123445A5" w14:textId="2C22A120" w:rsidR="00866E56" w:rsidRDefault="00866E56" w:rsidP="00A71DB7"/>
    <w:p w14:paraId="79357360" w14:textId="77777777" w:rsidR="00866E56" w:rsidRPr="00DC1734" w:rsidRDefault="00866E56" w:rsidP="00866E56">
      <w:pPr>
        <w:pStyle w:val="Sensebody"/>
        <w:rPr>
          <w:rFonts w:asciiTheme="majorHAnsi" w:hAnsiTheme="majorHAnsi" w:cstheme="majorHAnsi"/>
          <w:color w:val="000000"/>
          <w:sz w:val="22"/>
          <w:szCs w:val="22"/>
        </w:rPr>
      </w:pPr>
    </w:p>
    <w:p w14:paraId="3AFE7FB8" w14:textId="77777777" w:rsidR="00866E56" w:rsidRPr="00F07243" w:rsidRDefault="00866E56" w:rsidP="00DC1734"/>
    <w:p w14:paraId="72F922CC" w14:textId="5458AA3B" w:rsidR="006D3221" w:rsidRDefault="00236DA1" w:rsidP="0056170B">
      <w:pPr>
        <w:pStyle w:val="Heading1"/>
        <w:spacing w:before="0"/>
        <w:ind w:left="431" w:hanging="431"/>
        <w:rPr>
          <w:lang w:eastAsia="en-NZ"/>
        </w:rPr>
      </w:pPr>
      <w:bookmarkStart w:id="53" w:name="_Toc39387501"/>
      <w:bookmarkStart w:id="54" w:name="_Toc39508549"/>
      <w:bookmarkStart w:id="55" w:name="_Toc39574644"/>
      <w:bookmarkStart w:id="56" w:name="_Toc39387520"/>
      <w:bookmarkStart w:id="57" w:name="_Toc39508568"/>
      <w:bookmarkStart w:id="58" w:name="_Toc39574663"/>
      <w:bookmarkStart w:id="59" w:name="_Toc39387532"/>
      <w:bookmarkStart w:id="60" w:name="_Toc39508580"/>
      <w:bookmarkStart w:id="61" w:name="_Toc39574675"/>
      <w:bookmarkStart w:id="62" w:name="_Toc39387544"/>
      <w:bookmarkStart w:id="63" w:name="_Toc39508592"/>
      <w:bookmarkStart w:id="64" w:name="_Toc39574687"/>
      <w:bookmarkStart w:id="65" w:name="_Toc39387610"/>
      <w:bookmarkStart w:id="66" w:name="_Toc39508658"/>
      <w:bookmarkStart w:id="67" w:name="_Toc39574753"/>
      <w:bookmarkStart w:id="68" w:name="_Toc39387622"/>
      <w:bookmarkStart w:id="69" w:name="_Toc39508670"/>
      <w:bookmarkStart w:id="70" w:name="_Toc39574765"/>
      <w:bookmarkStart w:id="71" w:name="_Toc39387623"/>
      <w:bookmarkStart w:id="72" w:name="_Toc39508671"/>
      <w:bookmarkStart w:id="73" w:name="_Toc39574766"/>
      <w:bookmarkStart w:id="74" w:name="_Toc39387624"/>
      <w:bookmarkStart w:id="75" w:name="_Toc39508672"/>
      <w:bookmarkStart w:id="76" w:name="_Toc39574767"/>
      <w:bookmarkStart w:id="77" w:name="_Toc39387625"/>
      <w:bookmarkStart w:id="78" w:name="_Toc39508673"/>
      <w:bookmarkStart w:id="79" w:name="_Toc39574768"/>
      <w:bookmarkStart w:id="80" w:name="_Toc39387626"/>
      <w:bookmarkStart w:id="81" w:name="_Toc39508674"/>
      <w:bookmarkStart w:id="82" w:name="_Toc39574769"/>
      <w:bookmarkStart w:id="83" w:name="_Toc39387627"/>
      <w:bookmarkStart w:id="84" w:name="_Toc39508675"/>
      <w:bookmarkStart w:id="85" w:name="_Toc39574770"/>
      <w:bookmarkStart w:id="86" w:name="_Toc39387628"/>
      <w:bookmarkStart w:id="87" w:name="_Toc39508676"/>
      <w:bookmarkStart w:id="88" w:name="_Toc39574771"/>
      <w:bookmarkStart w:id="89" w:name="_Toc39387629"/>
      <w:bookmarkStart w:id="90" w:name="_Toc39508677"/>
      <w:bookmarkStart w:id="91" w:name="_Toc39574772"/>
      <w:bookmarkStart w:id="92" w:name="_Toc39387630"/>
      <w:bookmarkStart w:id="93" w:name="_Toc39508678"/>
      <w:bookmarkStart w:id="94" w:name="_Toc39574773"/>
      <w:bookmarkStart w:id="95" w:name="_Toc39387650"/>
      <w:bookmarkStart w:id="96" w:name="_Toc39508698"/>
      <w:bookmarkStart w:id="97" w:name="_Toc39574793"/>
      <w:bookmarkStart w:id="98" w:name="_Toc39387660"/>
      <w:bookmarkStart w:id="99" w:name="_Toc39508708"/>
      <w:bookmarkStart w:id="100" w:name="_Toc39574803"/>
      <w:bookmarkStart w:id="101" w:name="_Toc39387670"/>
      <w:bookmarkStart w:id="102" w:name="_Toc39508718"/>
      <w:bookmarkStart w:id="103" w:name="_Toc39574813"/>
      <w:bookmarkStart w:id="104" w:name="_Toc39387680"/>
      <w:bookmarkStart w:id="105" w:name="_Toc39508728"/>
      <w:bookmarkStart w:id="106" w:name="_Toc39574823"/>
      <w:bookmarkStart w:id="107" w:name="_Toc39387690"/>
      <w:bookmarkStart w:id="108" w:name="_Toc39508738"/>
      <w:bookmarkStart w:id="109" w:name="_Toc39574833"/>
      <w:bookmarkStart w:id="110" w:name="_Toc39387700"/>
      <w:bookmarkStart w:id="111" w:name="_Toc39508748"/>
      <w:bookmarkStart w:id="112" w:name="_Toc39574843"/>
      <w:bookmarkStart w:id="113" w:name="_Toc39387715"/>
      <w:bookmarkStart w:id="114" w:name="_Toc39508763"/>
      <w:bookmarkStart w:id="115" w:name="_Toc39574858"/>
      <w:bookmarkStart w:id="116" w:name="_Toc39387725"/>
      <w:bookmarkStart w:id="117" w:name="_Toc39508773"/>
      <w:bookmarkStart w:id="118" w:name="_Toc39574868"/>
      <w:bookmarkStart w:id="119" w:name="_Toc39387735"/>
      <w:bookmarkStart w:id="120" w:name="_Toc39508783"/>
      <w:bookmarkStart w:id="121" w:name="_Toc39574878"/>
      <w:bookmarkStart w:id="122" w:name="_Toc39387745"/>
      <w:bookmarkStart w:id="123" w:name="_Toc39508793"/>
      <w:bookmarkStart w:id="124" w:name="_Toc39574888"/>
      <w:bookmarkStart w:id="125" w:name="_Toc39387755"/>
      <w:bookmarkStart w:id="126" w:name="_Toc39508803"/>
      <w:bookmarkStart w:id="127" w:name="_Toc39574898"/>
      <w:bookmarkStart w:id="128" w:name="_Toc39387765"/>
      <w:bookmarkStart w:id="129" w:name="_Toc39508813"/>
      <w:bookmarkStart w:id="130" w:name="_Toc39574908"/>
      <w:bookmarkStart w:id="131" w:name="_Toc39387775"/>
      <w:bookmarkStart w:id="132" w:name="_Toc39508823"/>
      <w:bookmarkStart w:id="133" w:name="_Toc39574918"/>
      <w:bookmarkStart w:id="134" w:name="_Toc39387785"/>
      <w:bookmarkStart w:id="135" w:name="_Toc39508833"/>
      <w:bookmarkStart w:id="136" w:name="_Toc39574928"/>
      <w:bookmarkStart w:id="137" w:name="_Toc39387795"/>
      <w:bookmarkStart w:id="138" w:name="_Toc39508843"/>
      <w:bookmarkStart w:id="139" w:name="_Toc39574938"/>
      <w:bookmarkStart w:id="140" w:name="_Toc39387810"/>
      <w:bookmarkStart w:id="141" w:name="_Toc39508858"/>
      <w:bookmarkStart w:id="142" w:name="_Toc39574953"/>
      <w:bookmarkStart w:id="143" w:name="_Toc39387811"/>
      <w:bookmarkStart w:id="144" w:name="_Toc39508859"/>
      <w:bookmarkStart w:id="145" w:name="_Toc39574954"/>
      <w:bookmarkStart w:id="146" w:name="_Toc39387812"/>
      <w:bookmarkStart w:id="147" w:name="_Toc39508860"/>
      <w:bookmarkStart w:id="148" w:name="_Toc39574955"/>
      <w:bookmarkStart w:id="149" w:name="_Toc39387813"/>
      <w:bookmarkStart w:id="150" w:name="_Toc39508861"/>
      <w:bookmarkStart w:id="151" w:name="_Toc39574956"/>
      <w:bookmarkStart w:id="152" w:name="_Toc39387830"/>
      <w:bookmarkStart w:id="153" w:name="_Toc39508878"/>
      <w:bookmarkStart w:id="154" w:name="_Toc39574973"/>
      <w:bookmarkStart w:id="155" w:name="_Toc39387894"/>
      <w:bookmarkStart w:id="156" w:name="_Toc39508942"/>
      <w:bookmarkStart w:id="157" w:name="_Toc39575037"/>
      <w:bookmarkStart w:id="158" w:name="_Toc39387895"/>
      <w:bookmarkStart w:id="159" w:name="_Toc39508943"/>
      <w:bookmarkStart w:id="160" w:name="_Toc39575038"/>
      <w:bookmarkStart w:id="161" w:name="_Toc39387896"/>
      <w:bookmarkStart w:id="162" w:name="_Toc39508944"/>
      <w:bookmarkStart w:id="163" w:name="_Toc39575039"/>
      <w:bookmarkStart w:id="164" w:name="_Toc39387897"/>
      <w:bookmarkStart w:id="165" w:name="_Toc39508945"/>
      <w:bookmarkStart w:id="166" w:name="_Toc39575040"/>
      <w:bookmarkStart w:id="167" w:name="_Toc39387898"/>
      <w:bookmarkStart w:id="168" w:name="_Toc39508946"/>
      <w:bookmarkStart w:id="169" w:name="_Toc39575041"/>
      <w:bookmarkStart w:id="170" w:name="_Toc39387899"/>
      <w:bookmarkStart w:id="171" w:name="_Toc39508947"/>
      <w:bookmarkStart w:id="172" w:name="_Toc39575042"/>
      <w:bookmarkStart w:id="173" w:name="_Toc39387900"/>
      <w:bookmarkStart w:id="174" w:name="_Toc39508948"/>
      <w:bookmarkStart w:id="175" w:name="_Toc39575043"/>
      <w:bookmarkStart w:id="176" w:name="_Toc39387901"/>
      <w:bookmarkStart w:id="177" w:name="_Toc39508949"/>
      <w:bookmarkStart w:id="178" w:name="_Toc39575044"/>
      <w:bookmarkStart w:id="179" w:name="_Toc39387902"/>
      <w:bookmarkStart w:id="180" w:name="_Toc39508950"/>
      <w:bookmarkStart w:id="181" w:name="_Toc39575045"/>
      <w:bookmarkStart w:id="182" w:name="_Toc39387903"/>
      <w:bookmarkStart w:id="183" w:name="_Toc39508951"/>
      <w:bookmarkStart w:id="184" w:name="_Toc39575046"/>
      <w:bookmarkStart w:id="185" w:name="_Toc39387910"/>
      <w:bookmarkStart w:id="186" w:name="_Toc39508958"/>
      <w:bookmarkStart w:id="187" w:name="_Toc39575053"/>
      <w:bookmarkStart w:id="188" w:name="_Toc50033371"/>
      <w:bookmarkStart w:id="189" w:name="_Hlk4098717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DC1734">
        <w:rPr>
          <w:lang w:eastAsia="en-NZ"/>
        </w:rPr>
        <w:lastRenderedPageBreak/>
        <w:t>R</w:t>
      </w:r>
      <w:r w:rsidR="00665C90" w:rsidRPr="00DC1734">
        <w:rPr>
          <w:lang w:eastAsia="en-NZ"/>
        </w:rPr>
        <w:t>esults</w:t>
      </w:r>
      <w:bookmarkEnd w:id="188"/>
    </w:p>
    <w:bookmarkEnd w:id="189"/>
    <w:p w14:paraId="0F510EC7" w14:textId="795F4328" w:rsidR="00550D81" w:rsidRPr="00550D81" w:rsidRDefault="00E3606E" w:rsidP="00FA3913">
      <w:pPr>
        <w:spacing w:after="240" w:line="312" w:lineRule="auto"/>
        <w:jc w:val="both"/>
        <w:rPr>
          <w:lang w:eastAsia="en-NZ"/>
        </w:rPr>
      </w:pPr>
      <w:r>
        <w:rPr>
          <w:lang w:eastAsia="en-NZ"/>
        </w:rPr>
        <w:t xml:space="preserve">Table </w:t>
      </w:r>
      <w:r w:rsidR="002F722E">
        <w:rPr>
          <w:lang w:eastAsia="en-NZ"/>
        </w:rPr>
        <w:t>4</w:t>
      </w:r>
      <w:r>
        <w:rPr>
          <w:lang w:eastAsia="en-NZ"/>
        </w:rPr>
        <w:t xml:space="preserve"> presents </w:t>
      </w:r>
      <w:r w:rsidR="00732F1F">
        <w:rPr>
          <w:lang w:eastAsia="en-NZ"/>
        </w:rPr>
        <w:t>model estimates</w:t>
      </w:r>
      <w:r w:rsidR="00E04D9C">
        <w:rPr>
          <w:lang w:eastAsia="en-NZ"/>
        </w:rPr>
        <w:t xml:space="preserve"> for our three outcomes of interest</w:t>
      </w:r>
      <w:r>
        <w:rPr>
          <w:lang w:eastAsia="en-NZ"/>
        </w:rPr>
        <w:t xml:space="preserve">. </w:t>
      </w:r>
      <w:r w:rsidR="00550D81" w:rsidRPr="00550D81">
        <w:rPr>
          <w:lang w:eastAsia="en-NZ"/>
        </w:rPr>
        <w:t>There is evidence of effectiveness across all three forms of policy intervention (absolute cap, per capita cap, and sinking lid) of reducing venues and EGMs relative to the reference group.</w:t>
      </w:r>
      <w:r w:rsidR="00122B5F">
        <w:rPr>
          <w:lang w:eastAsia="en-NZ"/>
        </w:rPr>
        <w:t xml:space="preserve"> </w:t>
      </w:r>
      <w:r w:rsidR="00550D81" w:rsidRPr="00550D81">
        <w:rPr>
          <w:lang w:eastAsia="en-NZ"/>
        </w:rPr>
        <w:t xml:space="preserve">For example, as shown in column (1) of Table </w:t>
      </w:r>
      <w:r w:rsidR="002F722E">
        <w:rPr>
          <w:lang w:eastAsia="en-NZ"/>
        </w:rPr>
        <w:t>4</w:t>
      </w:r>
      <w:r w:rsidR="00550D81" w:rsidRPr="00550D81">
        <w:rPr>
          <w:lang w:eastAsia="en-NZ"/>
        </w:rPr>
        <w:t xml:space="preserve">, the impact </w:t>
      </w:r>
      <w:r w:rsidR="0083067B">
        <w:rPr>
          <w:lang w:eastAsia="en-NZ"/>
        </w:rPr>
        <w:t>of</w:t>
      </w:r>
      <w:r w:rsidR="003707C2">
        <w:rPr>
          <w:lang w:eastAsia="en-NZ"/>
        </w:rPr>
        <w:t xml:space="preserve"> </w:t>
      </w:r>
      <w:r w:rsidR="00550D81" w:rsidRPr="00550D81">
        <w:rPr>
          <w:lang w:eastAsia="en-NZ"/>
        </w:rPr>
        <w:t xml:space="preserve">an absolute </w:t>
      </w:r>
      <w:r w:rsidR="00550D81" w:rsidRPr="00BB2AAC">
        <w:rPr>
          <w:lang w:eastAsia="en-NZ"/>
        </w:rPr>
        <w:t xml:space="preserve">cap policy </w:t>
      </w:r>
      <w:r w:rsidR="0083067B" w:rsidRPr="00BB2AAC">
        <w:rPr>
          <w:lang w:eastAsia="en-NZ"/>
        </w:rPr>
        <w:t>(relative to the reference group)</w:t>
      </w:r>
      <w:r w:rsidR="00550D81" w:rsidRPr="00BB2AAC">
        <w:rPr>
          <w:lang w:eastAsia="en-NZ"/>
        </w:rPr>
        <w:t xml:space="preserve"> is a drop of 6</w:t>
      </w:r>
      <w:r w:rsidR="00BB702F" w:rsidRPr="00BB2AAC">
        <w:rPr>
          <w:lang w:eastAsia="en-NZ"/>
        </w:rPr>
        <w:t>7</w:t>
      </w:r>
      <w:r w:rsidR="00550D81" w:rsidRPr="00BB2AAC">
        <w:rPr>
          <w:lang w:eastAsia="en-NZ"/>
        </w:rPr>
        <w:t xml:space="preserve"> EGMs and approximately 7 venues (per 100,000 population) over one </w:t>
      </w:r>
      <w:r w:rsidR="00550D81" w:rsidRPr="00A5078A">
        <w:rPr>
          <w:lang w:eastAsia="en-NZ"/>
        </w:rPr>
        <w:t>year. This equates to a 1</w:t>
      </w:r>
      <w:r w:rsidR="0023694F" w:rsidRPr="00A5078A">
        <w:rPr>
          <w:lang w:eastAsia="en-NZ"/>
        </w:rPr>
        <w:t>5</w:t>
      </w:r>
      <w:r w:rsidR="00550D81" w:rsidRPr="00A5078A">
        <w:rPr>
          <w:lang w:eastAsia="en-NZ"/>
        </w:rPr>
        <w:t xml:space="preserve"> percent drop in EGMs and a 16.</w:t>
      </w:r>
      <w:r w:rsidR="003B198F" w:rsidRPr="00A5078A">
        <w:rPr>
          <w:lang w:eastAsia="en-NZ"/>
        </w:rPr>
        <w:t>9</w:t>
      </w:r>
      <w:r w:rsidR="00550D81" w:rsidRPr="00A5078A">
        <w:rPr>
          <w:lang w:eastAsia="en-NZ"/>
        </w:rPr>
        <w:t xml:space="preserve"> percent drop in venues, per</w:t>
      </w:r>
      <w:r w:rsidR="00550D81" w:rsidRPr="00BB2AAC">
        <w:rPr>
          <w:lang w:eastAsia="en-NZ"/>
        </w:rPr>
        <w:t xml:space="preserve"> 100,000 population. In terms of magnitude, numbers are marginally larger for the per capita cap</w:t>
      </w:r>
      <w:r w:rsidR="00550D81" w:rsidRPr="00550D81">
        <w:rPr>
          <w:lang w:eastAsia="en-NZ"/>
        </w:rPr>
        <w:t xml:space="preserve"> policy (</w:t>
      </w:r>
      <w:r w:rsidR="00B4651D">
        <w:rPr>
          <w:lang w:eastAsia="en-NZ"/>
        </w:rPr>
        <w:t>8</w:t>
      </w:r>
      <w:r w:rsidR="000725D0">
        <w:rPr>
          <w:lang w:eastAsia="en-NZ"/>
        </w:rPr>
        <w:t>5</w:t>
      </w:r>
      <w:r w:rsidR="00550D81" w:rsidRPr="00550D81">
        <w:rPr>
          <w:lang w:eastAsia="en-NZ"/>
        </w:rPr>
        <w:t xml:space="preserve"> machines and 8 venues respectively), and lower for the sinking lid policy (3</w:t>
      </w:r>
      <w:r w:rsidR="001355F2">
        <w:rPr>
          <w:lang w:eastAsia="en-NZ"/>
        </w:rPr>
        <w:t>6</w:t>
      </w:r>
      <w:r w:rsidR="00550D81" w:rsidRPr="00550D81">
        <w:rPr>
          <w:lang w:eastAsia="en-NZ"/>
        </w:rPr>
        <w:t xml:space="preserve"> machines and 4 venues respectively).</w:t>
      </w:r>
      <w:r w:rsidR="004F5CA6">
        <w:rPr>
          <w:lang w:eastAsia="en-NZ"/>
        </w:rPr>
        <w:t xml:space="preserve"> </w:t>
      </w:r>
      <w:r w:rsidR="007B5703">
        <w:rPr>
          <w:lang w:eastAsia="en-NZ"/>
        </w:rPr>
        <w:t xml:space="preserve">As shown in </w:t>
      </w:r>
      <w:r w:rsidR="00D072D8">
        <w:rPr>
          <w:lang w:eastAsia="en-NZ"/>
        </w:rPr>
        <w:t xml:space="preserve">Table </w:t>
      </w:r>
      <w:r w:rsidR="00CA29A0">
        <w:rPr>
          <w:lang w:eastAsia="en-NZ"/>
        </w:rPr>
        <w:t>4</w:t>
      </w:r>
      <w:r w:rsidR="00D072D8">
        <w:rPr>
          <w:lang w:eastAsia="en-NZ"/>
        </w:rPr>
        <w:t>, t</w:t>
      </w:r>
      <w:r w:rsidR="00550D81" w:rsidRPr="00550D81">
        <w:rPr>
          <w:lang w:eastAsia="en-NZ"/>
        </w:rPr>
        <w:t>he direct impact on the number of venues and EGMs are contemporaneous in nature, with no significant impacts in the following year.</w:t>
      </w:r>
    </w:p>
    <w:p w14:paraId="221D5DAE" w14:textId="413617EF" w:rsidR="00800D6D" w:rsidRDefault="00D072D8" w:rsidP="00FA3913">
      <w:pPr>
        <w:spacing w:after="240" w:line="312" w:lineRule="auto"/>
        <w:jc w:val="both"/>
        <w:rPr>
          <w:lang w:eastAsia="en-NZ"/>
        </w:rPr>
      </w:pPr>
      <w:r>
        <w:rPr>
          <w:lang w:eastAsia="en-NZ"/>
        </w:rPr>
        <w:t>The impact on g</w:t>
      </w:r>
      <w:r w:rsidR="00550D81" w:rsidRPr="00550D81">
        <w:rPr>
          <w:lang w:eastAsia="en-NZ"/>
        </w:rPr>
        <w:t>ambling expenditure is of key importance</w:t>
      </w:r>
      <w:r w:rsidR="00A17AE7">
        <w:rPr>
          <w:lang w:eastAsia="en-NZ"/>
        </w:rPr>
        <w:t xml:space="preserve"> and is shown in column (3) of Table </w:t>
      </w:r>
      <w:r w:rsidR="00892BCE">
        <w:rPr>
          <w:lang w:eastAsia="en-NZ"/>
        </w:rPr>
        <w:t>4</w:t>
      </w:r>
      <w:r w:rsidR="00550D81" w:rsidRPr="00550D81">
        <w:rPr>
          <w:lang w:eastAsia="en-NZ"/>
        </w:rPr>
        <w:t xml:space="preserve">. </w:t>
      </w:r>
      <w:r w:rsidR="00A17AE7">
        <w:rPr>
          <w:lang w:eastAsia="en-NZ"/>
        </w:rPr>
        <w:t xml:space="preserve">This variable </w:t>
      </w:r>
      <w:r w:rsidR="00550D81" w:rsidRPr="00550D81">
        <w:rPr>
          <w:lang w:eastAsia="en-NZ"/>
        </w:rPr>
        <w:t xml:space="preserve">is measured as the natural logarithm of </w:t>
      </w:r>
      <w:r w:rsidR="00E42709">
        <w:rPr>
          <w:lang w:eastAsia="en-NZ"/>
        </w:rPr>
        <w:t>machine</w:t>
      </w:r>
      <w:r w:rsidR="00550D81" w:rsidRPr="00550D81">
        <w:rPr>
          <w:lang w:eastAsia="en-NZ"/>
        </w:rPr>
        <w:t xml:space="preserve"> spending in real 2019 dollars. Regression coefficients</w:t>
      </w:r>
      <w:r w:rsidR="00485395">
        <w:rPr>
          <w:lang w:eastAsia="en-NZ"/>
        </w:rPr>
        <w:t xml:space="preserve"> </w:t>
      </w:r>
      <w:r w:rsidR="007F63C6">
        <w:rPr>
          <w:lang w:eastAsia="en-NZ"/>
        </w:rPr>
        <w:t xml:space="preserve">are </w:t>
      </w:r>
      <w:r w:rsidR="00A17AE7">
        <w:rPr>
          <w:lang w:eastAsia="en-NZ"/>
        </w:rPr>
        <w:t xml:space="preserve">therefore </w:t>
      </w:r>
      <w:r w:rsidR="00550D81" w:rsidRPr="00550D81">
        <w:rPr>
          <w:lang w:eastAsia="en-NZ"/>
        </w:rPr>
        <w:t xml:space="preserve">interpreted as a percentage change. For example, a coefficient of -0.10 </w:t>
      </w:r>
      <w:r w:rsidR="00BA6275">
        <w:rPr>
          <w:lang w:eastAsia="en-NZ"/>
        </w:rPr>
        <w:t xml:space="preserve">for an absolute cap </w:t>
      </w:r>
      <w:r w:rsidR="00550D81" w:rsidRPr="00550D81">
        <w:rPr>
          <w:lang w:eastAsia="en-NZ"/>
        </w:rPr>
        <w:t xml:space="preserve">indicates </w:t>
      </w:r>
      <w:r w:rsidR="00C5361A">
        <w:rPr>
          <w:lang w:eastAsia="en-NZ"/>
        </w:rPr>
        <w:t xml:space="preserve">that compared to the reference group, </w:t>
      </w:r>
      <w:r w:rsidR="00F7495F">
        <w:rPr>
          <w:lang w:eastAsia="en-NZ"/>
        </w:rPr>
        <w:t xml:space="preserve">this policy intervention resulted in a </w:t>
      </w:r>
      <w:r w:rsidR="00C81432">
        <w:rPr>
          <w:lang w:eastAsia="en-NZ"/>
        </w:rPr>
        <w:t>10</w:t>
      </w:r>
      <w:r w:rsidR="00550D81" w:rsidRPr="00550D81">
        <w:rPr>
          <w:lang w:eastAsia="en-NZ"/>
        </w:rPr>
        <w:t xml:space="preserve"> percent decline in </w:t>
      </w:r>
      <w:r w:rsidR="00800D6D">
        <w:rPr>
          <w:lang w:eastAsia="en-NZ"/>
        </w:rPr>
        <w:t>gambling expenditure.</w:t>
      </w:r>
      <w:r w:rsidR="00F10866">
        <w:rPr>
          <w:lang w:eastAsia="en-NZ"/>
        </w:rPr>
        <w:t xml:space="preserve"> </w:t>
      </w:r>
    </w:p>
    <w:p w14:paraId="33B0A549" w14:textId="6C3542AF" w:rsidR="00550D81" w:rsidRPr="00550D81" w:rsidRDefault="0000371F" w:rsidP="00FA3913">
      <w:pPr>
        <w:spacing w:after="240" w:line="312" w:lineRule="auto"/>
        <w:jc w:val="both"/>
        <w:rPr>
          <w:lang w:eastAsia="en-NZ"/>
        </w:rPr>
      </w:pPr>
      <w:r>
        <w:rPr>
          <w:lang w:eastAsia="en-NZ"/>
        </w:rPr>
        <w:t>W</w:t>
      </w:r>
      <w:r w:rsidR="00550D81" w:rsidRPr="00550D81">
        <w:rPr>
          <w:lang w:eastAsia="en-NZ"/>
        </w:rPr>
        <w:t xml:space="preserve">hen assessing the cumulative impact of </w:t>
      </w:r>
      <w:r>
        <w:rPr>
          <w:lang w:eastAsia="en-NZ"/>
        </w:rPr>
        <w:t xml:space="preserve">policy </w:t>
      </w:r>
      <w:r w:rsidR="00550D81" w:rsidRPr="00550D81">
        <w:rPr>
          <w:lang w:eastAsia="en-NZ"/>
        </w:rPr>
        <w:t xml:space="preserve">interventions (sum of both contemporaneous and lagged effects), it appears that per capita caps and sinking lids are the most effective in reducing gambling expenditure. </w:t>
      </w:r>
      <w:r w:rsidR="003C162B" w:rsidRPr="003C162B">
        <w:rPr>
          <w:lang w:eastAsia="en-NZ"/>
        </w:rPr>
        <w:t>Compared to the reference group</w:t>
      </w:r>
      <w:r w:rsidR="006F4CA7">
        <w:rPr>
          <w:lang w:eastAsia="en-NZ"/>
        </w:rPr>
        <w:t>,</w:t>
      </w:r>
      <w:r w:rsidR="003C162B" w:rsidRPr="003C162B">
        <w:rPr>
          <w:lang w:eastAsia="en-NZ"/>
        </w:rPr>
        <w:t xml:space="preserve"> </w:t>
      </w:r>
      <w:r w:rsidR="00550D81" w:rsidRPr="00550D81">
        <w:rPr>
          <w:lang w:eastAsia="en-NZ"/>
        </w:rPr>
        <w:t xml:space="preserve">either of these policy interventions has the cumulative impact of reducing gambling expenditure by an estimated </w:t>
      </w:r>
      <w:r w:rsidR="00D87FD1">
        <w:rPr>
          <w:lang w:eastAsia="en-NZ"/>
        </w:rPr>
        <w:t>13</w:t>
      </w:r>
      <w:r w:rsidR="00D16D24">
        <w:rPr>
          <w:lang w:eastAsia="en-NZ"/>
        </w:rPr>
        <w:t xml:space="preserve"> - </w:t>
      </w:r>
      <w:r w:rsidR="00550D81" w:rsidRPr="00550D81">
        <w:rPr>
          <w:lang w:eastAsia="en-NZ"/>
        </w:rPr>
        <w:t>14 percent. We find that absolute caps reduce overall gambling expenditure by 10 percent</w:t>
      </w:r>
      <w:r w:rsidR="00841524">
        <w:rPr>
          <w:lang w:eastAsia="en-NZ"/>
        </w:rPr>
        <w:t>.</w:t>
      </w:r>
      <w:r w:rsidR="00BB5880">
        <w:rPr>
          <w:rStyle w:val="FootnoteReference"/>
          <w:lang w:eastAsia="en-NZ"/>
        </w:rPr>
        <w:footnoteReference w:id="27"/>
      </w:r>
    </w:p>
    <w:p w14:paraId="1AC1B5D1" w14:textId="4BAC5F79" w:rsidR="00550D81" w:rsidRPr="00550D81" w:rsidRDefault="0063715D" w:rsidP="00CA0FCA">
      <w:pPr>
        <w:spacing w:after="240" w:line="312" w:lineRule="auto"/>
        <w:jc w:val="both"/>
        <w:rPr>
          <w:lang w:eastAsia="en-NZ"/>
        </w:rPr>
      </w:pPr>
      <w:r>
        <w:rPr>
          <w:lang w:eastAsia="en-NZ"/>
        </w:rPr>
        <w:t>Of further note</w:t>
      </w:r>
      <w:r w:rsidR="0000371F">
        <w:rPr>
          <w:lang w:eastAsia="en-NZ"/>
        </w:rPr>
        <w:t>, t</w:t>
      </w:r>
      <w:r w:rsidR="00550D81" w:rsidRPr="00550D81">
        <w:rPr>
          <w:lang w:eastAsia="en-NZ"/>
        </w:rPr>
        <w:t xml:space="preserve">he sinking lid appears to be the only policy </w:t>
      </w:r>
      <w:r w:rsidR="006E7999">
        <w:rPr>
          <w:lang w:eastAsia="en-NZ"/>
        </w:rPr>
        <w:t xml:space="preserve">intervention </w:t>
      </w:r>
      <w:r w:rsidR="00550D81" w:rsidRPr="00550D81">
        <w:rPr>
          <w:lang w:eastAsia="en-NZ"/>
        </w:rPr>
        <w:t>with evidence of both contemporaneous and lagged negative impacts on gambling expenditure.</w:t>
      </w:r>
    </w:p>
    <w:p w14:paraId="3FAEB5F5" w14:textId="58DBBD47" w:rsidR="006059FD" w:rsidRDefault="00153B19" w:rsidP="00BC5C2D">
      <w:pPr>
        <w:pStyle w:val="TOC1"/>
        <w:spacing w:after="240"/>
      </w:pPr>
      <w:r>
        <w:t>W</w:t>
      </w:r>
      <w:r w:rsidR="006E7999" w:rsidRPr="009C61EB">
        <w:t xml:space="preserve">e </w:t>
      </w:r>
      <w:r w:rsidR="00503D19" w:rsidRPr="009C61EB">
        <w:t xml:space="preserve">tested the sensitivity of our findings by replicating the </w:t>
      </w:r>
      <w:r w:rsidR="0051678E" w:rsidRPr="009C61EB">
        <w:t xml:space="preserve">regression model with weights based on the TA-level population statistics. </w:t>
      </w:r>
      <w:r w:rsidR="006F14D6" w:rsidRPr="009C61EB">
        <w:t>Our results remain qualitatively similar</w:t>
      </w:r>
      <w:r w:rsidR="00BD4F98" w:rsidRPr="009C61EB">
        <w:t xml:space="preserve">, thus providing a reassuring </w:t>
      </w:r>
      <w:r w:rsidR="00CA0FCA" w:rsidRPr="009C61EB">
        <w:t>signal of robustness of findings.</w:t>
      </w:r>
    </w:p>
    <w:p w14:paraId="3CE287F0" w14:textId="5985D2A9" w:rsidR="00ED1D37" w:rsidRDefault="00ED1D37">
      <w:r>
        <w:br w:type="page"/>
      </w:r>
    </w:p>
    <w:p w14:paraId="09CA59DE" w14:textId="17BA9F43" w:rsidR="008C6B5B" w:rsidRDefault="008C6B5B" w:rsidP="009C61EB">
      <w:pPr>
        <w:pStyle w:val="FigureTableTitle"/>
        <w:spacing w:after="0"/>
      </w:pPr>
      <w:bookmarkStart w:id="190" w:name="_Toc50033354"/>
      <w:r>
        <w:lastRenderedPageBreak/>
        <w:t xml:space="preserve">Table </w:t>
      </w:r>
      <w:r>
        <w:fldChar w:fldCharType="begin"/>
      </w:r>
      <w:r>
        <w:instrText>SEQ Table \* ARABIC</w:instrText>
      </w:r>
      <w:r>
        <w:fldChar w:fldCharType="separate"/>
      </w:r>
      <w:r w:rsidR="00CB2BDA">
        <w:rPr>
          <w:noProof/>
        </w:rPr>
        <w:t>4</w:t>
      </w:r>
      <w:r>
        <w:fldChar w:fldCharType="end"/>
      </w:r>
      <w:r>
        <w:t>.</w:t>
      </w:r>
      <w:r w:rsidRPr="00D909B0">
        <w:t xml:space="preserve"> Impact of gambling policies on EGMs, Venues and Machine spending</w:t>
      </w:r>
      <w:bookmarkEnd w:id="190"/>
    </w:p>
    <w:tbl>
      <w:tblPr>
        <w:tblW w:w="5000" w:type="pct"/>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75" w:type="dxa"/>
          <w:right w:w="75" w:type="dxa"/>
        </w:tblCellMar>
        <w:tblLook w:val="0000" w:firstRow="0" w:lastRow="0" w:firstColumn="0" w:lastColumn="0" w:noHBand="0" w:noVBand="0"/>
      </w:tblPr>
      <w:tblGrid>
        <w:gridCol w:w="2784"/>
        <w:gridCol w:w="2179"/>
        <w:gridCol w:w="2181"/>
        <w:gridCol w:w="2178"/>
      </w:tblGrid>
      <w:tr w:rsidR="006B04FE" w:rsidRPr="00B5248D" w14:paraId="64CEE687" w14:textId="77777777" w:rsidTr="005002BE">
        <w:trPr>
          <w:trHeight w:val="283"/>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tcPr>
          <w:p w14:paraId="2BC8F637" w14:textId="1DE50994" w:rsidR="006B04FE" w:rsidRPr="00DC1734" w:rsidRDefault="006B04FE" w:rsidP="005002BE">
            <w:pPr>
              <w:spacing w:after="0"/>
              <w:jc w:val="center"/>
              <w:rPr>
                <w:rFonts w:ascii="Calibri Light" w:eastAsia="Yu Gothic Light" w:hAnsi="Calibri Light" w:cs="Times New Roman"/>
                <w:color w:val="FFFFFF" w:themeColor="background1"/>
                <w:lang w:eastAsia="en-NZ"/>
              </w:rPr>
            </w:pP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bottom"/>
          </w:tcPr>
          <w:p w14:paraId="579A64F6" w14:textId="77777777" w:rsidR="006B04FE" w:rsidRPr="00DC1734" w:rsidRDefault="006B04FE" w:rsidP="005002BE">
            <w:pPr>
              <w:spacing w:after="0"/>
              <w:jc w:val="center"/>
              <w:rPr>
                <w:rFonts w:ascii="Calibri Light" w:eastAsia="Yu Gothic Light" w:hAnsi="Calibri Light" w:cs="Times New Roman"/>
                <w:color w:val="FFFFFF" w:themeColor="background1"/>
                <w:lang w:eastAsia="en-NZ"/>
              </w:rPr>
            </w:pPr>
            <w:r w:rsidRPr="00DC1734">
              <w:rPr>
                <w:rFonts w:ascii="Calibri Light" w:eastAsia="Yu Gothic Light" w:hAnsi="Calibri Light" w:cs="Times New Roman"/>
                <w:color w:val="FFFFFF" w:themeColor="background1"/>
                <w:lang w:eastAsia="en-NZ"/>
              </w:rPr>
              <w:t>(1)</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bottom"/>
          </w:tcPr>
          <w:p w14:paraId="5920080F" w14:textId="714C69E4" w:rsidR="006B04FE" w:rsidRPr="00DC1734" w:rsidRDefault="006B04FE" w:rsidP="005002BE">
            <w:pPr>
              <w:spacing w:after="0"/>
              <w:jc w:val="center"/>
              <w:rPr>
                <w:rFonts w:ascii="Calibri Light" w:eastAsia="Yu Gothic Light" w:hAnsi="Calibri Light" w:cs="Times New Roman"/>
                <w:color w:val="FFFFFF" w:themeColor="background1"/>
                <w:lang w:eastAsia="en-NZ"/>
              </w:rPr>
            </w:pPr>
            <w:r w:rsidRPr="00DC1734">
              <w:rPr>
                <w:rFonts w:ascii="Calibri Light" w:eastAsia="Yu Gothic Light" w:hAnsi="Calibri Light" w:cs="Times New Roman"/>
                <w:color w:val="FFFFFF" w:themeColor="background1"/>
                <w:lang w:eastAsia="en-NZ"/>
              </w:rPr>
              <w:t>(2)</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bottom"/>
          </w:tcPr>
          <w:p w14:paraId="3CE2075C" w14:textId="77777777" w:rsidR="006B04FE" w:rsidRPr="00DC1734" w:rsidRDefault="006B04FE" w:rsidP="005002BE">
            <w:pPr>
              <w:spacing w:after="0"/>
              <w:jc w:val="center"/>
              <w:rPr>
                <w:rFonts w:ascii="Calibri Light" w:eastAsia="Yu Gothic Light" w:hAnsi="Calibri Light" w:cs="Times New Roman"/>
                <w:color w:val="FFFFFF" w:themeColor="background1"/>
                <w:lang w:eastAsia="en-NZ"/>
              </w:rPr>
            </w:pPr>
            <w:r w:rsidRPr="00DC1734">
              <w:rPr>
                <w:rFonts w:ascii="Calibri Light" w:eastAsia="Yu Gothic Light" w:hAnsi="Calibri Light" w:cs="Times New Roman"/>
                <w:color w:val="FFFFFF" w:themeColor="background1"/>
                <w:lang w:eastAsia="en-NZ"/>
              </w:rPr>
              <w:t>(3)</w:t>
            </w:r>
          </w:p>
        </w:tc>
      </w:tr>
      <w:tr w:rsidR="006B04FE" w:rsidRPr="00B5248D" w14:paraId="6C57D902" w14:textId="77777777" w:rsidTr="005002BE">
        <w:trPr>
          <w:trHeight w:val="74"/>
        </w:trPr>
        <w:tc>
          <w:tcPr>
            <w:tcW w:w="1493" w:type="pct"/>
            <w:tcBorders>
              <w:top w:val="nil"/>
              <w:left w:val="single" w:sz="4" w:space="0" w:color="B4C6E7" w:themeColor="accent5" w:themeTint="66"/>
              <w:bottom w:val="nil"/>
              <w:right w:val="single" w:sz="4" w:space="0" w:color="B4C6E7" w:themeColor="accent5" w:themeTint="66"/>
            </w:tcBorders>
            <w:shd w:val="clear" w:color="auto" w:fill="4472C4" w:themeFill="accent5"/>
            <w:vAlign w:val="center"/>
          </w:tcPr>
          <w:p w14:paraId="4AB8B31E" w14:textId="76AD2FD4" w:rsidR="006B04FE" w:rsidRPr="00DC1734" w:rsidRDefault="006B04FE" w:rsidP="00DC1734">
            <w:pPr>
              <w:spacing w:after="0"/>
              <w:jc w:val="center"/>
              <w:rPr>
                <w:rFonts w:ascii="Calibri Light" w:eastAsia="Yu Gothic Light" w:hAnsi="Calibri Light" w:cs="Times New Roman"/>
                <w:color w:val="FFFFFF" w:themeColor="background1"/>
                <w:lang w:eastAsia="en-NZ"/>
              </w:rPr>
            </w:pPr>
            <w:r w:rsidRPr="00DC1734">
              <w:rPr>
                <w:rFonts w:ascii="Calibri Light" w:eastAsia="Yu Gothic Light" w:hAnsi="Calibri Light" w:cs="Times New Roman"/>
                <w:color w:val="FFFFFF" w:themeColor="background1"/>
                <w:lang w:eastAsia="en-NZ"/>
              </w:rPr>
              <w:t>Variable</w:t>
            </w: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2ABC7279" w14:textId="77777777" w:rsidR="006B04FE" w:rsidRPr="00DC1734" w:rsidRDefault="006B04FE" w:rsidP="00DC1734">
            <w:pPr>
              <w:spacing w:after="0"/>
              <w:jc w:val="center"/>
              <w:rPr>
                <w:rFonts w:ascii="Calibri Light" w:eastAsia="Yu Gothic Light" w:hAnsi="Calibri Light" w:cs="Times New Roman"/>
                <w:color w:val="FFFFFF" w:themeColor="background1"/>
                <w:lang w:eastAsia="en-NZ"/>
              </w:rPr>
            </w:pPr>
            <w:r w:rsidRPr="00DC1734">
              <w:rPr>
                <w:rFonts w:ascii="Calibri Light" w:eastAsia="Yu Gothic Light" w:hAnsi="Calibri Light" w:cs="Times New Roman"/>
                <w:color w:val="FFFFFF" w:themeColor="background1"/>
                <w:lang w:eastAsia="en-NZ"/>
              </w:rPr>
              <w:t>EGMs</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1A804701" w14:textId="77777777" w:rsidR="006B04FE" w:rsidRPr="00DC1734" w:rsidRDefault="006B04FE" w:rsidP="00DC1734">
            <w:pPr>
              <w:spacing w:after="0"/>
              <w:jc w:val="center"/>
              <w:rPr>
                <w:rFonts w:ascii="Calibri Light" w:eastAsia="Yu Gothic Light" w:hAnsi="Calibri Light" w:cs="Times New Roman"/>
                <w:color w:val="FFFFFF" w:themeColor="background1"/>
                <w:lang w:eastAsia="en-NZ"/>
              </w:rPr>
            </w:pPr>
            <w:r w:rsidRPr="00DC1734">
              <w:rPr>
                <w:rFonts w:ascii="Calibri Light" w:eastAsia="Yu Gothic Light" w:hAnsi="Calibri Light" w:cs="Times New Roman"/>
                <w:color w:val="FFFFFF" w:themeColor="background1"/>
                <w:lang w:eastAsia="en-NZ"/>
              </w:rPr>
              <w:t>Venues</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4630A9EF" w14:textId="77777777" w:rsidR="006B04FE" w:rsidRPr="00DC1734" w:rsidRDefault="006B04FE" w:rsidP="00DC1734">
            <w:pPr>
              <w:spacing w:after="0"/>
              <w:jc w:val="center"/>
              <w:rPr>
                <w:rFonts w:ascii="Calibri Light" w:eastAsia="Yu Gothic Light" w:hAnsi="Calibri Light" w:cs="Times New Roman"/>
                <w:color w:val="FFFFFF" w:themeColor="background1"/>
                <w:lang w:eastAsia="en-NZ"/>
              </w:rPr>
            </w:pPr>
            <w:r w:rsidRPr="00DC1734">
              <w:rPr>
                <w:rFonts w:ascii="Calibri Light" w:eastAsia="Yu Gothic Light" w:hAnsi="Calibri Light" w:cs="Times New Roman"/>
                <w:color w:val="FFFFFF" w:themeColor="background1"/>
                <w:lang w:eastAsia="en-NZ"/>
              </w:rPr>
              <w:t>Machine spending</w:t>
            </w:r>
          </w:p>
        </w:tc>
      </w:tr>
      <w:tr w:rsidR="00B334EB" w:rsidRPr="00B5248D" w14:paraId="35B7DBE5" w14:textId="77777777" w:rsidTr="005002BE">
        <w:trPr>
          <w:trHeight w:val="272"/>
        </w:trPr>
        <w:tc>
          <w:tcPr>
            <w:tcW w:w="5000" w:type="pct"/>
            <w:gridSpan w:val="4"/>
            <w:tcBorders>
              <w:top w:val="single" w:sz="4" w:space="0" w:color="B4C6E7" w:themeColor="accent5" w:themeTint="66"/>
              <w:bottom w:val="single" w:sz="8" w:space="0" w:color="B4C6E7" w:themeColor="accent5" w:themeTint="66"/>
            </w:tcBorders>
            <w:shd w:val="clear" w:color="auto" w:fill="D9E2F3" w:themeFill="accent5" w:themeFillTint="33"/>
            <w:vAlign w:val="center"/>
          </w:tcPr>
          <w:p w14:paraId="6DBE39AF" w14:textId="3FF2F80D" w:rsidR="00B334EB" w:rsidRPr="005E1292" w:rsidRDefault="00B334EB" w:rsidP="00B334EB">
            <w:pPr>
              <w:spacing w:after="0"/>
              <w:rPr>
                <w:rFonts w:ascii="Calibri Light" w:eastAsia="Yu Gothic Light" w:hAnsi="Calibri Light" w:cs="Times New Roman"/>
                <w:b/>
                <w:lang w:eastAsia="en-NZ"/>
              </w:rPr>
            </w:pPr>
            <w:r w:rsidRPr="005E1292">
              <w:rPr>
                <w:rFonts w:ascii="Calibri Light" w:eastAsia="Yu Gothic Light" w:hAnsi="Calibri Light" w:cs="Times New Roman"/>
                <w:b/>
                <w:lang w:eastAsia="en-NZ"/>
              </w:rPr>
              <w:t>Outcome variables</w:t>
            </w:r>
          </w:p>
        </w:tc>
      </w:tr>
      <w:tr w:rsidR="00D11615" w:rsidRPr="00B5248D" w14:paraId="4037222E" w14:textId="77777777" w:rsidTr="00D11615">
        <w:trPr>
          <w:trHeight w:val="352"/>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697BBAA1" w14:textId="77777777" w:rsidR="00A54114" w:rsidRPr="005E1292" w:rsidRDefault="00A54114" w:rsidP="00A54114">
            <w:pPr>
              <w:spacing w:after="0"/>
              <w:rPr>
                <w:rFonts w:ascii="Calibri Light" w:eastAsia="Yu Gothic Light" w:hAnsi="Calibri Light" w:cs="Times New Roman"/>
                <w:lang w:eastAsia="en-NZ"/>
              </w:rPr>
            </w:pPr>
            <w:r w:rsidRPr="005E1292">
              <w:rPr>
                <w:rFonts w:ascii="Calibri Light" w:eastAsia="Yu Gothic Light" w:hAnsi="Calibri Light" w:cs="Times New Roman"/>
                <w:lang w:eastAsia="en-NZ"/>
              </w:rPr>
              <w:t>Absolute cap</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4AB3958B" w14:textId="53CE0E8E" w:rsidR="00A54114" w:rsidRPr="005E1292" w:rsidRDefault="00A5411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2516A3" w:rsidRPr="005E1292">
              <w:rPr>
                <w:rFonts w:ascii="Calibri Light" w:eastAsia="Yu Gothic Light" w:hAnsi="Calibri Light" w:cs="Times New Roman"/>
                <w:lang w:eastAsia="en-NZ"/>
              </w:rPr>
              <w:t>67.</w:t>
            </w:r>
            <w:r w:rsidR="008146DE" w:rsidRPr="005E1292">
              <w:rPr>
                <w:rFonts w:ascii="Calibri Light" w:eastAsia="Yu Gothic Light" w:hAnsi="Calibri Light" w:cs="Times New Roman"/>
                <w:lang w:eastAsia="en-NZ"/>
              </w:rPr>
              <w:t>18</w:t>
            </w:r>
            <w:r w:rsidRPr="005E1292">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667CD447" w14:textId="410C1DF2"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-6.</w:t>
            </w:r>
            <w:r w:rsidR="00A51DE1" w:rsidRPr="005E1292">
              <w:rPr>
                <w:rFonts w:ascii="Calibri Light" w:eastAsia="Yu Gothic Light" w:hAnsi="Calibri Light" w:cs="Times New Roman"/>
                <w:lang w:eastAsia="en-NZ"/>
              </w:rPr>
              <w:t>88</w:t>
            </w:r>
            <w:r w:rsidRPr="005E1292">
              <w:rPr>
                <w:rFonts w:ascii="Calibri Light" w:eastAsia="Yu Gothic Light" w:hAnsi="Calibri Light" w:cs="Times New Roman"/>
                <w:lang w:eastAsia="en-NZ"/>
              </w:rPr>
              <w:t>**</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5DE89F61" w14:textId="6B2FE352"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CF59F4" w:rsidRPr="005E1292">
              <w:rPr>
                <w:rFonts w:ascii="Calibri Light" w:eastAsia="Yu Gothic Light" w:hAnsi="Calibri Light" w:cs="Times New Roman"/>
                <w:lang w:eastAsia="en-NZ"/>
              </w:rPr>
              <w:t>0.</w:t>
            </w:r>
            <w:r w:rsidR="000B5724" w:rsidRPr="005E1292">
              <w:rPr>
                <w:rFonts w:ascii="Calibri Light" w:eastAsia="Yu Gothic Light" w:hAnsi="Calibri Light" w:cs="Times New Roman"/>
                <w:lang w:eastAsia="en-NZ"/>
              </w:rPr>
              <w:t>10</w:t>
            </w:r>
            <w:r w:rsidRPr="005E1292">
              <w:rPr>
                <w:rFonts w:ascii="Calibri Light" w:eastAsia="Yu Gothic Light" w:hAnsi="Calibri Light" w:cs="Times New Roman"/>
                <w:lang w:eastAsia="en-NZ"/>
              </w:rPr>
              <w:t>**</w:t>
            </w:r>
          </w:p>
        </w:tc>
      </w:tr>
      <w:tr w:rsidR="00D11615" w:rsidRPr="00B5248D" w14:paraId="11334E63"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1E2725AA" w14:textId="77777777" w:rsidR="00A54114" w:rsidRPr="005E1292" w:rsidRDefault="00A54114" w:rsidP="00A54114">
            <w:pPr>
              <w:spacing w:after="0"/>
              <w:rPr>
                <w:rFonts w:ascii="Calibri Light" w:eastAsia="Yu Gothic Light" w:hAnsi="Calibri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5EDCB443" w14:textId="2730AF4F"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5D7E8A" w:rsidRPr="005E1292">
              <w:rPr>
                <w:rFonts w:ascii="Calibri Light" w:eastAsia="Yu Gothic Light" w:hAnsi="Calibri Light" w:cs="Times New Roman"/>
                <w:lang w:eastAsia="en-NZ"/>
              </w:rPr>
              <w:t>26</w:t>
            </w:r>
            <w:r w:rsidR="003303AF" w:rsidRPr="005E1292">
              <w:rPr>
                <w:rFonts w:ascii="Calibri Light" w:eastAsia="Yu Gothic Light" w:hAnsi="Calibri Light" w:cs="Times New Roman"/>
                <w:lang w:eastAsia="en-NZ"/>
              </w:rPr>
              <w:t>.84</w:t>
            </w:r>
            <w:r w:rsidRPr="005E1292">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53FC4F72" w14:textId="0B88522B"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6217E1" w:rsidRPr="005E1292">
              <w:rPr>
                <w:rFonts w:ascii="Calibri Light" w:eastAsia="Yu Gothic Light" w:hAnsi="Calibri Light" w:cs="Times New Roman"/>
                <w:lang w:eastAsia="en-NZ"/>
              </w:rPr>
              <w:t>3.4</w:t>
            </w:r>
            <w:r w:rsidR="008771CE" w:rsidRPr="005E1292">
              <w:rPr>
                <w:rFonts w:ascii="Calibri Light" w:eastAsia="Yu Gothic Light" w:hAnsi="Calibri Light" w:cs="Times New Roman"/>
                <w:lang w:eastAsia="en-NZ"/>
              </w:rPr>
              <w:t>3</w:t>
            </w:r>
            <w:r w:rsidRPr="005E129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1180B1D7" w14:textId="6432DBFA"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w:t>
            </w:r>
            <w:r w:rsidR="006217E1" w:rsidRPr="005E1292">
              <w:rPr>
                <w:rFonts w:ascii="Calibri Light" w:eastAsia="Yu Gothic Light" w:hAnsi="Calibri Light" w:cs="Times New Roman"/>
                <w:lang w:eastAsia="en-NZ"/>
              </w:rPr>
              <w:t>4</w:t>
            </w:r>
            <w:r w:rsidRPr="005E1292">
              <w:rPr>
                <w:rFonts w:ascii="Calibri Light" w:eastAsia="Yu Gothic Light" w:hAnsi="Calibri Light" w:cs="Times New Roman"/>
                <w:lang w:eastAsia="en-NZ"/>
              </w:rPr>
              <w:t>)</w:t>
            </w:r>
          </w:p>
        </w:tc>
      </w:tr>
      <w:tr w:rsidR="00D11615" w:rsidRPr="00B5248D" w14:paraId="7DD8D0B8" w14:textId="77777777" w:rsidTr="00D11615">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7852F82A" w14:textId="77777777" w:rsidR="00A54114" w:rsidRPr="005E1292" w:rsidRDefault="00A54114" w:rsidP="00A54114">
            <w:pPr>
              <w:spacing w:after="0"/>
              <w:rPr>
                <w:rFonts w:ascii="Calibri Light" w:eastAsia="Yu Gothic Light" w:hAnsi="Calibri Light" w:cs="Times New Roman"/>
                <w:lang w:eastAsia="en-NZ"/>
              </w:rPr>
            </w:pPr>
            <w:r w:rsidRPr="005E1292">
              <w:rPr>
                <w:rFonts w:ascii="Calibri Light" w:eastAsia="Yu Gothic Light" w:hAnsi="Calibri Light" w:cs="Times New Roman"/>
                <w:lang w:eastAsia="en-NZ"/>
              </w:rPr>
              <w:t>Lagged absolute cap</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2207590C" w14:textId="0A470EAB" w:rsidR="00A54114" w:rsidRPr="005E1292" w:rsidRDefault="00A51DE1"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6.</w:t>
            </w:r>
            <w:r w:rsidR="008771CE" w:rsidRPr="005E1292">
              <w:rPr>
                <w:rFonts w:ascii="Calibri Light" w:eastAsia="Yu Gothic Light" w:hAnsi="Calibri Light" w:cs="Times New Roman"/>
                <w:lang w:eastAsia="en-NZ"/>
              </w:rPr>
              <w:t>14</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0EEFE985" w14:textId="128DD530" w:rsidR="00A54114" w:rsidRPr="005E1292" w:rsidRDefault="00A51DE1"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-0.07</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24DE43B9" w14:textId="77777777"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-0.03</w:t>
            </w:r>
          </w:p>
        </w:tc>
      </w:tr>
      <w:tr w:rsidR="00D11615" w:rsidRPr="00B5248D" w14:paraId="37A33806"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01CC0BBF" w14:textId="77777777" w:rsidR="00A54114" w:rsidRPr="005E1292" w:rsidRDefault="00A54114" w:rsidP="00A54114">
            <w:pPr>
              <w:spacing w:after="0"/>
              <w:rPr>
                <w:rFonts w:ascii="Calibri Light" w:eastAsia="Yu Gothic Light" w:hAnsi="Calibri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0BEB5D41" w14:textId="21E67FBB"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3303AF" w:rsidRPr="005E1292">
              <w:rPr>
                <w:rFonts w:ascii="Calibri Light" w:eastAsia="Yu Gothic Light" w:hAnsi="Calibri Light" w:cs="Times New Roman"/>
                <w:lang w:eastAsia="en-NZ"/>
              </w:rPr>
              <w:t>21.9</w:t>
            </w:r>
            <w:r w:rsidR="008771CE" w:rsidRPr="005E1292">
              <w:rPr>
                <w:rFonts w:ascii="Calibri Light" w:eastAsia="Yu Gothic Light" w:hAnsi="Calibri Light" w:cs="Times New Roman"/>
                <w:lang w:eastAsia="en-NZ"/>
              </w:rPr>
              <w:t>3</w:t>
            </w:r>
            <w:r w:rsidRPr="005E1292">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5F65494D" w14:textId="106ACAB0"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6217E1" w:rsidRPr="005E1292">
              <w:rPr>
                <w:rFonts w:ascii="Calibri Light" w:eastAsia="Yu Gothic Light" w:hAnsi="Calibri Light" w:cs="Times New Roman"/>
                <w:lang w:eastAsia="en-NZ"/>
              </w:rPr>
              <w:t>2.0</w:t>
            </w:r>
            <w:r w:rsidR="008771CE" w:rsidRPr="005E1292">
              <w:rPr>
                <w:rFonts w:ascii="Calibri Light" w:eastAsia="Yu Gothic Light" w:hAnsi="Calibri Light" w:cs="Times New Roman"/>
                <w:lang w:eastAsia="en-NZ"/>
              </w:rPr>
              <w:t>8</w:t>
            </w:r>
            <w:r w:rsidRPr="005E129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4BB9F2C4" w14:textId="77777777"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(0.02)</w:t>
            </w:r>
          </w:p>
        </w:tc>
      </w:tr>
      <w:tr w:rsidR="00D11615" w:rsidRPr="00B5248D" w14:paraId="7972A7FD" w14:textId="77777777" w:rsidTr="00D11615">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0BA90A76" w14:textId="77777777" w:rsidR="00A54114" w:rsidRPr="005E1292" w:rsidRDefault="00A54114" w:rsidP="00A54114">
            <w:pPr>
              <w:spacing w:after="0"/>
              <w:rPr>
                <w:rFonts w:ascii="Calibri Light" w:eastAsia="Yu Gothic Light" w:hAnsi="Calibri Light" w:cs="Times New Roman"/>
                <w:lang w:eastAsia="en-NZ"/>
              </w:rPr>
            </w:pPr>
            <w:r w:rsidRPr="005E1292">
              <w:rPr>
                <w:rFonts w:ascii="Calibri Light" w:eastAsia="Yu Gothic Light" w:hAnsi="Calibri Light" w:cs="Times New Roman"/>
                <w:lang w:eastAsia="en-NZ"/>
              </w:rPr>
              <w:t>Per capita cap</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6F0300E5" w14:textId="269FCBAB"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A51DE1" w:rsidRPr="005E1292">
              <w:rPr>
                <w:rFonts w:ascii="Calibri Light" w:eastAsia="Yu Gothic Light" w:hAnsi="Calibri Light" w:cs="Times New Roman"/>
                <w:lang w:eastAsia="en-NZ"/>
              </w:rPr>
              <w:t>84.</w:t>
            </w:r>
            <w:r w:rsidR="008771CE" w:rsidRPr="005E1292">
              <w:rPr>
                <w:rFonts w:ascii="Calibri Light" w:eastAsia="Yu Gothic Light" w:hAnsi="Calibri Light" w:cs="Times New Roman"/>
                <w:lang w:eastAsia="en-NZ"/>
              </w:rPr>
              <w:t>6</w:t>
            </w:r>
            <w:r w:rsidR="003B51BE" w:rsidRPr="005E1292">
              <w:rPr>
                <w:rFonts w:ascii="Calibri Light" w:eastAsia="Yu Gothic Light" w:hAnsi="Calibri Light" w:cs="Times New Roman"/>
                <w:lang w:eastAsia="en-NZ"/>
              </w:rPr>
              <w:t>4</w:t>
            </w:r>
            <w:r w:rsidRPr="005E1292">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61463B96" w14:textId="2B571432"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D873E0" w:rsidRPr="005E1292">
              <w:rPr>
                <w:rFonts w:ascii="Calibri Light" w:eastAsia="Yu Gothic Light" w:hAnsi="Calibri Light" w:cs="Times New Roman"/>
                <w:lang w:eastAsia="en-NZ"/>
              </w:rPr>
              <w:t>8.01</w:t>
            </w:r>
            <w:r w:rsidRPr="005E1292">
              <w:rPr>
                <w:rFonts w:ascii="Calibri Light" w:eastAsia="Yu Gothic Light" w:hAnsi="Calibri Light" w:cs="Times New Roman"/>
                <w:lang w:eastAsia="en-NZ"/>
              </w:rPr>
              <w:t>**</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5E68E6FF" w14:textId="46AE7F9B"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-0.14*</w:t>
            </w:r>
            <w:r w:rsidR="00EF0719" w:rsidRPr="005E1292">
              <w:rPr>
                <w:rFonts w:ascii="Calibri Light" w:eastAsia="Yu Gothic Light" w:hAnsi="Calibri Light" w:cs="Times New Roman"/>
                <w:lang w:eastAsia="en-NZ"/>
              </w:rPr>
              <w:t>**</w:t>
            </w:r>
          </w:p>
        </w:tc>
      </w:tr>
      <w:tr w:rsidR="00D11615" w:rsidRPr="00B5248D" w14:paraId="17CDC546"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3EA38F91" w14:textId="77777777" w:rsidR="00A54114" w:rsidRPr="005E1292" w:rsidRDefault="00A54114" w:rsidP="00A54114">
            <w:pPr>
              <w:spacing w:after="0"/>
              <w:rPr>
                <w:rFonts w:ascii="Calibri Light" w:eastAsia="Yu Gothic Light" w:hAnsi="Calibri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23C794DB" w14:textId="329C4DEA"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1C14CC" w:rsidRPr="005E1292">
              <w:rPr>
                <w:rFonts w:ascii="Calibri Light" w:eastAsia="Yu Gothic Light" w:hAnsi="Calibri Light" w:cs="Times New Roman"/>
                <w:lang w:eastAsia="en-NZ"/>
              </w:rPr>
              <w:t>33.</w:t>
            </w:r>
            <w:r w:rsidR="003B51BE" w:rsidRPr="005E1292">
              <w:rPr>
                <w:rFonts w:ascii="Calibri Light" w:eastAsia="Yu Gothic Light" w:hAnsi="Calibri Light" w:cs="Times New Roman"/>
                <w:lang w:eastAsia="en-NZ"/>
              </w:rPr>
              <w:t>29</w:t>
            </w:r>
            <w:r w:rsidRPr="005E1292">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3AA64D9B" w14:textId="2B3960A5"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6217E1" w:rsidRPr="005E1292">
              <w:rPr>
                <w:rFonts w:ascii="Calibri Light" w:eastAsia="Yu Gothic Light" w:hAnsi="Calibri Light" w:cs="Times New Roman"/>
                <w:lang w:eastAsia="en-NZ"/>
              </w:rPr>
              <w:t>3.9</w:t>
            </w:r>
            <w:r w:rsidR="003B51BE" w:rsidRPr="005E1292">
              <w:rPr>
                <w:rFonts w:ascii="Calibri Light" w:eastAsia="Yu Gothic Light" w:hAnsi="Calibri Light" w:cs="Times New Roman"/>
                <w:lang w:eastAsia="en-NZ"/>
              </w:rPr>
              <w:t>4</w:t>
            </w:r>
            <w:r w:rsidRPr="005E129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18FC080E" w14:textId="77777777"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(0.05)</w:t>
            </w:r>
          </w:p>
        </w:tc>
      </w:tr>
      <w:tr w:rsidR="00D11615" w:rsidRPr="00B5248D" w14:paraId="525D0666" w14:textId="77777777" w:rsidTr="00D11615">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4C15CD25" w14:textId="77777777" w:rsidR="00A54114" w:rsidRPr="005E1292" w:rsidRDefault="00A54114" w:rsidP="00A54114">
            <w:pPr>
              <w:spacing w:after="0"/>
              <w:rPr>
                <w:rFonts w:ascii="Calibri Light" w:eastAsia="Yu Gothic Light" w:hAnsi="Calibri Light" w:cs="Times New Roman"/>
                <w:lang w:eastAsia="en-NZ"/>
              </w:rPr>
            </w:pPr>
            <w:r w:rsidRPr="005E1292">
              <w:rPr>
                <w:rFonts w:ascii="Calibri Light" w:eastAsia="Yu Gothic Light" w:hAnsi="Calibri Light" w:cs="Times New Roman"/>
                <w:lang w:eastAsia="en-NZ"/>
              </w:rPr>
              <w:t>Lagged per capita cap</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7B6BDF8D" w14:textId="076292D3" w:rsidR="00A54114" w:rsidRPr="005E1292" w:rsidRDefault="00D873E0"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8.</w:t>
            </w:r>
            <w:r w:rsidR="003B51BE" w:rsidRPr="005E1292">
              <w:rPr>
                <w:rFonts w:ascii="Calibri Light" w:eastAsia="Yu Gothic Light" w:hAnsi="Calibri Light" w:cs="Times New Roman"/>
                <w:lang w:eastAsia="en-NZ"/>
              </w:rPr>
              <w:t>28</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746C1FA0" w14:textId="5E2739AA" w:rsidR="00A54114" w:rsidRPr="005E1292" w:rsidRDefault="002C42DB"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-1.08</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7306439E" w14:textId="77777777"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-0.03</w:t>
            </w:r>
          </w:p>
        </w:tc>
      </w:tr>
      <w:tr w:rsidR="00D11615" w:rsidRPr="00B5248D" w14:paraId="77C04C91"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55CB5696" w14:textId="77777777" w:rsidR="00A54114" w:rsidRPr="005E1292" w:rsidRDefault="00A54114" w:rsidP="00A54114">
            <w:pPr>
              <w:spacing w:after="0"/>
              <w:rPr>
                <w:rFonts w:ascii="Calibri Light" w:eastAsia="Yu Gothic Light" w:hAnsi="Calibri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74C5A908" w14:textId="31B1EF27"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C961E9" w:rsidRPr="005E1292">
              <w:rPr>
                <w:rFonts w:ascii="Calibri Light" w:eastAsia="Yu Gothic Light" w:hAnsi="Calibri Light" w:cs="Times New Roman"/>
                <w:lang w:eastAsia="en-NZ"/>
              </w:rPr>
              <w:t>24.</w:t>
            </w:r>
            <w:r w:rsidR="00E74297" w:rsidRPr="005E1292">
              <w:rPr>
                <w:rFonts w:ascii="Calibri Light" w:eastAsia="Yu Gothic Light" w:hAnsi="Calibri Light" w:cs="Times New Roman"/>
                <w:lang w:eastAsia="en-NZ"/>
              </w:rPr>
              <w:t>74</w:t>
            </w:r>
            <w:r w:rsidRPr="005E1292">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5DF2915D" w14:textId="126D99CF"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(2.</w:t>
            </w:r>
            <w:r w:rsidR="006217E1" w:rsidRPr="005E1292">
              <w:rPr>
                <w:rFonts w:ascii="Calibri Light" w:eastAsia="Yu Gothic Light" w:hAnsi="Calibri Light" w:cs="Times New Roman"/>
                <w:lang w:eastAsia="en-NZ"/>
              </w:rPr>
              <w:t>53</w:t>
            </w:r>
            <w:r w:rsidRPr="005E129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3DBF878F" w14:textId="11B246A3"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w:t>
            </w:r>
            <w:r w:rsidR="006217E1" w:rsidRPr="005E1292">
              <w:rPr>
                <w:rFonts w:ascii="Calibri Light" w:eastAsia="Yu Gothic Light" w:hAnsi="Calibri Light" w:cs="Times New Roman"/>
                <w:lang w:eastAsia="en-NZ"/>
              </w:rPr>
              <w:t>3</w:t>
            </w:r>
            <w:r w:rsidRPr="005E1292">
              <w:rPr>
                <w:rFonts w:ascii="Calibri Light" w:eastAsia="Yu Gothic Light" w:hAnsi="Calibri Light" w:cs="Times New Roman"/>
                <w:lang w:eastAsia="en-NZ"/>
              </w:rPr>
              <w:t>)</w:t>
            </w:r>
          </w:p>
        </w:tc>
      </w:tr>
      <w:tr w:rsidR="00D11615" w:rsidRPr="00B5248D" w14:paraId="10A590FC" w14:textId="77777777" w:rsidTr="00D11615">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27464BCA" w14:textId="77777777" w:rsidR="00A54114" w:rsidRPr="005E1292" w:rsidRDefault="00A54114" w:rsidP="00A54114">
            <w:pPr>
              <w:spacing w:after="0"/>
              <w:rPr>
                <w:rFonts w:ascii="Calibri Light" w:eastAsia="Yu Gothic Light" w:hAnsi="Calibri Light" w:cs="Times New Roman"/>
                <w:lang w:eastAsia="en-NZ"/>
              </w:rPr>
            </w:pPr>
            <w:r w:rsidRPr="005E1292">
              <w:rPr>
                <w:rFonts w:ascii="Calibri Light" w:eastAsia="Yu Gothic Light" w:hAnsi="Calibri Light" w:cs="Times New Roman"/>
                <w:lang w:eastAsia="en-NZ"/>
              </w:rPr>
              <w:t>Sinking lid</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4ED65AA0" w14:textId="6B7103A1"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2C42DB" w:rsidRPr="005E1292">
              <w:rPr>
                <w:rFonts w:ascii="Calibri Light" w:eastAsia="Yu Gothic Light" w:hAnsi="Calibri Light" w:cs="Times New Roman"/>
                <w:lang w:eastAsia="en-NZ"/>
              </w:rPr>
              <w:t>36.2</w:t>
            </w:r>
            <w:r w:rsidR="00E74297" w:rsidRPr="005E1292">
              <w:rPr>
                <w:rFonts w:ascii="Calibri Light" w:eastAsia="Yu Gothic Light" w:hAnsi="Calibri Light" w:cs="Times New Roman"/>
                <w:lang w:eastAsia="en-NZ"/>
              </w:rPr>
              <w:t>1</w:t>
            </w:r>
            <w:r w:rsidR="00C961E9" w:rsidRPr="005E1292">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105F8897" w14:textId="66E974FE"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-4.</w:t>
            </w:r>
            <w:r w:rsidR="00C2050F" w:rsidRPr="005E1292">
              <w:rPr>
                <w:rFonts w:ascii="Calibri Light" w:eastAsia="Yu Gothic Light" w:hAnsi="Calibri Light" w:cs="Times New Roman"/>
                <w:lang w:eastAsia="en-NZ"/>
              </w:rPr>
              <w:t>47</w:t>
            </w:r>
            <w:r w:rsidRPr="005E1292">
              <w:rPr>
                <w:rFonts w:ascii="Calibri Light" w:eastAsia="Yu Gothic Light" w:hAnsi="Calibri Light" w:cs="Times New Roman"/>
                <w:lang w:eastAsia="en-NZ"/>
              </w:rPr>
              <w:t>*</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3C07C1E0" w14:textId="65DD387E"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w:t>
            </w:r>
            <w:r w:rsidR="005E1292" w:rsidRPr="005E1292">
              <w:rPr>
                <w:rFonts w:ascii="Calibri Light" w:eastAsia="Yu Gothic Light" w:hAnsi="Calibri Light" w:cs="Times New Roman"/>
                <w:lang w:eastAsia="en-NZ"/>
              </w:rPr>
              <w:t>8</w:t>
            </w:r>
            <w:r w:rsidRPr="005E1292">
              <w:rPr>
                <w:rFonts w:ascii="Calibri Light" w:eastAsia="Yu Gothic Light" w:hAnsi="Calibri Light" w:cs="Times New Roman"/>
                <w:lang w:eastAsia="en-NZ"/>
              </w:rPr>
              <w:t>*</w:t>
            </w:r>
            <w:r w:rsidR="00EF0719" w:rsidRPr="005E1292">
              <w:rPr>
                <w:rFonts w:ascii="Calibri Light" w:eastAsia="Yu Gothic Light" w:hAnsi="Calibri Light" w:cs="Times New Roman"/>
                <w:lang w:eastAsia="en-NZ"/>
              </w:rPr>
              <w:t>**</w:t>
            </w:r>
          </w:p>
        </w:tc>
      </w:tr>
      <w:tr w:rsidR="00D11615" w:rsidRPr="00B5248D" w14:paraId="79C207F9" w14:textId="77777777" w:rsidTr="00D11615">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3AB7C886" w14:textId="77777777" w:rsidR="00A54114" w:rsidRPr="005E1292" w:rsidRDefault="00A54114" w:rsidP="00A54114">
            <w:pPr>
              <w:spacing w:after="0"/>
              <w:rPr>
                <w:rFonts w:ascii="Calibri Light" w:eastAsia="Yu Gothic Light" w:hAnsi="Calibri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37948044" w14:textId="41C8C2DA"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C961E9" w:rsidRPr="005E1292">
              <w:rPr>
                <w:rFonts w:ascii="Calibri Light" w:eastAsia="Yu Gothic Light" w:hAnsi="Calibri Light" w:cs="Times New Roman"/>
                <w:lang w:eastAsia="en-NZ"/>
              </w:rPr>
              <w:t>19.65</w:t>
            </w:r>
            <w:r w:rsidRPr="005E1292">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57098466" w14:textId="7DCFE716"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(2.</w:t>
            </w:r>
            <w:r w:rsidR="00C2050F" w:rsidRPr="005E1292">
              <w:rPr>
                <w:rFonts w:ascii="Calibri Light" w:eastAsia="Yu Gothic Light" w:hAnsi="Calibri Light" w:cs="Times New Roman"/>
                <w:lang w:eastAsia="en-NZ"/>
              </w:rPr>
              <w:t>6</w:t>
            </w:r>
            <w:r w:rsidR="00E74297" w:rsidRPr="005E1292">
              <w:rPr>
                <w:rFonts w:ascii="Calibri Light" w:eastAsia="Yu Gothic Light" w:hAnsi="Calibri Light" w:cs="Times New Roman"/>
                <w:lang w:eastAsia="en-NZ"/>
              </w:rPr>
              <w:t>1</w:t>
            </w:r>
            <w:r w:rsidRPr="005E129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232912C6" w14:textId="77777777"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(0.03)</w:t>
            </w:r>
          </w:p>
        </w:tc>
      </w:tr>
      <w:tr w:rsidR="0032105E" w:rsidRPr="00B5248D" w14:paraId="738CAC84" w14:textId="77777777" w:rsidTr="00DC1734">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23B8D7B1" w14:textId="77777777" w:rsidR="00A54114" w:rsidRPr="005E1292" w:rsidRDefault="00A54114" w:rsidP="00A54114">
            <w:pPr>
              <w:spacing w:after="0"/>
              <w:rPr>
                <w:rFonts w:ascii="Calibri Light" w:eastAsia="Yu Gothic Light" w:hAnsi="Calibri Light" w:cs="Times New Roman"/>
                <w:lang w:eastAsia="en-NZ"/>
              </w:rPr>
            </w:pPr>
            <w:r w:rsidRPr="005E1292">
              <w:rPr>
                <w:rFonts w:ascii="Calibri Light" w:eastAsia="Yu Gothic Light" w:hAnsi="Calibri Light" w:cs="Times New Roman"/>
                <w:lang w:eastAsia="en-NZ"/>
              </w:rPr>
              <w:t>Lagged sinking lid</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05375B13" w14:textId="2187A9A6"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C2050F" w:rsidRPr="005E1292">
              <w:rPr>
                <w:rFonts w:ascii="Calibri Light" w:eastAsia="Yu Gothic Light" w:hAnsi="Calibri Light" w:cs="Times New Roman"/>
                <w:lang w:eastAsia="en-NZ"/>
              </w:rPr>
              <w:t>11.</w:t>
            </w:r>
            <w:r w:rsidR="005E1292" w:rsidRPr="005E1292">
              <w:rPr>
                <w:rFonts w:ascii="Calibri Light" w:eastAsia="Yu Gothic Light" w:hAnsi="Calibri Light" w:cs="Times New Roman"/>
                <w:lang w:eastAsia="en-NZ"/>
              </w:rPr>
              <w:t>53</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37AD9D1A" w14:textId="4B267823"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-0.3</w:t>
            </w:r>
            <w:r w:rsidR="00C2050F" w:rsidRPr="005E1292">
              <w:rPr>
                <w:rFonts w:ascii="Calibri Light" w:eastAsia="Yu Gothic Light" w:hAnsi="Calibri Light" w:cs="Times New Roman"/>
                <w:lang w:eastAsia="en-NZ"/>
              </w:rPr>
              <w:t>6</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1A70C6F0" w14:textId="1DDBA59E"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-0.05</w:t>
            </w:r>
            <w:r w:rsidR="00307CF0" w:rsidRPr="005E1292">
              <w:rPr>
                <w:rFonts w:ascii="Calibri Light" w:eastAsia="Yu Gothic Light" w:hAnsi="Calibri Light" w:cs="Times New Roman"/>
                <w:lang w:eastAsia="en-NZ"/>
              </w:rPr>
              <w:t>**</w:t>
            </w:r>
            <w:r w:rsidRPr="005E1292">
              <w:rPr>
                <w:rFonts w:ascii="Calibri Light" w:eastAsia="Yu Gothic Light" w:hAnsi="Calibri Light" w:cs="Times New Roman"/>
                <w:lang w:eastAsia="en-NZ"/>
              </w:rPr>
              <w:t>*</w:t>
            </w:r>
          </w:p>
        </w:tc>
      </w:tr>
      <w:tr w:rsidR="0032105E" w:rsidRPr="00B5248D" w14:paraId="679C1EB0"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76C34128" w14:textId="77777777" w:rsidR="00A54114" w:rsidRPr="005E1292" w:rsidRDefault="00A54114" w:rsidP="00A54114">
            <w:pPr>
              <w:spacing w:after="0"/>
              <w:rPr>
                <w:rFonts w:ascii="Calibri Light" w:eastAsia="Yu Gothic Light" w:hAnsi="Calibri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3BA78974" w14:textId="2473186E"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w:t>
            </w:r>
            <w:r w:rsidR="00D621B1" w:rsidRPr="005E1292">
              <w:rPr>
                <w:rFonts w:ascii="Calibri Light" w:eastAsia="Yu Gothic Light" w:hAnsi="Calibri Light" w:cs="Times New Roman"/>
                <w:lang w:eastAsia="en-NZ"/>
              </w:rPr>
              <w:t>19.</w:t>
            </w:r>
            <w:r w:rsidR="005E1292" w:rsidRPr="005E1292">
              <w:rPr>
                <w:rFonts w:ascii="Calibri Light" w:eastAsia="Yu Gothic Light" w:hAnsi="Calibri Light" w:cs="Times New Roman"/>
                <w:lang w:eastAsia="en-NZ"/>
              </w:rPr>
              <w:t>78</w:t>
            </w:r>
            <w:r w:rsidRPr="005E1292">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2550EC9A" w14:textId="45BDC0C1"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(1.8</w:t>
            </w:r>
            <w:r w:rsidR="00C36A4F" w:rsidRPr="005E1292">
              <w:rPr>
                <w:rFonts w:ascii="Calibri Light" w:eastAsia="Yu Gothic Light" w:hAnsi="Calibri Light" w:cs="Times New Roman"/>
                <w:lang w:eastAsia="en-NZ"/>
              </w:rPr>
              <w:t>3</w:t>
            </w:r>
            <w:r w:rsidRPr="005E129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2C919209" w14:textId="77777777" w:rsidR="00A54114" w:rsidRPr="005E1292" w:rsidRDefault="00A54114" w:rsidP="00DC1734">
            <w:pPr>
              <w:spacing w:after="0"/>
              <w:jc w:val="center"/>
              <w:rPr>
                <w:rFonts w:ascii="Calibri Light" w:eastAsia="Yu Gothic Light" w:hAnsi="Calibri Light" w:cs="Times New Roman"/>
                <w:lang w:eastAsia="en-NZ"/>
              </w:rPr>
            </w:pPr>
            <w:r w:rsidRPr="005E1292">
              <w:rPr>
                <w:rFonts w:ascii="Calibri Light" w:eastAsia="Yu Gothic Light" w:hAnsi="Calibri Light" w:cs="Times New Roman"/>
                <w:lang w:eastAsia="en-NZ"/>
              </w:rPr>
              <w:t>(0.02)</w:t>
            </w:r>
          </w:p>
        </w:tc>
      </w:tr>
      <w:tr w:rsidR="00B334EB" w:rsidRPr="00B5248D" w14:paraId="470165CD" w14:textId="77777777" w:rsidTr="005002BE">
        <w:trPr>
          <w:trHeight w:val="272"/>
        </w:trPr>
        <w:tc>
          <w:tcPr>
            <w:tcW w:w="5000" w:type="pct"/>
            <w:gridSpan w:val="4"/>
            <w:tcBorders>
              <w:top w:val="single" w:sz="8" w:space="0" w:color="B4C6E7" w:themeColor="accent5" w:themeTint="66"/>
              <w:bottom w:val="single" w:sz="8" w:space="0" w:color="B4C6E7" w:themeColor="accent5" w:themeTint="66"/>
            </w:tcBorders>
            <w:shd w:val="clear" w:color="auto" w:fill="D9E2F3" w:themeFill="accent5" w:themeFillTint="33"/>
            <w:vAlign w:val="center"/>
          </w:tcPr>
          <w:p w14:paraId="61E5C69D" w14:textId="734601C4" w:rsidR="00B334EB" w:rsidRPr="00781E2D" w:rsidRDefault="00B334EB" w:rsidP="00D75962">
            <w:pPr>
              <w:spacing w:after="0"/>
              <w:rPr>
                <w:rFonts w:ascii="Calibri Light" w:eastAsia="Yu Gothic Light" w:hAnsi="Calibri Light" w:cs="Times New Roman"/>
                <w:b/>
                <w:color w:val="FF0000"/>
                <w:lang w:eastAsia="en-NZ"/>
              </w:rPr>
            </w:pPr>
            <w:r w:rsidRPr="00543D7D">
              <w:rPr>
                <w:rFonts w:ascii="Calibri Light" w:eastAsia="Yu Gothic Light" w:hAnsi="Calibri Light" w:cs="Times New Roman"/>
                <w:b/>
                <w:color w:val="auto"/>
                <w:lang w:eastAsia="en-NZ"/>
              </w:rPr>
              <w:t>Control variables</w:t>
            </w:r>
          </w:p>
        </w:tc>
      </w:tr>
      <w:tr w:rsidR="0032105E" w:rsidRPr="00B5248D" w14:paraId="15FA73C1" w14:textId="77777777" w:rsidTr="00DC1734">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1BAB517A" w14:textId="77777777" w:rsidR="00A54114" w:rsidRPr="00543D7D" w:rsidRDefault="00A54114"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Female (%)</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16616D4B" w14:textId="4B90609E" w:rsidR="00A54114" w:rsidRPr="00627FF3" w:rsidRDefault="00A54114" w:rsidP="00DC1734">
            <w:pPr>
              <w:spacing w:after="0"/>
              <w:jc w:val="center"/>
              <w:rPr>
                <w:rFonts w:ascii="Calibri Light" w:eastAsia="Yu Gothic Light" w:hAnsi="Calibri Light" w:cs="Times New Roman"/>
                <w:lang w:eastAsia="en-NZ"/>
              </w:rPr>
            </w:pPr>
            <w:r w:rsidRPr="00627FF3">
              <w:rPr>
                <w:rFonts w:ascii="Calibri Light" w:eastAsia="Yu Gothic Light" w:hAnsi="Calibri Light" w:cs="Times New Roman"/>
                <w:lang w:eastAsia="en-NZ"/>
              </w:rPr>
              <w:t>11</w:t>
            </w:r>
            <w:r w:rsidR="00644DAE" w:rsidRPr="00627FF3">
              <w:rPr>
                <w:rFonts w:ascii="Calibri Light" w:eastAsia="Yu Gothic Light" w:hAnsi="Calibri Light" w:cs="Times New Roman"/>
                <w:lang w:eastAsia="en-NZ"/>
              </w:rPr>
              <w:t>7.</w:t>
            </w:r>
            <w:r w:rsidR="00627FF3" w:rsidRPr="00627FF3">
              <w:rPr>
                <w:rFonts w:ascii="Calibri Light" w:eastAsia="Yu Gothic Light" w:hAnsi="Calibri Light" w:cs="Times New Roman"/>
                <w:lang w:eastAsia="en-NZ"/>
              </w:rPr>
              <w:t>71</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32AAA406" w14:textId="4E80DC48"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2.9</w:t>
            </w:r>
            <w:r w:rsidR="009E48CC" w:rsidRPr="00D90122">
              <w:rPr>
                <w:rFonts w:ascii="Calibri Light" w:eastAsia="Yu Gothic Light" w:hAnsi="Calibri Light" w:cs="Times New Roman"/>
                <w:lang w:eastAsia="en-NZ"/>
              </w:rPr>
              <w:t>5</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5763427C" w14:textId="408F8F3F" w:rsidR="00A54114" w:rsidRPr="001366EB" w:rsidRDefault="00A54114" w:rsidP="00DC1734">
            <w:pPr>
              <w:spacing w:after="0"/>
              <w:jc w:val="center"/>
              <w:rPr>
                <w:rFonts w:ascii="Calibri Light" w:eastAsia="Yu Gothic Light" w:hAnsi="Calibri Light" w:cs="Times New Roman"/>
                <w:lang w:eastAsia="en-NZ"/>
              </w:rPr>
            </w:pPr>
            <w:r w:rsidRPr="001366EB">
              <w:rPr>
                <w:rFonts w:ascii="Calibri Light" w:eastAsia="Yu Gothic Light" w:hAnsi="Calibri Light" w:cs="Times New Roman"/>
                <w:lang w:eastAsia="en-NZ"/>
              </w:rPr>
              <w:t>-0.02</w:t>
            </w:r>
          </w:p>
        </w:tc>
      </w:tr>
      <w:tr w:rsidR="00D11615" w:rsidRPr="00B5248D" w14:paraId="0A6BA898" w14:textId="77777777" w:rsidTr="00D11615">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4376B62"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1D1F7841" w14:textId="3D47D697" w:rsidR="00A54114" w:rsidRPr="00627FF3" w:rsidRDefault="00A54114" w:rsidP="00DC1734">
            <w:pPr>
              <w:spacing w:after="0"/>
              <w:jc w:val="center"/>
              <w:rPr>
                <w:rFonts w:ascii="Calibri Light" w:eastAsia="Yu Gothic Light" w:hAnsi="Calibri Light" w:cs="Times New Roman"/>
                <w:lang w:eastAsia="en-NZ"/>
              </w:rPr>
            </w:pPr>
            <w:r w:rsidRPr="00627FF3">
              <w:rPr>
                <w:rFonts w:ascii="Calibri Light" w:eastAsia="Yu Gothic Light" w:hAnsi="Calibri Light" w:cs="Times New Roman"/>
                <w:lang w:eastAsia="en-NZ"/>
              </w:rPr>
              <w:t>(</w:t>
            </w:r>
            <w:r w:rsidR="00627FF3" w:rsidRPr="00627FF3">
              <w:rPr>
                <w:rFonts w:ascii="Calibri Light" w:eastAsia="Yu Gothic Light" w:hAnsi="Calibri Light" w:cs="Times New Roman"/>
                <w:lang w:eastAsia="en-NZ"/>
              </w:rPr>
              <w:t>72.29</w:t>
            </w:r>
            <w:r w:rsidRPr="00627FF3">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5B550D6F" w14:textId="0FF2EB1E"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w:t>
            </w:r>
            <w:r w:rsidR="00956F4E" w:rsidRPr="00D90122">
              <w:rPr>
                <w:rFonts w:ascii="Calibri Light" w:eastAsia="Yu Gothic Light" w:hAnsi="Calibri Light" w:cs="Times New Roman"/>
                <w:lang w:eastAsia="en-NZ"/>
              </w:rPr>
              <w:t>2.6</w:t>
            </w:r>
            <w:r w:rsidR="00C15395" w:rsidRPr="00D90122">
              <w:rPr>
                <w:rFonts w:ascii="Calibri Light" w:eastAsia="Yu Gothic Light" w:hAnsi="Calibri Light" w:cs="Times New Roman"/>
                <w:lang w:eastAsia="en-NZ"/>
              </w:rPr>
              <w:t>4</w:t>
            </w:r>
            <w:r w:rsidRPr="00D9012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68F14186" w14:textId="3D900D31" w:rsidR="00A54114" w:rsidRPr="001366EB" w:rsidRDefault="00A54114" w:rsidP="00DC1734">
            <w:pPr>
              <w:spacing w:after="0"/>
              <w:jc w:val="center"/>
              <w:rPr>
                <w:rFonts w:ascii="Calibri Light" w:eastAsia="Yu Gothic Light" w:hAnsi="Calibri Light" w:cs="Times New Roman"/>
                <w:lang w:eastAsia="en-NZ"/>
              </w:rPr>
            </w:pPr>
            <w:r w:rsidRPr="001366EB">
              <w:rPr>
                <w:rFonts w:ascii="Calibri Light" w:eastAsia="Yu Gothic Light" w:hAnsi="Calibri Light" w:cs="Times New Roman"/>
                <w:lang w:eastAsia="en-NZ"/>
              </w:rPr>
              <w:t>(0.0</w:t>
            </w:r>
            <w:r w:rsidR="00864559" w:rsidRPr="001366EB">
              <w:rPr>
                <w:rFonts w:ascii="Calibri Light" w:eastAsia="Yu Gothic Light" w:hAnsi="Calibri Light" w:cs="Times New Roman"/>
                <w:lang w:eastAsia="en-NZ"/>
              </w:rPr>
              <w:t>3</w:t>
            </w:r>
            <w:r w:rsidRPr="001366EB">
              <w:rPr>
                <w:rFonts w:ascii="Calibri Light" w:eastAsia="Yu Gothic Light" w:hAnsi="Calibri Light" w:cs="Times New Roman"/>
                <w:lang w:eastAsia="en-NZ"/>
              </w:rPr>
              <w:t>)</w:t>
            </w:r>
          </w:p>
        </w:tc>
      </w:tr>
      <w:tr w:rsidR="0032105E" w:rsidRPr="00B5248D" w14:paraId="51C532D5" w14:textId="77777777" w:rsidTr="00DC1734">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5F2F8CCF" w14:textId="77777777" w:rsidR="00A54114" w:rsidRPr="00543D7D" w:rsidRDefault="00A54114"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Aged 15 - 39 (%)</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3E39C6E1" w14:textId="452D6F2F" w:rsidR="00A54114" w:rsidRPr="005D34FD" w:rsidRDefault="00A54114" w:rsidP="00DC1734">
            <w:pPr>
              <w:spacing w:after="0"/>
              <w:jc w:val="center"/>
              <w:rPr>
                <w:rFonts w:ascii="Calibri Light" w:eastAsia="Yu Gothic Light" w:hAnsi="Calibri Light" w:cs="Times New Roman"/>
                <w:lang w:eastAsia="en-NZ"/>
              </w:rPr>
            </w:pPr>
            <w:r w:rsidRPr="005D34FD">
              <w:rPr>
                <w:rFonts w:ascii="Calibri Light" w:eastAsia="Yu Gothic Light" w:hAnsi="Calibri Light" w:cs="Times New Roman"/>
                <w:lang w:eastAsia="en-NZ"/>
              </w:rPr>
              <w:t>5</w:t>
            </w:r>
            <w:r w:rsidR="00644DAE" w:rsidRPr="005D34FD">
              <w:rPr>
                <w:rFonts w:ascii="Calibri Light" w:eastAsia="Yu Gothic Light" w:hAnsi="Calibri Light" w:cs="Times New Roman"/>
                <w:lang w:eastAsia="en-NZ"/>
              </w:rPr>
              <w:t>0</w:t>
            </w:r>
            <w:r w:rsidRPr="005D34FD">
              <w:rPr>
                <w:rFonts w:ascii="Calibri Light" w:eastAsia="Yu Gothic Light" w:hAnsi="Calibri Light" w:cs="Times New Roman"/>
                <w:lang w:eastAsia="en-NZ"/>
              </w:rPr>
              <w:t>.</w:t>
            </w:r>
            <w:r w:rsidR="00644DAE" w:rsidRPr="005D34FD">
              <w:rPr>
                <w:rFonts w:ascii="Calibri Light" w:eastAsia="Yu Gothic Light" w:hAnsi="Calibri Light" w:cs="Times New Roman"/>
                <w:lang w:eastAsia="en-NZ"/>
              </w:rPr>
              <w:t>5</w:t>
            </w:r>
            <w:r w:rsidR="00B052D3" w:rsidRPr="005D34FD">
              <w:rPr>
                <w:rFonts w:ascii="Calibri Light" w:eastAsia="Yu Gothic Light" w:hAnsi="Calibri Light" w:cs="Times New Roman"/>
                <w:lang w:eastAsia="en-NZ"/>
              </w:rPr>
              <w:t>9</w:t>
            </w:r>
            <w:r w:rsidRPr="005D34FD">
              <w:rPr>
                <w:rFonts w:ascii="Calibri Light" w:eastAsia="Yu Gothic Light" w:hAnsi="Calibri Light" w:cs="Times New Roman"/>
                <w:lang w:eastAsia="en-NZ"/>
              </w:rPr>
              <w:t>*</w:t>
            </w:r>
            <w:r w:rsidR="00EF0719" w:rsidRPr="005D34FD">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498F6BDF" w14:textId="26D981D2"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3.</w:t>
            </w:r>
            <w:r w:rsidR="009E48CC" w:rsidRPr="00D90122">
              <w:rPr>
                <w:rFonts w:ascii="Calibri Light" w:eastAsia="Yu Gothic Light" w:hAnsi="Calibri Light" w:cs="Times New Roman"/>
                <w:lang w:eastAsia="en-NZ"/>
              </w:rPr>
              <w:t>49</w:t>
            </w:r>
            <w:r w:rsidRPr="00D90122">
              <w:rPr>
                <w:rFonts w:ascii="Calibri Light" w:eastAsia="Yu Gothic Light" w:hAnsi="Calibri Light" w:cs="Times New Roman"/>
                <w:lang w:eastAsia="en-NZ"/>
              </w:rPr>
              <w:t>**</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1E2A2474" w14:textId="01560F70" w:rsidR="00A54114" w:rsidRPr="00F43F78" w:rsidRDefault="00A54114" w:rsidP="00DC1734">
            <w:pPr>
              <w:spacing w:after="0"/>
              <w:jc w:val="center"/>
              <w:rPr>
                <w:rFonts w:ascii="Calibri Light" w:eastAsia="Yu Gothic Light" w:hAnsi="Calibri Light" w:cs="Times New Roman"/>
                <w:color w:val="auto"/>
                <w:lang w:eastAsia="en-NZ"/>
              </w:rPr>
            </w:pPr>
            <w:r w:rsidRPr="00F43F78">
              <w:rPr>
                <w:rFonts w:ascii="Calibri Light" w:eastAsia="Yu Gothic Light" w:hAnsi="Calibri Light" w:cs="Times New Roman"/>
                <w:color w:val="auto"/>
                <w:lang w:eastAsia="en-NZ"/>
              </w:rPr>
              <w:t>0.05</w:t>
            </w:r>
            <w:r w:rsidR="00F22142" w:rsidRPr="00F43F78">
              <w:rPr>
                <w:rFonts w:ascii="Calibri Light" w:eastAsia="Yu Gothic Light" w:hAnsi="Calibri Light" w:cs="Times New Roman"/>
                <w:color w:val="auto"/>
                <w:lang w:eastAsia="en-NZ"/>
              </w:rPr>
              <w:t>*</w:t>
            </w:r>
          </w:p>
        </w:tc>
      </w:tr>
      <w:tr w:rsidR="00D11615" w:rsidRPr="00B5248D" w14:paraId="0BF9A9C6" w14:textId="77777777" w:rsidTr="00D11615">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153BF42B"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3812C07B" w14:textId="3B4EC69C" w:rsidR="00A54114" w:rsidRPr="005D34FD" w:rsidRDefault="00A54114" w:rsidP="00DC1734">
            <w:pPr>
              <w:spacing w:after="0"/>
              <w:jc w:val="center"/>
              <w:rPr>
                <w:rFonts w:ascii="Calibri Light" w:eastAsia="Yu Gothic Light" w:hAnsi="Calibri Light" w:cs="Times New Roman"/>
                <w:lang w:eastAsia="en-NZ"/>
              </w:rPr>
            </w:pPr>
            <w:r w:rsidRPr="005D34FD">
              <w:rPr>
                <w:rFonts w:ascii="Calibri Light" w:eastAsia="Yu Gothic Light" w:hAnsi="Calibri Light" w:cs="Times New Roman"/>
                <w:lang w:eastAsia="en-NZ"/>
              </w:rPr>
              <w:t>(1</w:t>
            </w:r>
            <w:r w:rsidR="00706910" w:rsidRPr="005D34FD">
              <w:rPr>
                <w:rFonts w:ascii="Calibri Light" w:eastAsia="Yu Gothic Light" w:hAnsi="Calibri Light" w:cs="Times New Roman"/>
                <w:lang w:eastAsia="en-NZ"/>
              </w:rPr>
              <w:t>7.</w:t>
            </w:r>
            <w:r w:rsidR="005D34FD" w:rsidRPr="005D34FD">
              <w:rPr>
                <w:rFonts w:ascii="Calibri Light" w:eastAsia="Yu Gothic Light" w:hAnsi="Calibri Light" w:cs="Times New Roman"/>
                <w:lang w:eastAsia="en-NZ"/>
              </w:rPr>
              <w:t>93</w:t>
            </w:r>
            <w:r w:rsidRPr="005D34FD">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26F04A0" w14:textId="1B90F30A"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(1.</w:t>
            </w:r>
            <w:r w:rsidR="00956F4E" w:rsidRPr="00D90122">
              <w:rPr>
                <w:rFonts w:ascii="Calibri Light" w:eastAsia="Yu Gothic Light" w:hAnsi="Calibri Light" w:cs="Times New Roman"/>
                <w:lang w:eastAsia="en-NZ"/>
              </w:rPr>
              <w:t>52</w:t>
            </w:r>
            <w:r w:rsidRPr="00D9012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38115514" w14:textId="77777777" w:rsidR="00A54114" w:rsidRPr="00F43F78" w:rsidRDefault="00A54114" w:rsidP="00DC1734">
            <w:pPr>
              <w:spacing w:after="0"/>
              <w:jc w:val="center"/>
              <w:rPr>
                <w:rFonts w:ascii="Calibri Light" w:eastAsia="Yu Gothic Light" w:hAnsi="Calibri Light" w:cs="Times New Roman"/>
                <w:color w:val="auto"/>
                <w:lang w:eastAsia="en-NZ"/>
              </w:rPr>
            </w:pPr>
            <w:r w:rsidRPr="00F43F78">
              <w:rPr>
                <w:rFonts w:ascii="Calibri Light" w:eastAsia="Yu Gothic Light" w:hAnsi="Calibri Light" w:cs="Times New Roman"/>
                <w:color w:val="auto"/>
                <w:lang w:eastAsia="en-NZ"/>
              </w:rPr>
              <w:t>(0.02)</w:t>
            </w:r>
          </w:p>
        </w:tc>
      </w:tr>
      <w:tr w:rsidR="0032105E" w:rsidRPr="00B5248D" w14:paraId="0A7E1A66" w14:textId="77777777" w:rsidTr="00DC1734">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03F2CBAD" w14:textId="77777777" w:rsidR="00A54114" w:rsidRPr="00543D7D" w:rsidRDefault="00A54114"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Aged 40 - 64 (%)</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147C6EE9" w14:textId="48E7A054" w:rsidR="00A54114" w:rsidRPr="009F3CD8" w:rsidRDefault="00644DAE"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69.0</w:t>
            </w:r>
            <w:r w:rsidR="005D34FD" w:rsidRPr="009F3CD8">
              <w:rPr>
                <w:rFonts w:ascii="Calibri Light" w:eastAsia="Yu Gothic Light" w:hAnsi="Calibri Light" w:cs="Times New Roman"/>
                <w:lang w:eastAsia="en-NZ"/>
              </w:rPr>
              <w:t>9</w:t>
            </w:r>
            <w:r w:rsidR="00A54114" w:rsidRPr="009F3CD8">
              <w:rPr>
                <w:rFonts w:ascii="Calibri Light" w:eastAsia="Yu Gothic Light" w:hAnsi="Calibri Light" w:cs="Times New Roman"/>
                <w:lang w:eastAsia="en-NZ"/>
              </w:rPr>
              <w:t>*</w:t>
            </w:r>
            <w:r w:rsidR="00EF0719" w:rsidRPr="009F3CD8">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04B7A9EE" w14:textId="34FFE028"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6.</w:t>
            </w:r>
            <w:r w:rsidR="009E48CC" w:rsidRPr="00D90122">
              <w:rPr>
                <w:rFonts w:ascii="Calibri Light" w:eastAsia="Yu Gothic Light" w:hAnsi="Calibri Light" w:cs="Times New Roman"/>
                <w:lang w:eastAsia="en-NZ"/>
              </w:rPr>
              <w:t>09</w:t>
            </w:r>
            <w:r w:rsidRPr="00D90122">
              <w:rPr>
                <w:rFonts w:ascii="Calibri Light" w:eastAsia="Yu Gothic Light" w:hAnsi="Calibri Light" w:cs="Times New Roman"/>
                <w:lang w:eastAsia="en-NZ"/>
              </w:rPr>
              <w:t>*</w:t>
            </w:r>
            <w:r w:rsidR="00EF0719" w:rsidRPr="00D90122">
              <w:rPr>
                <w:rFonts w:ascii="Calibri Light" w:eastAsia="Yu Gothic Light" w:hAnsi="Calibri Light" w:cs="Times New Roman"/>
                <w:lang w:eastAsia="en-NZ"/>
              </w:rPr>
              <w:t>**</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14FEB54D" w14:textId="57473718" w:rsidR="00A54114" w:rsidRPr="00F43F78" w:rsidRDefault="00A54114" w:rsidP="00DC1734">
            <w:pPr>
              <w:spacing w:after="0"/>
              <w:jc w:val="center"/>
              <w:rPr>
                <w:rFonts w:ascii="Calibri Light" w:eastAsia="Yu Gothic Light" w:hAnsi="Calibri Light" w:cs="Times New Roman"/>
                <w:color w:val="auto"/>
                <w:lang w:eastAsia="en-NZ"/>
              </w:rPr>
            </w:pPr>
            <w:r w:rsidRPr="00F43F78">
              <w:rPr>
                <w:rFonts w:ascii="Calibri Light" w:eastAsia="Yu Gothic Light" w:hAnsi="Calibri Light" w:cs="Times New Roman"/>
                <w:color w:val="auto"/>
                <w:lang w:eastAsia="en-NZ"/>
              </w:rPr>
              <w:t>0.09*</w:t>
            </w:r>
            <w:r w:rsidR="00EF0719" w:rsidRPr="00F43F78">
              <w:rPr>
                <w:rFonts w:ascii="Calibri Light" w:eastAsia="Yu Gothic Light" w:hAnsi="Calibri Light" w:cs="Times New Roman"/>
                <w:color w:val="auto"/>
                <w:lang w:eastAsia="en-NZ"/>
              </w:rPr>
              <w:t>**</w:t>
            </w:r>
          </w:p>
        </w:tc>
      </w:tr>
      <w:tr w:rsidR="00D11615" w:rsidRPr="00B5248D" w14:paraId="3D067593" w14:textId="77777777" w:rsidTr="00D11615">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2C78336"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5B018562" w14:textId="262D6B05" w:rsidR="00A54114" w:rsidRPr="009F3CD8" w:rsidRDefault="00A54114"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(2</w:t>
            </w:r>
            <w:r w:rsidR="00857773" w:rsidRPr="009F3CD8">
              <w:rPr>
                <w:rFonts w:ascii="Calibri Light" w:eastAsia="Yu Gothic Light" w:hAnsi="Calibri Light" w:cs="Times New Roman"/>
                <w:lang w:eastAsia="en-NZ"/>
              </w:rPr>
              <w:t>5.</w:t>
            </w:r>
            <w:r w:rsidR="005D34FD" w:rsidRPr="009F3CD8">
              <w:rPr>
                <w:rFonts w:ascii="Calibri Light" w:eastAsia="Yu Gothic Light" w:hAnsi="Calibri Light" w:cs="Times New Roman"/>
                <w:lang w:eastAsia="en-NZ"/>
              </w:rPr>
              <w:t>20</w:t>
            </w:r>
            <w:r w:rsidRPr="009F3CD8">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6466E77A" w14:textId="2DB0428C"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w:t>
            </w:r>
            <w:r w:rsidR="00702649" w:rsidRPr="00D90122">
              <w:rPr>
                <w:rFonts w:ascii="Calibri Light" w:eastAsia="Yu Gothic Light" w:hAnsi="Calibri Light" w:cs="Times New Roman"/>
                <w:lang w:eastAsia="en-NZ"/>
              </w:rPr>
              <w:t>1.9</w:t>
            </w:r>
            <w:r w:rsidR="003E51D9" w:rsidRPr="00D90122">
              <w:rPr>
                <w:rFonts w:ascii="Calibri Light" w:eastAsia="Yu Gothic Light" w:hAnsi="Calibri Light" w:cs="Times New Roman"/>
                <w:lang w:eastAsia="en-NZ"/>
              </w:rPr>
              <w:t>3</w:t>
            </w:r>
            <w:r w:rsidRPr="00D9012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5ACB1C38" w14:textId="77777777" w:rsidR="00A54114" w:rsidRPr="00F43F78" w:rsidRDefault="00A54114" w:rsidP="00DC1734">
            <w:pPr>
              <w:spacing w:after="0"/>
              <w:jc w:val="center"/>
              <w:rPr>
                <w:rFonts w:ascii="Calibri Light" w:eastAsia="Yu Gothic Light" w:hAnsi="Calibri Light" w:cs="Times New Roman"/>
                <w:color w:val="auto"/>
                <w:lang w:eastAsia="en-NZ"/>
              </w:rPr>
            </w:pPr>
            <w:r w:rsidRPr="00F43F78">
              <w:rPr>
                <w:rFonts w:ascii="Calibri Light" w:eastAsia="Yu Gothic Light" w:hAnsi="Calibri Light" w:cs="Times New Roman"/>
                <w:color w:val="auto"/>
                <w:lang w:eastAsia="en-NZ"/>
              </w:rPr>
              <w:t>(0.03)</w:t>
            </w:r>
          </w:p>
        </w:tc>
      </w:tr>
      <w:tr w:rsidR="0032105E" w:rsidRPr="00B5248D" w14:paraId="29F0804C" w14:textId="77777777" w:rsidTr="00DC1734">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3BD94B17" w14:textId="77777777" w:rsidR="00A54114" w:rsidRPr="00543D7D" w:rsidRDefault="00A54114"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Aged 65+ (%)</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1A227E29" w14:textId="47F6736A" w:rsidR="00A54114" w:rsidRPr="009F3CD8" w:rsidRDefault="00644DAE"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42</w:t>
            </w:r>
            <w:r w:rsidR="008E032D" w:rsidRPr="009F3CD8">
              <w:rPr>
                <w:rFonts w:ascii="Calibri Light" w:eastAsia="Yu Gothic Light" w:hAnsi="Calibri Light" w:cs="Times New Roman"/>
                <w:lang w:eastAsia="en-NZ"/>
              </w:rPr>
              <w:t>.3</w:t>
            </w:r>
            <w:r w:rsidR="005D34FD" w:rsidRPr="009F3CD8">
              <w:rPr>
                <w:rFonts w:ascii="Calibri Light" w:eastAsia="Yu Gothic Light" w:hAnsi="Calibri Light" w:cs="Times New Roman"/>
                <w:lang w:eastAsia="en-NZ"/>
              </w:rPr>
              <w:t>5</w:t>
            </w:r>
            <w:r w:rsidR="00A54114" w:rsidRPr="009F3CD8">
              <w:rPr>
                <w:rFonts w:ascii="Calibri Light" w:eastAsia="Yu Gothic Light" w:hAnsi="Calibri Light" w:cs="Times New Roman"/>
                <w:lang w:eastAsia="en-NZ"/>
              </w:rPr>
              <w:t>*</w:t>
            </w:r>
            <w:r w:rsidR="00EF0719" w:rsidRPr="009F3CD8">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384EA557" w14:textId="608EF6E5"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4.</w:t>
            </w:r>
            <w:r w:rsidR="005E7B6F" w:rsidRPr="00D90122">
              <w:rPr>
                <w:rFonts w:ascii="Calibri Light" w:eastAsia="Yu Gothic Light" w:hAnsi="Calibri Light" w:cs="Times New Roman"/>
                <w:lang w:eastAsia="en-NZ"/>
              </w:rPr>
              <w:t>17</w:t>
            </w:r>
            <w:r w:rsidR="00B702E2" w:rsidRPr="00D90122">
              <w:rPr>
                <w:rFonts w:ascii="Calibri Light" w:eastAsia="Yu Gothic Light" w:hAnsi="Calibri Light" w:cs="Times New Roman"/>
                <w:lang w:eastAsia="en-NZ"/>
              </w:rPr>
              <w:t>*</w:t>
            </w:r>
            <w:r w:rsidRPr="00D90122">
              <w:rPr>
                <w:rFonts w:ascii="Calibri Light" w:eastAsia="Yu Gothic Light" w:hAnsi="Calibri Light" w:cs="Times New Roman"/>
                <w:lang w:eastAsia="en-NZ"/>
              </w:rPr>
              <w:t>*</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3C29C828" w14:textId="67A2A281" w:rsidR="00A54114" w:rsidRPr="00FB3E88" w:rsidRDefault="00A54114" w:rsidP="00DC1734">
            <w:pPr>
              <w:spacing w:after="0"/>
              <w:jc w:val="center"/>
              <w:rPr>
                <w:rFonts w:ascii="Calibri Light" w:eastAsia="Yu Gothic Light" w:hAnsi="Calibri Light" w:cs="Times New Roman"/>
                <w:color w:val="auto"/>
                <w:lang w:eastAsia="en-NZ"/>
              </w:rPr>
            </w:pPr>
            <w:r w:rsidRPr="00FB3E88">
              <w:rPr>
                <w:rFonts w:ascii="Calibri Light" w:eastAsia="Yu Gothic Light" w:hAnsi="Calibri Light" w:cs="Times New Roman"/>
                <w:color w:val="auto"/>
                <w:lang w:eastAsia="en-NZ"/>
              </w:rPr>
              <w:t>0.05*</w:t>
            </w:r>
          </w:p>
        </w:tc>
      </w:tr>
      <w:tr w:rsidR="00D11615" w:rsidRPr="00B5248D" w14:paraId="66744E0C"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0A76AE51"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060A1094" w14:textId="28ACB117" w:rsidR="00A54114" w:rsidRPr="009F3CD8" w:rsidRDefault="00A54114"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(14.</w:t>
            </w:r>
            <w:r w:rsidR="000A29AA" w:rsidRPr="009F3CD8">
              <w:rPr>
                <w:rFonts w:ascii="Calibri Light" w:eastAsia="Yu Gothic Light" w:hAnsi="Calibri Light" w:cs="Times New Roman"/>
                <w:lang w:eastAsia="en-NZ"/>
              </w:rPr>
              <w:t>53</w:t>
            </w:r>
            <w:r w:rsidRPr="009F3CD8">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B2AA541" w14:textId="26A2556A"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(1.</w:t>
            </w:r>
            <w:r w:rsidR="00702649" w:rsidRPr="00D90122">
              <w:rPr>
                <w:rFonts w:ascii="Calibri Light" w:eastAsia="Yu Gothic Light" w:hAnsi="Calibri Light" w:cs="Times New Roman"/>
                <w:lang w:eastAsia="en-NZ"/>
              </w:rPr>
              <w:t>6</w:t>
            </w:r>
            <w:r w:rsidR="00834BC3" w:rsidRPr="00D90122">
              <w:rPr>
                <w:rFonts w:ascii="Calibri Light" w:eastAsia="Yu Gothic Light" w:hAnsi="Calibri Light" w:cs="Times New Roman"/>
                <w:lang w:eastAsia="en-NZ"/>
              </w:rPr>
              <w:t>3</w:t>
            </w:r>
            <w:r w:rsidRPr="00D9012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3E127DE3" w14:textId="0A5AADB3" w:rsidR="00A54114" w:rsidRPr="00FB3E88" w:rsidRDefault="00A54114" w:rsidP="00DC1734">
            <w:pPr>
              <w:spacing w:after="0"/>
              <w:jc w:val="center"/>
              <w:rPr>
                <w:rFonts w:ascii="Calibri Light" w:eastAsia="Yu Gothic Light" w:hAnsi="Calibri Light" w:cs="Times New Roman"/>
                <w:color w:val="auto"/>
                <w:lang w:eastAsia="en-NZ"/>
              </w:rPr>
            </w:pPr>
            <w:r w:rsidRPr="00FB3E88">
              <w:rPr>
                <w:rFonts w:ascii="Calibri Light" w:eastAsia="Yu Gothic Light" w:hAnsi="Calibri Light" w:cs="Times New Roman"/>
                <w:color w:val="auto"/>
                <w:lang w:eastAsia="en-NZ"/>
              </w:rPr>
              <w:t>(0.0</w:t>
            </w:r>
            <w:r w:rsidR="004A4F64" w:rsidRPr="00FB3E88">
              <w:rPr>
                <w:rFonts w:ascii="Calibri Light" w:eastAsia="Yu Gothic Light" w:hAnsi="Calibri Light" w:cs="Times New Roman"/>
                <w:color w:val="auto"/>
                <w:lang w:eastAsia="en-NZ"/>
              </w:rPr>
              <w:t>3</w:t>
            </w:r>
            <w:r w:rsidRPr="00FB3E88">
              <w:rPr>
                <w:rFonts w:ascii="Calibri Light" w:eastAsia="Yu Gothic Light" w:hAnsi="Calibri Light" w:cs="Times New Roman"/>
                <w:color w:val="auto"/>
                <w:lang w:eastAsia="en-NZ"/>
              </w:rPr>
              <w:t>)</w:t>
            </w:r>
          </w:p>
        </w:tc>
      </w:tr>
      <w:tr w:rsidR="00D11615" w:rsidRPr="00B5248D" w14:paraId="5456C5CB" w14:textId="77777777" w:rsidTr="00D11615">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16E3015F" w14:textId="77777777" w:rsidR="00A54114" w:rsidRPr="00543D7D" w:rsidRDefault="00A54114" w:rsidP="00A54114">
            <w:pPr>
              <w:spacing w:after="0"/>
              <w:rPr>
                <w:rFonts w:ascii="Calibri Light" w:eastAsia="Yu Gothic Light" w:hAnsi="Calibri Light" w:cs="Times New Roman"/>
                <w:color w:val="auto"/>
                <w:lang w:eastAsia="en-NZ"/>
              </w:rPr>
            </w:pPr>
            <w:proofErr w:type="spellStart"/>
            <w:r w:rsidRPr="00543D7D">
              <w:rPr>
                <w:rFonts w:ascii="Calibri Light" w:eastAsia="Yu Gothic Light" w:hAnsi="Calibri Light" w:cs="Times New Roman"/>
                <w:color w:val="auto"/>
                <w:lang w:eastAsia="en-NZ"/>
              </w:rPr>
              <w:t>Maori</w:t>
            </w:r>
            <w:proofErr w:type="spellEnd"/>
            <w:r w:rsidRPr="00543D7D">
              <w:rPr>
                <w:rFonts w:ascii="Calibri Light" w:eastAsia="Yu Gothic Light" w:hAnsi="Calibri Light" w:cs="Times New Roman"/>
                <w:color w:val="auto"/>
                <w:lang w:eastAsia="en-NZ"/>
              </w:rPr>
              <w:t xml:space="preserve"> (%)</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1DB85947" w14:textId="533CDE97" w:rsidR="00A54114" w:rsidRPr="009F3CD8" w:rsidRDefault="008E032D"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11.</w:t>
            </w:r>
            <w:r w:rsidR="000A29AA" w:rsidRPr="009F3CD8">
              <w:rPr>
                <w:rFonts w:ascii="Calibri Light" w:eastAsia="Yu Gothic Light" w:hAnsi="Calibri Light" w:cs="Times New Roman"/>
                <w:lang w:eastAsia="en-NZ"/>
              </w:rPr>
              <w:t>08</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4445C25F" w14:textId="62C01E8A"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2.</w:t>
            </w:r>
            <w:r w:rsidR="00B702E2" w:rsidRPr="00D90122">
              <w:rPr>
                <w:rFonts w:ascii="Calibri Light" w:eastAsia="Yu Gothic Light" w:hAnsi="Calibri Light" w:cs="Times New Roman"/>
                <w:lang w:eastAsia="en-NZ"/>
              </w:rPr>
              <w:t>27*</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433E9E96" w14:textId="7F608CFD" w:rsidR="00A54114" w:rsidRPr="00FB3E88" w:rsidRDefault="00A54114" w:rsidP="00DC1734">
            <w:pPr>
              <w:spacing w:after="0"/>
              <w:jc w:val="center"/>
              <w:rPr>
                <w:rFonts w:ascii="Calibri Light" w:eastAsia="Yu Gothic Light" w:hAnsi="Calibri Light" w:cs="Times New Roman"/>
                <w:color w:val="auto"/>
                <w:lang w:eastAsia="en-NZ"/>
              </w:rPr>
            </w:pPr>
            <w:r w:rsidRPr="00FB3E88">
              <w:rPr>
                <w:rFonts w:ascii="Calibri Light" w:eastAsia="Yu Gothic Light" w:hAnsi="Calibri Light" w:cs="Times New Roman"/>
                <w:color w:val="auto"/>
                <w:lang w:eastAsia="en-NZ"/>
              </w:rPr>
              <w:t>0.03*</w:t>
            </w:r>
          </w:p>
        </w:tc>
      </w:tr>
      <w:tr w:rsidR="00D11615" w:rsidRPr="00B5248D" w14:paraId="2260DE62" w14:textId="77777777" w:rsidTr="00D11615">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1FEEECC4"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2BFDE3E3" w14:textId="5EC1F8CF" w:rsidR="00A54114" w:rsidRPr="009F3CD8" w:rsidRDefault="00A54114"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(9.</w:t>
            </w:r>
            <w:r w:rsidR="000A29AA" w:rsidRPr="009F3CD8">
              <w:rPr>
                <w:rFonts w:ascii="Calibri Light" w:eastAsia="Yu Gothic Light" w:hAnsi="Calibri Light" w:cs="Times New Roman"/>
                <w:lang w:eastAsia="en-NZ"/>
              </w:rPr>
              <w:t>74</w:t>
            </w:r>
            <w:r w:rsidRPr="009F3CD8">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61C3649" w14:textId="5D54C908"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w:t>
            </w:r>
            <w:r w:rsidR="00702649" w:rsidRPr="00D90122">
              <w:rPr>
                <w:rFonts w:ascii="Calibri Light" w:eastAsia="Yu Gothic Light" w:hAnsi="Calibri Light" w:cs="Times New Roman"/>
                <w:lang w:eastAsia="en-NZ"/>
              </w:rPr>
              <w:t>1.2</w:t>
            </w:r>
            <w:r w:rsidR="00F40691" w:rsidRPr="00D90122">
              <w:rPr>
                <w:rFonts w:ascii="Calibri Light" w:eastAsia="Yu Gothic Light" w:hAnsi="Calibri Light" w:cs="Times New Roman"/>
                <w:lang w:eastAsia="en-NZ"/>
              </w:rPr>
              <w:t>6</w:t>
            </w:r>
            <w:r w:rsidRPr="00D9012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35B588C" w14:textId="4961F91D" w:rsidR="00A54114" w:rsidRPr="00FB3E88" w:rsidRDefault="00A54114" w:rsidP="00DC1734">
            <w:pPr>
              <w:spacing w:after="0"/>
              <w:jc w:val="center"/>
              <w:rPr>
                <w:rFonts w:ascii="Calibri Light" w:eastAsia="Yu Gothic Light" w:hAnsi="Calibri Light" w:cs="Times New Roman"/>
                <w:color w:val="auto"/>
                <w:lang w:eastAsia="en-NZ"/>
              </w:rPr>
            </w:pPr>
            <w:r w:rsidRPr="00FB3E88">
              <w:rPr>
                <w:rFonts w:ascii="Calibri Light" w:eastAsia="Yu Gothic Light" w:hAnsi="Calibri Light" w:cs="Times New Roman"/>
                <w:color w:val="auto"/>
                <w:lang w:eastAsia="en-NZ"/>
              </w:rPr>
              <w:t>(0.0</w:t>
            </w:r>
            <w:r w:rsidR="0001505C" w:rsidRPr="00FB3E88">
              <w:rPr>
                <w:rFonts w:ascii="Calibri Light" w:eastAsia="Yu Gothic Light" w:hAnsi="Calibri Light" w:cs="Times New Roman"/>
                <w:color w:val="auto"/>
                <w:lang w:eastAsia="en-NZ"/>
              </w:rPr>
              <w:t>2</w:t>
            </w:r>
            <w:r w:rsidRPr="00FB3E88">
              <w:rPr>
                <w:rFonts w:ascii="Calibri Light" w:eastAsia="Yu Gothic Light" w:hAnsi="Calibri Light" w:cs="Times New Roman"/>
                <w:color w:val="auto"/>
                <w:lang w:eastAsia="en-NZ"/>
              </w:rPr>
              <w:t>)</w:t>
            </w:r>
          </w:p>
        </w:tc>
      </w:tr>
      <w:tr w:rsidR="0032105E" w:rsidRPr="00B5248D" w14:paraId="08830289" w14:textId="77777777" w:rsidTr="00DC1734">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7940222D" w14:textId="77777777" w:rsidR="00A54114" w:rsidRPr="00543D7D" w:rsidRDefault="00A54114"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Pasifika (%)</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2C6C0A9D" w14:textId="573E3651" w:rsidR="00A54114" w:rsidRPr="009F3CD8" w:rsidRDefault="008E032D"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65.</w:t>
            </w:r>
            <w:r w:rsidR="000A29AA" w:rsidRPr="009F3CD8">
              <w:rPr>
                <w:rFonts w:ascii="Calibri Light" w:eastAsia="Yu Gothic Light" w:hAnsi="Calibri Light" w:cs="Times New Roman"/>
                <w:lang w:eastAsia="en-NZ"/>
              </w:rPr>
              <w:t>50</w:t>
            </w:r>
            <w:r w:rsidR="00A54114" w:rsidRPr="009F3CD8">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47E00306" w14:textId="0F83D583"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3.9</w:t>
            </w:r>
            <w:r w:rsidR="00081BA8" w:rsidRPr="00D90122">
              <w:rPr>
                <w:rFonts w:ascii="Calibri Light" w:eastAsia="Yu Gothic Light" w:hAnsi="Calibri Light" w:cs="Times New Roman"/>
                <w:lang w:eastAsia="en-NZ"/>
              </w:rPr>
              <w:t>0*</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77E0DCC9" w14:textId="77777777" w:rsidR="00A54114" w:rsidRPr="00FB3E88" w:rsidRDefault="00A54114" w:rsidP="00DC1734">
            <w:pPr>
              <w:spacing w:after="0"/>
              <w:jc w:val="center"/>
              <w:rPr>
                <w:rFonts w:ascii="Calibri Light" w:eastAsia="Yu Gothic Light" w:hAnsi="Calibri Light" w:cs="Times New Roman"/>
                <w:color w:val="auto"/>
                <w:lang w:eastAsia="en-NZ"/>
              </w:rPr>
            </w:pPr>
            <w:r w:rsidRPr="00FB3E88">
              <w:rPr>
                <w:rFonts w:ascii="Calibri Light" w:eastAsia="Yu Gothic Light" w:hAnsi="Calibri Light" w:cs="Times New Roman"/>
                <w:color w:val="auto"/>
                <w:lang w:eastAsia="en-NZ"/>
              </w:rPr>
              <w:t>0.01</w:t>
            </w:r>
          </w:p>
        </w:tc>
      </w:tr>
      <w:tr w:rsidR="00D11615" w:rsidRPr="00B5248D" w14:paraId="4CF3BAFF"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504EA75"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8A3562E" w14:textId="60585268" w:rsidR="00A54114" w:rsidRPr="009F3CD8" w:rsidRDefault="00A54114"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(3</w:t>
            </w:r>
            <w:r w:rsidR="008800C1" w:rsidRPr="009F3CD8">
              <w:rPr>
                <w:rFonts w:ascii="Calibri Light" w:eastAsia="Yu Gothic Light" w:hAnsi="Calibri Light" w:cs="Times New Roman"/>
                <w:lang w:eastAsia="en-NZ"/>
              </w:rPr>
              <w:t>5.4</w:t>
            </w:r>
            <w:r w:rsidR="000A29AA" w:rsidRPr="009F3CD8">
              <w:rPr>
                <w:rFonts w:ascii="Calibri Light" w:eastAsia="Yu Gothic Light" w:hAnsi="Calibri Light" w:cs="Times New Roman"/>
                <w:lang w:eastAsia="en-NZ"/>
              </w:rPr>
              <w:t>0</w:t>
            </w:r>
            <w:r w:rsidRPr="009F3CD8">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3D2E0E15" w14:textId="44678C14"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w:t>
            </w:r>
            <w:r w:rsidR="00702649" w:rsidRPr="00D90122">
              <w:rPr>
                <w:rFonts w:ascii="Calibri Light" w:eastAsia="Yu Gothic Light" w:hAnsi="Calibri Light" w:cs="Times New Roman"/>
                <w:lang w:eastAsia="en-NZ"/>
              </w:rPr>
              <w:t>2.31</w:t>
            </w:r>
            <w:r w:rsidRPr="00D9012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2ADF20A2" w14:textId="5375B182" w:rsidR="00A54114" w:rsidRPr="00FB3E88" w:rsidRDefault="00A54114" w:rsidP="00DC1734">
            <w:pPr>
              <w:spacing w:after="0"/>
              <w:jc w:val="center"/>
              <w:rPr>
                <w:rFonts w:ascii="Calibri Light" w:eastAsia="Yu Gothic Light" w:hAnsi="Calibri Light" w:cs="Times New Roman"/>
                <w:color w:val="auto"/>
                <w:lang w:eastAsia="en-NZ"/>
              </w:rPr>
            </w:pPr>
            <w:r w:rsidRPr="00FB3E88">
              <w:rPr>
                <w:rFonts w:ascii="Calibri Light" w:eastAsia="Yu Gothic Light" w:hAnsi="Calibri Light" w:cs="Times New Roman"/>
                <w:color w:val="auto"/>
                <w:lang w:eastAsia="en-NZ"/>
              </w:rPr>
              <w:t>(0.0</w:t>
            </w:r>
            <w:r w:rsidR="00722195" w:rsidRPr="00FB3E88">
              <w:rPr>
                <w:rFonts w:ascii="Calibri Light" w:eastAsia="Yu Gothic Light" w:hAnsi="Calibri Light" w:cs="Times New Roman"/>
                <w:color w:val="auto"/>
                <w:lang w:eastAsia="en-NZ"/>
              </w:rPr>
              <w:t>3</w:t>
            </w:r>
            <w:r w:rsidRPr="00FB3E88">
              <w:rPr>
                <w:rFonts w:ascii="Calibri Light" w:eastAsia="Yu Gothic Light" w:hAnsi="Calibri Light" w:cs="Times New Roman"/>
                <w:color w:val="auto"/>
                <w:lang w:eastAsia="en-NZ"/>
              </w:rPr>
              <w:t>)</w:t>
            </w:r>
          </w:p>
        </w:tc>
      </w:tr>
      <w:tr w:rsidR="00D11615" w:rsidRPr="00B5248D" w14:paraId="077977FB" w14:textId="77777777" w:rsidTr="00D11615">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3D59A1CD" w14:textId="77777777" w:rsidR="00A54114" w:rsidRPr="00543D7D" w:rsidRDefault="00A54114"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Asian (%)</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32A11528" w14:textId="0CA6CA0A" w:rsidR="00A54114" w:rsidRPr="009F3CD8" w:rsidRDefault="0044497D"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16.8</w:t>
            </w:r>
            <w:r w:rsidR="00AD7769" w:rsidRPr="009F3CD8">
              <w:rPr>
                <w:rFonts w:ascii="Calibri Light" w:eastAsia="Yu Gothic Light" w:hAnsi="Calibri Light" w:cs="Times New Roman"/>
                <w:lang w:eastAsia="en-NZ"/>
              </w:rPr>
              <w:t>4</w:t>
            </w:r>
            <w:r w:rsidR="00A54114" w:rsidRPr="009F3CD8">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68B577A5" w14:textId="1A02A508"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2.</w:t>
            </w:r>
            <w:r w:rsidR="00081BA8" w:rsidRPr="00D90122">
              <w:rPr>
                <w:rFonts w:ascii="Calibri Light" w:eastAsia="Yu Gothic Light" w:hAnsi="Calibri Light" w:cs="Times New Roman"/>
                <w:lang w:eastAsia="en-NZ"/>
              </w:rPr>
              <w:t>78</w:t>
            </w:r>
            <w:r w:rsidRPr="00D90122">
              <w:rPr>
                <w:rFonts w:ascii="Calibri Light" w:eastAsia="Yu Gothic Light" w:hAnsi="Calibri Light" w:cs="Times New Roman"/>
                <w:lang w:eastAsia="en-NZ"/>
              </w:rPr>
              <w:t>*</w:t>
            </w:r>
            <w:r w:rsidR="00EF0719" w:rsidRPr="00D90122">
              <w:rPr>
                <w:rFonts w:ascii="Calibri Light" w:eastAsia="Yu Gothic Light" w:hAnsi="Calibri Light" w:cs="Times New Roman"/>
                <w:lang w:eastAsia="en-NZ"/>
              </w:rPr>
              <w:t>**</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14BBE629" w14:textId="77777777" w:rsidR="00A54114" w:rsidRPr="004114D6" w:rsidRDefault="00A54114" w:rsidP="00DC1734">
            <w:pPr>
              <w:spacing w:after="0"/>
              <w:jc w:val="center"/>
              <w:rPr>
                <w:rFonts w:ascii="Calibri Light" w:eastAsia="Yu Gothic Light" w:hAnsi="Calibri Light" w:cs="Times New Roman"/>
                <w:color w:val="auto"/>
                <w:lang w:eastAsia="en-NZ"/>
              </w:rPr>
            </w:pPr>
            <w:r w:rsidRPr="004114D6">
              <w:rPr>
                <w:rFonts w:ascii="Calibri Light" w:eastAsia="Yu Gothic Light" w:hAnsi="Calibri Light" w:cs="Times New Roman"/>
                <w:color w:val="auto"/>
                <w:lang w:eastAsia="en-NZ"/>
              </w:rPr>
              <w:t>0.01</w:t>
            </w:r>
          </w:p>
        </w:tc>
      </w:tr>
      <w:tr w:rsidR="00D11615" w:rsidRPr="00B5248D" w14:paraId="195EE9F8" w14:textId="77777777" w:rsidTr="00D11615">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59FC9DCA"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B3E44C5" w14:textId="246CD999" w:rsidR="00A54114" w:rsidRPr="009F3CD8" w:rsidRDefault="00A54114"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w:t>
            </w:r>
            <w:r w:rsidR="00AD7769" w:rsidRPr="009F3CD8">
              <w:rPr>
                <w:rFonts w:ascii="Calibri Light" w:eastAsia="Yu Gothic Light" w:hAnsi="Calibri Light" w:cs="Times New Roman"/>
                <w:lang w:eastAsia="en-NZ"/>
              </w:rPr>
              <w:t>8.05</w:t>
            </w:r>
            <w:r w:rsidRPr="009F3CD8">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2EE1131B" w14:textId="7B55137F"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(0.</w:t>
            </w:r>
            <w:r w:rsidR="00791A01" w:rsidRPr="00D90122">
              <w:rPr>
                <w:rFonts w:ascii="Calibri Light" w:eastAsia="Yu Gothic Light" w:hAnsi="Calibri Light" w:cs="Times New Roman"/>
                <w:lang w:eastAsia="en-NZ"/>
              </w:rPr>
              <w:t>8</w:t>
            </w:r>
            <w:r w:rsidR="0098676F" w:rsidRPr="00D90122">
              <w:rPr>
                <w:rFonts w:ascii="Calibri Light" w:eastAsia="Yu Gothic Light" w:hAnsi="Calibri Light" w:cs="Times New Roman"/>
                <w:lang w:eastAsia="en-NZ"/>
              </w:rPr>
              <w:t>2</w:t>
            </w:r>
            <w:r w:rsidRPr="00D9012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0BA6CEF9" w14:textId="77777777" w:rsidR="00A54114" w:rsidRPr="004114D6" w:rsidRDefault="00A54114" w:rsidP="00DC1734">
            <w:pPr>
              <w:spacing w:after="0"/>
              <w:jc w:val="center"/>
              <w:rPr>
                <w:rFonts w:ascii="Calibri Light" w:eastAsia="Yu Gothic Light" w:hAnsi="Calibri Light" w:cs="Times New Roman"/>
                <w:color w:val="auto"/>
                <w:lang w:eastAsia="en-NZ"/>
              </w:rPr>
            </w:pPr>
            <w:r w:rsidRPr="004114D6">
              <w:rPr>
                <w:rFonts w:ascii="Calibri Light" w:eastAsia="Yu Gothic Light" w:hAnsi="Calibri Light" w:cs="Times New Roman"/>
                <w:color w:val="auto"/>
                <w:lang w:eastAsia="en-NZ"/>
              </w:rPr>
              <w:t>(0.01)</w:t>
            </w:r>
          </w:p>
        </w:tc>
      </w:tr>
      <w:tr w:rsidR="0032105E" w:rsidRPr="00B5248D" w14:paraId="5725293E" w14:textId="77777777" w:rsidTr="00DC1734">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69429BD1" w14:textId="77777777" w:rsidR="00A54114" w:rsidRPr="00543D7D" w:rsidRDefault="00A54114"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MELAA (%)</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3B60A121" w14:textId="77731C1A" w:rsidR="00A54114" w:rsidRPr="009F3CD8" w:rsidRDefault="0044497D"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11.</w:t>
            </w:r>
            <w:r w:rsidR="00AD7769" w:rsidRPr="009F3CD8">
              <w:rPr>
                <w:rFonts w:ascii="Calibri Light" w:eastAsia="Yu Gothic Light" w:hAnsi="Calibri Light" w:cs="Times New Roman"/>
                <w:lang w:eastAsia="en-NZ"/>
              </w:rPr>
              <w:t>33</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051240AA" w14:textId="269BBDCE"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0.</w:t>
            </w:r>
            <w:r w:rsidR="00D23570" w:rsidRPr="00D90122">
              <w:rPr>
                <w:rFonts w:ascii="Calibri Light" w:eastAsia="Yu Gothic Light" w:hAnsi="Calibri Light" w:cs="Times New Roman"/>
                <w:lang w:eastAsia="en-NZ"/>
              </w:rPr>
              <w:t>23</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28476CC9" w14:textId="2B23017A" w:rsidR="00A54114" w:rsidRPr="004114D6" w:rsidRDefault="00A54114" w:rsidP="00DC1734">
            <w:pPr>
              <w:spacing w:after="0"/>
              <w:jc w:val="center"/>
              <w:rPr>
                <w:rFonts w:ascii="Calibri Light" w:eastAsia="Yu Gothic Light" w:hAnsi="Calibri Light" w:cs="Times New Roman"/>
                <w:color w:val="auto"/>
                <w:lang w:eastAsia="en-NZ"/>
              </w:rPr>
            </w:pPr>
            <w:r w:rsidRPr="004114D6">
              <w:rPr>
                <w:rFonts w:ascii="Calibri Light" w:eastAsia="Yu Gothic Light" w:hAnsi="Calibri Light" w:cs="Times New Roman"/>
                <w:color w:val="auto"/>
                <w:lang w:eastAsia="en-NZ"/>
              </w:rPr>
              <w:t>0.00</w:t>
            </w:r>
            <w:r w:rsidR="009A6FCC" w:rsidRPr="004114D6">
              <w:rPr>
                <w:rFonts w:ascii="Calibri Light" w:eastAsia="Yu Gothic Light" w:hAnsi="Calibri Light" w:cs="Times New Roman"/>
                <w:color w:val="auto"/>
                <w:lang w:eastAsia="en-NZ"/>
              </w:rPr>
              <w:t>4</w:t>
            </w:r>
          </w:p>
        </w:tc>
      </w:tr>
      <w:tr w:rsidR="00D11615" w:rsidRPr="00B5248D" w14:paraId="513CF22D" w14:textId="77777777" w:rsidTr="00D11615">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7AC21A4"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31935C8E" w14:textId="5C689D83" w:rsidR="00A54114" w:rsidRPr="009F3CD8" w:rsidRDefault="00A54114" w:rsidP="00DC1734">
            <w:pPr>
              <w:spacing w:after="0"/>
              <w:jc w:val="center"/>
              <w:rPr>
                <w:rFonts w:ascii="Calibri Light" w:eastAsia="Yu Gothic Light" w:hAnsi="Calibri Light" w:cs="Times New Roman"/>
                <w:lang w:eastAsia="en-NZ"/>
              </w:rPr>
            </w:pPr>
            <w:r w:rsidRPr="009F3CD8">
              <w:rPr>
                <w:rFonts w:ascii="Calibri Light" w:eastAsia="Yu Gothic Light" w:hAnsi="Calibri Light" w:cs="Times New Roman"/>
                <w:lang w:eastAsia="en-NZ"/>
              </w:rPr>
              <w:t>(</w:t>
            </w:r>
            <w:r w:rsidR="00EB32B8" w:rsidRPr="009F3CD8">
              <w:rPr>
                <w:rFonts w:ascii="Calibri Light" w:eastAsia="Yu Gothic Light" w:hAnsi="Calibri Light" w:cs="Times New Roman"/>
                <w:lang w:eastAsia="en-NZ"/>
              </w:rPr>
              <w:t>45.</w:t>
            </w:r>
            <w:r w:rsidR="00AD7769" w:rsidRPr="009F3CD8">
              <w:rPr>
                <w:rFonts w:ascii="Calibri Light" w:eastAsia="Yu Gothic Light" w:hAnsi="Calibri Light" w:cs="Times New Roman"/>
                <w:lang w:eastAsia="en-NZ"/>
              </w:rPr>
              <w:t>05</w:t>
            </w:r>
            <w:r w:rsidRPr="009F3CD8">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7D529477" w14:textId="2F5AB419" w:rsidR="00A54114" w:rsidRPr="00D90122" w:rsidRDefault="00A54114" w:rsidP="00DC1734">
            <w:pPr>
              <w:spacing w:after="0"/>
              <w:jc w:val="center"/>
              <w:rPr>
                <w:rFonts w:ascii="Calibri Light" w:eastAsia="Yu Gothic Light" w:hAnsi="Calibri Light" w:cs="Times New Roman"/>
                <w:lang w:eastAsia="en-NZ"/>
              </w:rPr>
            </w:pPr>
            <w:r w:rsidRPr="00D90122">
              <w:rPr>
                <w:rFonts w:ascii="Calibri Light" w:eastAsia="Yu Gothic Light" w:hAnsi="Calibri Light" w:cs="Times New Roman"/>
                <w:lang w:eastAsia="en-NZ"/>
              </w:rPr>
              <w:t>(</w:t>
            </w:r>
            <w:r w:rsidR="00791A01" w:rsidRPr="00D90122">
              <w:rPr>
                <w:rFonts w:ascii="Calibri Light" w:eastAsia="Yu Gothic Light" w:hAnsi="Calibri Light" w:cs="Times New Roman"/>
                <w:lang w:eastAsia="en-NZ"/>
              </w:rPr>
              <w:t>5.</w:t>
            </w:r>
            <w:r w:rsidR="00BB763A" w:rsidRPr="00D90122">
              <w:rPr>
                <w:rFonts w:ascii="Calibri Light" w:eastAsia="Yu Gothic Light" w:hAnsi="Calibri Light" w:cs="Times New Roman"/>
                <w:lang w:eastAsia="en-NZ"/>
              </w:rPr>
              <w:t>19</w:t>
            </w:r>
            <w:r w:rsidRPr="00D90122">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6416941C" w14:textId="0C3F6B31" w:rsidR="00A54114" w:rsidRPr="004114D6" w:rsidRDefault="00A54114" w:rsidP="00DC1734">
            <w:pPr>
              <w:spacing w:after="0"/>
              <w:jc w:val="center"/>
              <w:rPr>
                <w:rFonts w:ascii="Calibri Light" w:eastAsia="Yu Gothic Light" w:hAnsi="Calibri Light" w:cs="Times New Roman"/>
                <w:color w:val="auto"/>
                <w:lang w:eastAsia="en-NZ"/>
              </w:rPr>
            </w:pPr>
            <w:r w:rsidRPr="004114D6">
              <w:rPr>
                <w:rFonts w:ascii="Calibri Light" w:eastAsia="Yu Gothic Light" w:hAnsi="Calibri Light" w:cs="Times New Roman"/>
                <w:color w:val="auto"/>
                <w:lang w:eastAsia="en-NZ"/>
              </w:rPr>
              <w:t>(0.0</w:t>
            </w:r>
            <w:r w:rsidR="006064F3" w:rsidRPr="004114D6">
              <w:rPr>
                <w:rFonts w:ascii="Calibri Light" w:eastAsia="Yu Gothic Light" w:hAnsi="Calibri Light" w:cs="Times New Roman"/>
                <w:color w:val="auto"/>
                <w:lang w:eastAsia="en-NZ"/>
              </w:rPr>
              <w:t>6</w:t>
            </w:r>
            <w:r w:rsidRPr="004114D6">
              <w:rPr>
                <w:rFonts w:ascii="Calibri Light" w:eastAsia="Yu Gothic Light" w:hAnsi="Calibri Light" w:cs="Times New Roman"/>
                <w:color w:val="auto"/>
                <w:lang w:eastAsia="en-NZ"/>
              </w:rPr>
              <w:t>)</w:t>
            </w:r>
          </w:p>
        </w:tc>
      </w:tr>
      <w:tr w:rsidR="0032105E" w:rsidRPr="00B5248D" w14:paraId="569BE91E" w14:textId="77777777" w:rsidTr="00DC1734">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2A2399CA" w14:textId="77FFEAA6" w:rsidR="00A54114" w:rsidRPr="00543D7D" w:rsidRDefault="0071162C"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Deprivation</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32CFB45F" w14:textId="61D4BD93" w:rsidR="00A54114" w:rsidRPr="00B314FF" w:rsidRDefault="00A54114" w:rsidP="00DC1734">
            <w:pPr>
              <w:spacing w:after="0"/>
              <w:jc w:val="center"/>
              <w:rPr>
                <w:rFonts w:ascii="Calibri Light" w:eastAsia="Yu Gothic Light" w:hAnsi="Calibri Light" w:cs="Times New Roman"/>
                <w:lang w:eastAsia="en-NZ"/>
              </w:rPr>
            </w:pPr>
            <w:r w:rsidRPr="00B314FF">
              <w:rPr>
                <w:rFonts w:ascii="Calibri Light" w:eastAsia="Yu Gothic Light" w:hAnsi="Calibri Light" w:cs="Times New Roman"/>
                <w:lang w:eastAsia="en-NZ"/>
              </w:rPr>
              <w:t>-</w:t>
            </w:r>
            <w:r w:rsidR="00097296" w:rsidRPr="00B314FF">
              <w:rPr>
                <w:rFonts w:ascii="Calibri Light" w:eastAsia="Yu Gothic Light" w:hAnsi="Calibri Light" w:cs="Times New Roman"/>
                <w:lang w:eastAsia="en-NZ"/>
              </w:rPr>
              <w:t>32.3</w:t>
            </w:r>
            <w:r w:rsidR="00DB76D3" w:rsidRPr="00B314FF">
              <w:rPr>
                <w:rFonts w:ascii="Calibri Light" w:eastAsia="Yu Gothic Light" w:hAnsi="Calibri Light" w:cs="Times New Roman"/>
                <w:lang w:eastAsia="en-NZ"/>
              </w:rPr>
              <w:t>9</w:t>
            </w:r>
            <w:r w:rsidR="00BA38FA" w:rsidRPr="00B314FF">
              <w:rPr>
                <w:rFonts w:ascii="Calibri Light" w:eastAsia="Yu Gothic Light" w:hAnsi="Calibri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6547801E" w14:textId="1A39B7E0" w:rsidR="00A54114" w:rsidRPr="008437B9" w:rsidRDefault="00FC67DD" w:rsidP="00DC1734">
            <w:pPr>
              <w:spacing w:after="0"/>
              <w:jc w:val="center"/>
              <w:rPr>
                <w:rFonts w:ascii="Calibri Light" w:eastAsia="Yu Gothic Light" w:hAnsi="Calibri Light" w:cs="Times New Roman"/>
                <w:lang w:eastAsia="en-NZ"/>
              </w:rPr>
            </w:pPr>
            <w:r w:rsidRPr="008437B9">
              <w:rPr>
                <w:rFonts w:ascii="Calibri Light" w:eastAsia="Yu Gothic Light" w:hAnsi="Calibri Light" w:cs="Times New Roman"/>
                <w:lang w:eastAsia="en-NZ"/>
              </w:rPr>
              <w:t>0.72</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030AF66A" w14:textId="00AD2AB9" w:rsidR="00A54114" w:rsidRPr="00811A8A" w:rsidRDefault="00A54114" w:rsidP="00DC1734">
            <w:pPr>
              <w:spacing w:after="0"/>
              <w:jc w:val="center"/>
              <w:rPr>
                <w:rFonts w:ascii="Calibri Light" w:eastAsia="Yu Gothic Light" w:hAnsi="Calibri Light" w:cs="Times New Roman"/>
                <w:lang w:eastAsia="en-NZ"/>
              </w:rPr>
            </w:pPr>
            <w:r w:rsidRPr="00811A8A">
              <w:rPr>
                <w:rFonts w:ascii="Calibri Light" w:eastAsia="Yu Gothic Light" w:hAnsi="Calibri Light" w:cs="Times New Roman"/>
                <w:lang w:eastAsia="en-NZ"/>
              </w:rPr>
              <w:t>0.00</w:t>
            </w:r>
            <w:r w:rsidR="009C272A">
              <w:rPr>
                <w:rFonts w:ascii="Calibri Light" w:eastAsia="Yu Gothic Light" w:hAnsi="Calibri Light" w:cs="Times New Roman"/>
                <w:lang w:eastAsia="en-NZ"/>
              </w:rPr>
              <w:t>0</w:t>
            </w:r>
            <w:r w:rsidR="00553F31">
              <w:rPr>
                <w:rFonts w:ascii="Calibri Light" w:eastAsia="Yu Gothic Light" w:hAnsi="Calibri Light" w:cs="Times New Roman"/>
                <w:lang w:eastAsia="en-NZ"/>
              </w:rPr>
              <w:t>1</w:t>
            </w:r>
          </w:p>
        </w:tc>
      </w:tr>
      <w:tr w:rsidR="0032105E" w:rsidRPr="00B5248D" w14:paraId="56CFEDEF"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364B0EF9" w14:textId="77777777" w:rsidR="00A54114" w:rsidRPr="00543D7D" w:rsidRDefault="00A54114" w:rsidP="00A54114">
            <w:pPr>
              <w:spacing w:after="0"/>
              <w:rPr>
                <w:rFonts w:ascii="Calibri Light" w:eastAsia="Yu Gothic Light" w:hAnsi="Calibri Light" w:cs="Times New Roman"/>
                <w:color w:val="auto"/>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788A4696" w14:textId="2D6933FB" w:rsidR="00A54114" w:rsidRPr="00B314FF" w:rsidRDefault="00A54114" w:rsidP="00DC1734">
            <w:pPr>
              <w:spacing w:after="0"/>
              <w:jc w:val="center"/>
              <w:rPr>
                <w:rFonts w:ascii="Calibri Light" w:eastAsia="Yu Gothic Light" w:hAnsi="Calibri Light" w:cs="Times New Roman"/>
                <w:lang w:eastAsia="en-NZ"/>
              </w:rPr>
            </w:pPr>
            <w:r w:rsidRPr="00B314FF">
              <w:rPr>
                <w:rFonts w:ascii="Calibri Light" w:eastAsia="Yu Gothic Light" w:hAnsi="Calibri Light" w:cs="Times New Roman"/>
                <w:lang w:eastAsia="en-NZ"/>
              </w:rPr>
              <w:t>(1</w:t>
            </w:r>
            <w:r w:rsidR="00BA38FA" w:rsidRPr="00B314FF">
              <w:rPr>
                <w:rFonts w:ascii="Calibri Light" w:eastAsia="Yu Gothic Light" w:hAnsi="Calibri Light" w:cs="Times New Roman"/>
                <w:lang w:eastAsia="en-NZ"/>
              </w:rPr>
              <w:t>5</w:t>
            </w:r>
            <w:r w:rsidRPr="00B314FF">
              <w:rPr>
                <w:rFonts w:ascii="Calibri Light" w:eastAsia="Yu Gothic Light" w:hAnsi="Calibri Light" w:cs="Times New Roman"/>
                <w:lang w:eastAsia="en-NZ"/>
              </w:rPr>
              <w:t>.</w:t>
            </w:r>
            <w:r w:rsidR="00BA38FA" w:rsidRPr="00B314FF">
              <w:rPr>
                <w:rFonts w:ascii="Calibri Light" w:eastAsia="Yu Gothic Light" w:hAnsi="Calibri Light" w:cs="Times New Roman"/>
                <w:lang w:eastAsia="en-NZ"/>
              </w:rPr>
              <w:t>8</w:t>
            </w:r>
            <w:r w:rsidR="00B314FF" w:rsidRPr="00B314FF">
              <w:rPr>
                <w:rFonts w:ascii="Calibri Light" w:eastAsia="Yu Gothic Light" w:hAnsi="Calibri Light" w:cs="Times New Roman"/>
                <w:lang w:eastAsia="en-NZ"/>
              </w:rPr>
              <w:t>9</w:t>
            </w:r>
            <w:r w:rsidRPr="00B314FF">
              <w:rPr>
                <w:rFonts w:ascii="Calibri Light" w:eastAsia="Yu Gothic Light" w:hAnsi="Calibri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6BC2EA6A" w14:textId="355DD7DC" w:rsidR="00A54114" w:rsidRPr="008437B9" w:rsidRDefault="00A54114" w:rsidP="00DC1734">
            <w:pPr>
              <w:spacing w:after="0"/>
              <w:jc w:val="center"/>
              <w:rPr>
                <w:rFonts w:ascii="Calibri Light" w:eastAsia="Yu Gothic Light" w:hAnsi="Calibri Light" w:cs="Times New Roman"/>
                <w:lang w:eastAsia="en-NZ"/>
              </w:rPr>
            </w:pPr>
            <w:r w:rsidRPr="008437B9">
              <w:rPr>
                <w:rFonts w:ascii="Calibri Light" w:eastAsia="Yu Gothic Light" w:hAnsi="Calibri Light" w:cs="Times New Roman"/>
                <w:lang w:eastAsia="en-NZ"/>
              </w:rPr>
              <w:t>(</w:t>
            </w:r>
            <w:r w:rsidR="00956F4E" w:rsidRPr="008437B9">
              <w:rPr>
                <w:rFonts w:ascii="Calibri Light" w:eastAsia="Yu Gothic Light" w:hAnsi="Calibri Light" w:cs="Times New Roman"/>
                <w:lang w:eastAsia="en-NZ"/>
              </w:rPr>
              <w:t>1.8</w:t>
            </w:r>
            <w:r w:rsidR="003F1572" w:rsidRPr="008437B9">
              <w:rPr>
                <w:rFonts w:ascii="Calibri Light" w:eastAsia="Yu Gothic Light" w:hAnsi="Calibri Light" w:cs="Times New Roman"/>
                <w:lang w:eastAsia="en-NZ"/>
              </w:rPr>
              <w:t>0</w:t>
            </w:r>
            <w:r w:rsidRPr="008437B9">
              <w:rPr>
                <w:rFonts w:ascii="Calibri Light" w:eastAsia="Yu Gothic Light" w:hAnsi="Calibri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2FA7E383" w14:textId="0B163153" w:rsidR="00A54114" w:rsidRPr="00811A8A" w:rsidRDefault="00A54114" w:rsidP="00DC1734">
            <w:pPr>
              <w:spacing w:after="0"/>
              <w:jc w:val="center"/>
              <w:rPr>
                <w:rFonts w:ascii="Calibri Light" w:eastAsia="Yu Gothic Light" w:hAnsi="Calibri Light" w:cs="Times New Roman"/>
                <w:lang w:eastAsia="en-NZ"/>
              </w:rPr>
            </w:pPr>
            <w:r w:rsidRPr="00811A8A">
              <w:rPr>
                <w:rFonts w:ascii="Calibri Light" w:eastAsia="Yu Gothic Light" w:hAnsi="Calibri Light" w:cs="Times New Roman"/>
                <w:lang w:eastAsia="en-NZ"/>
              </w:rPr>
              <w:t>(0.0</w:t>
            </w:r>
            <w:r w:rsidR="002E213B" w:rsidRPr="00811A8A">
              <w:rPr>
                <w:rFonts w:ascii="Calibri Light" w:eastAsia="Yu Gothic Light" w:hAnsi="Calibri Light" w:cs="Times New Roman"/>
                <w:lang w:eastAsia="en-NZ"/>
              </w:rPr>
              <w:t>3</w:t>
            </w:r>
            <w:r w:rsidRPr="00811A8A">
              <w:rPr>
                <w:rFonts w:ascii="Calibri Light" w:eastAsia="Yu Gothic Light" w:hAnsi="Calibri Light" w:cs="Times New Roman"/>
                <w:lang w:eastAsia="en-NZ"/>
              </w:rPr>
              <w:t>)</w:t>
            </w:r>
          </w:p>
        </w:tc>
      </w:tr>
      <w:tr w:rsidR="0099742C" w:rsidRPr="00B5248D" w14:paraId="15323F3E" w14:textId="77777777" w:rsidTr="00DC1734">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2698487" w14:textId="68E03141" w:rsidR="0099742C" w:rsidRPr="00543D7D" w:rsidRDefault="0099742C" w:rsidP="00A54114">
            <w:pPr>
              <w:spacing w:after="0"/>
              <w:rPr>
                <w:rFonts w:ascii="Calibri Light" w:eastAsia="Yu Gothic Light" w:hAnsi="Calibri Light" w:cs="Times New Roman"/>
                <w:color w:val="auto"/>
                <w:lang w:eastAsia="en-NZ"/>
              </w:rPr>
            </w:pPr>
            <w:r w:rsidRPr="00543D7D">
              <w:rPr>
                <w:rFonts w:ascii="Calibri Light" w:eastAsia="Yu Gothic Light" w:hAnsi="Calibri Light" w:cs="Times New Roman"/>
                <w:color w:val="auto"/>
                <w:lang w:eastAsia="en-NZ"/>
              </w:rPr>
              <w:t>GDP</w:t>
            </w:r>
            <w:r w:rsidR="00FE3D01" w:rsidRPr="00543D7D">
              <w:rPr>
                <w:rFonts w:ascii="Calibri Light" w:eastAsia="Yu Gothic Light" w:hAnsi="Calibri Light" w:cs="Times New Roman"/>
                <w:color w:val="auto"/>
                <w:lang w:eastAsia="en-NZ"/>
              </w:rPr>
              <w:t xml:space="preserve"> growth rate</w:t>
            </w:r>
            <w:r w:rsidR="00CB4395">
              <w:rPr>
                <w:rFonts w:ascii="Calibri Light" w:eastAsia="Yu Gothic Light" w:hAnsi="Calibri Light" w:cs="Times New Roman"/>
                <w:color w:val="auto"/>
                <w:lang w:eastAsia="en-NZ"/>
              </w:rPr>
              <w:t xml:space="preserve"> (%)</w:t>
            </w: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1CDA20D" w14:textId="77777777" w:rsidR="0099742C" w:rsidRPr="00B314FF" w:rsidRDefault="005F7E2F" w:rsidP="00DC1734">
            <w:pPr>
              <w:spacing w:after="0"/>
              <w:jc w:val="center"/>
              <w:rPr>
                <w:rFonts w:ascii="Calibri Light" w:eastAsia="Yu Gothic Light" w:hAnsi="Calibri Light" w:cs="Times New Roman"/>
                <w:lang w:eastAsia="en-NZ"/>
              </w:rPr>
            </w:pPr>
            <w:r w:rsidRPr="00B314FF">
              <w:rPr>
                <w:rFonts w:ascii="Calibri Light" w:eastAsia="Yu Gothic Light" w:hAnsi="Calibri Light" w:cs="Times New Roman"/>
                <w:lang w:eastAsia="en-NZ"/>
              </w:rPr>
              <w:t>0.</w:t>
            </w:r>
            <w:r w:rsidR="002A3678" w:rsidRPr="00B314FF">
              <w:rPr>
                <w:rFonts w:ascii="Calibri Light" w:eastAsia="Yu Gothic Light" w:hAnsi="Calibri Light" w:cs="Times New Roman"/>
                <w:lang w:eastAsia="en-NZ"/>
              </w:rPr>
              <w:t>063</w:t>
            </w:r>
          </w:p>
          <w:p w14:paraId="650DF3E6" w14:textId="402C02AC" w:rsidR="002A3678" w:rsidRPr="00B314FF" w:rsidRDefault="002A3678" w:rsidP="00DC1734">
            <w:pPr>
              <w:spacing w:after="0"/>
              <w:jc w:val="center"/>
              <w:rPr>
                <w:rFonts w:ascii="Calibri Light" w:eastAsia="Yu Gothic Light" w:hAnsi="Calibri Light" w:cs="Times New Roman"/>
                <w:lang w:eastAsia="en-NZ"/>
              </w:rPr>
            </w:pPr>
            <w:r w:rsidRPr="00B314FF">
              <w:rPr>
                <w:rFonts w:ascii="Calibri Light" w:eastAsia="Yu Gothic Light" w:hAnsi="Calibri Light" w:cs="Times New Roman"/>
                <w:lang w:eastAsia="en-NZ"/>
              </w:rPr>
              <w:t>(0.28)</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5E73AE22" w14:textId="5BE28FAB" w:rsidR="0099742C" w:rsidRPr="00F3060D" w:rsidRDefault="0025150C" w:rsidP="00DC1734">
            <w:pPr>
              <w:spacing w:after="0"/>
              <w:jc w:val="center"/>
              <w:rPr>
                <w:rFonts w:ascii="Calibri Light" w:eastAsia="Yu Gothic Light" w:hAnsi="Calibri Light" w:cs="Times New Roman"/>
                <w:lang w:eastAsia="en-NZ"/>
              </w:rPr>
            </w:pPr>
            <w:r w:rsidRPr="00F3060D">
              <w:rPr>
                <w:rFonts w:ascii="Calibri Light" w:eastAsia="Yu Gothic Light" w:hAnsi="Calibri Light" w:cs="Times New Roman"/>
                <w:lang w:eastAsia="en-NZ"/>
              </w:rPr>
              <w:t>0.00</w:t>
            </w:r>
            <w:r w:rsidR="00E152B2">
              <w:rPr>
                <w:rFonts w:ascii="Calibri Light" w:eastAsia="Yu Gothic Light" w:hAnsi="Calibri Light" w:cs="Times New Roman"/>
                <w:lang w:eastAsia="en-NZ"/>
              </w:rPr>
              <w:t>0</w:t>
            </w:r>
            <w:r w:rsidR="00923FB3">
              <w:rPr>
                <w:rFonts w:ascii="Calibri Light" w:eastAsia="Yu Gothic Light" w:hAnsi="Calibri Light" w:cs="Times New Roman"/>
                <w:lang w:eastAsia="en-NZ"/>
              </w:rPr>
              <w:t>03</w:t>
            </w:r>
          </w:p>
          <w:p w14:paraId="6352BBFC" w14:textId="6F8A6C1D" w:rsidR="0011359F" w:rsidRPr="00F3060D" w:rsidRDefault="0011359F" w:rsidP="00DC1734">
            <w:pPr>
              <w:spacing w:after="0"/>
              <w:jc w:val="center"/>
              <w:rPr>
                <w:rFonts w:ascii="Calibri Light" w:eastAsia="Yu Gothic Light" w:hAnsi="Calibri Light" w:cs="Times New Roman"/>
                <w:lang w:eastAsia="en-NZ"/>
              </w:rPr>
            </w:pPr>
            <w:r w:rsidRPr="00F3060D">
              <w:rPr>
                <w:rFonts w:ascii="Calibri Light" w:eastAsia="Yu Gothic Light" w:hAnsi="Calibri Light" w:cs="Times New Roman"/>
                <w:lang w:eastAsia="en-NZ"/>
              </w:rPr>
              <w:t>(0.0</w:t>
            </w:r>
            <w:r w:rsidR="00437401" w:rsidRPr="00F3060D">
              <w:rPr>
                <w:rFonts w:ascii="Calibri Light" w:eastAsia="Yu Gothic Light" w:hAnsi="Calibri Light" w:cs="Times New Roman"/>
                <w:lang w:eastAsia="en-NZ"/>
              </w:rPr>
              <w:t>3)</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2315103" w14:textId="43FB8D52" w:rsidR="0099742C" w:rsidRPr="00811A8A" w:rsidRDefault="00756C51" w:rsidP="00DC1734">
            <w:pPr>
              <w:spacing w:after="0"/>
              <w:jc w:val="center"/>
              <w:rPr>
                <w:rFonts w:ascii="Calibri Light" w:eastAsia="Yu Gothic Light" w:hAnsi="Calibri Light" w:cs="Times New Roman"/>
                <w:lang w:eastAsia="en-NZ"/>
              </w:rPr>
            </w:pPr>
            <w:r w:rsidRPr="00811A8A">
              <w:rPr>
                <w:rFonts w:ascii="Calibri Light" w:eastAsia="Yu Gothic Light" w:hAnsi="Calibri Light" w:cs="Times New Roman"/>
                <w:lang w:eastAsia="en-NZ"/>
              </w:rPr>
              <w:t>0.00</w:t>
            </w:r>
            <w:r w:rsidR="00C36107">
              <w:rPr>
                <w:rFonts w:ascii="Calibri Light" w:eastAsia="Yu Gothic Light" w:hAnsi="Calibri Light" w:cs="Times New Roman"/>
                <w:lang w:eastAsia="en-NZ"/>
              </w:rPr>
              <w:t>07</w:t>
            </w:r>
          </w:p>
          <w:p w14:paraId="78028EEE" w14:textId="32C1D80E" w:rsidR="00756C51" w:rsidRPr="00811A8A" w:rsidRDefault="00756C51" w:rsidP="00DC1734">
            <w:pPr>
              <w:spacing w:after="0"/>
              <w:jc w:val="center"/>
              <w:rPr>
                <w:rFonts w:ascii="Calibri Light" w:eastAsia="Yu Gothic Light" w:hAnsi="Calibri Light" w:cs="Times New Roman"/>
                <w:lang w:eastAsia="en-NZ"/>
              </w:rPr>
            </w:pPr>
            <w:r w:rsidRPr="00811A8A">
              <w:rPr>
                <w:rFonts w:ascii="Calibri Light" w:eastAsia="Yu Gothic Light" w:hAnsi="Calibri Light" w:cs="Times New Roman"/>
                <w:lang w:eastAsia="en-NZ"/>
              </w:rPr>
              <w:t>(0.00</w:t>
            </w:r>
            <w:r w:rsidR="00AF663F">
              <w:rPr>
                <w:rFonts w:ascii="Calibri Light" w:eastAsia="Yu Gothic Light" w:hAnsi="Calibri Light" w:cs="Times New Roman"/>
                <w:lang w:eastAsia="en-NZ"/>
              </w:rPr>
              <w:t>05</w:t>
            </w:r>
            <w:r w:rsidRPr="00811A8A">
              <w:rPr>
                <w:rFonts w:ascii="Calibri Light" w:eastAsia="Yu Gothic Light" w:hAnsi="Calibri Light" w:cs="Times New Roman"/>
                <w:lang w:eastAsia="en-NZ"/>
              </w:rPr>
              <w:t>)</w:t>
            </w:r>
          </w:p>
        </w:tc>
      </w:tr>
      <w:tr w:rsidR="0032105E" w:rsidRPr="00B5248D" w14:paraId="3226F6C1" w14:textId="77777777" w:rsidTr="00DC1734">
        <w:tc>
          <w:tcPr>
            <w:tcW w:w="1493" w:type="pct"/>
            <w:tcBorders>
              <w:top w:val="single" w:sz="4" w:space="0" w:color="B4C6E7" w:themeColor="accent5" w:themeTint="66"/>
            </w:tcBorders>
            <w:shd w:val="clear" w:color="auto" w:fill="D9E2F3" w:themeFill="accent5" w:themeFillTint="33"/>
          </w:tcPr>
          <w:p w14:paraId="01E7BF65" w14:textId="348BCD17" w:rsidR="00A54114" w:rsidRPr="00543D7D" w:rsidRDefault="00535C41" w:rsidP="00A54114">
            <w:pPr>
              <w:spacing w:after="0"/>
              <w:rPr>
                <w:rFonts w:ascii="Calibri Light" w:eastAsia="Yu Gothic Light" w:hAnsi="Calibri Light" w:cs="Times New Roman"/>
                <w:b/>
                <w:color w:val="auto"/>
                <w:lang w:eastAsia="en-NZ"/>
              </w:rPr>
            </w:pPr>
            <w:r w:rsidRPr="00543D7D">
              <w:rPr>
                <w:rFonts w:eastAsiaTheme="majorEastAsia" w:cstheme="majorBidi"/>
                <w:b/>
                <w:color w:val="auto"/>
                <w:lang w:eastAsia="en-NZ"/>
              </w:rPr>
              <w:t>Observations</w:t>
            </w:r>
            <w:r w:rsidRPr="00543D7D" w:rsidDel="00535C41">
              <w:rPr>
                <w:rFonts w:ascii="Calibri Light" w:eastAsia="Yu Gothic Light" w:hAnsi="Calibri Light" w:cs="Times New Roman"/>
                <w:b/>
                <w:color w:val="auto"/>
                <w:lang w:eastAsia="en-NZ"/>
              </w:rPr>
              <w:t xml:space="preserve"> </w:t>
            </w:r>
          </w:p>
        </w:tc>
        <w:tc>
          <w:tcPr>
            <w:tcW w:w="1169" w:type="pct"/>
            <w:tcBorders>
              <w:top w:val="single" w:sz="4" w:space="0" w:color="B4C6E7" w:themeColor="accent5" w:themeTint="66"/>
            </w:tcBorders>
            <w:vAlign w:val="center"/>
          </w:tcPr>
          <w:p w14:paraId="32A649CD" w14:textId="6D6EF1C0" w:rsidR="00A54114" w:rsidRPr="00B314FF" w:rsidRDefault="00A54114" w:rsidP="00DC1734">
            <w:pPr>
              <w:spacing w:after="0"/>
              <w:jc w:val="center"/>
              <w:rPr>
                <w:rFonts w:ascii="Calibri Light" w:eastAsia="Yu Gothic Light" w:hAnsi="Calibri Light" w:cs="Times New Roman"/>
                <w:lang w:eastAsia="en-NZ"/>
              </w:rPr>
            </w:pPr>
            <w:r w:rsidRPr="00B314FF">
              <w:rPr>
                <w:rFonts w:ascii="Calibri Light" w:eastAsia="Yu Gothic Light" w:hAnsi="Calibri Light" w:cs="Times New Roman"/>
                <w:lang w:eastAsia="en-NZ"/>
              </w:rPr>
              <w:t>53</w:t>
            </w:r>
            <w:r w:rsidR="00033908" w:rsidRPr="00B314FF">
              <w:rPr>
                <w:rFonts w:ascii="Calibri Light" w:eastAsia="Yu Gothic Light" w:hAnsi="Calibri Light" w:cs="Times New Roman"/>
                <w:lang w:eastAsia="en-NZ"/>
              </w:rPr>
              <w:t>6</w:t>
            </w:r>
          </w:p>
        </w:tc>
        <w:tc>
          <w:tcPr>
            <w:tcW w:w="1170" w:type="pct"/>
            <w:tcBorders>
              <w:top w:val="single" w:sz="4" w:space="0" w:color="B4C6E7" w:themeColor="accent5" w:themeTint="66"/>
            </w:tcBorders>
            <w:vAlign w:val="center"/>
          </w:tcPr>
          <w:p w14:paraId="306A1B96" w14:textId="543D4038" w:rsidR="00A54114" w:rsidRPr="00F3060D" w:rsidRDefault="00A54114" w:rsidP="00DC1734">
            <w:pPr>
              <w:spacing w:after="0"/>
              <w:jc w:val="center"/>
              <w:rPr>
                <w:rFonts w:ascii="Calibri Light" w:eastAsia="Yu Gothic Light" w:hAnsi="Calibri Light" w:cs="Times New Roman"/>
                <w:lang w:eastAsia="en-NZ"/>
              </w:rPr>
            </w:pPr>
            <w:r w:rsidRPr="00F3060D">
              <w:rPr>
                <w:rFonts w:ascii="Calibri Light" w:eastAsia="Yu Gothic Light" w:hAnsi="Calibri Light" w:cs="Times New Roman"/>
                <w:lang w:eastAsia="en-NZ"/>
              </w:rPr>
              <w:t>53</w:t>
            </w:r>
            <w:r w:rsidR="00334FCF" w:rsidRPr="00F3060D">
              <w:rPr>
                <w:rFonts w:ascii="Calibri Light" w:eastAsia="Yu Gothic Light" w:hAnsi="Calibri Light" w:cs="Times New Roman"/>
                <w:lang w:eastAsia="en-NZ"/>
              </w:rPr>
              <w:t>6</w:t>
            </w:r>
          </w:p>
        </w:tc>
        <w:tc>
          <w:tcPr>
            <w:tcW w:w="1168" w:type="pct"/>
            <w:tcBorders>
              <w:top w:val="single" w:sz="4" w:space="0" w:color="B4C6E7" w:themeColor="accent5" w:themeTint="66"/>
            </w:tcBorders>
            <w:vAlign w:val="center"/>
          </w:tcPr>
          <w:p w14:paraId="71B1195D" w14:textId="4CD58CB8" w:rsidR="00A54114" w:rsidRPr="00811A8A" w:rsidRDefault="00A54114" w:rsidP="00DC1734">
            <w:pPr>
              <w:spacing w:after="0"/>
              <w:jc w:val="center"/>
              <w:rPr>
                <w:rFonts w:ascii="Calibri Light" w:eastAsia="Yu Gothic Light" w:hAnsi="Calibri Light" w:cs="Times New Roman"/>
                <w:lang w:eastAsia="en-NZ"/>
              </w:rPr>
            </w:pPr>
            <w:r w:rsidRPr="00811A8A">
              <w:rPr>
                <w:rFonts w:ascii="Calibri Light" w:eastAsia="Yu Gothic Light" w:hAnsi="Calibri Light" w:cs="Times New Roman"/>
                <w:lang w:eastAsia="en-NZ"/>
              </w:rPr>
              <w:t>53</w:t>
            </w:r>
            <w:r w:rsidR="002E213B" w:rsidRPr="00811A8A">
              <w:rPr>
                <w:rFonts w:ascii="Calibri Light" w:eastAsia="Yu Gothic Light" w:hAnsi="Calibri Light" w:cs="Times New Roman"/>
                <w:lang w:eastAsia="en-NZ"/>
              </w:rPr>
              <w:t>6</w:t>
            </w:r>
          </w:p>
        </w:tc>
      </w:tr>
      <w:tr w:rsidR="0032105E" w:rsidRPr="00B5248D" w14:paraId="5ED68E5F" w14:textId="77777777" w:rsidTr="00DC1734">
        <w:tc>
          <w:tcPr>
            <w:tcW w:w="1493" w:type="pct"/>
            <w:shd w:val="clear" w:color="auto" w:fill="D9E2F3" w:themeFill="accent5" w:themeFillTint="33"/>
          </w:tcPr>
          <w:p w14:paraId="1BD5083B" w14:textId="77777777" w:rsidR="00A54114" w:rsidRPr="00543D7D" w:rsidRDefault="00A54114" w:rsidP="00A54114">
            <w:pPr>
              <w:spacing w:after="0"/>
              <w:rPr>
                <w:rFonts w:ascii="Calibri Light" w:eastAsia="Yu Gothic Light" w:hAnsi="Calibri Light" w:cs="Times New Roman"/>
                <w:b/>
                <w:color w:val="auto"/>
                <w:lang w:eastAsia="en-NZ"/>
              </w:rPr>
            </w:pPr>
            <w:r w:rsidRPr="00543D7D">
              <w:rPr>
                <w:rFonts w:ascii="Calibri Light" w:eastAsia="Yu Gothic Light" w:hAnsi="Calibri Light" w:cs="Times New Roman"/>
                <w:b/>
                <w:color w:val="auto"/>
                <w:lang w:eastAsia="en-NZ"/>
              </w:rPr>
              <w:t>R-squared</w:t>
            </w:r>
          </w:p>
        </w:tc>
        <w:tc>
          <w:tcPr>
            <w:tcW w:w="1169" w:type="pct"/>
            <w:vAlign w:val="center"/>
          </w:tcPr>
          <w:p w14:paraId="56A98929" w14:textId="378449A8" w:rsidR="00A54114" w:rsidRPr="00B314FF" w:rsidRDefault="00A54114" w:rsidP="00DC1734">
            <w:pPr>
              <w:spacing w:after="0"/>
              <w:jc w:val="center"/>
              <w:rPr>
                <w:rFonts w:ascii="Calibri Light" w:eastAsia="Yu Gothic Light" w:hAnsi="Calibri Light" w:cs="Times New Roman"/>
                <w:lang w:eastAsia="en-NZ"/>
              </w:rPr>
            </w:pPr>
            <w:r w:rsidRPr="00B314FF">
              <w:rPr>
                <w:rFonts w:ascii="Calibri Light" w:eastAsia="Yu Gothic Light" w:hAnsi="Calibri Light" w:cs="Times New Roman"/>
                <w:lang w:eastAsia="en-NZ"/>
              </w:rPr>
              <w:t>0.6</w:t>
            </w:r>
            <w:r w:rsidR="001267E5" w:rsidRPr="00B314FF">
              <w:rPr>
                <w:rFonts w:ascii="Calibri Light" w:eastAsia="Yu Gothic Light" w:hAnsi="Calibri Light" w:cs="Times New Roman"/>
                <w:lang w:eastAsia="en-NZ"/>
              </w:rPr>
              <w:t>9</w:t>
            </w:r>
          </w:p>
        </w:tc>
        <w:tc>
          <w:tcPr>
            <w:tcW w:w="1170" w:type="pct"/>
            <w:vAlign w:val="center"/>
          </w:tcPr>
          <w:p w14:paraId="40FFDFE8" w14:textId="77777777" w:rsidR="00A54114" w:rsidRPr="00F3060D" w:rsidRDefault="00A54114" w:rsidP="00DC1734">
            <w:pPr>
              <w:spacing w:after="0"/>
              <w:jc w:val="center"/>
              <w:rPr>
                <w:rFonts w:ascii="Calibri Light" w:eastAsia="Yu Gothic Light" w:hAnsi="Calibri Light" w:cs="Times New Roman"/>
                <w:lang w:eastAsia="en-NZ"/>
              </w:rPr>
            </w:pPr>
            <w:r w:rsidRPr="00F3060D">
              <w:rPr>
                <w:rFonts w:ascii="Calibri Light" w:eastAsia="Yu Gothic Light" w:hAnsi="Calibri Light" w:cs="Times New Roman"/>
                <w:lang w:eastAsia="en-NZ"/>
              </w:rPr>
              <w:t>0.68</w:t>
            </w:r>
          </w:p>
        </w:tc>
        <w:tc>
          <w:tcPr>
            <w:tcW w:w="1168" w:type="pct"/>
            <w:vAlign w:val="center"/>
          </w:tcPr>
          <w:p w14:paraId="333DA458" w14:textId="5E81B8DD" w:rsidR="00A54114" w:rsidRPr="00811A8A" w:rsidRDefault="00A54114" w:rsidP="00DC1734">
            <w:pPr>
              <w:spacing w:after="0"/>
              <w:jc w:val="center"/>
              <w:rPr>
                <w:rFonts w:ascii="Calibri Light" w:eastAsia="Yu Gothic Light" w:hAnsi="Calibri Light" w:cs="Times New Roman"/>
                <w:lang w:eastAsia="en-NZ"/>
              </w:rPr>
            </w:pPr>
            <w:r w:rsidRPr="00811A8A">
              <w:rPr>
                <w:rFonts w:ascii="Calibri Light" w:eastAsia="Yu Gothic Light" w:hAnsi="Calibri Light" w:cs="Times New Roman"/>
                <w:lang w:eastAsia="en-NZ"/>
              </w:rPr>
              <w:t>0.5</w:t>
            </w:r>
            <w:r w:rsidR="00E11ADF" w:rsidRPr="00811A8A">
              <w:rPr>
                <w:rFonts w:ascii="Calibri Light" w:eastAsia="Yu Gothic Light" w:hAnsi="Calibri Light" w:cs="Times New Roman"/>
                <w:lang w:eastAsia="en-NZ"/>
              </w:rPr>
              <w:t>8</w:t>
            </w:r>
          </w:p>
        </w:tc>
      </w:tr>
    </w:tbl>
    <w:p w14:paraId="692FA19D" w14:textId="43B6467E" w:rsidR="00A54114" w:rsidRPr="00FF45B2" w:rsidRDefault="00A54114" w:rsidP="00FF45B2">
      <w:pPr>
        <w:jc w:val="both"/>
        <w:rPr>
          <w:rFonts w:eastAsia="Calibri"/>
          <w:sz w:val="18"/>
          <w:szCs w:val="18"/>
        </w:rPr>
      </w:pPr>
      <w:r w:rsidRPr="00FF45B2">
        <w:rPr>
          <w:rFonts w:eastAsia="Calibri"/>
          <w:sz w:val="18"/>
          <w:szCs w:val="18"/>
        </w:rPr>
        <w:t xml:space="preserve">Notes:   </w:t>
      </w:r>
      <w:r w:rsidR="00EB6E48" w:rsidRPr="00FF45B2">
        <w:rPr>
          <w:rFonts w:eastAsia="Calibri"/>
          <w:sz w:val="18"/>
          <w:szCs w:val="18"/>
        </w:rPr>
        <w:t>Machine s</w:t>
      </w:r>
      <w:r w:rsidRPr="00FF45B2">
        <w:rPr>
          <w:rFonts w:eastAsia="Calibri"/>
          <w:sz w:val="18"/>
          <w:szCs w:val="18"/>
        </w:rPr>
        <w:t xml:space="preserve">pending is the natural logarithm of real </w:t>
      </w:r>
      <w:r w:rsidR="00CB4395">
        <w:rPr>
          <w:rFonts w:eastAsia="Calibri"/>
          <w:sz w:val="18"/>
          <w:szCs w:val="18"/>
        </w:rPr>
        <w:t>GMP</w:t>
      </w:r>
      <w:r w:rsidRPr="00FF45B2">
        <w:rPr>
          <w:rFonts w:eastAsia="Calibri"/>
          <w:sz w:val="18"/>
          <w:szCs w:val="18"/>
        </w:rPr>
        <w:t xml:space="preserve"> per capita, reported in 2019 dollars. </w:t>
      </w:r>
      <w:r w:rsidR="004029D3" w:rsidRPr="00FF45B2">
        <w:rPr>
          <w:rFonts w:eastAsia="Calibri"/>
          <w:sz w:val="18"/>
          <w:szCs w:val="18"/>
        </w:rPr>
        <w:t>TA and year fixed effects included</w:t>
      </w:r>
      <w:r w:rsidR="00E4492F" w:rsidRPr="00FF45B2">
        <w:rPr>
          <w:rFonts w:eastAsia="Calibri"/>
          <w:sz w:val="18"/>
          <w:szCs w:val="18"/>
        </w:rPr>
        <w:t xml:space="preserve">. </w:t>
      </w:r>
      <w:r w:rsidR="00955A05">
        <w:rPr>
          <w:rFonts w:eastAsia="Calibri"/>
          <w:sz w:val="18"/>
          <w:szCs w:val="18"/>
        </w:rPr>
        <w:t>Bootstrapped</w:t>
      </w:r>
      <w:r w:rsidR="00955A05" w:rsidRPr="00FF45B2">
        <w:rPr>
          <w:rFonts w:eastAsia="Calibri"/>
          <w:sz w:val="18"/>
          <w:szCs w:val="18"/>
        </w:rPr>
        <w:t xml:space="preserve"> </w:t>
      </w:r>
      <w:r w:rsidR="00CB4395">
        <w:rPr>
          <w:rFonts w:eastAsia="Calibri"/>
          <w:sz w:val="18"/>
          <w:szCs w:val="18"/>
        </w:rPr>
        <w:t xml:space="preserve">clustered </w:t>
      </w:r>
      <w:r w:rsidRPr="00FF45B2">
        <w:rPr>
          <w:rFonts w:eastAsia="Calibri"/>
          <w:sz w:val="18"/>
          <w:szCs w:val="18"/>
        </w:rPr>
        <w:t>standard errors are shown in parentheses.  ***, **, and * denote statistical significance at the one, five, and ten percent-levels, respectively.</w:t>
      </w:r>
    </w:p>
    <w:p w14:paraId="1E786235" w14:textId="226031B2" w:rsidR="00CB1106" w:rsidRPr="0056170B" w:rsidRDefault="00CE5B0C" w:rsidP="0056170B">
      <w:pPr>
        <w:pStyle w:val="Heading1"/>
        <w:numPr>
          <w:ilvl w:val="0"/>
          <w:numId w:val="0"/>
        </w:numPr>
        <w:spacing w:before="0"/>
        <w:jc w:val="both"/>
        <w:rPr>
          <w:color w:val="ED7D31" w:themeColor="accent2"/>
          <w:lang w:eastAsia="en-NZ"/>
        </w:rPr>
      </w:pPr>
      <w:bookmarkStart w:id="191" w:name="_Toc39387912"/>
      <w:bookmarkStart w:id="192" w:name="_Toc39508960"/>
      <w:bookmarkStart w:id="193" w:name="_Toc39575055"/>
      <w:bookmarkStart w:id="194" w:name="_Toc39387913"/>
      <w:bookmarkStart w:id="195" w:name="_Toc39508961"/>
      <w:bookmarkStart w:id="196" w:name="_Toc39575056"/>
      <w:bookmarkStart w:id="197" w:name="_Toc39387914"/>
      <w:bookmarkStart w:id="198" w:name="_Toc39508962"/>
      <w:bookmarkStart w:id="199" w:name="_Toc39575057"/>
      <w:bookmarkStart w:id="200" w:name="_Toc39387915"/>
      <w:bookmarkStart w:id="201" w:name="_Toc39508963"/>
      <w:bookmarkStart w:id="202" w:name="_Toc39575058"/>
      <w:bookmarkStart w:id="203" w:name="_Toc39387916"/>
      <w:bookmarkStart w:id="204" w:name="_Toc39508964"/>
      <w:bookmarkStart w:id="205" w:name="_Toc39575059"/>
      <w:bookmarkStart w:id="206" w:name="_Toc39387917"/>
      <w:bookmarkStart w:id="207" w:name="_Toc39508965"/>
      <w:bookmarkStart w:id="208" w:name="_Toc39575060"/>
      <w:bookmarkStart w:id="209" w:name="_Toc39387918"/>
      <w:bookmarkStart w:id="210" w:name="_Toc39508966"/>
      <w:bookmarkStart w:id="211" w:name="_Toc39575061"/>
      <w:bookmarkStart w:id="212" w:name="_Toc50033372"/>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lang w:eastAsia="en-NZ"/>
        </w:rPr>
        <w:lastRenderedPageBreak/>
        <w:t>6</w:t>
      </w:r>
      <w:r w:rsidR="000E00D0">
        <w:rPr>
          <w:lang w:eastAsia="en-NZ"/>
        </w:rPr>
        <w:t xml:space="preserve"> </w:t>
      </w:r>
      <w:r w:rsidR="00946B76">
        <w:rPr>
          <w:lang w:eastAsia="en-NZ"/>
        </w:rPr>
        <w:tab/>
      </w:r>
      <w:r w:rsidR="00EB6E48">
        <w:rPr>
          <w:lang w:eastAsia="en-NZ"/>
        </w:rPr>
        <w:t xml:space="preserve">Impact </w:t>
      </w:r>
      <w:r w:rsidR="004456AB">
        <w:rPr>
          <w:lang w:eastAsia="en-NZ"/>
        </w:rPr>
        <w:t xml:space="preserve">on </w:t>
      </w:r>
      <w:r w:rsidR="00EB6E48">
        <w:rPr>
          <w:lang w:eastAsia="en-NZ"/>
        </w:rPr>
        <w:t>problem</w:t>
      </w:r>
      <w:r w:rsidR="00CB1106" w:rsidRPr="00DC1734">
        <w:rPr>
          <w:lang w:eastAsia="en-NZ"/>
        </w:rPr>
        <w:t xml:space="preserve"> gambling service use</w:t>
      </w:r>
      <w:bookmarkEnd w:id="212"/>
    </w:p>
    <w:p w14:paraId="763B5B09" w14:textId="5C657C24" w:rsidR="00CB1106" w:rsidRPr="00DC1734" w:rsidRDefault="00E308DC" w:rsidP="00FA3913">
      <w:pPr>
        <w:spacing w:after="240" w:line="312" w:lineRule="auto"/>
        <w:jc w:val="both"/>
        <w:rPr>
          <w:rFonts w:eastAsiaTheme="majorEastAsia" w:cstheme="majorBidi"/>
          <w:color w:val="201F1E"/>
          <w:lang w:eastAsia="en-NZ"/>
        </w:rPr>
      </w:pPr>
      <w:r>
        <w:rPr>
          <w:rFonts w:eastAsiaTheme="majorEastAsia" w:cstheme="majorBidi"/>
          <w:color w:val="201F1E"/>
          <w:lang w:eastAsia="en-NZ"/>
        </w:rPr>
        <w:t xml:space="preserve">We </w:t>
      </w:r>
      <w:r w:rsidR="00CB1106" w:rsidRPr="00DC1734">
        <w:rPr>
          <w:rFonts w:eastAsiaTheme="majorEastAsia" w:cstheme="majorBidi"/>
          <w:color w:val="201F1E"/>
          <w:lang w:eastAsia="en-NZ"/>
        </w:rPr>
        <w:t>next focu</w:t>
      </w:r>
      <w:r w:rsidR="00052A50">
        <w:rPr>
          <w:rFonts w:eastAsiaTheme="majorEastAsia" w:cstheme="majorBidi"/>
          <w:color w:val="201F1E"/>
          <w:lang w:eastAsia="en-NZ"/>
        </w:rPr>
        <w:t>s</w:t>
      </w:r>
      <w:r w:rsidR="00CB1106" w:rsidRPr="00DC1734">
        <w:rPr>
          <w:rFonts w:eastAsiaTheme="majorEastAsia" w:cstheme="majorBidi"/>
          <w:color w:val="201F1E"/>
          <w:lang w:eastAsia="en-NZ"/>
        </w:rPr>
        <w:t xml:space="preserve"> on one area we may expect to see changes </w:t>
      </w:r>
      <w:r w:rsidR="00912104">
        <w:rPr>
          <w:rFonts w:eastAsiaTheme="majorEastAsia" w:cstheme="majorBidi"/>
          <w:color w:val="201F1E"/>
          <w:lang w:eastAsia="en-NZ"/>
        </w:rPr>
        <w:t>in</w:t>
      </w:r>
      <w:r w:rsidR="00CB1106" w:rsidRPr="00DC1734">
        <w:rPr>
          <w:rFonts w:eastAsiaTheme="majorEastAsia" w:cstheme="majorBidi"/>
          <w:color w:val="201F1E"/>
          <w:lang w:eastAsia="en-NZ"/>
        </w:rPr>
        <w:t xml:space="preserve"> if there is a drop in the number of problem gamblers – use of gambling </w:t>
      </w:r>
      <w:r w:rsidR="00CF1927">
        <w:rPr>
          <w:rFonts w:eastAsiaTheme="majorEastAsia" w:cstheme="majorBidi"/>
          <w:color w:val="201F1E"/>
          <w:lang w:eastAsia="en-NZ"/>
        </w:rPr>
        <w:t xml:space="preserve">intervention </w:t>
      </w:r>
      <w:r w:rsidR="00CB1106" w:rsidRPr="00DC1734">
        <w:rPr>
          <w:rFonts w:eastAsiaTheme="majorEastAsia" w:cstheme="majorBidi"/>
          <w:color w:val="201F1E"/>
          <w:lang w:eastAsia="en-NZ"/>
        </w:rPr>
        <w:t xml:space="preserve">services. </w:t>
      </w:r>
      <w:r w:rsidR="00B655EA">
        <w:rPr>
          <w:rFonts w:eastAsiaTheme="majorEastAsia" w:cstheme="majorBidi"/>
          <w:color w:val="201F1E"/>
          <w:lang w:eastAsia="en-NZ"/>
        </w:rPr>
        <w:t>The</w:t>
      </w:r>
      <w:r w:rsidR="00941747">
        <w:rPr>
          <w:rFonts w:eastAsiaTheme="majorEastAsia" w:cstheme="majorBidi"/>
          <w:color w:val="201F1E"/>
          <w:lang w:eastAsia="en-NZ"/>
        </w:rPr>
        <w:t xml:space="preserve"> </w:t>
      </w:r>
      <w:r w:rsidR="00B655EA">
        <w:rPr>
          <w:rFonts w:eastAsiaTheme="majorEastAsia" w:cstheme="majorBidi"/>
          <w:color w:val="201F1E"/>
          <w:lang w:eastAsia="en-NZ"/>
        </w:rPr>
        <w:t xml:space="preserve">evidence provided in Section 2 illustrated </w:t>
      </w:r>
      <w:r w:rsidR="00941747">
        <w:rPr>
          <w:rFonts w:eastAsiaTheme="majorEastAsia" w:cstheme="majorBidi"/>
          <w:color w:val="201F1E"/>
          <w:lang w:eastAsia="en-NZ"/>
        </w:rPr>
        <w:t>several</w:t>
      </w:r>
      <w:r w:rsidR="00B25632">
        <w:rPr>
          <w:rFonts w:eastAsiaTheme="majorEastAsia" w:cstheme="majorBidi"/>
          <w:color w:val="201F1E"/>
          <w:lang w:eastAsia="en-NZ"/>
        </w:rPr>
        <w:t xml:space="preserve"> studies where there was a positive </w:t>
      </w:r>
      <w:r w:rsidR="00096217">
        <w:rPr>
          <w:rFonts w:eastAsiaTheme="majorEastAsia" w:cstheme="majorBidi"/>
          <w:color w:val="201F1E"/>
          <w:lang w:eastAsia="en-NZ"/>
        </w:rPr>
        <w:t xml:space="preserve">empirical </w:t>
      </w:r>
      <w:r w:rsidR="00B25632">
        <w:rPr>
          <w:rFonts w:eastAsiaTheme="majorEastAsia" w:cstheme="majorBidi"/>
          <w:color w:val="201F1E"/>
          <w:lang w:eastAsia="en-NZ"/>
        </w:rPr>
        <w:t xml:space="preserve">association between EGM availability and </w:t>
      </w:r>
      <w:r w:rsidR="00CE14B4">
        <w:rPr>
          <w:rFonts w:eastAsiaTheme="majorEastAsia" w:cstheme="majorBidi"/>
          <w:color w:val="201F1E"/>
          <w:lang w:eastAsia="en-NZ"/>
        </w:rPr>
        <w:t>demand for gambling help services</w:t>
      </w:r>
      <w:r w:rsidR="00D07830">
        <w:rPr>
          <w:rFonts w:eastAsiaTheme="majorEastAsia" w:cstheme="majorBidi"/>
          <w:color w:val="201F1E"/>
          <w:lang w:eastAsia="en-NZ"/>
        </w:rPr>
        <w:t xml:space="preserve"> (</w:t>
      </w:r>
      <w:r w:rsidR="00D07830" w:rsidRPr="00C713FE">
        <w:rPr>
          <w:rFonts w:eastAsiaTheme="majorEastAsia" w:cstheme="majorBidi"/>
          <w:color w:val="201F1E"/>
          <w:lang w:eastAsia="en-NZ"/>
        </w:rPr>
        <w:t xml:space="preserve">Campbell &amp; Lester, 1999; </w:t>
      </w:r>
      <w:proofErr w:type="spellStart"/>
      <w:r w:rsidR="009C3F18" w:rsidRPr="00C713FE">
        <w:rPr>
          <w:rFonts w:eastAsiaTheme="majorEastAsia" w:cstheme="majorBidi"/>
          <w:color w:val="201F1E"/>
          <w:lang w:eastAsia="en-NZ"/>
        </w:rPr>
        <w:t>Carr</w:t>
      </w:r>
      <w:proofErr w:type="spellEnd"/>
      <w:r w:rsidR="009C3F18" w:rsidRPr="00C713FE">
        <w:rPr>
          <w:rFonts w:eastAsiaTheme="majorEastAsia" w:cstheme="majorBidi"/>
          <w:color w:val="201F1E"/>
          <w:lang w:eastAsia="en-NZ"/>
        </w:rPr>
        <w:t xml:space="preserve"> et al, 1996; </w:t>
      </w:r>
      <w:r w:rsidR="00941747" w:rsidRPr="00C713FE">
        <w:rPr>
          <w:rFonts w:eastAsiaTheme="majorEastAsia" w:cstheme="majorBidi"/>
          <w:color w:val="201F1E"/>
          <w:lang w:eastAsia="en-NZ"/>
        </w:rPr>
        <w:t>Bridwell &amp; Quinn, 2002</w:t>
      </w:r>
      <w:r w:rsidR="00941747" w:rsidRPr="00B02EB6">
        <w:rPr>
          <w:rFonts w:eastAsiaTheme="majorEastAsia" w:cstheme="majorBidi"/>
          <w:color w:val="201F1E"/>
          <w:lang w:eastAsia="en-NZ"/>
        </w:rPr>
        <w:t>; Williams, West &amp; Simpson, 2012)</w:t>
      </w:r>
      <w:r w:rsidR="00CE14B4" w:rsidRPr="00B02EB6">
        <w:rPr>
          <w:rFonts w:eastAsiaTheme="majorEastAsia" w:cstheme="majorBidi"/>
          <w:color w:val="201F1E"/>
          <w:lang w:eastAsia="en-NZ"/>
        </w:rPr>
        <w:t>.</w:t>
      </w:r>
      <w:r w:rsidR="00CE14B4">
        <w:rPr>
          <w:rFonts w:eastAsiaTheme="majorEastAsia" w:cstheme="majorBidi"/>
          <w:color w:val="201F1E"/>
          <w:lang w:eastAsia="en-NZ"/>
        </w:rPr>
        <w:t xml:space="preserve"> </w:t>
      </w:r>
      <w:r w:rsidR="00BF19E6">
        <w:rPr>
          <w:rFonts w:eastAsiaTheme="majorEastAsia" w:cstheme="majorBidi"/>
          <w:color w:val="201F1E"/>
          <w:lang w:eastAsia="en-NZ"/>
        </w:rPr>
        <w:t xml:space="preserve"> </w:t>
      </w:r>
      <w:r w:rsidR="0024054A">
        <w:rPr>
          <w:rFonts w:eastAsiaTheme="majorEastAsia" w:cstheme="majorBidi"/>
          <w:color w:val="201F1E"/>
          <w:lang w:eastAsia="en-NZ"/>
        </w:rPr>
        <w:t xml:space="preserve">However, </w:t>
      </w:r>
      <w:r w:rsidR="00CF1927">
        <w:rPr>
          <w:rFonts w:eastAsiaTheme="majorEastAsia" w:cstheme="majorBidi"/>
          <w:color w:val="201F1E"/>
          <w:lang w:eastAsia="en-NZ"/>
        </w:rPr>
        <w:t xml:space="preserve">theoretical expectations are </w:t>
      </w:r>
      <w:r w:rsidR="0024054A">
        <w:rPr>
          <w:rFonts w:eastAsiaTheme="majorEastAsia" w:cstheme="majorBidi"/>
          <w:color w:val="201F1E"/>
          <w:lang w:eastAsia="en-NZ"/>
        </w:rPr>
        <w:t>in</w:t>
      </w:r>
      <w:r w:rsidR="005174A1">
        <w:rPr>
          <w:rFonts w:eastAsiaTheme="majorEastAsia" w:cstheme="majorBidi"/>
          <w:color w:val="201F1E"/>
          <w:lang w:eastAsia="en-NZ"/>
        </w:rPr>
        <w:t xml:space="preserve"> </w:t>
      </w:r>
      <w:r w:rsidR="0024054A">
        <w:rPr>
          <w:rFonts w:eastAsiaTheme="majorEastAsia" w:cstheme="majorBidi"/>
          <w:color w:val="201F1E"/>
          <w:lang w:eastAsia="en-NZ"/>
        </w:rPr>
        <w:t xml:space="preserve">fact </w:t>
      </w:r>
      <w:r w:rsidR="00CF1927">
        <w:rPr>
          <w:rFonts w:eastAsiaTheme="majorEastAsia" w:cstheme="majorBidi"/>
          <w:color w:val="201F1E"/>
          <w:lang w:eastAsia="en-NZ"/>
        </w:rPr>
        <w:t>ambiguous.</w:t>
      </w:r>
    </w:p>
    <w:p w14:paraId="5E206240" w14:textId="13C7AEB1" w:rsidR="00CB1106" w:rsidRPr="00DC1734" w:rsidRDefault="00CB1106" w:rsidP="00FA3913">
      <w:pPr>
        <w:spacing w:after="240" w:line="312" w:lineRule="auto"/>
        <w:jc w:val="both"/>
        <w:rPr>
          <w:rFonts w:eastAsiaTheme="majorEastAsia" w:cstheme="majorBidi"/>
          <w:color w:val="201F1E"/>
          <w:lang w:eastAsia="en-NZ"/>
        </w:rPr>
      </w:pPr>
      <w:r w:rsidRPr="00DC1734">
        <w:rPr>
          <w:rFonts w:eastAsiaTheme="majorEastAsia" w:cstheme="majorBidi"/>
          <w:color w:val="201F1E"/>
          <w:lang w:eastAsia="en-NZ"/>
        </w:rPr>
        <w:t xml:space="preserve">For instance, a policy intervention that reduces access to gambling machines and venues and thus raises the indirect cost of gambling, in addition to </w:t>
      </w:r>
      <w:r w:rsidR="005246B3">
        <w:rPr>
          <w:rFonts w:eastAsiaTheme="majorEastAsia" w:cstheme="majorBidi"/>
          <w:color w:val="201F1E"/>
          <w:lang w:eastAsia="en-NZ"/>
        </w:rPr>
        <w:t xml:space="preserve">the </w:t>
      </w:r>
      <w:r w:rsidRPr="00DC1734">
        <w:rPr>
          <w:rFonts w:eastAsiaTheme="majorEastAsia" w:cstheme="majorBidi"/>
          <w:color w:val="201F1E"/>
          <w:lang w:eastAsia="en-NZ"/>
        </w:rPr>
        <w:t xml:space="preserve">usual expected direct cost, may lead to a drop in the number of problem gamblers that need to access </w:t>
      </w:r>
      <w:r w:rsidR="005A2DBA">
        <w:rPr>
          <w:rFonts w:eastAsiaTheme="majorEastAsia" w:cstheme="majorBidi"/>
          <w:color w:val="201F1E"/>
          <w:lang w:eastAsia="en-NZ"/>
        </w:rPr>
        <w:t>intervention</w:t>
      </w:r>
      <w:r w:rsidR="005A2DBA" w:rsidRPr="00DC1734">
        <w:rPr>
          <w:rFonts w:eastAsiaTheme="majorEastAsia" w:cstheme="majorBidi"/>
          <w:color w:val="201F1E"/>
          <w:lang w:eastAsia="en-NZ"/>
        </w:rPr>
        <w:t xml:space="preserve"> </w:t>
      </w:r>
      <w:r w:rsidRPr="00DC1734">
        <w:rPr>
          <w:rFonts w:eastAsiaTheme="majorEastAsia" w:cstheme="majorBidi"/>
          <w:color w:val="201F1E"/>
          <w:lang w:eastAsia="en-NZ"/>
        </w:rPr>
        <w:t xml:space="preserve">services. On the other hand, there may be an increase in those accessing services if those on the margin of quitting and seeking help are pushed in that direction because of the additional barrier to access. Whether these two forces cancel each other out is an empirical question. </w:t>
      </w:r>
    </w:p>
    <w:p w14:paraId="38DA93F4" w14:textId="6E8573F8" w:rsidR="00CB1106" w:rsidRPr="00DC1734" w:rsidRDefault="00CB1106" w:rsidP="00FA3913">
      <w:pPr>
        <w:spacing w:after="240" w:line="312" w:lineRule="auto"/>
        <w:jc w:val="both"/>
        <w:rPr>
          <w:rFonts w:eastAsiaTheme="majorEastAsia" w:cstheme="majorBidi"/>
          <w:color w:val="201F1E"/>
          <w:lang w:eastAsia="en-NZ"/>
        </w:rPr>
      </w:pPr>
      <w:r w:rsidRPr="00DC1734">
        <w:rPr>
          <w:rFonts w:eastAsiaTheme="majorEastAsia" w:cstheme="majorBidi"/>
          <w:color w:val="201F1E"/>
          <w:lang w:eastAsia="en-NZ"/>
        </w:rPr>
        <w:t>Further, there is a dynamic element to this research question</w:t>
      </w:r>
      <w:r w:rsidR="0039288A">
        <w:rPr>
          <w:rFonts w:eastAsiaTheme="majorEastAsia" w:cstheme="majorBidi"/>
          <w:color w:val="201F1E"/>
          <w:lang w:eastAsia="en-NZ"/>
        </w:rPr>
        <w:t>. For example,</w:t>
      </w:r>
      <w:r w:rsidRPr="00DC1734">
        <w:rPr>
          <w:rFonts w:eastAsiaTheme="majorEastAsia" w:cstheme="majorBidi"/>
          <w:color w:val="201F1E"/>
          <w:lang w:eastAsia="en-NZ"/>
        </w:rPr>
        <w:t xml:space="preserve"> </w:t>
      </w:r>
      <w:r w:rsidR="0039288A">
        <w:rPr>
          <w:rFonts w:eastAsiaTheme="majorEastAsia" w:cstheme="majorBidi"/>
          <w:color w:val="201F1E"/>
          <w:lang w:eastAsia="en-NZ"/>
        </w:rPr>
        <w:t>if</w:t>
      </w:r>
      <w:r w:rsidRPr="00DC1734">
        <w:rPr>
          <w:rFonts w:eastAsiaTheme="majorEastAsia" w:cstheme="majorBidi"/>
          <w:color w:val="201F1E"/>
          <w:lang w:eastAsia="en-NZ"/>
        </w:rPr>
        <w:t xml:space="preserve"> a rise in access cost pushes some problem gamblers to quit</w:t>
      </w:r>
      <w:r w:rsidR="0065140B">
        <w:rPr>
          <w:rFonts w:eastAsiaTheme="majorEastAsia" w:cstheme="majorBidi"/>
          <w:color w:val="201F1E"/>
          <w:lang w:eastAsia="en-NZ"/>
        </w:rPr>
        <w:t xml:space="preserve">, </w:t>
      </w:r>
      <w:r w:rsidR="00546B4A">
        <w:rPr>
          <w:rFonts w:eastAsiaTheme="majorEastAsia" w:cstheme="majorBidi"/>
          <w:color w:val="201F1E"/>
          <w:lang w:eastAsia="en-NZ"/>
        </w:rPr>
        <w:t>then</w:t>
      </w:r>
      <w:r w:rsidRPr="00DC1734">
        <w:rPr>
          <w:rFonts w:eastAsiaTheme="majorEastAsia" w:cstheme="majorBidi"/>
          <w:color w:val="201F1E"/>
          <w:lang w:eastAsia="en-NZ"/>
        </w:rPr>
        <w:t xml:space="preserve"> in the short run they may seek </w:t>
      </w:r>
      <w:r w:rsidR="00392DA2">
        <w:rPr>
          <w:rFonts w:eastAsiaTheme="majorEastAsia" w:cstheme="majorBidi"/>
          <w:color w:val="201F1E"/>
          <w:lang w:eastAsia="en-NZ"/>
        </w:rPr>
        <w:t>intervention services</w:t>
      </w:r>
      <w:r w:rsidRPr="00DC1734">
        <w:rPr>
          <w:rFonts w:eastAsiaTheme="majorEastAsia" w:cstheme="majorBidi"/>
          <w:color w:val="201F1E"/>
          <w:lang w:eastAsia="en-NZ"/>
        </w:rPr>
        <w:t xml:space="preserve"> to aid in this </w:t>
      </w:r>
      <w:r w:rsidR="00CF1927" w:rsidRPr="00DC1734">
        <w:rPr>
          <w:rFonts w:eastAsiaTheme="majorEastAsia" w:cstheme="majorBidi"/>
          <w:color w:val="201F1E"/>
          <w:lang w:eastAsia="en-NZ"/>
        </w:rPr>
        <w:t>endeavour</w:t>
      </w:r>
      <w:r w:rsidRPr="00DC1734">
        <w:rPr>
          <w:rFonts w:eastAsiaTheme="majorEastAsia" w:cstheme="majorBidi"/>
          <w:color w:val="201F1E"/>
          <w:lang w:eastAsia="en-NZ"/>
        </w:rPr>
        <w:t>. However, in the long run, we would then expect to see a drop in service use as the number of problem gamblers declines.</w:t>
      </w:r>
      <w:r w:rsidR="00CF1927">
        <w:rPr>
          <w:rFonts w:eastAsiaTheme="majorEastAsia" w:cstheme="majorBidi"/>
          <w:color w:val="201F1E"/>
          <w:lang w:eastAsia="en-NZ"/>
        </w:rPr>
        <w:t xml:space="preserve"> </w:t>
      </w:r>
      <w:r w:rsidRPr="00DC1734">
        <w:rPr>
          <w:rFonts w:eastAsiaTheme="majorEastAsia" w:cstheme="majorBidi"/>
          <w:color w:val="201F1E"/>
          <w:lang w:eastAsia="en-NZ"/>
        </w:rPr>
        <w:t xml:space="preserve">Suffice to say there are </w:t>
      </w:r>
      <w:proofErr w:type="gramStart"/>
      <w:r w:rsidRPr="00DC1734">
        <w:rPr>
          <w:rFonts w:eastAsiaTheme="majorEastAsia" w:cstheme="majorBidi"/>
          <w:color w:val="201F1E"/>
          <w:lang w:eastAsia="en-NZ"/>
        </w:rPr>
        <w:t>a number of</w:t>
      </w:r>
      <w:proofErr w:type="gramEnd"/>
      <w:r w:rsidRPr="00DC1734">
        <w:rPr>
          <w:rFonts w:eastAsiaTheme="majorEastAsia" w:cstheme="majorBidi"/>
          <w:color w:val="201F1E"/>
          <w:lang w:eastAsia="en-NZ"/>
        </w:rPr>
        <w:t xml:space="preserve"> potentially opposing forces in play at both the contemporaneous and lagged stages, making it difficult to have clear hypotheses about expected outcomes.</w:t>
      </w:r>
    </w:p>
    <w:p w14:paraId="60FCCBC0" w14:textId="3799F2BB" w:rsidR="00DD0DC0" w:rsidRDefault="00CB1106" w:rsidP="00FA3913">
      <w:pPr>
        <w:spacing w:after="240" w:line="312" w:lineRule="auto"/>
        <w:jc w:val="both"/>
        <w:rPr>
          <w:rFonts w:eastAsiaTheme="majorEastAsia" w:cstheme="majorBidi"/>
          <w:color w:val="201F1E"/>
          <w:lang w:eastAsia="en-NZ"/>
        </w:rPr>
      </w:pPr>
      <w:r w:rsidRPr="00DC1734">
        <w:rPr>
          <w:rFonts w:eastAsiaTheme="majorEastAsia" w:cstheme="majorBidi"/>
          <w:color w:val="201F1E"/>
          <w:lang w:eastAsia="en-NZ"/>
        </w:rPr>
        <w:t xml:space="preserve">The data used for this analysis is from the </w:t>
      </w:r>
      <w:r w:rsidR="008725A4">
        <w:rPr>
          <w:rFonts w:eastAsiaTheme="majorEastAsia" w:cstheme="majorBidi"/>
          <w:color w:val="201F1E"/>
          <w:lang w:eastAsia="en-NZ"/>
        </w:rPr>
        <w:t>Client Information Collection (</w:t>
      </w:r>
      <w:r w:rsidRPr="00DC1734">
        <w:rPr>
          <w:rFonts w:eastAsiaTheme="majorEastAsia" w:cstheme="majorBidi"/>
          <w:color w:val="201F1E"/>
          <w:lang w:eastAsia="en-NZ"/>
        </w:rPr>
        <w:t>CLIC</w:t>
      </w:r>
      <w:r w:rsidR="008725A4">
        <w:rPr>
          <w:rFonts w:eastAsiaTheme="majorEastAsia" w:cstheme="majorBidi"/>
          <w:color w:val="201F1E"/>
          <w:lang w:eastAsia="en-NZ"/>
        </w:rPr>
        <w:t>)</w:t>
      </w:r>
      <w:r w:rsidRPr="00DC1734">
        <w:rPr>
          <w:rFonts w:eastAsiaTheme="majorEastAsia" w:cstheme="majorBidi"/>
          <w:color w:val="201F1E"/>
          <w:lang w:eastAsia="en-NZ"/>
        </w:rPr>
        <w:t xml:space="preserve"> database provided by the </w:t>
      </w:r>
      <w:proofErr w:type="spellStart"/>
      <w:r w:rsidR="00B27AE7" w:rsidRPr="00DC1734">
        <w:rPr>
          <w:rFonts w:eastAsiaTheme="majorEastAsia" w:cstheme="majorBidi"/>
          <w:color w:val="201F1E"/>
          <w:lang w:eastAsia="en-NZ"/>
        </w:rPr>
        <w:t>MoH</w:t>
      </w:r>
      <w:proofErr w:type="spellEnd"/>
      <w:r w:rsidRPr="00DC1734">
        <w:rPr>
          <w:rFonts w:eastAsiaTheme="majorEastAsia" w:cstheme="majorBidi"/>
          <w:color w:val="201F1E"/>
          <w:lang w:eastAsia="en-NZ"/>
        </w:rPr>
        <w:t xml:space="preserve">. </w:t>
      </w:r>
      <w:r w:rsidR="00DD0DC0">
        <w:rPr>
          <w:rFonts w:eastAsiaTheme="majorEastAsia" w:cstheme="majorBidi"/>
          <w:color w:val="201F1E"/>
          <w:lang w:eastAsia="en-NZ"/>
        </w:rPr>
        <w:t xml:space="preserve">As </w:t>
      </w:r>
      <w:r w:rsidR="00DD0DC0" w:rsidRPr="00F07243">
        <w:rPr>
          <w:rFonts w:eastAsiaTheme="majorEastAsia" w:cstheme="majorBidi"/>
          <w:color w:val="201F1E"/>
          <w:lang w:eastAsia="en-NZ"/>
        </w:rPr>
        <w:t xml:space="preserve">Figure </w:t>
      </w:r>
      <w:r w:rsidR="008927BE">
        <w:rPr>
          <w:rFonts w:eastAsiaTheme="majorEastAsia" w:cstheme="majorBidi"/>
          <w:color w:val="201F1E"/>
          <w:lang w:eastAsia="en-NZ"/>
        </w:rPr>
        <w:t>2</w:t>
      </w:r>
      <w:r w:rsidR="00DD0DC0" w:rsidRPr="00F07243">
        <w:rPr>
          <w:rFonts w:eastAsiaTheme="majorEastAsia" w:cstheme="majorBidi"/>
          <w:color w:val="201F1E"/>
          <w:lang w:eastAsia="en-NZ"/>
        </w:rPr>
        <w:t xml:space="preserve"> illustrates</w:t>
      </w:r>
      <w:r w:rsidR="00DD0DC0">
        <w:rPr>
          <w:rFonts w:eastAsiaTheme="majorEastAsia" w:cstheme="majorBidi"/>
          <w:color w:val="201F1E"/>
          <w:lang w:eastAsia="en-NZ"/>
        </w:rPr>
        <w:t xml:space="preserve">, there are </w:t>
      </w:r>
      <w:r w:rsidR="00B832BF">
        <w:rPr>
          <w:rFonts w:eastAsiaTheme="majorEastAsia" w:cstheme="majorBidi"/>
          <w:color w:val="201F1E"/>
          <w:lang w:eastAsia="en-NZ"/>
        </w:rPr>
        <w:t>two</w:t>
      </w:r>
      <w:r w:rsidR="00DD0DC0">
        <w:rPr>
          <w:rFonts w:eastAsiaTheme="majorEastAsia" w:cstheme="majorBidi"/>
          <w:color w:val="201F1E"/>
          <w:lang w:eastAsia="en-NZ"/>
        </w:rPr>
        <w:t xml:space="preserve"> types of services available, </w:t>
      </w:r>
      <w:proofErr w:type="gramStart"/>
      <w:r w:rsidR="00DD0DC0">
        <w:rPr>
          <w:rFonts w:eastAsiaTheme="majorEastAsia" w:cstheme="majorBidi"/>
          <w:color w:val="201F1E"/>
          <w:lang w:eastAsia="en-NZ"/>
        </w:rPr>
        <w:t>full</w:t>
      </w:r>
      <w:proofErr w:type="gramEnd"/>
      <w:r w:rsidR="00DD0DC0">
        <w:rPr>
          <w:rFonts w:eastAsiaTheme="majorEastAsia" w:cstheme="majorBidi"/>
          <w:color w:val="201F1E"/>
          <w:lang w:eastAsia="en-NZ"/>
        </w:rPr>
        <w:t xml:space="preserve"> and brief.</w:t>
      </w:r>
      <w:r w:rsidR="00173BA1">
        <w:rPr>
          <w:rStyle w:val="FootnoteReference"/>
          <w:rFonts w:eastAsiaTheme="majorEastAsia" w:cstheme="majorBidi"/>
          <w:color w:val="201F1E"/>
          <w:lang w:eastAsia="en-NZ"/>
        </w:rPr>
        <w:footnoteReference w:id="28"/>
      </w:r>
      <w:r w:rsidR="00DD0DC0">
        <w:rPr>
          <w:rFonts w:eastAsiaTheme="majorEastAsia" w:cstheme="majorBidi"/>
          <w:color w:val="201F1E"/>
          <w:lang w:eastAsia="en-NZ"/>
        </w:rPr>
        <w:t xml:space="preserve"> Each of these service types may be attended by an individual, a group, family or a couple</w:t>
      </w:r>
      <w:r w:rsidR="002945C4">
        <w:rPr>
          <w:rFonts w:eastAsiaTheme="majorEastAsia" w:cstheme="majorBidi"/>
          <w:color w:val="201F1E"/>
          <w:lang w:eastAsia="en-NZ"/>
        </w:rPr>
        <w:t>.</w:t>
      </w:r>
      <w:r w:rsidR="00DD0DC0">
        <w:rPr>
          <w:rFonts w:eastAsiaTheme="majorEastAsia" w:cstheme="majorBidi"/>
          <w:color w:val="201F1E"/>
          <w:lang w:eastAsia="en-NZ"/>
        </w:rPr>
        <w:t xml:space="preserve"> </w:t>
      </w:r>
      <w:r w:rsidR="002945C4">
        <w:rPr>
          <w:rFonts w:eastAsiaTheme="majorEastAsia" w:cstheme="majorBidi"/>
          <w:color w:val="201F1E"/>
          <w:lang w:eastAsia="en-NZ"/>
        </w:rPr>
        <w:t>These</w:t>
      </w:r>
      <w:r w:rsidR="00DD0DC0">
        <w:rPr>
          <w:rFonts w:eastAsiaTheme="majorEastAsia" w:cstheme="majorBidi"/>
          <w:color w:val="201F1E"/>
          <w:lang w:eastAsia="en-NZ"/>
        </w:rPr>
        <w:t xml:space="preserve"> services may be directed at </w:t>
      </w:r>
      <w:r w:rsidR="002945C4">
        <w:rPr>
          <w:rFonts w:eastAsiaTheme="majorEastAsia" w:cstheme="majorBidi"/>
          <w:color w:val="201F1E"/>
          <w:lang w:eastAsia="en-NZ"/>
        </w:rPr>
        <w:t xml:space="preserve">family members, </w:t>
      </w:r>
      <w:r w:rsidR="00191951">
        <w:rPr>
          <w:rFonts w:eastAsiaTheme="majorEastAsia" w:cstheme="majorBidi"/>
          <w:color w:val="201F1E"/>
          <w:lang w:eastAsia="en-NZ"/>
        </w:rPr>
        <w:t>individual gamblers, or other affected parties.</w:t>
      </w:r>
    </w:p>
    <w:p w14:paraId="102BD7CB" w14:textId="77777777" w:rsidR="00CB1106" w:rsidRPr="00DC1734" w:rsidRDefault="00CB1106" w:rsidP="004E6663">
      <w:pPr>
        <w:rPr>
          <w:rFonts w:eastAsiaTheme="majorEastAsia" w:cstheme="majorBidi"/>
          <w:color w:val="201F1E"/>
          <w:lang w:eastAsia="en-NZ"/>
        </w:rPr>
      </w:pPr>
    </w:p>
    <w:p w14:paraId="3399965F" w14:textId="4CCC3CE3" w:rsidR="00C84B7A" w:rsidRDefault="00C84B7A" w:rsidP="00264618">
      <w:pPr>
        <w:pStyle w:val="FigureTableTitle"/>
        <w:spacing w:after="0"/>
      </w:pPr>
      <w:bookmarkStart w:id="213" w:name="_Toc50034203"/>
      <w:r>
        <w:t xml:space="preserve">Figure </w:t>
      </w:r>
      <w:fldSimple w:instr=" SEQ Figure \* ARABIC ">
        <w:r w:rsidR="00CB2BDA">
          <w:rPr>
            <w:noProof/>
          </w:rPr>
          <w:t>2</w:t>
        </w:r>
      </w:fldSimple>
      <w:r>
        <w:t xml:space="preserve">. </w:t>
      </w:r>
      <w:r w:rsidRPr="00553726">
        <w:t xml:space="preserve">Information available in </w:t>
      </w:r>
      <w:r w:rsidR="004D78F5">
        <w:t xml:space="preserve">the </w:t>
      </w:r>
      <w:r w:rsidRPr="00553726">
        <w:t>CLIC database</w:t>
      </w:r>
      <w:bookmarkEnd w:id="213"/>
    </w:p>
    <w:p w14:paraId="4846277A" w14:textId="3A47AD4C" w:rsidR="00CC3F2F" w:rsidRDefault="00CC3F2F" w:rsidP="004E6663">
      <w:pPr>
        <w:rPr>
          <w:rFonts w:eastAsiaTheme="majorEastAsia" w:cstheme="majorBidi"/>
          <w:b/>
          <w:bCs/>
          <w:color w:val="201F1E"/>
          <w:lang w:eastAsia="en-NZ"/>
        </w:rPr>
      </w:pPr>
      <w:r>
        <w:rPr>
          <w:rFonts w:eastAsiaTheme="majorEastAsia" w:cstheme="majorBidi"/>
          <w:b/>
          <w:bCs/>
          <w:noProof/>
          <w:color w:val="201F1E"/>
          <w:lang w:eastAsia="en-NZ"/>
        </w:rPr>
        <w:drawing>
          <wp:inline distT="0" distB="0" distL="0" distR="0" wp14:anchorId="6AD00417" wp14:editId="42BFE62E">
            <wp:extent cx="5925820" cy="1162685"/>
            <wp:effectExtent l="0" t="0" r="0" b="0"/>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c flow chart_upda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5820" cy="1162685"/>
                    </a:xfrm>
                    <a:prstGeom prst="rect">
                      <a:avLst/>
                    </a:prstGeom>
                  </pic:spPr>
                </pic:pic>
              </a:graphicData>
            </a:graphic>
          </wp:inline>
        </w:drawing>
      </w:r>
    </w:p>
    <w:p w14:paraId="5643E1CF" w14:textId="671C8897" w:rsidR="00771BEC" w:rsidRDefault="0005403C" w:rsidP="00FB4021">
      <w:pPr>
        <w:spacing w:after="240" w:line="312" w:lineRule="auto"/>
        <w:jc w:val="both"/>
        <w:rPr>
          <w:rFonts w:eastAsiaTheme="majorEastAsia" w:cstheme="majorBidi"/>
          <w:color w:val="201F1E"/>
          <w:lang w:eastAsia="en-NZ"/>
        </w:rPr>
      </w:pPr>
      <w:r>
        <w:rPr>
          <w:rFonts w:eastAsiaTheme="majorEastAsia" w:cstheme="majorBidi"/>
          <w:color w:val="201F1E"/>
          <w:lang w:eastAsia="en-NZ"/>
        </w:rPr>
        <w:lastRenderedPageBreak/>
        <w:t xml:space="preserve">When a client </w:t>
      </w:r>
      <w:r w:rsidR="00B414DB">
        <w:rPr>
          <w:rFonts w:eastAsiaTheme="majorEastAsia" w:cstheme="majorBidi"/>
          <w:color w:val="201F1E"/>
          <w:lang w:eastAsia="en-NZ"/>
        </w:rPr>
        <w:t>receives treatment</w:t>
      </w:r>
      <w:r w:rsidR="00CA6378">
        <w:rPr>
          <w:rFonts w:eastAsiaTheme="majorEastAsia" w:cstheme="majorBidi"/>
          <w:color w:val="201F1E"/>
          <w:lang w:eastAsia="en-NZ"/>
        </w:rPr>
        <w:t xml:space="preserve">, they are asked to identify the gambling activities that are causing </w:t>
      </w:r>
      <w:r w:rsidR="006A15FF">
        <w:rPr>
          <w:rFonts w:eastAsiaTheme="majorEastAsia" w:cstheme="majorBidi"/>
          <w:color w:val="201F1E"/>
          <w:lang w:eastAsia="en-NZ"/>
        </w:rPr>
        <w:t>then</w:t>
      </w:r>
      <w:r w:rsidR="00CA6378">
        <w:rPr>
          <w:rFonts w:eastAsiaTheme="majorEastAsia" w:cstheme="majorBidi"/>
          <w:color w:val="201F1E"/>
          <w:lang w:eastAsia="en-NZ"/>
        </w:rPr>
        <w:t xml:space="preserve"> significant harm. </w:t>
      </w:r>
      <w:r w:rsidR="00111189">
        <w:rPr>
          <w:rFonts w:eastAsiaTheme="majorEastAsia" w:cstheme="majorBidi"/>
          <w:color w:val="201F1E"/>
          <w:lang w:eastAsia="en-NZ"/>
        </w:rPr>
        <w:t xml:space="preserve">Up to five gambling types can be recorded, </w:t>
      </w:r>
      <w:r w:rsidR="00771BEC">
        <w:rPr>
          <w:rFonts w:eastAsiaTheme="majorEastAsia" w:cstheme="majorBidi"/>
          <w:color w:val="201F1E"/>
          <w:lang w:eastAsia="en-NZ"/>
        </w:rPr>
        <w:t>and we limit our sample to clients that identify Class 4 gam</w:t>
      </w:r>
      <w:r w:rsidR="008F2F0A">
        <w:rPr>
          <w:rFonts w:eastAsiaTheme="majorEastAsia" w:cstheme="majorBidi"/>
          <w:color w:val="201F1E"/>
          <w:lang w:eastAsia="en-NZ"/>
        </w:rPr>
        <w:t>bl</w:t>
      </w:r>
      <w:r w:rsidR="00771BEC">
        <w:rPr>
          <w:rFonts w:eastAsiaTheme="majorEastAsia" w:cstheme="majorBidi"/>
          <w:color w:val="201F1E"/>
          <w:lang w:eastAsia="en-NZ"/>
        </w:rPr>
        <w:t>ing as at</w:t>
      </w:r>
      <w:r w:rsidR="009345CE">
        <w:rPr>
          <w:rFonts w:eastAsiaTheme="majorEastAsia" w:cstheme="majorBidi"/>
          <w:color w:val="201F1E"/>
          <w:lang w:eastAsia="en-NZ"/>
        </w:rPr>
        <w:t xml:space="preserve"> </w:t>
      </w:r>
      <w:r w:rsidR="00771BEC">
        <w:rPr>
          <w:rFonts w:eastAsiaTheme="majorEastAsia" w:cstheme="majorBidi"/>
          <w:color w:val="201F1E"/>
          <w:lang w:eastAsia="en-NZ"/>
        </w:rPr>
        <w:t>least one of their problem gambling activities.</w:t>
      </w:r>
    </w:p>
    <w:p w14:paraId="0FC11B83" w14:textId="3B8291F4" w:rsidR="00FB4021" w:rsidRDefault="00A23CAD" w:rsidP="00FB4021">
      <w:pPr>
        <w:spacing w:after="240" w:line="312" w:lineRule="auto"/>
        <w:jc w:val="both"/>
      </w:pPr>
      <w:r>
        <w:rPr>
          <w:rFonts w:eastAsiaTheme="majorEastAsia" w:cstheme="majorBidi"/>
          <w:color w:val="201F1E"/>
          <w:lang w:eastAsia="en-NZ"/>
        </w:rPr>
        <w:t xml:space="preserve">All outcome variables </w:t>
      </w:r>
      <w:r w:rsidR="00866868">
        <w:rPr>
          <w:rFonts w:eastAsiaTheme="majorEastAsia" w:cstheme="majorBidi"/>
          <w:color w:val="201F1E"/>
          <w:lang w:eastAsia="en-NZ"/>
        </w:rPr>
        <w:t xml:space="preserve">of interest </w:t>
      </w:r>
      <w:r>
        <w:rPr>
          <w:rFonts w:eastAsiaTheme="majorEastAsia" w:cstheme="majorBidi"/>
          <w:color w:val="201F1E"/>
          <w:lang w:eastAsia="en-NZ"/>
        </w:rPr>
        <w:t>sourced from the CLIC database</w:t>
      </w:r>
      <w:r w:rsidRPr="00DC1734">
        <w:rPr>
          <w:rFonts w:eastAsiaTheme="majorEastAsia" w:cstheme="majorBidi"/>
          <w:color w:val="201F1E"/>
          <w:lang w:eastAsia="en-NZ"/>
        </w:rPr>
        <w:t xml:space="preserve"> have been derived at the </w:t>
      </w:r>
      <w:r>
        <w:rPr>
          <w:rFonts w:eastAsiaTheme="majorEastAsia" w:cstheme="majorBidi"/>
          <w:color w:val="201F1E"/>
          <w:lang w:eastAsia="en-NZ"/>
        </w:rPr>
        <w:t>TA-</w:t>
      </w:r>
      <w:r w:rsidRPr="00DC1734">
        <w:rPr>
          <w:rFonts w:eastAsiaTheme="majorEastAsia" w:cstheme="majorBidi"/>
          <w:color w:val="201F1E"/>
          <w:lang w:eastAsia="en-NZ"/>
        </w:rPr>
        <w:t xml:space="preserve">level and are on an annual basis per 100,000 population over the period 2010 to 2018. </w:t>
      </w:r>
      <w:r>
        <w:rPr>
          <w:rFonts w:eastAsiaTheme="majorEastAsia" w:cstheme="majorBidi"/>
          <w:color w:val="201F1E"/>
          <w:lang w:eastAsia="en-NZ"/>
        </w:rPr>
        <w:t>S</w:t>
      </w:r>
      <w:r w:rsidR="008725A4" w:rsidRPr="00DC1734">
        <w:rPr>
          <w:rFonts w:eastAsiaTheme="majorEastAsia" w:cstheme="majorBidi"/>
          <w:color w:val="201F1E"/>
          <w:lang w:eastAsia="en-NZ"/>
        </w:rPr>
        <w:t>pecific definitions and means of all variables</w:t>
      </w:r>
      <w:r>
        <w:rPr>
          <w:rFonts w:eastAsiaTheme="majorEastAsia" w:cstheme="majorBidi"/>
          <w:color w:val="201F1E"/>
          <w:lang w:eastAsia="en-NZ"/>
        </w:rPr>
        <w:t xml:space="preserve"> across TAs are</w:t>
      </w:r>
      <w:r w:rsidR="008725A4" w:rsidRPr="00DC1734">
        <w:rPr>
          <w:rFonts w:eastAsiaTheme="majorEastAsia" w:cstheme="majorBidi"/>
          <w:color w:val="201F1E"/>
          <w:lang w:eastAsia="en-NZ"/>
        </w:rPr>
        <w:t xml:space="preserve"> provided in </w:t>
      </w:r>
      <w:r w:rsidR="008725A4" w:rsidRPr="00C84B7A">
        <w:rPr>
          <w:rFonts w:eastAsiaTheme="majorEastAsia" w:cstheme="majorBidi"/>
          <w:color w:val="201F1E"/>
          <w:lang w:eastAsia="en-NZ"/>
        </w:rPr>
        <w:t xml:space="preserve">Table </w:t>
      </w:r>
      <w:r w:rsidR="003122E9">
        <w:rPr>
          <w:rFonts w:eastAsiaTheme="majorEastAsia" w:cstheme="majorBidi"/>
          <w:color w:val="201F1E"/>
          <w:lang w:eastAsia="en-NZ"/>
        </w:rPr>
        <w:t>5</w:t>
      </w:r>
      <w:r w:rsidR="008725A4" w:rsidRPr="00C84B7A">
        <w:rPr>
          <w:rFonts w:eastAsiaTheme="majorEastAsia" w:cstheme="majorBidi"/>
          <w:color w:val="201F1E"/>
          <w:lang w:eastAsia="en-NZ"/>
        </w:rPr>
        <w:t>.</w:t>
      </w:r>
      <w:r w:rsidR="008725A4" w:rsidRPr="00EC3DA3">
        <w:t xml:space="preserve"> </w:t>
      </w:r>
    </w:p>
    <w:p w14:paraId="3F1E31B3" w14:textId="78F18259" w:rsidR="00F90644" w:rsidRDefault="00F90644" w:rsidP="00264618">
      <w:pPr>
        <w:pStyle w:val="FigureTableTitle"/>
        <w:spacing w:after="0"/>
      </w:pPr>
      <w:bookmarkStart w:id="214" w:name="_Toc50033355"/>
      <w:r>
        <w:t xml:space="preserve">Table </w:t>
      </w:r>
      <w:r>
        <w:fldChar w:fldCharType="begin"/>
      </w:r>
      <w:r>
        <w:instrText>SEQ Table \* ARABIC</w:instrText>
      </w:r>
      <w:r>
        <w:fldChar w:fldCharType="separate"/>
      </w:r>
      <w:r w:rsidR="00CB2BDA">
        <w:rPr>
          <w:noProof/>
        </w:rPr>
        <w:t>5</w:t>
      </w:r>
      <w:r>
        <w:fldChar w:fldCharType="end"/>
      </w:r>
      <w:r>
        <w:t xml:space="preserve">. </w:t>
      </w:r>
      <w:r w:rsidRPr="00A347D9">
        <w:t xml:space="preserve">Descriptive statistics of </w:t>
      </w:r>
      <w:r w:rsidR="009A3608">
        <w:t>intervention</w:t>
      </w:r>
      <w:r w:rsidR="009A3608" w:rsidRPr="00A347D9">
        <w:t xml:space="preserve"> </w:t>
      </w:r>
      <w:r w:rsidRPr="00A347D9">
        <w:t>service use variables</w:t>
      </w:r>
      <w:bookmarkEnd w:id="214"/>
    </w:p>
    <w:tbl>
      <w:tblPr>
        <w:tblStyle w:val="TableGrid"/>
        <w:tblW w:w="907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1696"/>
        <w:gridCol w:w="6242"/>
        <w:gridCol w:w="1134"/>
      </w:tblGrid>
      <w:tr w:rsidR="00CB1106" w:rsidRPr="00B5248D" w14:paraId="21312E75" w14:textId="77777777" w:rsidTr="369FC40A">
        <w:tc>
          <w:tcPr>
            <w:tcW w:w="1696" w:type="dxa"/>
            <w:shd w:val="clear" w:color="auto" w:fill="4472C4" w:themeFill="accent5"/>
            <w:vAlign w:val="center"/>
            <w:hideMark/>
          </w:tcPr>
          <w:p w14:paraId="03FC14C6" w14:textId="77777777" w:rsidR="00CB1106" w:rsidRPr="00DC1734" w:rsidRDefault="00CB1106" w:rsidP="00042660">
            <w:pPr>
              <w:rPr>
                <w:rFonts w:eastAsiaTheme="majorEastAsia" w:cstheme="majorBidi"/>
                <w:color w:val="FFFFFF" w:themeColor="background1"/>
                <w:lang w:eastAsia="en-NZ"/>
              </w:rPr>
            </w:pPr>
            <w:r w:rsidRPr="00DC1734">
              <w:rPr>
                <w:rFonts w:eastAsiaTheme="majorEastAsia" w:cstheme="majorBidi"/>
                <w:color w:val="FFFFFF" w:themeColor="background1"/>
                <w:lang w:eastAsia="en-NZ"/>
              </w:rPr>
              <w:t>Variables</w:t>
            </w:r>
          </w:p>
        </w:tc>
        <w:tc>
          <w:tcPr>
            <w:tcW w:w="6242" w:type="dxa"/>
            <w:shd w:val="clear" w:color="auto" w:fill="4472C4" w:themeFill="accent5"/>
          </w:tcPr>
          <w:p w14:paraId="78B593BE" w14:textId="77777777" w:rsidR="00CB1106" w:rsidRPr="00DC1734" w:rsidRDefault="00CB1106" w:rsidP="00DC1734">
            <w:pPr>
              <w:jc w:val="center"/>
              <w:rPr>
                <w:rFonts w:eastAsiaTheme="majorEastAsia" w:cstheme="majorBidi"/>
                <w:color w:val="FFFFFF" w:themeColor="background1"/>
                <w:lang w:eastAsia="en-NZ"/>
              </w:rPr>
            </w:pPr>
          </w:p>
        </w:tc>
        <w:tc>
          <w:tcPr>
            <w:tcW w:w="1134" w:type="dxa"/>
            <w:shd w:val="clear" w:color="auto" w:fill="4472C4" w:themeFill="accent5"/>
            <w:vAlign w:val="center"/>
            <w:hideMark/>
          </w:tcPr>
          <w:p w14:paraId="68F1D97B" w14:textId="77777777" w:rsidR="00CB1106" w:rsidRPr="00DC1734" w:rsidRDefault="00CB1106" w:rsidP="00DC1734">
            <w:pPr>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Mean</w:t>
            </w:r>
          </w:p>
        </w:tc>
      </w:tr>
      <w:tr w:rsidR="00CB1106" w:rsidRPr="00B5248D" w14:paraId="19242CCF" w14:textId="77777777" w:rsidTr="369FC40A">
        <w:tc>
          <w:tcPr>
            <w:tcW w:w="1696" w:type="dxa"/>
            <w:shd w:val="clear" w:color="auto" w:fill="D9E2F3" w:themeFill="accent5" w:themeFillTint="33"/>
            <w:hideMark/>
          </w:tcPr>
          <w:p w14:paraId="76D0121F"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All services</w:t>
            </w:r>
          </w:p>
        </w:tc>
        <w:tc>
          <w:tcPr>
            <w:tcW w:w="6242" w:type="dxa"/>
            <w:hideMark/>
          </w:tcPr>
          <w:p w14:paraId="27542460"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Total number of service contacts</w:t>
            </w:r>
          </w:p>
        </w:tc>
        <w:tc>
          <w:tcPr>
            <w:tcW w:w="1134" w:type="dxa"/>
            <w:hideMark/>
          </w:tcPr>
          <w:p w14:paraId="62044D1E" w14:textId="40DC714F"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44</w:t>
            </w:r>
            <w:r w:rsidR="006314A3" w:rsidRPr="00022837">
              <w:rPr>
                <w:rFonts w:eastAsiaTheme="majorEastAsia" w:cstheme="majorBidi"/>
                <w:lang w:eastAsia="en-NZ"/>
              </w:rPr>
              <w:t>2</w:t>
            </w:r>
            <w:r w:rsidRPr="00022837">
              <w:rPr>
                <w:rFonts w:eastAsiaTheme="majorEastAsia" w:cstheme="majorBidi"/>
                <w:lang w:eastAsia="en-NZ"/>
              </w:rPr>
              <w:t>.</w:t>
            </w:r>
            <w:r w:rsidR="002E67B2" w:rsidRPr="00022837">
              <w:rPr>
                <w:rFonts w:eastAsiaTheme="majorEastAsia" w:cstheme="majorBidi"/>
                <w:lang w:eastAsia="en-NZ"/>
              </w:rPr>
              <w:t>31</w:t>
            </w:r>
          </w:p>
          <w:p w14:paraId="5A0F545C" w14:textId="20F40A2D"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(5</w:t>
            </w:r>
            <w:r w:rsidR="00C0108F" w:rsidRPr="00022837">
              <w:rPr>
                <w:rFonts w:eastAsiaTheme="majorEastAsia" w:cstheme="majorBidi"/>
                <w:lang w:eastAsia="en-NZ"/>
              </w:rPr>
              <w:t>32.</w:t>
            </w:r>
            <w:r w:rsidR="00604FF6" w:rsidRPr="00022837">
              <w:rPr>
                <w:rFonts w:eastAsiaTheme="majorEastAsia" w:cstheme="majorBidi"/>
                <w:lang w:eastAsia="en-NZ"/>
              </w:rPr>
              <w:t>26</w:t>
            </w:r>
            <w:r w:rsidRPr="00022837">
              <w:rPr>
                <w:rFonts w:eastAsiaTheme="majorEastAsia" w:cstheme="majorBidi"/>
                <w:lang w:eastAsia="en-NZ"/>
              </w:rPr>
              <w:t>)</w:t>
            </w:r>
          </w:p>
        </w:tc>
      </w:tr>
      <w:tr w:rsidR="00CB1106" w:rsidRPr="00B5248D" w14:paraId="50C2D91C" w14:textId="77777777" w:rsidTr="369FC40A">
        <w:tc>
          <w:tcPr>
            <w:tcW w:w="1696" w:type="dxa"/>
            <w:shd w:val="clear" w:color="auto" w:fill="D9E2F3" w:themeFill="accent5" w:themeFillTint="33"/>
            <w:hideMark/>
          </w:tcPr>
          <w:p w14:paraId="1BD7BD72"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New clients</w:t>
            </w:r>
          </w:p>
        </w:tc>
        <w:tc>
          <w:tcPr>
            <w:tcW w:w="6242" w:type="dxa"/>
            <w:hideMark/>
          </w:tcPr>
          <w:p w14:paraId="3E8B7364" w14:textId="5464EC4B" w:rsidR="00CB1106" w:rsidRPr="00022837" w:rsidRDefault="00CB1106" w:rsidP="004E6663">
            <w:pPr>
              <w:rPr>
                <w:rFonts w:eastAsiaTheme="majorEastAsia" w:cstheme="majorBidi"/>
                <w:lang w:eastAsia="en-NZ"/>
              </w:rPr>
            </w:pPr>
            <w:r w:rsidRPr="00022837">
              <w:rPr>
                <w:rFonts w:eastAsiaTheme="majorEastAsia" w:cstheme="majorBidi"/>
                <w:lang w:eastAsia="en-NZ"/>
              </w:rPr>
              <w:t>Number of service contacts for clients</w:t>
            </w:r>
            <w:r w:rsidR="00721659" w:rsidRPr="00022837">
              <w:rPr>
                <w:rFonts w:eastAsiaTheme="majorEastAsia" w:cstheme="majorBidi"/>
                <w:lang w:eastAsia="en-NZ"/>
              </w:rPr>
              <w:t xml:space="preserve"> identified as</w:t>
            </w:r>
            <w:r w:rsidRPr="00022837">
              <w:rPr>
                <w:rFonts w:eastAsiaTheme="majorEastAsia" w:cstheme="majorBidi"/>
                <w:lang w:eastAsia="en-NZ"/>
              </w:rPr>
              <w:t xml:space="preserve"> new within the </w:t>
            </w:r>
            <w:r w:rsidR="00E943AA" w:rsidRPr="00022837">
              <w:rPr>
                <w:rFonts w:eastAsiaTheme="majorEastAsia" w:cstheme="majorBidi"/>
                <w:lang w:eastAsia="en-NZ"/>
              </w:rPr>
              <w:t xml:space="preserve">respective </w:t>
            </w:r>
            <w:r w:rsidRPr="00022837">
              <w:rPr>
                <w:rFonts w:eastAsiaTheme="majorEastAsia" w:cstheme="majorBidi"/>
                <w:lang w:eastAsia="en-NZ"/>
              </w:rPr>
              <w:t>year.</w:t>
            </w:r>
          </w:p>
        </w:tc>
        <w:tc>
          <w:tcPr>
            <w:tcW w:w="1134" w:type="dxa"/>
            <w:hideMark/>
          </w:tcPr>
          <w:p w14:paraId="06D686EB" w14:textId="4703068F" w:rsidR="00CB1106" w:rsidRPr="00022837" w:rsidRDefault="00C95A89" w:rsidP="00DC1734">
            <w:pPr>
              <w:jc w:val="center"/>
              <w:rPr>
                <w:rFonts w:eastAsiaTheme="majorEastAsia" w:cstheme="majorBidi"/>
                <w:lang w:eastAsia="en-NZ"/>
              </w:rPr>
            </w:pPr>
            <w:r w:rsidRPr="00022837">
              <w:rPr>
                <w:rFonts w:eastAsiaTheme="majorEastAsia" w:cstheme="majorBidi"/>
                <w:lang w:eastAsia="en-NZ"/>
              </w:rPr>
              <w:t>236.94</w:t>
            </w:r>
          </w:p>
          <w:p w14:paraId="6F0292B3" w14:textId="3A3312C0"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w:t>
            </w:r>
            <w:r w:rsidR="00A47842" w:rsidRPr="00022837">
              <w:rPr>
                <w:rFonts w:eastAsiaTheme="majorEastAsia" w:cstheme="majorBidi"/>
                <w:lang w:eastAsia="en-NZ"/>
              </w:rPr>
              <w:t>329.32</w:t>
            </w:r>
            <w:r w:rsidRPr="00022837">
              <w:rPr>
                <w:rFonts w:eastAsiaTheme="majorEastAsia" w:cstheme="majorBidi"/>
                <w:lang w:eastAsia="en-NZ"/>
              </w:rPr>
              <w:t>)</w:t>
            </w:r>
          </w:p>
        </w:tc>
      </w:tr>
      <w:tr w:rsidR="00BB766C" w:rsidRPr="00B5248D" w14:paraId="2CAE916C" w14:textId="77777777" w:rsidTr="369FC40A">
        <w:tc>
          <w:tcPr>
            <w:tcW w:w="1696" w:type="dxa"/>
            <w:shd w:val="clear" w:color="auto" w:fill="D9E2F3" w:themeFill="accent5" w:themeFillTint="33"/>
          </w:tcPr>
          <w:p w14:paraId="41574B0E" w14:textId="57B31DAC" w:rsidR="00BB766C" w:rsidRPr="00022837" w:rsidRDefault="00BB766C" w:rsidP="004E6663">
            <w:pPr>
              <w:rPr>
                <w:rFonts w:eastAsiaTheme="majorEastAsia" w:cstheme="majorBidi"/>
                <w:lang w:eastAsia="en-NZ"/>
              </w:rPr>
            </w:pPr>
            <w:r w:rsidRPr="00022837">
              <w:rPr>
                <w:rFonts w:eastAsiaTheme="majorEastAsia" w:cstheme="majorBidi"/>
                <w:lang w:eastAsia="en-NZ"/>
              </w:rPr>
              <w:t>Existing clients</w:t>
            </w:r>
          </w:p>
        </w:tc>
        <w:tc>
          <w:tcPr>
            <w:tcW w:w="6242" w:type="dxa"/>
          </w:tcPr>
          <w:p w14:paraId="4CE72962" w14:textId="044543F7" w:rsidR="00BB766C" w:rsidRPr="00022837" w:rsidRDefault="00BB766C" w:rsidP="004E6663">
            <w:pPr>
              <w:rPr>
                <w:rFonts w:eastAsiaTheme="majorEastAsia" w:cstheme="majorBidi"/>
                <w:lang w:eastAsia="en-NZ"/>
              </w:rPr>
            </w:pPr>
            <w:r w:rsidRPr="00022837">
              <w:rPr>
                <w:rFonts w:eastAsiaTheme="majorEastAsia" w:cstheme="majorBidi"/>
                <w:lang w:eastAsia="en-NZ"/>
              </w:rPr>
              <w:t xml:space="preserve">Number of service contacts for </w:t>
            </w:r>
            <w:r w:rsidR="005D0BA5" w:rsidRPr="00022837">
              <w:rPr>
                <w:rFonts w:eastAsiaTheme="majorEastAsia" w:cstheme="majorBidi"/>
                <w:lang w:eastAsia="en-NZ"/>
              </w:rPr>
              <w:t>existing clients</w:t>
            </w:r>
            <w:r w:rsidRPr="00022837">
              <w:rPr>
                <w:rFonts w:eastAsiaTheme="majorEastAsia" w:cstheme="majorBidi"/>
                <w:lang w:eastAsia="en-NZ"/>
              </w:rPr>
              <w:t xml:space="preserve"> </w:t>
            </w:r>
            <w:proofErr w:type="gramStart"/>
            <w:r w:rsidR="001E3017" w:rsidRPr="00022837">
              <w:rPr>
                <w:rFonts w:eastAsiaTheme="majorEastAsia" w:cstheme="majorBidi"/>
                <w:lang w:eastAsia="en-NZ"/>
              </w:rPr>
              <w:t>i.e.</w:t>
            </w:r>
            <w:proofErr w:type="gramEnd"/>
            <w:r w:rsidR="001E3017" w:rsidRPr="00022837">
              <w:rPr>
                <w:rFonts w:eastAsiaTheme="majorEastAsia" w:cstheme="majorBidi"/>
                <w:lang w:eastAsia="en-NZ"/>
              </w:rPr>
              <w:t xml:space="preserve"> </w:t>
            </w:r>
            <w:r w:rsidR="00131D89" w:rsidRPr="00022837">
              <w:rPr>
                <w:rFonts w:eastAsiaTheme="majorEastAsia" w:cstheme="majorBidi"/>
                <w:lang w:eastAsia="en-NZ"/>
              </w:rPr>
              <w:t xml:space="preserve">clients which </w:t>
            </w:r>
            <w:r w:rsidR="005D0BA5" w:rsidRPr="00022837">
              <w:rPr>
                <w:rFonts w:eastAsiaTheme="majorEastAsia" w:cstheme="majorBidi"/>
                <w:lang w:eastAsia="en-NZ"/>
              </w:rPr>
              <w:t>received</w:t>
            </w:r>
            <w:r w:rsidR="00721659" w:rsidRPr="00022837">
              <w:rPr>
                <w:rFonts w:eastAsiaTheme="majorEastAsia" w:cstheme="majorBidi"/>
                <w:lang w:eastAsia="en-NZ"/>
              </w:rPr>
              <w:t xml:space="preserve"> intervention services in a prior year</w:t>
            </w:r>
          </w:p>
        </w:tc>
        <w:tc>
          <w:tcPr>
            <w:tcW w:w="1134" w:type="dxa"/>
          </w:tcPr>
          <w:p w14:paraId="2F11D597" w14:textId="77F600E7" w:rsidR="00BB766C" w:rsidRPr="00022837" w:rsidRDefault="005905F6" w:rsidP="00DC1734">
            <w:pPr>
              <w:jc w:val="center"/>
              <w:rPr>
                <w:rFonts w:eastAsiaTheme="majorEastAsia" w:cstheme="majorBidi"/>
                <w:lang w:eastAsia="en-NZ"/>
              </w:rPr>
            </w:pPr>
            <w:r w:rsidRPr="00022837">
              <w:rPr>
                <w:rFonts w:eastAsiaTheme="majorEastAsia" w:cstheme="majorBidi"/>
                <w:lang w:eastAsia="en-NZ"/>
              </w:rPr>
              <w:t>152.20</w:t>
            </w:r>
          </w:p>
          <w:p w14:paraId="5B2B7183" w14:textId="077302CA" w:rsidR="006C27F9" w:rsidRPr="00022837" w:rsidRDefault="006C27F9" w:rsidP="00DC1734">
            <w:pPr>
              <w:jc w:val="center"/>
              <w:rPr>
                <w:rFonts w:eastAsiaTheme="majorEastAsia" w:cstheme="majorBidi"/>
                <w:lang w:eastAsia="en-NZ"/>
              </w:rPr>
            </w:pPr>
            <w:r w:rsidRPr="00022837">
              <w:rPr>
                <w:rFonts w:eastAsiaTheme="majorEastAsia" w:cstheme="majorBidi"/>
                <w:lang w:eastAsia="en-NZ"/>
              </w:rPr>
              <w:t>(</w:t>
            </w:r>
            <w:r w:rsidR="000D3704" w:rsidRPr="00022837">
              <w:rPr>
                <w:rFonts w:eastAsiaTheme="majorEastAsia" w:cstheme="majorBidi"/>
                <w:lang w:eastAsia="en-NZ"/>
              </w:rPr>
              <w:t>192.48</w:t>
            </w:r>
            <w:r w:rsidRPr="00022837">
              <w:rPr>
                <w:rFonts w:eastAsiaTheme="majorEastAsia" w:cstheme="majorBidi"/>
                <w:lang w:eastAsia="en-NZ"/>
              </w:rPr>
              <w:t>)</w:t>
            </w:r>
          </w:p>
        </w:tc>
      </w:tr>
      <w:tr w:rsidR="00CB1106" w:rsidRPr="00B5248D" w14:paraId="075BB8C6" w14:textId="77777777" w:rsidTr="369FC40A">
        <w:tc>
          <w:tcPr>
            <w:tcW w:w="1696" w:type="dxa"/>
            <w:shd w:val="clear" w:color="auto" w:fill="D9E2F3" w:themeFill="accent5" w:themeFillTint="33"/>
            <w:hideMark/>
          </w:tcPr>
          <w:p w14:paraId="5E0FD938"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Gamblers</w:t>
            </w:r>
          </w:p>
        </w:tc>
        <w:tc>
          <w:tcPr>
            <w:tcW w:w="6242" w:type="dxa"/>
            <w:hideMark/>
          </w:tcPr>
          <w:p w14:paraId="210D0F37"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Number of service contacts where the client identifies as a problem gambler.</w:t>
            </w:r>
          </w:p>
        </w:tc>
        <w:tc>
          <w:tcPr>
            <w:tcW w:w="1134" w:type="dxa"/>
            <w:hideMark/>
          </w:tcPr>
          <w:p w14:paraId="0D0D6A9B" w14:textId="18F6DD38"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2</w:t>
            </w:r>
            <w:r w:rsidR="00E47336" w:rsidRPr="00022837">
              <w:rPr>
                <w:rFonts w:eastAsiaTheme="majorEastAsia" w:cstheme="majorBidi"/>
                <w:lang w:eastAsia="en-NZ"/>
              </w:rPr>
              <w:t>83.37</w:t>
            </w:r>
          </w:p>
          <w:p w14:paraId="56BF6392" w14:textId="2A91C013"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(31</w:t>
            </w:r>
            <w:r w:rsidR="00A035F4" w:rsidRPr="00022837">
              <w:rPr>
                <w:rFonts w:eastAsiaTheme="majorEastAsia" w:cstheme="majorBidi"/>
                <w:lang w:eastAsia="en-NZ"/>
              </w:rPr>
              <w:t>7</w:t>
            </w:r>
            <w:r w:rsidR="00D65DED" w:rsidRPr="00022837">
              <w:rPr>
                <w:rFonts w:eastAsiaTheme="majorEastAsia" w:cstheme="majorBidi"/>
                <w:lang w:eastAsia="en-NZ"/>
              </w:rPr>
              <w:t>.1</w:t>
            </w:r>
            <w:r w:rsidR="00413F4D" w:rsidRPr="00022837">
              <w:rPr>
                <w:rFonts w:eastAsiaTheme="majorEastAsia" w:cstheme="majorBidi"/>
                <w:lang w:eastAsia="en-NZ"/>
              </w:rPr>
              <w:t>7</w:t>
            </w:r>
            <w:r w:rsidRPr="00022837">
              <w:rPr>
                <w:rFonts w:eastAsiaTheme="majorEastAsia" w:cstheme="majorBidi"/>
                <w:lang w:eastAsia="en-NZ"/>
              </w:rPr>
              <w:t>)</w:t>
            </w:r>
          </w:p>
        </w:tc>
      </w:tr>
      <w:tr w:rsidR="00CB1106" w:rsidRPr="00B5248D" w14:paraId="108EE9C7" w14:textId="77777777" w:rsidTr="369FC40A">
        <w:tc>
          <w:tcPr>
            <w:tcW w:w="1696" w:type="dxa"/>
            <w:shd w:val="clear" w:color="auto" w:fill="D9E2F3" w:themeFill="accent5" w:themeFillTint="33"/>
            <w:hideMark/>
          </w:tcPr>
          <w:p w14:paraId="64CC4A83"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Family/other</w:t>
            </w:r>
          </w:p>
        </w:tc>
        <w:tc>
          <w:tcPr>
            <w:tcW w:w="6242" w:type="dxa"/>
            <w:hideMark/>
          </w:tcPr>
          <w:p w14:paraId="0C53617A"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Number of service contacts where the client identifies as being a family member or other person concerned about the main gambler.</w:t>
            </w:r>
          </w:p>
        </w:tc>
        <w:tc>
          <w:tcPr>
            <w:tcW w:w="1134" w:type="dxa"/>
            <w:hideMark/>
          </w:tcPr>
          <w:p w14:paraId="75CF4FA5" w14:textId="41B4F30A"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10</w:t>
            </w:r>
            <w:r w:rsidR="00D65DED" w:rsidRPr="00022837">
              <w:rPr>
                <w:rFonts w:eastAsiaTheme="majorEastAsia" w:cstheme="majorBidi"/>
                <w:lang w:eastAsia="en-NZ"/>
              </w:rPr>
              <w:t>5.77</w:t>
            </w:r>
          </w:p>
          <w:p w14:paraId="2D2F7457" w14:textId="7D91183E"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(18</w:t>
            </w:r>
            <w:r w:rsidR="00D65DED" w:rsidRPr="00022837">
              <w:rPr>
                <w:rFonts w:eastAsiaTheme="majorEastAsia" w:cstheme="majorBidi"/>
                <w:lang w:eastAsia="en-NZ"/>
              </w:rPr>
              <w:t>6.</w:t>
            </w:r>
            <w:r w:rsidR="007208C4" w:rsidRPr="00022837">
              <w:rPr>
                <w:rFonts w:eastAsiaTheme="majorEastAsia" w:cstheme="majorBidi"/>
                <w:lang w:eastAsia="en-NZ"/>
              </w:rPr>
              <w:t>20</w:t>
            </w:r>
            <w:r w:rsidRPr="00022837">
              <w:rPr>
                <w:rFonts w:eastAsiaTheme="majorEastAsia" w:cstheme="majorBidi"/>
                <w:lang w:eastAsia="en-NZ"/>
              </w:rPr>
              <w:t>)</w:t>
            </w:r>
          </w:p>
        </w:tc>
      </w:tr>
      <w:tr w:rsidR="00CB1106" w:rsidRPr="00B5248D" w14:paraId="478B1AA5" w14:textId="77777777" w:rsidTr="369FC40A">
        <w:tc>
          <w:tcPr>
            <w:tcW w:w="1696" w:type="dxa"/>
            <w:shd w:val="clear" w:color="auto" w:fill="D9E2F3" w:themeFill="accent5" w:themeFillTint="33"/>
            <w:hideMark/>
          </w:tcPr>
          <w:p w14:paraId="55AB254C"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Face-to-face</w:t>
            </w:r>
          </w:p>
        </w:tc>
        <w:tc>
          <w:tcPr>
            <w:tcW w:w="6242" w:type="dxa"/>
            <w:hideMark/>
          </w:tcPr>
          <w:p w14:paraId="21C2C2AE"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Number of service contacts delivered in person.</w:t>
            </w:r>
          </w:p>
        </w:tc>
        <w:tc>
          <w:tcPr>
            <w:tcW w:w="1134" w:type="dxa"/>
            <w:hideMark/>
          </w:tcPr>
          <w:p w14:paraId="47B36088" w14:textId="2D02C6FE"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30</w:t>
            </w:r>
            <w:r w:rsidR="00D65DED" w:rsidRPr="00022837">
              <w:rPr>
                <w:rFonts w:eastAsiaTheme="majorEastAsia" w:cstheme="majorBidi"/>
                <w:lang w:eastAsia="en-NZ"/>
              </w:rPr>
              <w:t>3.</w:t>
            </w:r>
            <w:r w:rsidR="00716E79" w:rsidRPr="00022837">
              <w:rPr>
                <w:rFonts w:eastAsiaTheme="majorEastAsia" w:cstheme="majorBidi"/>
                <w:lang w:eastAsia="en-NZ"/>
              </w:rPr>
              <w:t>56</w:t>
            </w:r>
            <w:r w:rsidRPr="00022837">
              <w:rPr>
                <w:rFonts w:eastAsiaTheme="majorEastAsia" w:cstheme="majorBidi"/>
                <w:lang w:eastAsia="en-NZ"/>
              </w:rPr>
              <w:t xml:space="preserve"> (37</w:t>
            </w:r>
            <w:r w:rsidR="00BD62BE" w:rsidRPr="00022837">
              <w:rPr>
                <w:rFonts w:eastAsiaTheme="majorEastAsia" w:cstheme="majorBidi"/>
                <w:lang w:eastAsia="en-NZ"/>
              </w:rPr>
              <w:t>6.</w:t>
            </w:r>
            <w:r w:rsidR="00B575BF" w:rsidRPr="00022837">
              <w:rPr>
                <w:rFonts w:eastAsiaTheme="majorEastAsia" w:cstheme="majorBidi"/>
                <w:lang w:eastAsia="en-NZ"/>
              </w:rPr>
              <w:t>06</w:t>
            </w:r>
            <w:r w:rsidRPr="00022837">
              <w:rPr>
                <w:rFonts w:eastAsiaTheme="majorEastAsia" w:cstheme="majorBidi"/>
                <w:lang w:eastAsia="en-NZ"/>
              </w:rPr>
              <w:t>)</w:t>
            </w:r>
          </w:p>
        </w:tc>
      </w:tr>
      <w:tr w:rsidR="00CB1106" w:rsidRPr="00B5248D" w14:paraId="01C65B15" w14:textId="77777777" w:rsidTr="369FC40A">
        <w:tc>
          <w:tcPr>
            <w:tcW w:w="1696" w:type="dxa"/>
            <w:shd w:val="clear" w:color="auto" w:fill="D9E2F3" w:themeFill="accent5" w:themeFillTint="33"/>
            <w:hideMark/>
          </w:tcPr>
          <w:p w14:paraId="3E8A1298"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Phone calls</w:t>
            </w:r>
          </w:p>
        </w:tc>
        <w:tc>
          <w:tcPr>
            <w:tcW w:w="6242" w:type="dxa"/>
            <w:hideMark/>
          </w:tcPr>
          <w:p w14:paraId="51F82536"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Number of service contacts delivered over the phone.</w:t>
            </w:r>
          </w:p>
        </w:tc>
        <w:tc>
          <w:tcPr>
            <w:tcW w:w="1134" w:type="dxa"/>
            <w:hideMark/>
          </w:tcPr>
          <w:p w14:paraId="37B87A36" w14:textId="3012FB71"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8</w:t>
            </w:r>
            <w:r w:rsidR="00BD62BE" w:rsidRPr="00022837">
              <w:rPr>
                <w:rFonts w:eastAsiaTheme="majorEastAsia" w:cstheme="majorBidi"/>
                <w:lang w:eastAsia="en-NZ"/>
              </w:rPr>
              <w:t>5.5</w:t>
            </w:r>
            <w:r w:rsidR="009C68C6" w:rsidRPr="00022837">
              <w:rPr>
                <w:rFonts w:eastAsiaTheme="majorEastAsia" w:cstheme="majorBidi"/>
                <w:lang w:eastAsia="en-NZ"/>
              </w:rPr>
              <w:t>8</w:t>
            </w:r>
          </w:p>
          <w:p w14:paraId="3B352B2E" w14:textId="78AA4208"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(10</w:t>
            </w:r>
            <w:r w:rsidR="00680A46" w:rsidRPr="00022837">
              <w:rPr>
                <w:rFonts w:eastAsiaTheme="majorEastAsia" w:cstheme="majorBidi"/>
                <w:lang w:eastAsia="en-NZ"/>
              </w:rPr>
              <w:t>5.35</w:t>
            </w:r>
            <w:r w:rsidRPr="00022837">
              <w:rPr>
                <w:rFonts w:eastAsiaTheme="majorEastAsia" w:cstheme="majorBidi"/>
                <w:lang w:eastAsia="en-NZ"/>
              </w:rPr>
              <w:t>)</w:t>
            </w:r>
          </w:p>
        </w:tc>
      </w:tr>
      <w:tr w:rsidR="00CB1106" w:rsidRPr="00B5248D" w14:paraId="7ACC790F" w14:textId="77777777" w:rsidTr="369FC40A">
        <w:tc>
          <w:tcPr>
            <w:tcW w:w="1696" w:type="dxa"/>
            <w:shd w:val="clear" w:color="auto" w:fill="D9E2F3" w:themeFill="accent5" w:themeFillTint="33"/>
            <w:hideMark/>
          </w:tcPr>
          <w:p w14:paraId="31A0E02A"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Brief interventions</w:t>
            </w:r>
          </w:p>
        </w:tc>
        <w:tc>
          <w:tcPr>
            <w:tcW w:w="6242" w:type="dxa"/>
            <w:hideMark/>
          </w:tcPr>
          <w:p w14:paraId="03C47332" w14:textId="52063A18" w:rsidR="00CB1106" w:rsidRPr="00022837" w:rsidRDefault="00CB1106" w:rsidP="004E6663">
            <w:pPr>
              <w:rPr>
                <w:rFonts w:eastAsiaTheme="majorEastAsia" w:cstheme="majorBidi"/>
                <w:lang w:eastAsia="en-NZ"/>
              </w:rPr>
            </w:pPr>
            <w:r w:rsidRPr="00022837">
              <w:rPr>
                <w:rFonts w:eastAsiaTheme="majorEastAsia" w:cstheme="majorBidi"/>
                <w:lang w:eastAsia="en-NZ"/>
              </w:rPr>
              <w:t xml:space="preserve">Number of </w:t>
            </w:r>
            <w:r w:rsidR="00F9460F" w:rsidRPr="00022837">
              <w:rPr>
                <w:rFonts w:eastAsiaTheme="majorEastAsia" w:cstheme="majorBidi"/>
                <w:lang w:eastAsia="en-NZ"/>
              </w:rPr>
              <w:t xml:space="preserve">brief </w:t>
            </w:r>
            <w:r w:rsidRPr="00022837">
              <w:rPr>
                <w:rFonts w:eastAsiaTheme="majorEastAsia" w:cstheme="majorBidi"/>
                <w:lang w:eastAsia="en-NZ"/>
              </w:rPr>
              <w:t>service contacts.  Typically, part of a caseload of three or less contacts less than or equal to 30 minutes each.</w:t>
            </w:r>
          </w:p>
        </w:tc>
        <w:tc>
          <w:tcPr>
            <w:tcW w:w="1134" w:type="dxa"/>
            <w:hideMark/>
          </w:tcPr>
          <w:p w14:paraId="2283F7AB" w14:textId="1E2A9B3B" w:rsidR="00CB1106" w:rsidRPr="00022837" w:rsidRDefault="005634A9" w:rsidP="00DC1734">
            <w:pPr>
              <w:jc w:val="center"/>
              <w:rPr>
                <w:rFonts w:eastAsiaTheme="majorEastAsia" w:cstheme="majorBidi"/>
                <w:lang w:eastAsia="en-NZ"/>
              </w:rPr>
            </w:pPr>
            <w:r w:rsidRPr="00022837">
              <w:rPr>
                <w:rFonts w:eastAsiaTheme="majorEastAsia" w:cstheme="majorBidi"/>
                <w:lang w:eastAsia="en-NZ"/>
              </w:rPr>
              <w:t>73.</w:t>
            </w:r>
            <w:r w:rsidR="002013FB" w:rsidRPr="00022837">
              <w:rPr>
                <w:rFonts w:eastAsiaTheme="majorEastAsia" w:cstheme="majorBidi"/>
                <w:lang w:eastAsia="en-NZ"/>
              </w:rPr>
              <w:t>48</w:t>
            </w:r>
          </w:p>
          <w:p w14:paraId="3BC11EEF" w14:textId="511124BC"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w:t>
            </w:r>
            <w:r w:rsidR="005634A9" w:rsidRPr="00022837">
              <w:rPr>
                <w:rFonts w:eastAsiaTheme="majorEastAsia" w:cstheme="majorBidi"/>
                <w:lang w:eastAsia="en-NZ"/>
              </w:rPr>
              <w:t>121.</w:t>
            </w:r>
            <w:r w:rsidR="001C0696" w:rsidRPr="00022837">
              <w:rPr>
                <w:rFonts w:eastAsiaTheme="majorEastAsia" w:cstheme="majorBidi"/>
                <w:lang w:eastAsia="en-NZ"/>
              </w:rPr>
              <w:t>09</w:t>
            </w:r>
            <w:r w:rsidRPr="00022837">
              <w:rPr>
                <w:rFonts w:eastAsiaTheme="majorEastAsia" w:cstheme="majorBidi"/>
                <w:lang w:eastAsia="en-NZ"/>
              </w:rPr>
              <w:t>)</w:t>
            </w:r>
          </w:p>
        </w:tc>
      </w:tr>
      <w:tr w:rsidR="00CB1106" w:rsidRPr="00B5248D" w14:paraId="31FEB710" w14:textId="77777777" w:rsidTr="369FC40A">
        <w:tc>
          <w:tcPr>
            <w:tcW w:w="1696" w:type="dxa"/>
            <w:tcBorders>
              <w:bottom w:val="single" w:sz="8" w:space="0" w:color="B4C6E7" w:themeColor="accent5" w:themeTint="66"/>
            </w:tcBorders>
            <w:shd w:val="clear" w:color="auto" w:fill="D9E2F3" w:themeFill="accent5" w:themeFillTint="33"/>
            <w:hideMark/>
          </w:tcPr>
          <w:p w14:paraId="114D242C"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Full interventions</w:t>
            </w:r>
          </w:p>
        </w:tc>
        <w:tc>
          <w:tcPr>
            <w:tcW w:w="6242" w:type="dxa"/>
            <w:tcBorders>
              <w:bottom w:val="single" w:sz="8" w:space="0" w:color="B4C6E7" w:themeColor="accent5" w:themeTint="66"/>
            </w:tcBorders>
          </w:tcPr>
          <w:p w14:paraId="577158DE" w14:textId="77777777" w:rsidR="00CB1106" w:rsidRPr="00022837" w:rsidRDefault="00CB1106" w:rsidP="004E6663">
            <w:pPr>
              <w:rPr>
                <w:rFonts w:eastAsiaTheme="majorEastAsia" w:cstheme="majorBidi"/>
                <w:lang w:eastAsia="en-NZ"/>
              </w:rPr>
            </w:pPr>
            <w:r w:rsidRPr="00022837">
              <w:rPr>
                <w:rFonts w:eastAsiaTheme="majorEastAsia" w:cstheme="majorBidi"/>
                <w:lang w:eastAsia="en-NZ"/>
              </w:rPr>
              <w:t>Number of service contacts that are more intensive in terms of frequency and duration.  These services are typically community-based assessment and intervention services.</w:t>
            </w:r>
          </w:p>
        </w:tc>
        <w:tc>
          <w:tcPr>
            <w:tcW w:w="1134" w:type="dxa"/>
            <w:tcBorders>
              <w:bottom w:val="single" w:sz="8" w:space="0" w:color="B4C6E7" w:themeColor="accent5" w:themeTint="66"/>
            </w:tcBorders>
            <w:hideMark/>
          </w:tcPr>
          <w:p w14:paraId="326B0EEC" w14:textId="0B0A6A52"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2</w:t>
            </w:r>
            <w:r w:rsidR="005634A9" w:rsidRPr="00022837">
              <w:rPr>
                <w:rFonts w:eastAsiaTheme="majorEastAsia" w:cstheme="majorBidi"/>
                <w:lang w:eastAsia="en-NZ"/>
              </w:rPr>
              <w:t>46.</w:t>
            </w:r>
            <w:r w:rsidR="0038183A" w:rsidRPr="00022837">
              <w:rPr>
                <w:rFonts w:eastAsiaTheme="majorEastAsia" w:cstheme="majorBidi"/>
                <w:lang w:eastAsia="en-NZ"/>
              </w:rPr>
              <w:t>08</w:t>
            </w:r>
          </w:p>
          <w:p w14:paraId="50283825" w14:textId="2068173D" w:rsidR="00CB1106" w:rsidRPr="00022837" w:rsidRDefault="00CB1106" w:rsidP="00DC1734">
            <w:pPr>
              <w:jc w:val="center"/>
              <w:rPr>
                <w:rFonts w:eastAsiaTheme="majorEastAsia" w:cstheme="majorBidi"/>
                <w:lang w:eastAsia="en-NZ"/>
              </w:rPr>
            </w:pPr>
            <w:r w:rsidRPr="00022837">
              <w:rPr>
                <w:rFonts w:eastAsiaTheme="majorEastAsia" w:cstheme="majorBidi"/>
                <w:lang w:eastAsia="en-NZ"/>
              </w:rPr>
              <w:t>(</w:t>
            </w:r>
            <w:r w:rsidR="007110F4" w:rsidRPr="00022837">
              <w:rPr>
                <w:rFonts w:eastAsiaTheme="majorEastAsia" w:cstheme="majorBidi"/>
                <w:lang w:eastAsia="en-NZ"/>
              </w:rPr>
              <w:t>28</w:t>
            </w:r>
            <w:r w:rsidR="00F94469" w:rsidRPr="00022837">
              <w:rPr>
                <w:rFonts w:eastAsiaTheme="majorEastAsia" w:cstheme="majorBidi"/>
                <w:lang w:eastAsia="en-NZ"/>
              </w:rPr>
              <w:t>2.43</w:t>
            </w:r>
            <w:r w:rsidRPr="00022837">
              <w:rPr>
                <w:rFonts w:eastAsiaTheme="majorEastAsia" w:cstheme="majorBidi"/>
                <w:lang w:eastAsia="en-NZ"/>
              </w:rPr>
              <w:t>)</w:t>
            </w:r>
          </w:p>
        </w:tc>
      </w:tr>
      <w:tr w:rsidR="00CB1106" w:rsidRPr="00B5248D" w14:paraId="564EFADA" w14:textId="77777777" w:rsidTr="369FC40A">
        <w:tc>
          <w:tcPr>
            <w:tcW w:w="1696" w:type="dxa"/>
            <w:tcBorders>
              <w:top w:val="single" w:sz="8" w:space="0" w:color="B4C6E7" w:themeColor="accent5" w:themeTint="66"/>
            </w:tcBorders>
            <w:shd w:val="clear" w:color="auto" w:fill="D9E2F3" w:themeFill="accent5" w:themeFillTint="33"/>
          </w:tcPr>
          <w:p w14:paraId="13C1AF91" w14:textId="71FE256D" w:rsidR="00CB1106" w:rsidRPr="00022837" w:rsidRDefault="00766A4A" w:rsidP="004E6663">
            <w:pPr>
              <w:rPr>
                <w:rFonts w:eastAsiaTheme="majorEastAsia" w:cstheme="majorBidi"/>
                <w:b/>
                <w:lang w:eastAsia="en-NZ"/>
              </w:rPr>
            </w:pPr>
            <w:r w:rsidRPr="00022837">
              <w:rPr>
                <w:rFonts w:eastAsiaTheme="majorEastAsia" w:cstheme="majorBidi"/>
                <w:b/>
                <w:lang w:eastAsia="en-NZ"/>
              </w:rPr>
              <w:t>Observations</w:t>
            </w:r>
          </w:p>
        </w:tc>
        <w:tc>
          <w:tcPr>
            <w:tcW w:w="6242" w:type="dxa"/>
            <w:tcBorders>
              <w:top w:val="single" w:sz="8" w:space="0" w:color="B4C6E7" w:themeColor="accent5" w:themeTint="66"/>
            </w:tcBorders>
          </w:tcPr>
          <w:p w14:paraId="0878FD7C" w14:textId="77777777" w:rsidR="00CB1106" w:rsidRPr="00022837" w:rsidRDefault="00CB1106" w:rsidP="004E6663">
            <w:pPr>
              <w:rPr>
                <w:rFonts w:eastAsiaTheme="majorEastAsia" w:cstheme="majorBidi"/>
                <w:lang w:eastAsia="en-NZ"/>
              </w:rPr>
            </w:pPr>
          </w:p>
        </w:tc>
        <w:tc>
          <w:tcPr>
            <w:tcW w:w="1134" w:type="dxa"/>
            <w:tcBorders>
              <w:top w:val="single" w:sz="8" w:space="0" w:color="B4C6E7" w:themeColor="accent5" w:themeTint="66"/>
            </w:tcBorders>
          </w:tcPr>
          <w:p w14:paraId="24A12D2E" w14:textId="55FC48DF" w:rsidR="00CB1106" w:rsidRPr="00022837" w:rsidRDefault="006314A3" w:rsidP="369FC40A">
            <w:pPr>
              <w:jc w:val="center"/>
              <w:rPr>
                <w:rFonts w:eastAsiaTheme="majorEastAsia" w:cstheme="majorBidi"/>
                <w:lang w:eastAsia="en-NZ"/>
              </w:rPr>
            </w:pPr>
            <w:r w:rsidRPr="00022837">
              <w:rPr>
                <w:rFonts w:eastAsiaTheme="majorEastAsia" w:cstheme="majorBidi"/>
                <w:lang w:eastAsia="en-NZ"/>
              </w:rPr>
              <w:t>536</w:t>
            </w:r>
          </w:p>
        </w:tc>
      </w:tr>
    </w:tbl>
    <w:p w14:paraId="1C859650" w14:textId="0545587E" w:rsidR="00CC448A" w:rsidRPr="00312C2F" w:rsidRDefault="00661134" w:rsidP="00A13686">
      <w:pPr>
        <w:rPr>
          <w:sz w:val="18"/>
          <w:szCs w:val="18"/>
        </w:rPr>
      </w:pPr>
      <w:r w:rsidRPr="00312C2F">
        <w:rPr>
          <w:sz w:val="18"/>
          <w:szCs w:val="18"/>
        </w:rPr>
        <w:t xml:space="preserve">Note: </w:t>
      </w:r>
      <w:r w:rsidR="005F201C">
        <w:rPr>
          <w:sz w:val="18"/>
          <w:szCs w:val="18"/>
        </w:rPr>
        <w:t>Data cover</w:t>
      </w:r>
      <w:r w:rsidR="00E96784" w:rsidRPr="009E7FC9">
        <w:rPr>
          <w:sz w:val="18"/>
          <w:szCs w:val="18"/>
        </w:rPr>
        <w:t xml:space="preserve"> individuals who indicated </w:t>
      </w:r>
      <w:r w:rsidR="00DE623D" w:rsidRPr="009E7FC9">
        <w:rPr>
          <w:sz w:val="18"/>
          <w:szCs w:val="18"/>
        </w:rPr>
        <w:t>that Class 4 gambling was one of the</w:t>
      </w:r>
      <w:r w:rsidR="004A3B5A" w:rsidRPr="009E7FC9">
        <w:rPr>
          <w:sz w:val="18"/>
          <w:szCs w:val="18"/>
        </w:rPr>
        <w:t>ir problem</w:t>
      </w:r>
      <w:r w:rsidR="00DE623D" w:rsidRPr="009E7FC9">
        <w:rPr>
          <w:sz w:val="18"/>
          <w:szCs w:val="18"/>
        </w:rPr>
        <w:t xml:space="preserve"> </w:t>
      </w:r>
      <w:r w:rsidR="004A3B5A" w:rsidRPr="009E7FC9">
        <w:rPr>
          <w:sz w:val="18"/>
          <w:szCs w:val="18"/>
        </w:rPr>
        <w:t>gambling activities</w:t>
      </w:r>
      <w:r w:rsidR="005F201C" w:rsidRPr="009E7FC9">
        <w:rPr>
          <w:sz w:val="18"/>
          <w:szCs w:val="18"/>
        </w:rPr>
        <w:t xml:space="preserve"> </w:t>
      </w:r>
      <w:r w:rsidR="005F201C" w:rsidRPr="00312C2F">
        <w:rPr>
          <w:sz w:val="18"/>
          <w:szCs w:val="18"/>
        </w:rPr>
        <w:t>and excludes non-Class 4 gamblers.</w:t>
      </w:r>
      <w:r w:rsidR="005F201C" w:rsidRPr="005F201C">
        <w:t xml:space="preserve"> </w:t>
      </w:r>
      <w:r w:rsidR="00301E83">
        <w:rPr>
          <w:sz w:val="18"/>
          <w:szCs w:val="18"/>
        </w:rPr>
        <w:t>Sample period is 2010 to 2018</w:t>
      </w:r>
      <w:r w:rsidR="00FC4521">
        <w:rPr>
          <w:sz w:val="18"/>
          <w:szCs w:val="18"/>
        </w:rPr>
        <w:t xml:space="preserve">. </w:t>
      </w:r>
      <w:r w:rsidR="005F201C" w:rsidRPr="005F201C">
        <w:rPr>
          <w:sz w:val="18"/>
          <w:szCs w:val="18"/>
        </w:rPr>
        <w:t xml:space="preserve">All </w:t>
      </w:r>
      <w:proofErr w:type="spellStart"/>
      <w:r w:rsidR="005F201C" w:rsidRPr="005F201C">
        <w:rPr>
          <w:sz w:val="18"/>
          <w:szCs w:val="18"/>
        </w:rPr>
        <w:t>descriptives</w:t>
      </w:r>
      <w:proofErr w:type="spellEnd"/>
      <w:r w:rsidR="005F201C" w:rsidRPr="005F201C">
        <w:rPr>
          <w:sz w:val="18"/>
          <w:szCs w:val="18"/>
        </w:rPr>
        <w:t xml:space="preserve"> are unweighted TA-year means. Standard deviations are shown in parentheses.</w:t>
      </w:r>
    </w:p>
    <w:p w14:paraId="61427C6D" w14:textId="77777777" w:rsidR="004C7CF2" w:rsidRDefault="004C7CF2" w:rsidP="00FA3913">
      <w:pPr>
        <w:spacing w:after="240" w:line="312" w:lineRule="auto"/>
      </w:pPr>
    </w:p>
    <w:p w14:paraId="6F0DBD9D" w14:textId="00F9394B" w:rsidR="00A23CAD" w:rsidRDefault="00A23CAD" w:rsidP="00FA3913">
      <w:pPr>
        <w:spacing w:after="240" w:line="312" w:lineRule="auto"/>
      </w:pPr>
      <w:r>
        <w:t xml:space="preserve">For all outcomes described in Table </w:t>
      </w:r>
      <w:r w:rsidR="00090B20">
        <w:t>5</w:t>
      </w:r>
      <w:r>
        <w:t xml:space="preserve">, we </w:t>
      </w:r>
      <w:r w:rsidR="00B873A9">
        <w:t xml:space="preserve">employ the same difference-in-difference framework portrayed in Section </w:t>
      </w:r>
      <w:r w:rsidR="00DA7F92">
        <w:t>4 to examine the impact of policy interventions on the use of gambling intervention services.</w:t>
      </w:r>
      <w:r w:rsidR="00A07E43">
        <w:t xml:space="preserve"> </w:t>
      </w:r>
      <w:r w:rsidR="00A07E43" w:rsidRPr="00B32069">
        <w:t xml:space="preserve">Table </w:t>
      </w:r>
      <w:r w:rsidR="00090B20">
        <w:t>6</w:t>
      </w:r>
      <w:r w:rsidR="00A07E43">
        <w:t xml:space="preserve"> presents the model estimates.</w:t>
      </w:r>
      <w:r w:rsidR="00DA7F92">
        <w:t xml:space="preserve"> </w:t>
      </w:r>
    </w:p>
    <w:p w14:paraId="3F38FC29" w14:textId="22A6E1A1" w:rsidR="007B1FCC" w:rsidRDefault="00A07E43" w:rsidP="00FA3913">
      <w:pPr>
        <w:spacing w:after="240" w:line="312" w:lineRule="auto"/>
        <w:jc w:val="both"/>
      </w:pPr>
      <w:r>
        <w:t xml:space="preserve">The main finding </w:t>
      </w:r>
      <w:r w:rsidR="009E7FC9">
        <w:t xml:space="preserve">from Table 6 </w:t>
      </w:r>
      <w:r w:rsidR="00312E53">
        <w:t>is that results are</w:t>
      </w:r>
      <w:r w:rsidR="009E7FC9">
        <w:t xml:space="preserve"> mixed</w:t>
      </w:r>
      <w:r w:rsidR="00337E7F">
        <w:t xml:space="preserve">. </w:t>
      </w:r>
      <w:r w:rsidR="00AB473D">
        <w:t xml:space="preserve">First, with respect to the absolute cap policy, there are no significant impacts </w:t>
      </w:r>
      <w:r w:rsidR="007B1FCC">
        <w:t xml:space="preserve">on </w:t>
      </w:r>
      <w:r w:rsidR="006111D8">
        <w:t xml:space="preserve">intervention service use </w:t>
      </w:r>
      <w:r w:rsidR="007B1FCC">
        <w:t>of implementing this policy relative to the reference group</w:t>
      </w:r>
      <w:r w:rsidR="006111D8">
        <w:t xml:space="preserve">. When viewing the impacts of a per capita cap, </w:t>
      </w:r>
      <w:r w:rsidR="00EA1F76">
        <w:t xml:space="preserve">there are no contemporaneous effects on intervention service use, but there are signs of an increase in service use in the following year. </w:t>
      </w:r>
      <w:proofErr w:type="gramStart"/>
      <w:r w:rsidR="002328B5">
        <w:t>In particular, we</w:t>
      </w:r>
      <w:proofErr w:type="gramEnd"/>
      <w:r w:rsidR="002328B5">
        <w:t xml:space="preserve"> find a statistically significant increase in service use by new clients</w:t>
      </w:r>
      <w:r w:rsidR="009C225A">
        <w:t xml:space="preserve">, and </w:t>
      </w:r>
      <w:r w:rsidR="00137BEB">
        <w:t>for face-to-face and full interventions</w:t>
      </w:r>
      <w:r w:rsidR="00D5613B">
        <w:t>, relative to the reference group.</w:t>
      </w:r>
      <w:r w:rsidR="00C767FB">
        <w:t xml:space="preserve"> </w:t>
      </w:r>
    </w:p>
    <w:p w14:paraId="22ED6954" w14:textId="64EACFDF" w:rsidR="00213995" w:rsidRPr="00517CDB" w:rsidRDefault="006B5AD5" w:rsidP="00FA3913">
      <w:pPr>
        <w:spacing w:after="240" w:line="312" w:lineRule="auto"/>
        <w:jc w:val="both"/>
      </w:pPr>
      <w:r>
        <w:lastRenderedPageBreak/>
        <w:t xml:space="preserve">Table 6 also shows that </w:t>
      </w:r>
      <w:r w:rsidR="00D64355">
        <w:t>sinking lid polic</w:t>
      </w:r>
      <w:r w:rsidR="00CF1927">
        <w:t>ies</w:t>
      </w:r>
      <w:r w:rsidR="00D64355">
        <w:t xml:space="preserve"> seem to have a</w:t>
      </w:r>
      <w:r w:rsidR="00B91A21">
        <w:t xml:space="preserve"> consistently negative and statistically significant</w:t>
      </w:r>
      <w:r w:rsidR="00D64355">
        <w:t xml:space="preserve"> effect on service use</w:t>
      </w:r>
      <w:r w:rsidR="00BF2704">
        <w:t>, relative to the</w:t>
      </w:r>
      <w:r w:rsidR="004F553A">
        <w:t xml:space="preserve"> reference group</w:t>
      </w:r>
      <w:r w:rsidR="00B91A21">
        <w:t>.</w:t>
      </w:r>
      <w:r w:rsidR="00A13686" w:rsidRPr="00B5248D" w:rsidDel="00A13686">
        <w:t xml:space="preserve"> </w:t>
      </w:r>
      <w:r w:rsidR="00A13686">
        <w:t xml:space="preserve">Focussing on aggregate service use, as shown in column (1), we find </w:t>
      </w:r>
      <w:r w:rsidR="004A5D23">
        <w:t xml:space="preserve">insignificant impacts of the absolute cap and per capita cap policies (whether contemporaneous or lagged) and </w:t>
      </w:r>
      <w:r w:rsidR="00A13686">
        <w:t xml:space="preserve">only one statistically significant coefficient indicating </w:t>
      </w:r>
      <w:r w:rsidR="004A5D23">
        <w:t>the negative</w:t>
      </w:r>
      <w:r w:rsidR="00A13686">
        <w:t xml:space="preserve"> impact of sinking lid </w:t>
      </w:r>
      <w:r w:rsidR="004A5D23">
        <w:t>with respect to</w:t>
      </w:r>
      <w:r w:rsidR="00A13686">
        <w:t xml:space="preserve"> use of </w:t>
      </w:r>
      <w:r w:rsidR="007D741F">
        <w:t xml:space="preserve">gambling intervention </w:t>
      </w:r>
      <w:r w:rsidR="00A13686">
        <w:t xml:space="preserve">services. Specifically, </w:t>
      </w:r>
      <w:r w:rsidR="007E6117">
        <w:t xml:space="preserve">compared to </w:t>
      </w:r>
      <w:r w:rsidR="007E6117" w:rsidRPr="00517CDB">
        <w:t>the reference group, the</w:t>
      </w:r>
      <w:r w:rsidR="00A13686" w:rsidRPr="00517CDB">
        <w:t xml:space="preserve"> sinking lid policy results in a</w:t>
      </w:r>
      <w:r w:rsidR="004A5D23" w:rsidRPr="00517CDB">
        <w:t xml:space="preserve"> decline of </w:t>
      </w:r>
      <w:r w:rsidR="00A13686" w:rsidRPr="00517CDB">
        <w:t>1</w:t>
      </w:r>
      <w:r w:rsidR="00E65681">
        <w:t>59</w:t>
      </w:r>
      <w:r w:rsidR="00A13686" w:rsidRPr="00517CDB">
        <w:t xml:space="preserve"> </w:t>
      </w:r>
      <w:r w:rsidR="00452CF2" w:rsidRPr="00517CDB">
        <w:t>service contacts in a year. This finding is significant at the 10 percent level and equates to a 3</w:t>
      </w:r>
      <w:r w:rsidR="00D3032E">
        <w:t>6</w:t>
      </w:r>
      <w:r w:rsidR="00452CF2" w:rsidRPr="00517CDB">
        <w:t xml:space="preserve"> percent drop in service use </w:t>
      </w:r>
      <w:r w:rsidR="00213995" w:rsidRPr="00517CDB">
        <w:t>in affected TAs</w:t>
      </w:r>
      <w:r w:rsidR="00DB7A9C">
        <w:t>, relative to the reference group</w:t>
      </w:r>
      <w:r w:rsidR="00213995" w:rsidRPr="00517CDB">
        <w:t>.</w:t>
      </w:r>
    </w:p>
    <w:p w14:paraId="09C1F7FE" w14:textId="6AFCE2AF" w:rsidR="001776A5" w:rsidRDefault="00213995" w:rsidP="00FA3913">
      <w:pPr>
        <w:spacing w:after="240" w:line="312" w:lineRule="auto"/>
        <w:jc w:val="both"/>
      </w:pPr>
      <w:r w:rsidRPr="00517CDB">
        <w:t xml:space="preserve">The </w:t>
      </w:r>
      <w:r w:rsidR="001776A5" w:rsidRPr="00517CDB">
        <w:t xml:space="preserve">negative impact of the sinking lid policy on </w:t>
      </w:r>
      <w:r w:rsidR="00900C13" w:rsidRPr="00517CDB">
        <w:t xml:space="preserve">gambling </w:t>
      </w:r>
      <w:r w:rsidR="008E1BC7" w:rsidRPr="00517CDB">
        <w:t xml:space="preserve">intervention </w:t>
      </w:r>
      <w:r w:rsidR="001776A5" w:rsidRPr="00517CDB">
        <w:t>service use</w:t>
      </w:r>
      <w:r w:rsidR="00055423" w:rsidRPr="00517CDB">
        <w:t xml:space="preserve"> also</w:t>
      </w:r>
      <w:r w:rsidR="001776A5" w:rsidRPr="00517CDB">
        <w:t xml:space="preserve"> holds for various outcome indicators – </w:t>
      </w:r>
      <w:r w:rsidR="001776A5" w:rsidRPr="00D93874">
        <w:t xml:space="preserve">whether it be </w:t>
      </w:r>
      <w:r w:rsidR="00A13686" w:rsidRPr="00D93874">
        <w:t>face-to-face</w:t>
      </w:r>
      <w:r w:rsidR="001776A5" w:rsidRPr="00D93874">
        <w:t xml:space="preserve"> </w:t>
      </w:r>
      <w:r w:rsidR="00A13686" w:rsidRPr="00D93874">
        <w:t xml:space="preserve">or full interventions, or </w:t>
      </w:r>
      <w:r w:rsidR="001776A5" w:rsidRPr="00D93874">
        <w:t>the narrower subgroup of</w:t>
      </w:r>
      <w:r w:rsidR="00A13686" w:rsidRPr="00D93874">
        <w:t xml:space="preserve"> </w:t>
      </w:r>
      <w:r w:rsidR="00517CDB" w:rsidRPr="00517CDB">
        <w:t>existing</w:t>
      </w:r>
      <w:r w:rsidR="00A13686" w:rsidRPr="00D93874">
        <w:t xml:space="preserve"> clients.</w:t>
      </w:r>
      <w:r w:rsidR="00A13686">
        <w:t xml:space="preserve"> </w:t>
      </w:r>
    </w:p>
    <w:p w14:paraId="265B827B" w14:textId="4A547AD8" w:rsidR="00F13A41" w:rsidRDefault="003013F9" w:rsidP="00FA3913">
      <w:pPr>
        <w:spacing w:after="240" w:line="312" w:lineRule="auto"/>
        <w:jc w:val="both"/>
      </w:pPr>
      <w:r>
        <w:t xml:space="preserve">Not shown in Table 6, we conducted a Wald test </w:t>
      </w:r>
      <w:r w:rsidR="00F134CD">
        <w:t xml:space="preserve">to investigate whether the sum of contemporaneous and lagged coefficients </w:t>
      </w:r>
      <w:proofErr w:type="gramStart"/>
      <w:r w:rsidR="00F134CD">
        <w:t>were</w:t>
      </w:r>
      <w:proofErr w:type="gramEnd"/>
      <w:r w:rsidR="00F134CD">
        <w:t xml:space="preserve"> statistically significant</w:t>
      </w:r>
      <w:r w:rsidR="008F4C92">
        <w:t xml:space="preserve"> for each policy intervention. </w:t>
      </w:r>
      <w:r w:rsidR="00345518">
        <w:t>Results of these tests suggest</w:t>
      </w:r>
      <w:r w:rsidR="008F4C92">
        <w:t xml:space="preserve"> cumulative effects, regardless of which </w:t>
      </w:r>
      <w:r w:rsidR="00033787">
        <w:t>column of Table 6 we focus on</w:t>
      </w:r>
      <w:r w:rsidR="008F4C92">
        <w:t>, are statistically</w:t>
      </w:r>
      <w:r w:rsidR="00F13A41">
        <w:t xml:space="preserve"> insignificant. </w:t>
      </w:r>
    </w:p>
    <w:p w14:paraId="3EADE3F5" w14:textId="3B4DCB80" w:rsidR="00EC4635" w:rsidRDefault="00F13A41" w:rsidP="00FA3913">
      <w:pPr>
        <w:spacing w:after="240" w:line="312" w:lineRule="auto"/>
        <w:jc w:val="both"/>
      </w:pPr>
      <w:r>
        <w:t xml:space="preserve">Given the mixed results </w:t>
      </w:r>
      <w:r w:rsidR="00510084">
        <w:t xml:space="preserve">regarding the impact of </w:t>
      </w:r>
      <w:r w:rsidR="00DC37BD" w:rsidRPr="00F14FA2">
        <w:t xml:space="preserve">gambling policies </w:t>
      </w:r>
      <w:r w:rsidR="00510084" w:rsidRPr="00F14FA2">
        <w:t>on intervention service use</w:t>
      </w:r>
      <w:r w:rsidR="00510084">
        <w:t xml:space="preserve">, </w:t>
      </w:r>
      <w:r w:rsidR="00910D09">
        <w:t xml:space="preserve">and the unclear theoretical expectation, this is </w:t>
      </w:r>
      <w:r w:rsidR="004546DF">
        <w:t>an area worthy of further investigation</w:t>
      </w:r>
      <w:r w:rsidR="00E80D0B">
        <w:t>.</w:t>
      </w:r>
    </w:p>
    <w:p w14:paraId="7E648A23" w14:textId="77777777" w:rsidR="00F13A41" w:rsidRDefault="00F13A41" w:rsidP="00FA3913">
      <w:pPr>
        <w:spacing w:after="240" w:line="312" w:lineRule="auto"/>
        <w:jc w:val="both"/>
      </w:pPr>
    </w:p>
    <w:p w14:paraId="4876E5A0" w14:textId="18BF4FC9" w:rsidR="00F13A41" w:rsidRPr="00B5248D" w:rsidRDefault="00F13A41" w:rsidP="00FA3913">
      <w:pPr>
        <w:spacing w:after="240" w:line="312" w:lineRule="auto"/>
        <w:jc w:val="both"/>
        <w:sectPr w:rsidR="00F13A41" w:rsidRPr="00B5248D" w:rsidSect="00CF0F5C">
          <w:headerReference w:type="default" r:id="rId21"/>
          <w:footerReference w:type="default" r:id="rId22"/>
          <w:headerReference w:type="first" r:id="rId23"/>
          <w:footerReference w:type="first" r:id="rId24"/>
          <w:pgSz w:w="11906" w:h="16838"/>
          <w:pgMar w:top="1440" w:right="1440" w:bottom="1440" w:left="1134" w:header="709" w:footer="0" w:gutter="0"/>
          <w:cols w:space="708"/>
          <w:titlePg/>
          <w:docGrid w:linePitch="360"/>
        </w:sectPr>
      </w:pPr>
    </w:p>
    <w:p w14:paraId="6315E4CB" w14:textId="21695DF3" w:rsidR="00715703" w:rsidRDefault="00715703" w:rsidP="00A83A22">
      <w:pPr>
        <w:pStyle w:val="FigureTableTitle"/>
        <w:spacing w:after="0"/>
      </w:pPr>
      <w:bookmarkStart w:id="215" w:name="_Toc50033356"/>
      <w:r>
        <w:lastRenderedPageBreak/>
        <w:t xml:space="preserve">Table </w:t>
      </w:r>
      <w:r>
        <w:fldChar w:fldCharType="begin"/>
      </w:r>
      <w:r>
        <w:instrText>SEQ Table \* ARABIC</w:instrText>
      </w:r>
      <w:r>
        <w:fldChar w:fldCharType="separate"/>
      </w:r>
      <w:r w:rsidR="00CB2BDA">
        <w:rPr>
          <w:noProof/>
        </w:rPr>
        <w:t>6</w:t>
      </w:r>
      <w:r>
        <w:fldChar w:fldCharType="end"/>
      </w:r>
      <w:r>
        <w:t>.</w:t>
      </w:r>
      <w:r w:rsidRPr="0080421A">
        <w:t xml:space="preserve"> Impact of gambling policies on </w:t>
      </w:r>
      <w:r w:rsidR="00370F48">
        <w:t>intervention</w:t>
      </w:r>
      <w:r w:rsidR="00370F48" w:rsidRPr="0080421A">
        <w:t xml:space="preserve"> </w:t>
      </w:r>
      <w:r w:rsidRPr="0080421A">
        <w:t>service use</w:t>
      </w:r>
      <w:bookmarkEnd w:id="215"/>
    </w:p>
    <w:tbl>
      <w:tblPr>
        <w:tblW w:w="0" w:type="auto"/>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ayout w:type="fixed"/>
        <w:tblCellMar>
          <w:left w:w="75" w:type="dxa"/>
          <w:right w:w="75" w:type="dxa"/>
        </w:tblCellMar>
        <w:tblLook w:val="0000" w:firstRow="0" w:lastRow="0" w:firstColumn="0" w:lastColumn="0" w:noHBand="0" w:noVBand="0"/>
      </w:tblPr>
      <w:tblGrid>
        <w:gridCol w:w="2367"/>
        <w:gridCol w:w="1405"/>
        <w:gridCol w:w="1405"/>
        <w:gridCol w:w="1405"/>
        <w:gridCol w:w="1405"/>
        <w:gridCol w:w="1405"/>
        <w:gridCol w:w="1405"/>
        <w:gridCol w:w="1405"/>
        <w:gridCol w:w="1405"/>
        <w:gridCol w:w="1406"/>
      </w:tblGrid>
      <w:tr w:rsidR="00D93874" w:rsidRPr="00B5248D" w14:paraId="18EC0073" w14:textId="77777777" w:rsidTr="00D93874">
        <w:tc>
          <w:tcPr>
            <w:tcW w:w="2367"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tcPr>
          <w:p w14:paraId="348ABCC2" w14:textId="77777777" w:rsidR="00CF7361" w:rsidRPr="00DC1734" w:rsidRDefault="00CF7361" w:rsidP="00D64355">
            <w:pPr>
              <w:spacing w:after="0" w:line="240" w:lineRule="auto"/>
              <w:rPr>
                <w:rFonts w:eastAsiaTheme="majorEastAsia" w:cstheme="majorBidi"/>
                <w:color w:val="FFFFFF" w:themeColor="background1"/>
                <w:lang w:eastAsia="en-NZ"/>
              </w:rPr>
            </w:pP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49783C5D"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(1)</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24B0861E"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(2)</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tcPr>
          <w:p w14:paraId="470B5065" w14:textId="27A90864" w:rsidR="00CF7361" w:rsidRPr="00DC1734" w:rsidRDefault="00CF7361">
            <w:pPr>
              <w:spacing w:after="0" w:line="240" w:lineRule="auto"/>
              <w:jc w:val="center"/>
              <w:rPr>
                <w:rFonts w:eastAsiaTheme="majorEastAsia" w:cstheme="majorBidi"/>
                <w:color w:val="FFFFFF" w:themeColor="background1"/>
                <w:lang w:eastAsia="en-NZ"/>
              </w:rPr>
            </w:pPr>
            <w:r>
              <w:rPr>
                <w:rFonts w:eastAsiaTheme="majorEastAsia" w:cstheme="majorBidi"/>
                <w:color w:val="FFFFFF" w:themeColor="background1"/>
                <w:lang w:eastAsia="en-NZ"/>
              </w:rPr>
              <w:t>(3)</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2315E792" w14:textId="19930A49"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w:t>
            </w:r>
            <w:r>
              <w:rPr>
                <w:rFonts w:eastAsiaTheme="majorEastAsia" w:cstheme="majorBidi"/>
                <w:color w:val="FFFFFF" w:themeColor="background1"/>
                <w:lang w:eastAsia="en-NZ"/>
              </w:rPr>
              <w:t>4</w:t>
            </w:r>
            <w:r w:rsidRPr="00DC1734">
              <w:rPr>
                <w:rFonts w:eastAsiaTheme="majorEastAsia" w:cstheme="majorBidi"/>
                <w:color w:val="FFFFFF" w:themeColor="background1"/>
                <w:lang w:eastAsia="en-NZ"/>
              </w:rPr>
              <w:t>)</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1A618822" w14:textId="38FE4F3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w:t>
            </w:r>
            <w:r>
              <w:rPr>
                <w:rFonts w:eastAsiaTheme="majorEastAsia" w:cstheme="majorBidi"/>
                <w:color w:val="FFFFFF" w:themeColor="background1"/>
                <w:lang w:eastAsia="en-NZ"/>
              </w:rPr>
              <w:t>5</w:t>
            </w:r>
            <w:r w:rsidRPr="00DC1734">
              <w:rPr>
                <w:rFonts w:eastAsiaTheme="majorEastAsia" w:cstheme="majorBidi"/>
                <w:color w:val="FFFFFF" w:themeColor="background1"/>
                <w:lang w:eastAsia="en-NZ"/>
              </w:rPr>
              <w:t>)</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2AB04DC1" w14:textId="0F31C068"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w:t>
            </w:r>
            <w:r>
              <w:rPr>
                <w:rFonts w:eastAsiaTheme="majorEastAsia" w:cstheme="majorBidi"/>
                <w:color w:val="FFFFFF" w:themeColor="background1"/>
                <w:lang w:eastAsia="en-NZ"/>
              </w:rPr>
              <w:t>6</w:t>
            </w:r>
            <w:r w:rsidRPr="00DC1734">
              <w:rPr>
                <w:rFonts w:eastAsiaTheme="majorEastAsia" w:cstheme="majorBidi"/>
                <w:color w:val="FFFFFF" w:themeColor="background1"/>
                <w:lang w:eastAsia="en-NZ"/>
              </w:rPr>
              <w:t>)</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48A3B0F1" w14:textId="02AF1DF1"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w:t>
            </w:r>
            <w:r>
              <w:rPr>
                <w:rFonts w:eastAsiaTheme="majorEastAsia" w:cstheme="majorBidi"/>
                <w:color w:val="FFFFFF" w:themeColor="background1"/>
                <w:lang w:eastAsia="en-NZ"/>
              </w:rPr>
              <w:t>7</w:t>
            </w:r>
            <w:r w:rsidRPr="00DC1734">
              <w:rPr>
                <w:rFonts w:eastAsiaTheme="majorEastAsia" w:cstheme="majorBidi"/>
                <w:color w:val="FFFFFF" w:themeColor="background1"/>
                <w:lang w:eastAsia="en-NZ"/>
              </w:rPr>
              <w:t>)</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4AC7E07F" w14:textId="131C56F5"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w:t>
            </w:r>
            <w:r>
              <w:rPr>
                <w:rFonts w:eastAsiaTheme="majorEastAsia" w:cstheme="majorBidi"/>
                <w:color w:val="FFFFFF" w:themeColor="background1"/>
                <w:lang w:eastAsia="en-NZ"/>
              </w:rPr>
              <w:t>8</w:t>
            </w:r>
            <w:r w:rsidRPr="00DC1734">
              <w:rPr>
                <w:rFonts w:eastAsiaTheme="majorEastAsia" w:cstheme="majorBidi"/>
                <w:color w:val="FFFFFF" w:themeColor="background1"/>
                <w:lang w:eastAsia="en-NZ"/>
              </w:rPr>
              <w:t>)</w:t>
            </w:r>
          </w:p>
        </w:tc>
        <w:tc>
          <w:tcPr>
            <w:tcW w:w="1406"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70FC44E5" w14:textId="4140B585"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w:t>
            </w:r>
            <w:r>
              <w:rPr>
                <w:rFonts w:eastAsiaTheme="majorEastAsia" w:cstheme="majorBidi"/>
                <w:color w:val="FFFFFF" w:themeColor="background1"/>
                <w:lang w:eastAsia="en-NZ"/>
              </w:rPr>
              <w:t>9</w:t>
            </w:r>
            <w:r w:rsidRPr="00DC1734">
              <w:rPr>
                <w:rFonts w:eastAsiaTheme="majorEastAsia" w:cstheme="majorBidi"/>
                <w:color w:val="FFFFFF" w:themeColor="background1"/>
                <w:lang w:eastAsia="en-NZ"/>
              </w:rPr>
              <w:t>)</w:t>
            </w:r>
          </w:p>
        </w:tc>
      </w:tr>
      <w:tr w:rsidR="00D93874" w:rsidRPr="00B5248D" w14:paraId="258C608D" w14:textId="77777777" w:rsidTr="00D93874">
        <w:tc>
          <w:tcPr>
            <w:tcW w:w="2367"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30DA0DFA" w14:textId="77777777" w:rsidR="00CF7361" w:rsidRPr="00DC1734" w:rsidRDefault="00CF7361" w:rsidP="00D64355">
            <w:pPr>
              <w:spacing w:after="0" w:line="240" w:lineRule="auto"/>
              <w:rPr>
                <w:rFonts w:eastAsiaTheme="majorEastAsia" w:cstheme="majorBidi"/>
                <w:color w:val="FFFFFF" w:themeColor="background1"/>
                <w:lang w:eastAsia="en-NZ"/>
              </w:rPr>
            </w:pPr>
            <w:r w:rsidRPr="00DC1734">
              <w:rPr>
                <w:rFonts w:eastAsiaTheme="majorEastAsia" w:cstheme="majorBidi"/>
                <w:color w:val="FFFFFF" w:themeColor="background1"/>
                <w:lang w:eastAsia="en-NZ"/>
              </w:rPr>
              <w:t>Variables</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3856ED43"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All services</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79D8FB14"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New clients</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tcPr>
          <w:p w14:paraId="56D7F698" w14:textId="71BE1DC5" w:rsidR="00CF7361" w:rsidRPr="00DC1734" w:rsidRDefault="00CF7361" w:rsidP="00DC1734">
            <w:pPr>
              <w:spacing w:after="0" w:line="240" w:lineRule="auto"/>
              <w:jc w:val="center"/>
              <w:rPr>
                <w:rFonts w:eastAsiaTheme="majorEastAsia" w:cstheme="majorBidi"/>
                <w:color w:val="FFFFFF" w:themeColor="background1"/>
                <w:lang w:eastAsia="en-NZ"/>
              </w:rPr>
            </w:pPr>
            <w:r>
              <w:rPr>
                <w:rFonts w:eastAsiaTheme="majorEastAsia" w:cstheme="majorBidi"/>
                <w:color w:val="FFFFFF" w:themeColor="background1"/>
                <w:lang w:eastAsia="en-NZ"/>
              </w:rPr>
              <w:t>Existing clients</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14252302" w14:textId="791C899B"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Gamblers</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6FBCB733"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Family/other</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35CD1790"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Face-to-face</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180DC8DB"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Phone calls</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63DF2F5B"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Brief</w:t>
            </w:r>
          </w:p>
        </w:tc>
        <w:tc>
          <w:tcPr>
            <w:tcW w:w="1406"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04289FF0" w14:textId="77777777" w:rsidR="00CF7361" w:rsidRPr="00DC1734" w:rsidRDefault="00CF7361" w:rsidP="00DC1734">
            <w:pPr>
              <w:spacing w:after="0" w:line="240" w:lineRule="auto"/>
              <w:jc w:val="center"/>
              <w:rPr>
                <w:rFonts w:eastAsiaTheme="majorEastAsia" w:cstheme="majorBidi"/>
                <w:color w:val="FFFFFF" w:themeColor="background1"/>
                <w:lang w:eastAsia="en-NZ"/>
              </w:rPr>
            </w:pPr>
            <w:r w:rsidRPr="00DC1734">
              <w:rPr>
                <w:rFonts w:eastAsiaTheme="majorEastAsia" w:cstheme="majorBidi"/>
                <w:color w:val="FFFFFF" w:themeColor="background1"/>
                <w:lang w:eastAsia="en-NZ"/>
              </w:rPr>
              <w:t>Full</w:t>
            </w:r>
          </w:p>
        </w:tc>
      </w:tr>
      <w:tr w:rsidR="00CF7361" w:rsidRPr="00B5248D" w14:paraId="6CC36BE4" w14:textId="77777777" w:rsidTr="00D93874">
        <w:tc>
          <w:tcPr>
            <w:tcW w:w="2367" w:type="dxa"/>
            <w:tcBorders>
              <w:top w:val="single" w:sz="4" w:space="0" w:color="B4C6E7" w:themeColor="accent5" w:themeTint="66"/>
              <w:bottom w:val="nil"/>
              <w:right w:val="single" w:sz="4" w:space="0" w:color="B4C6E7" w:themeColor="accent5" w:themeTint="66"/>
            </w:tcBorders>
            <w:shd w:val="clear" w:color="auto" w:fill="D9E2F3" w:themeFill="accent5" w:themeFillTint="33"/>
          </w:tcPr>
          <w:p w14:paraId="1560DB11" w14:textId="77777777" w:rsidR="00CF7361" w:rsidRPr="00A83A22" w:rsidRDefault="00CF7361" w:rsidP="00D64355">
            <w:pPr>
              <w:spacing w:after="0" w:line="240" w:lineRule="auto"/>
              <w:rPr>
                <w:rFonts w:eastAsiaTheme="majorEastAsia" w:cstheme="majorBidi"/>
                <w:lang w:eastAsia="en-NZ"/>
              </w:rPr>
            </w:pPr>
            <w:r w:rsidRPr="00A83A22">
              <w:rPr>
                <w:rFonts w:eastAsiaTheme="majorEastAsia" w:cstheme="majorBidi"/>
                <w:lang w:eastAsia="en-NZ"/>
              </w:rPr>
              <w:t>Absolute cap</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3FC0C67C" w14:textId="691A99FE"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833AA9">
              <w:rPr>
                <w:rFonts w:eastAsiaTheme="majorEastAsia" w:cstheme="majorBidi"/>
                <w:color w:val="auto"/>
                <w:lang w:eastAsia="en-NZ"/>
              </w:rPr>
              <w:t>21</w:t>
            </w:r>
            <w:r w:rsidR="00C43A4B">
              <w:rPr>
                <w:rFonts w:eastAsiaTheme="majorEastAsia" w:cstheme="majorBidi"/>
                <w:color w:val="auto"/>
                <w:lang w:eastAsia="en-NZ"/>
              </w:rPr>
              <w:t>.95</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618B5C6F" w14:textId="2F0F1935" w:rsidR="00CF7361" w:rsidRPr="00E767A2" w:rsidRDefault="00E767A2" w:rsidP="00DC1734">
            <w:pPr>
              <w:spacing w:after="0" w:line="240" w:lineRule="auto"/>
              <w:jc w:val="center"/>
              <w:rPr>
                <w:rFonts w:eastAsiaTheme="majorEastAsia" w:cstheme="majorBidi"/>
                <w:color w:val="auto"/>
                <w:lang w:eastAsia="en-NZ"/>
              </w:rPr>
            </w:pPr>
            <w:r w:rsidRPr="00E767A2">
              <w:rPr>
                <w:rFonts w:eastAsiaTheme="majorEastAsia" w:cstheme="majorBidi"/>
                <w:color w:val="auto"/>
                <w:lang w:eastAsia="en-NZ"/>
              </w:rPr>
              <w:t>34.19</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539580D0" w14:textId="70ED87E4" w:rsidR="00CF7361" w:rsidRPr="0011179D" w:rsidDel="00B15DAA" w:rsidRDefault="000A7CC0">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60.</w:t>
            </w:r>
            <w:r w:rsidR="0066368E" w:rsidRPr="0011179D">
              <w:rPr>
                <w:rFonts w:eastAsiaTheme="majorEastAsia" w:cstheme="majorBidi"/>
                <w:color w:val="auto"/>
                <w:lang w:eastAsia="en-NZ"/>
              </w:rPr>
              <w:t>23</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3A6602EA" w14:textId="242E3222" w:rsidR="00CF7361" w:rsidRPr="005607B3" w:rsidRDefault="00876217"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83.64</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768A96C2" w14:textId="402117EF" w:rsidR="00CF7361" w:rsidRPr="005607B3" w:rsidRDefault="00527530"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10.79</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3DC682D1" w14:textId="63817BCE"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6</w:t>
            </w:r>
            <w:r w:rsidR="008E47ED">
              <w:rPr>
                <w:rFonts w:eastAsiaTheme="majorEastAsia" w:cstheme="majorBidi"/>
                <w:color w:val="auto"/>
                <w:lang w:eastAsia="en-NZ"/>
              </w:rPr>
              <w:t>9.13</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03956CF6" w14:textId="7A962354"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25.</w:t>
            </w:r>
            <w:r w:rsidR="00753D33">
              <w:rPr>
                <w:rFonts w:eastAsiaTheme="majorEastAsia" w:cstheme="majorBidi"/>
                <w:color w:val="auto"/>
                <w:lang w:eastAsia="en-NZ"/>
              </w:rPr>
              <w:t>29</w:t>
            </w:r>
          </w:p>
        </w:tc>
        <w:tc>
          <w:tcPr>
            <w:tcW w:w="1405"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1681D576" w14:textId="7195D7F9" w:rsidR="00CF7361" w:rsidRPr="005607B3" w:rsidRDefault="00DE5417"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11.01</w:t>
            </w:r>
          </w:p>
        </w:tc>
        <w:tc>
          <w:tcPr>
            <w:tcW w:w="1406" w:type="dxa"/>
            <w:tcBorders>
              <w:top w:val="single" w:sz="4" w:space="0" w:color="B4C6E7" w:themeColor="accent5" w:themeTint="66"/>
              <w:left w:val="single" w:sz="4" w:space="0" w:color="B4C6E7" w:themeColor="accent5" w:themeTint="66"/>
              <w:bottom w:val="nil"/>
              <w:right w:val="single" w:sz="4" w:space="0" w:color="B4C6E7" w:themeColor="accent5" w:themeTint="66"/>
            </w:tcBorders>
          </w:tcPr>
          <w:p w14:paraId="0DE6DD46" w14:textId="27C6DD3E" w:rsidR="00CF7361" w:rsidRPr="005607B3" w:rsidRDefault="006C517D"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60.70</w:t>
            </w:r>
          </w:p>
        </w:tc>
      </w:tr>
      <w:tr w:rsidR="00CF7361" w:rsidRPr="00B5248D" w14:paraId="601B501B" w14:textId="77777777" w:rsidTr="00D93874">
        <w:tc>
          <w:tcPr>
            <w:tcW w:w="2367"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00F0324" w14:textId="77777777" w:rsidR="00CF7361" w:rsidRPr="00A83A22" w:rsidRDefault="00CF7361" w:rsidP="00D64355">
            <w:pPr>
              <w:spacing w:after="0" w:line="240" w:lineRule="auto"/>
              <w:rPr>
                <w:rFonts w:eastAsiaTheme="majorEastAsia" w:cstheme="majorBidi"/>
                <w:lang w:eastAsia="en-NZ"/>
              </w:rPr>
            </w:pPr>
          </w:p>
        </w:tc>
        <w:tc>
          <w:tcPr>
            <w:tcW w:w="1405" w:type="dxa"/>
            <w:tcBorders>
              <w:top w:val="nil"/>
              <w:left w:val="single" w:sz="4" w:space="0" w:color="B4C6E7" w:themeColor="accent5" w:themeTint="66"/>
            </w:tcBorders>
          </w:tcPr>
          <w:p w14:paraId="7AF8328C" w14:textId="67A37694"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(103.</w:t>
            </w:r>
            <w:r w:rsidR="00C43A4B">
              <w:rPr>
                <w:rFonts w:eastAsiaTheme="majorEastAsia" w:cstheme="majorBidi"/>
                <w:color w:val="auto"/>
                <w:lang w:eastAsia="en-NZ"/>
              </w:rPr>
              <w:t>54</w:t>
            </w:r>
            <w:r w:rsidRPr="005607B3">
              <w:rPr>
                <w:rFonts w:eastAsiaTheme="majorEastAsia" w:cstheme="majorBidi"/>
                <w:color w:val="auto"/>
                <w:lang w:eastAsia="en-NZ"/>
              </w:rPr>
              <w:t>)</w:t>
            </w:r>
          </w:p>
        </w:tc>
        <w:tc>
          <w:tcPr>
            <w:tcW w:w="1405" w:type="dxa"/>
            <w:tcBorders>
              <w:top w:val="nil"/>
            </w:tcBorders>
          </w:tcPr>
          <w:p w14:paraId="1EB82716" w14:textId="46B0EEA9" w:rsidR="00CF7361" w:rsidRPr="00E767A2" w:rsidRDefault="00CF7361" w:rsidP="00DC1734">
            <w:pPr>
              <w:spacing w:after="0" w:line="240" w:lineRule="auto"/>
              <w:jc w:val="center"/>
              <w:rPr>
                <w:rFonts w:eastAsiaTheme="majorEastAsia" w:cstheme="majorBidi"/>
                <w:color w:val="auto"/>
                <w:lang w:eastAsia="en-NZ"/>
              </w:rPr>
            </w:pPr>
            <w:r w:rsidRPr="00E767A2">
              <w:rPr>
                <w:rFonts w:eastAsiaTheme="majorEastAsia" w:cstheme="majorBidi"/>
                <w:color w:val="auto"/>
                <w:lang w:eastAsia="en-NZ"/>
              </w:rPr>
              <w:t>(</w:t>
            </w:r>
            <w:r w:rsidR="001A59AC" w:rsidRPr="00E767A2">
              <w:rPr>
                <w:rFonts w:eastAsiaTheme="majorEastAsia" w:cstheme="majorBidi"/>
                <w:color w:val="auto"/>
                <w:lang w:eastAsia="en-NZ"/>
              </w:rPr>
              <w:t>58.8</w:t>
            </w:r>
            <w:r w:rsidR="00E767A2" w:rsidRPr="00E767A2">
              <w:rPr>
                <w:rFonts w:eastAsiaTheme="majorEastAsia" w:cstheme="majorBidi"/>
                <w:color w:val="auto"/>
                <w:lang w:eastAsia="en-NZ"/>
              </w:rPr>
              <w:t>9</w:t>
            </w:r>
            <w:r w:rsidRPr="00E767A2">
              <w:rPr>
                <w:rFonts w:eastAsiaTheme="majorEastAsia" w:cstheme="majorBidi"/>
                <w:color w:val="auto"/>
                <w:lang w:eastAsia="en-NZ"/>
              </w:rPr>
              <w:t>)</w:t>
            </w:r>
          </w:p>
        </w:tc>
        <w:tc>
          <w:tcPr>
            <w:tcW w:w="1405" w:type="dxa"/>
            <w:tcBorders>
              <w:top w:val="nil"/>
            </w:tcBorders>
          </w:tcPr>
          <w:p w14:paraId="33C25372" w14:textId="3CCB566A" w:rsidR="00CF7361" w:rsidRPr="0011179D" w:rsidRDefault="00E31888"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w:t>
            </w:r>
            <w:r w:rsidR="001A59AC" w:rsidRPr="0011179D">
              <w:rPr>
                <w:rFonts w:eastAsiaTheme="majorEastAsia" w:cstheme="majorBidi"/>
                <w:color w:val="auto"/>
                <w:lang w:eastAsia="en-NZ"/>
              </w:rPr>
              <w:t>50.</w:t>
            </w:r>
            <w:r w:rsidR="0066368E" w:rsidRPr="0011179D">
              <w:rPr>
                <w:rFonts w:eastAsiaTheme="majorEastAsia" w:cstheme="majorBidi"/>
                <w:color w:val="auto"/>
                <w:lang w:eastAsia="en-NZ"/>
              </w:rPr>
              <w:t>04</w:t>
            </w:r>
            <w:r w:rsidR="001A59AC" w:rsidRPr="0011179D">
              <w:rPr>
                <w:rFonts w:eastAsiaTheme="majorEastAsia" w:cstheme="majorBidi"/>
                <w:color w:val="auto"/>
                <w:lang w:eastAsia="en-NZ"/>
              </w:rPr>
              <w:t>)</w:t>
            </w:r>
          </w:p>
        </w:tc>
        <w:tc>
          <w:tcPr>
            <w:tcW w:w="1405" w:type="dxa"/>
            <w:tcBorders>
              <w:top w:val="nil"/>
            </w:tcBorders>
          </w:tcPr>
          <w:p w14:paraId="19C04525" w14:textId="29F26AAD"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(6</w:t>
            </w:r>
            <w:r w:rsidR="00876217">
              <w:rPr>
                <w:rFonts w:eastAsiaTheme="majorEastAsia" w:cstheme="majorBidi"/>
                <w:color w:val="auto"/>
                <w:lang w:eastAsia="en-NZ"/>
              </w:rPr>
              <w:t>2.70</w:t>
            </w:r>
            <w:r w:rsidRPr="005607B3">
              <w:rPr>
                <w:rFonts w:eastAsiaTheme="majorEastAsia" w:cstheme="majorBidi"/>
                <w:color w:val="auto"/>
                <w:lang w:eastAsia="en-NZ"/>
              </w:rPr>
              <w:t>)</w:t>
            </w:r>
          </w:p>
        </w:tc>
        <w:tc>
          <w:tcPr>
            <w:tcW w:w="1405" w:type="dxa"/>
            <w:tcBorders>
              <w:top w:val="nil"/>
            </w:tcBorders>
          </w:tcPr>
          <w:p w14:paraId="0029613B" w14:textId="5628DA15"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(34.</w:t>
            </w:r>
            <w:r w:rsidR="006B51C7">
              <w:rPr>
                <w:rFonts w:eastAsiaTheme="majorEastAsia" w:cstheme="majorBidi"/>
                <w:color w:val="auto"/>
                <w:lang w:eastAsia="en-NZ"/>
              </w:rPr>
              <w:t>83</w:t>
            </w:r>
            <w:r w:rsidRPr="005607B3">
              <w:rPr>
                <w:rFonts w:eastAsiaTheme="majorEastAsia" w:cstheme="majorBidi"/>
                <w:color w:val="auto"/>
                <w:lang w:eastAsia="en-NZ"/>
              </w:rPr>
              <w:t>)</w:t>
            </w:r>
          </w:p>
        </w:tc>
        <w:tc>
          <w:tcPr>
            <w:tcW w:w="1405" w:type="dxa"/>
            <w:tcBorders>
              <w:top w:val="nil"/>
            </w:tcBorders>
          </w:tcPr>
          <w:p w14:paraId="4E83BE2B" w14:textId="2CC2D454"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(71.</w:t>
            </w:r>
            <w:r w:rsidR="005D4349">
              <w:rPr>
                <w:rFonts w:eastAsiaTheme="majorEastAsia" w:cstheme="majorBidi"/>
                <w:color w:val="auto"/>
                <w:lang w:eastAsia="en-NZ"/>
              </w:rPr>
              <w:t>34</w:t>
            </w:r>
            <w:r w:rsidRPr="005607B3">
              <w:rPr>
                <w:rFonts w:eastAsiaTheme="majorEastAsia" w:cstheme="majorBidi"/>
                <w:color w:val="auto"/>
                <w:lang w:eastAsia="en-NZ"/>
              </w:rPr>
              <w:t>)</w:t>
            </w:r>
          </w:p>
        </w:tc>
        <w:tc>
          <w:tcPr>
            <w:tcW w:w="1405" w:type="dxa"/>
            <w:tcBorders>
              <w:top w:val="nil"/>
            </w:tcBorders>
          </w:tcPr>
          <w:p w14:paraId="2F235822" w14:textId="5098F76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(27.</w:t>
            </w:r>
            <w:r w:rsidR="00753D33">
              <w:rPr>
                <w:rFonts w:eastAsiaTheme="majorEastAsia" w:cstheme="majorBidi"/>
                <w:color w:val="auto"/>
                <w:lang w:eastAsia="en-NZ"/>
              </w:rPr>
              <w:t>47</w:t>
            </w:r>
            <w:r w:rsidRPr="005607B3">
              <w:rPr>
                <w:rFonts w:eastAsiaTheme="majorEastAsia" w:cstheme="majorBidi"/>
                <w:color w:val="auto"/>
                <w:lang w:eastAsia="en-NZ"/>
              </w:rPr>
              <w:t>)</w:t>
            </w:r>
          </w:p>
        </w:tc>
        <w:tc>
          <w:tcPr>
            <w:tcW w:w="1405" w:type="dxa"/>
            <w:tcBorders>
              <w:top w:val="nil"/>
            </w:tcBorders>
          </w:tcPr>
          <w:p w14:paraId="79F8D069" w14:textId="73872845"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(17.</w:t>
            </w:r>
            <w:r w:rsidR="001E1A3A">
              <w:rPr>
                <w:rFonts w:eastAsiaTheme="majorEastAsia" w:cstheme="majorBidi"/>
                <w:color w:val="auto"/>
                <w:lang w:eastAsia="en-NZ"/>
              </w:rPr>
              <w:t>36</w:t>
            </w:r>
            <w:r w:rsidRPr="005607B3">
              <w:rPr>
                <w:rFonts w:eastAsiaTheme="majorEastAsia" w:cstheme="majorBidi"/>
                <w:color w:val="auto"/>
                <w:lang w:eastAsia="en-NZ"/>
              </w:rPr>
              <w:t>)</w:t>
            </w:r>
          </w:p>
        </w:tc>
        <w:tc>
          <w:tcPr>
            <w:tcW w:w="1406" w:type="dxa"/>
            <w:tcBorders>
              <w:top w:val="nil"/>
            </w:tcBorders>
          </w:tcPr>
          <w:p w14:paraId="596057F6" w14:textId="78E0AD3C"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w:t>
            </w:r>
            <w:r w:rsidR="00A94942" w:rsidRPr="005607B3">
              <w:rPr>
                <w:rFonts w:eastAsiaTheme="majorEastAsia" w:cstheme="majorBidi"/>
                <w:color w:val="auto"/>
                <w:lang w:eastAsia="en-NZ"/>
              </w:rPr>
              <w:t>8.</w:t>
            </w:r>
            <w:r w:rsidR="006C517D">
              <w:rPr>
                <w:rFonts w:eastAsiaTheme="majorEastAsia" w:cstheme="majorBidi"/>
                <w:color w:val="auto"/>
                <w:lang w:eastAsia="en-NZ"/>
              </w:rPr>
              <w:t>24</w:t>
            </w:r>
            <w:r w:rsidRPr="005607B3">
              <w:rPr>
                <w:rFonts w:eastAsiaTheme="majorEastAsia" w:cstheme="majorBidi"/>
                <w:color w:val="auto"/>
                <w:lang w:eastAsia="en-NZ"/>
              </w:rPr>
              <w:t>)</w:t>
            </w:r>
          </w:p>
        </w:tc>
      </w:tr>
      <w:tr w:rsidR="00CF7361" w:rsidRPr="00B5248D" w14:paraId="6820D84F" w14:textId="77777777" w:rsidTr="00D93874">
        <w:tc>
          <w:tcPr>
            <w:tcW w:w="2367" w:type="dxa"/>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12DD108D" w14:textId="77777777" w:rsidR="00CF7361" w:rsidRPr="00A83A22" w:rsidRDefault="00CF7361" w:rsidP="00D64355">
            <w:pPr>
              <w:spacing w:after="0" w:line="240" w:lineRule="auto"/>
              <w:rPr>
                <w:rFonts w:eastAsiaTheme="majorEastAsia" w:cstheme="majorBidi"/>
                <w:lang w:eastAsia="en-NZ"/>
              </w:rPr>
            </w:pPr>
            <w:r w:rsidRPr="00A83A22">
              <w:rPr>
                <w:rFonts w:eastAsiaTheme="majorEastAsia" w:cstheme="majorBidi"/>
                <w:lang w:eastAsia="en-NZ"/>
              </w:rPr>
              <w:t>Lagged absolute cap</w:t>
            </w:r>
          </w:p>
        </w:tc>
        <w:tc>
          <w:tcPr>
            <w:tcW w:w="1405" w:type="dxa"/>
            <w:tcBorders>
              <w:left w:val="single" w:sz="4" w:space="0" w:color="B4C6E7" w:themeColor="accent5" w:themeTint="66"/>
              <w:bottom w:val="nil"/>
            </w:tcBorders>
          </w:tcPr>
          <w:p w14:paraId="45D0A48C" w14:textId="24E80207" w:rsidR="00CF7361" w:rsidRPr="005607B3" w:rsidRDefault="00370C33"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9.24</w:t>
            </w:r>
          </w:p>
        </w:tc>
        <w:tc>
          <w:tcPr>
            <w:tcW w:w="1405" w:type="dxa"/>
            <w:tcBorders>
              <w:bottom w:val="nil"/>
            </w:tcBorders>
          </w:tcPr>
          <w:p w14:paraId="704578F5" w14:textId="07FB4E12" w:rsidR="00CF7361" w:rsidRPr="000A7CC0" w:rsidRDefault="00E767A2"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17.44</w:t>
            </w:r>
          </w:p>
        </w:tc>
        <w:tc>
          <w:tcPr>
            <w:tcW w:w="1405" w:type="dxa"/>
            <w:tcBorders>
              <w:bottom w:val="nil"/>
            </w:tcBorders>
          </w:tcPr>
          <w:p w14:paraId="4370A363" w14:textId="4675A5B3" w:rsidR="00CF7361" w:rsidRPr="0011179D" w:rsidRDefault="00A807E6"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1</w:t>
            </w:r>
            <w:r w:rsidR="0066368E" w:rsidRPr="0011179D">
              <w:rPr>
                <w:rFonts w:eastAsiaTheme="majorEastAsia" w:cstheme="majorBidi"/>
                <w:color w:val="auto"/>
                <w:lang w:eastAsia="en-NZ"/>
              </w:rPr>
              <w:t>0.98</w:t>
            </w:r>
          </w:p>
        </w:tc>
        <w:tc>
          <w:tcPr>
            <w:tcW w:w="1405" w:type="dxa"/>
            <w:tcBorders>
              <w:bottom w:val="nil"/>
            </w:tcBorders>
          </w:tcPr>
          <w:p w14:paraId="343E30A3" w14:textId="5B09E174" w:rsidR="00CF7361" w:rsidRPr="005607B3" w:rsidRDefault="00261FFB"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28.88</w:t>
            </w:r>
          </w:p>
        </w:tc>
        <w:tc>
          <w:tcPr>
            <w:tcW w:w="1405" w:type="dxa"/>
            <w:tcBorders>
              <w:bottom w:val="nil"/>
            </w:tcBorders>
          </w:tcPr>
          <w:p w14:paraId="50DCAAC4" w14:textId="536E9B44" w:rsidR="00CF7361" w:rsidRPr="00473BE7" w:rsidRDefault="00295127" w:rsidP="00DC1734">
            <w:pPr>
              <w:spacing w:after="0" w:line="240" w:lineRule="auto"/>
              <w:jc w:val="center"/>
              <w:rPr>
                <w:rFonts w:eastAsiaTheme="majorEastAsia" w:cstheme="majorBidi"/>
                <w:color w:val="auto"/>
                <w:lang w:eastAsia="en-NZ"/>
              </w:rPr>
            </w:pPr>
            <w:r w:rsidRPr="00473BE7">
              <w:rPr>
                <w:rFonts w:eastAsiaTheme="majorEastAsia" w:cstheme="majorBidi"/>
                <w:color w:val="auto"/>
                <w:lang w:eastAsia="en-NZ"/>
              </w:rPr>
              <w:t>-0.46</w:t>
            </w:r>
          </w:p>
        </w:tc>
        <w:tc>
          <w:tcPr>
            <w:tcW w:w="1405" w:type="dxa"/>
            <w:tcBorders>
              <w:bottom w:val="nil"/>
            </w:tcBorders>
          </w:tcPr>
          <w:p w14:paraId="3C8FFAF8" w14:textId="6D9819E9" w:rsidR="00CF7361" w:rsidRPr="005607B3" w:rsidRDefault="00411E3A"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45.00</w:t>
            </w:r>
          </w:p>
        </w:tc>
        <w:tc>
          <w:tcPr>
            <w:tcW w:w="1405" w:type="dxa"/>
            <w:tcBorders>
              <w:bottom w:val="nil"/>
            </w:tcBorders>
          </w:tcPr>
          <w:p w14:paraId="7A9BC6CB" w14:textId="04FB795D"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5C42A4">
              <w:rPr>
                <w:rFonts w:eastAsiaTheme="majorEastAsia" w:cstheme="majorBidi"/>
                <w:color w:val="auto"/>
                <w:lang w:eastAsia="en-NZ"/>
              </w:rPr>
              <w:t>6.58</w:t>
            </w:r>
          </w:p>
        </w:tc>
        <w:tc>
          <w:tcPr>
            <w:tcW w:w="1405" w:type="dxa"/>
            <w:tcBorders>
              <w:bottom w:val="nil"/>
            </w:tcBorders>
          </w:tcPr>
          <w:p w14:paraId="45265D9F" w14:textId="36546D5D"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B64F88" w:rsidRPr="005607B3">
              <w:rPr>
                <w:rFonts w:eastAsiaTheme="majorEastAsia" w:cstheme="majorBidi"/>
                <w:color w:val="auto"/>
                <w:lang w:eastAsia="en-NZ"/>
              </w:rPr>
              <w:t>0.</w:t>
            </w:r>
            <w:r w:rsidR="00F028FB">
              <w:rPr>
                <w:rFonts w:eastAsiaTheme="majorEastAsia" w:cstheme="majorBidi"/>
                <w:color w:val="auto"/>
                <w:lang w:eastAsia="en-NZ"/>
              </w:rPr>
              <w:t>47</w:t>
            </w:r>
          </w:p>
        </w:tc>
        <w:tc>
          <w:tcPr>
            <w:tcW w:w="1406" w:type="dxa"/>
            <w:tcBorders>
              <w:bottom w:val="nil"/>
            </w:tcBorders>
          </w:tcPr>
          <w:p w14:paraId="6BE26A9C" w14:textId="726C456B"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4</w:t>
            </w:r>
            <w:r w:rsidR="006C517D">
              <w:rPr>
                <w:rFonts w:eastAsiaTheme="majorEastAsia" w:cstheme="majorBidi"/>
                <w:color w:val="auto"/>
                <w:lang w:eastAsia="en-NZ"/>
              </w:rPr>
              <w:t>1.16</w:t>
            </w:r>
          </w:p>
        </w:tc>
      </w:tr>
      <w:tr w:rsidR="00CF7361" w:rsidRPr="00B5248D" w14:paraId="4EEA8BCC" w14:textId="77777777" w:rsidTr="00D93874">
        <w:tc>
          <w:tcPr>
            <w:tcW w:w="2367" w:type="dxa"/>
            <w:tcBorders>
              <w:top w:val="nil"/>
              <w:right w:val="single" w:sz="4" w:space="0" w:color="B4C6E7" w:themeColor="accent5" w:themeTint="66"/>
            </w:tcBorders>
            <w:shd w:val="clear" w:color="auto" w:fill="D9E2F3" w:themeFill="accent5" w:themeFillTint="33"/>
          </w:tcPr>
          <w:p w14:paraId="4F172F6E" w14:textId="77777777" w:rsidR="00CF7361" w:rsidRPr="00A83A22" w:rsidRDefault="00CF7361" w:rsidP="00D64355">
            <w:pPr>
              <w:spacing w:after="0" w:line="240" w:lineRule="auto"/>
              <w:rPr>
                <w:rFonts w:eastAsiaTheme="majorEastAsia" w:cstheme="majorBidi"/>
                <w:lang w:eastAsia="en-NZ"/>
              </w:rPr>
            </w:pP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47837BE8" w14:textId="519674DB"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370C33">
              <w:rPr>
                <w:rFonts w:eastAsiaTheme="majorEastAsia" w:cstheme="majorBidi"/>
                <w:color w:val="auto"/>
                <w:lang w:eastAsia="en-NZ"/>
              </w:rPr>
              <w:t>69.54</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1A35512B" w14:textId="5E853F93"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w:t>
            </w:r>
            <w:r w:rsidR="001A59AC" w:rsidRPr="000A7CC0">
              <w:rPr>
                <w:rFonts w:eastAsiaTheme="majorEastAsia" w:cstheme="majorBidi"/>
                <w:color w:val="auto"/>
                <w:lang w:eastAsia="en-NZ"/>
              </w:rPr>
              <w:t>4</w:t>
            </w:r>
            <w:r w:rsidR="00E767A2" w:rsidRPr="000A7CC0">
              <w:rPr>
                <w:rFonts w:eastAsiaTheme="majorEastAsia" w:cstheme="majorBidi"/>
                <w:color w:val="auto"/>
                <w:lang w:eastAsia="en-NZ"/>
              </w:rPr>
              <w:t>6.66</w:t>
            </w:r>
            <w:r w:rsidRPr="000A7CC0">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47F745E2" w14:textId="38E8E14E" w:rsidR="00CF7361" w:rsidRPr="0011179D" w:rsidRDefault="00CF7361"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w:t>
            </w:r>
            <w:r w:rsidR="00A807E6" w:rsidRPr="0011179D">
              <w:rPr>
                <w:rFonts w:eastAsiaTheme="majorEastAsia" w:cstheme="majorBidi"/>
                <w:color w:val="auto"/>
                <w:lang w:eastAsia="en-NZ"/>
              </w:rPr>
              <w:t>36.</w:t>
            </w:r>
            <w:r w:rsidR="0066368E" w:rsidRPr="0011179D">
              <w:rPr>
                <w:rFonts w:eastAsiaTheme="majorEastAsia" w:cstheme="majorBidi"/>
                <w:color w:val="auto"/>
                <w:lang w:eastAsia="en-NZ"/>
              </w:rPr>
              <w:t>72</w:t>
            </w:r>
            <w:r w:rsidRPr="0011179D">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0A77A8F4" w14:textId="1DE9FCF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(4</w:t>
            </w:r>
            <w:r w:rsidR="004700D9">
              <w:rPr>
                <w:rFonts w:eastAsiaTheme="majorEastAsia" w:cstheme="majorBidi"/>
                <w:color w:val="auto"/>
                <w:lang w:eastAsia="en-NZ"/>
              </w:rPr>
              <w:t>7.37</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2B995350" w14:textId="23B63BDF" w:rsidR="00CF7361" w:rsidRPr="00473BE7" w:rsidRDefault="00CF7361" w:rsidP="00DC1734">
            <w:pPr>
              <w:spacing w:after="0" w:line="240" w:lineRule="auto"/>
              <w:jc w:val="center"/>
              <w:rPr>
                <w:rFonts w:eastAsiaTheme="majorEastAsia" w:cstheme="majorBidi"/>
                <w:color w:val="auto"/>
                <w:lang w:eastAsia="en-NZ"/>
              </w:rPr>
            </w:pPr>
            <w:r w:rsidRPr="00473BE7">
              <w:rPr>
                <w:rFonts w:eastAsiaTheme="majorEastAsia" w:cstheme="majorBidi"/>
                <w:color w:val="auto"/>
                <w:lang w:eastAsia="en-NZ"/>
              </w:rPr>
              <w:t>(30.</w:t>
            </w:r>
            <w:r w:rsidR="00295127" w:rsidRPr="00473BE7">
              <w:rPr>
                <w:rFonts w:eastAsiaTheme="majorEastAsia" w:cstheme="majorBidi"/>
                <w:color w:val="auto"/>
                <w:lang w:eastAsia="en-NZ"/>
              </w:rPr>
              <w:t>13</w:t>
            </w:r>
            <w:r w:rsidRPr="00473BE7">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341DE028" w14:textId="0BC1D0A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(4</w:t>
            </w:r>
            <w:r w:rsidR="00F54A45">
              <w:rPr>
                <w:rFonts w:eastAsiaTheme="majorEastAsia" w:cstheme="majorBidi"/>
                <w:color w:val="auto"/>
                <w:lang w:eastAsia="en-NZ"/>
              </w:rPr>
              <w:t>3.91</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792D2BEE" w14:textId="70541BB4"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(32.</w:t>
            </w:r>
            <w:r w:rsidR="00607517" w:rsidRPr="005607B3">
              <w:rPr>
                <w:rFonts w:eastAsiaTheme="majorEastAsia" w:cstheme="majorBidi"/>
                <w:color w:val="auto"/>
                <w:lang w:eastAsia="en-NZ"/>
              </w:rPr>
              <w:t>4</w:t>
            </w:r>
            <w:r w:rsidR="00BB19B5">
              <w:rPr>
                <w:rFonts w:eastAsiaTheme="majorEastAsia" w:cstheme="majorBidi"/>
                <w:color w:val="auto"/>
                <w:lang w:eastAsia="en-NZ"/>
              </w:rPr>
              <w:t>6</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54FB3BA7" w14:textId="0F46F33C"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(12.</w:t>
            </w:r>
            <w:r w:rsidR="00F028FB">
              <w:rPr>
                <w:rFonts w:eastAsiaTheme="majorEastAsia" w:cstheme="majorBidi"/>
                <w:color w:val="auto"/>
                <w:lang w:eastAsia="en-NZ"/>
              </w:rPr>
              <w:t>43</w:t>
            </w:r>
            <w:r w:rsidRPr="005607B3">
              <w:rPr>
                <w:rFonts w:eastAsiaTheme="majorEastAsia" w:cstheme="majorBidi"/>
                <w:color w:val="auto"/>
                <w:lang w:eastAsia="en-NZ"/>
              </w:rPr>
              <w:t>)</w:t>
            </w:r>
          </w:p>
        </w:tc>
        <w:tc>
          <w:tcPr>
            <w:tcW w:w="1406"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452C489D" w14:textId="7EA5310A"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(4</w:t>
            </w:r>
            <w:r w:rsidR="006C517D">
              <w:rPr>
                <w:rFonts w:eastAsiaTheme="majorEastAsia" w:cstheme="majorBidi"/>
                <w:color w:val="auto"/>
                <w:lang w:eastAsia="en-NZ"/>
              </w:rPr>
              <w:t>3.02</w:t>
            </w:r>
            <w:r w:rsidRPr="005607B3">
              <w:rPr>
                <w:rFonts w:eastAsiaTheme="majorEastAsia" w:cstheme="majorBidi"/>
                <w:color w:val="auto"/>
                <w:lang w:eastAsia="en-NZ"/>
              </w:rPr>
              <w:t>)</w:t>
            </w:r>
          </w:p>
        </w:tc>
      </w:tr>
      <w:tr w:rsidR="00CF7361" w:rsidRPr="00B5248D" w14:paraId="5001FB22" w14:textId="77777777" w:rsidTr="00D93874">
        <w:tc>
          <w:tcPr>
            <w:tcW w:w="2367" w:type="dxa"/>
            <w:tcBorders>
              <w:bottom w:val="nil"/>
            </w:tcBorders>
            <w:shd w:val="clear" w:color="auto" w:fill="D9E2F3" w:themeFill="accent5" w:themeFillTint="33"/>
          </w:tcPr>
          <w:p w14:paraId="1701E602" w14:textId="77777777" w:rsidR="00CF7361" w:rsidRPr="00A83A22" w:rsidRDefault="00CF7361" w:rsidP="00D64355">
            <w:pPr>
              <w:spacing w:after="0" w:line="240" w:lineRule="auto"/>
              <w:rPr>
                <w:rFonts w:eastAsiaTheme="majorEastAsia" w:cstheme="majorBidi"/>
                <w:lang w:eastAsia="en-NZ"/>
              </w:rPr>
            </w:pPr>
            <w:r w:rsidRPr="00A83A22">
              <w:rPr>
                <w:rFonts w:eastAsiaTheme="majorEastAsia" w:cstheme="majorBidi"/>
                <w:lang w:eastAsia="en-NZ"/>
              </w:rPr>
              <w:t>Per capita cap</w:t>
            </w:r>
          </w:p>
        </w:tc>
        <w:tc>
          <w:tcPr>
            <w:tcW w:w="1405" w:type="dxa"/>
            <w:tcBorders>
              <w:top w:val="single" w:sz="4" w:space="0" w:color="B4C6E7" w:themeColor="accent5" w:themeTint="66"/>
              <w:bottom w:val="nil"/>
            </w:tcBorders>
          </w:tcPr>
          <w:p w14:paraId="3EE1867C" w14:textId="2B8C0715" w:rsidR="00CF7361" w:rsidRPr="005607B3" w:rsidRDefault="008D61D2"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18.0</w:t>
            </w:r>
            <w:r w:rsidR="005C45ED">
              <w:rPr>
                <w:rFonts w:eastAsiaTheme="majorEastAsia" w:cstheme="majorBidi"/>
                <w:color w:val="auto"/>
                <w:lang w:eastAsia="en-NZ"/>
              </w:rPr>
              <w:t>7</w:t>
            </w:r>
          </w:p>
        </w:tc>
        <w:tc>
          <w:tcPr>
            <w:tcW w:w="1405" w:type="dxa"/>
            <w:tcBorders>
              <w:top w:val="single" w:sz="4" w:space="0" w:color="B4C6E7" w:themeColor="accent5" w:themeTint="66"/>
              <w:bottom w:val="nil"/>
            </w:tcBorders>
          </w:tcPr>
          <w:p w14:paraId="6CF11FE1" w14:textId="0F53611D"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w:t>
            </w:r>
            <w:r w:rsidR="00C729CE" w:rsidRPr="000A7CC0">
              <w:rPr>
                <w:rFonts w:eastAsiaTheme="majorEastAsia" w:cstheme="majorBidi"/>
                <w:color w:val="auto"/>
                <w:lang w:eastAsia="en-NZ"/>
              </w:rPr>
              <w:t>2</w:t>
            </w:r>
            <w:r w:rsidR="00E767A2" w:rsidRPr="000A7CC0">
              <w:rPr>
                <w:rFonts w:eastAsiaTheme="majorEastAsia" w:cstheme="majorBidi"/>
                <w:color w:val="auto"/>
                <w:lang w:eastAsia="en-NZ"/>
              </w:rPr>
              <w:t>6.66</w:t>
            </w:r>
          </w:p>
        </w:tc>
        <w:tc>
          <w:tcPr>
            <w:tcW w:w="1405" w:type="dxa"/>
            <w:tcBorders>
              <w:top w:val="single" w:sz="4" w:space="0" w:color="B4C6E7" w:themeColor="accent5" w:themeTint="66"/>
              <w:bottom w:val="nil"/>
            </w:tcBorders>
          </w:tcPr>
          <w:p w14:paraId="29DA0932" w14:textId="6C5F293D" w:rsidR="00CF7361" w:rsidRPr="0011179D" w:rsidRDefault="0066368E"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3.88</w:t>
            </w:r>
          </w:p>
        </w:tc>
        <w:tc>
          <w:tcPr>
            <w:tcW w:w="1405" w:type="dxa"/>
            <w:tcBorders>
              <w:top w:val="single" w:sz="4" w:space="0" w:color="B4C6E7" w:themeColor="accent5" w:themeTint="66"/>
              <w:bottom w:val="nil"/>
            </w:tcBorders>
          </w:tcPr>
          <w:p w14:paraId="7960FCF6" w14:textId="5EB37931"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w:t>
            </w:r>
            <w:r w:rsidR="004700D9">
              <w:rPr>
                <w:rFonts w:eastAsiaTheme="majorEastAsia" w:cstheme="majorBidi"/>
                <w:color w:val="auto"/>
                <w:lang w:eastAsia="en-NZ"/>
              </w:rPr>
              <w:t>3.45</w:t>
            </w:r>
          </w:p>
        </w:tc>
        <w:tc>
          <w:tcPr>
            <w:tcW w:w="1405" w:type="dxa"/>
            <w:tcBorders>
              <w:top w:val="single" w:sz="4" w:space="0" w:color="B4C6E7" w:themeColor="accent5" w:themeTint="66"/>
              <w:bottom w:val="nil"/>
            </w:tcBorders>
          </w:tcPr>
          <w:p w14:paraId="18D55DE2" w14:textId="623319FF"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w:t>
            </w:r>
            <w:r w:rsidR="00216851">
              <w:rPr>
                <w:rFonts w:eastAsiaTheme="majorEastAsia" w:cstheme="majorBidi"/>
                <w:color w:val="auto"/>
                <w:lang w:eastAsia="en-NZ"/>
              </w:rPr>
              <w:t>0.67</w:t>
            </w:r>
          </w:p>
        </w:tc>
        <w:tc>
          <w:tcPr>
            <w:tcW w:w="1405" w:type="dxa"/>
            <w:tcBorders>
              <w:top w:val="single" w:sz="4" w:space="0" w:color="B4C6E7" w:themeColor="accent5" w:themeTint="66"/>
              <w:bottom w:val="nil"/>
            </w:tcBorders>
          </w:tcPr>
          <w:p w14:paraId="4C7F6BF6" w14:textId="7E98A219"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F54A45">
              <w:rPr>
                <w:rFonts w:eastAsiaTheme="majorEastAsia" w:cstheme="majorBidi"/>
                <w:color w:val="auto"/>
                <w:lang w:eastAsia="en-NZ"/>
              </w:rPr>
              <w:t>20.56</w:t>
            </w:r>
          </w:p>
        </w:tc>
        <w:tc>
          <w:tcPr>
            <w:tcW w:w="1405" w:type="dxa"/>
            <w:tcBorders>
              <w:top w:val="single" w:sz="4" w:space="0" w:color="B4C6E7" w:themeColor="accent5" w:themeTint="66"/>
              <w:bottom w:val="nil"/>
            </w:tcBorders>
          </w:tcPr>
          <w:p w14:paraId="4F5D936F" w14:textId="0A7A4A2B"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607517" w:rsidRPr="005607B3">
              <w:rPr>
                <w:rFonts w:eastAsiaTheme="majorEastAsia" w:cstheme="majorBidi"/>
                <w:color w:val="auto"/>
                <w:lang w:eastAsia="en-NZ"/>
              </w:rPr>
              <w:t>2.</w:t>
            </w:r>
            <w:r w:rsidR="00BB19B5">
              <w:rPr>
                <w:rFonts w:eastAsiaTheme="majorEastAsia" w:cstheme="majorBidi"/>
                <w:color w:val="auto"/>
                <w:lang w:eastAsia="en-NZ"/>
              </w:rPr>
              <w:t>22</w:t>
            </w:r>
          </w:p>
        </w:tc>
        <w:tc>
          <w:tcPr>
            <w:tcW w:w="1405" w:type="dxa"/>
            <w:tcBorders>
              <w:top w:val="single" w:sz="4" w:space="0" w:color="B4C6E7" w:themeColor="accent5" w:themeTint="66"/>
              <w:bottom w:val="nil"/>
            </w:tcBorders>
          </w:tcPr>
          <w:p w14:paraId="53EDE5B6" w14:textId="06E9C2DD"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2</w:t>
            </w:r>
            <w:r w:rsidR="00B64F88" w:rsidRPr="005607B3">
              <w:rPr>
                <w:rFonts w:eastAsiaTheme="majorEastAsia" w:cstheme="majorBidi"/>
                <w:color w:val="auto"/>
                <w:lang w:eastAsia="en-NZ"/>
              </w:rPr>
              <w:t>5.4</w:t>
            </w:r>
            <w:r w:rsidR="00A46B61">
              <w:rPr>
                <w:rFonts w:eastAsiaTheme="majorEastAsia" w:cstheme="majorBidi"/>
                <w:color w:val="auto"/>
                <w:lang w:eastAsia="en-NZ"/>
              </w:rPr>
              <w:t>2</w:t>
            </w:r>
            <w:r w:rsidRPr="005607B3">
              <w:rPr>
                <w:rFonts w:eastAsiaTheme="majorEastAsia" w:cstheme="majorBidi"/>
                <w:color w:val="auto"/>
                <w:lang w:eastAsia="en-NZ"/>
              </w:rPr>
              <w:t xml:space="preserve">         </w:t>
            </w:r>
          </w:p>
        </w:tc>
        <w:tc>
          <w:tcPr>
            <w:tcW w:w="1406" w:type="dxa"/>
            <w:tcBorders>
              <w:top w:val="single" w:sz="4" w:space="0" w:color="B4C6E7" w:themeColor="accent5" w:themeTint="66"/>
              <w:bottom w:val="nil"/>
            </w:tcBorders>
          </w:tcPr>
          <w:p w14:paraId="68924F88" w14:textId="48913E5D"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6C517D">
              <w:rPr>
                <w:rFonts w:eastAsiaTheme="majorEastAsia" w:cstheme="majorBidi"/>
                <w:color w:val="auto"/>
                <w:lang w:eastAsia="en-NZ"/>
              </w:rPr>
              <w:t>40.07</w:t>
            </w:r>
          </w:p>
        </w:tc>
      </w:tr>
      <w:tr w:rsidR="00CF7361" w:rsidRPr="00B5248D" w14:paraId="292C2107" w14:textId="77777777" w:rsidTr="00D93874">
        <w:tc>
          <w:tcPr>
            <w:tcW w:w="2367"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770C2250" w14:textId="77777777" w:rsidR="00CF7361" w:rsidRPr="00A83A22" w:rsidRDefault="00CF7361" w:rsidP="00D64355">
            <w:pPr>
              <w:spacing w:after="0" w:line="240" w:lineRule="auto"/>
              <w:rPr>
                <w:rFonts w:eastAsiaTheme="majorEastAsia" w:cstheme="majorBidi"/>
                <w:lang w:eastAsia="en-NZ"/>
              </w:rPr>
            </w:pP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278D4489" w14:textId="39FFE0AA"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(16</w:t>
            </w:r>
            <w:r w:rsidR="00A1526E">
              <w:rPr>
                <w:rFonts w:eastAsiaTheme="majorEastAsia" w:cstheme="majorBidi"/>
                <w:color w:val="auto"/>
                <w:lang w:eastAsia="en-NZ"/>
              </w:rPr>
              <w:t>4.56</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718AFDC7" w14:textId="0FEC8A1B"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(1</w:t>
            </w:r>
            <w:r w:rsidR="00C729CE" w:rsidRPr="000A7CC0">
              <w:rPr>
                <w:rFonts w:eastAsiaTheme="majorEastAsia" w:cstheme="majorBidi"/>
                <w:color w:val="auto"/>
                <w:lang w:eastAsia="en-NZ"/>
              </w:rPr>
              <w:t>1</w:t>
            </w:r>
            <w:r w:rsidR="00E767A2" w:rsidRPr="000A7CC0">
              <w:rPr>
                <w:rFonts w:eastAsiaTheme="majorEastAsia" w:cstheme="majorBidi"/>
                <w:color w:val="auto"/>
                <w:lang w:eastAsia="en-NZ"/>
              </w:rPr>
              <w:t>3.54</w:t>
            </w:r>
            <w:r w:rsidRPr="000A7CC0">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3E6EB41F" w14:textId="0E86144D" w:rsidR="00CF7361" w:rsidRPr="0011179D" w:rsidRDefault="00C46C67"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w:t>
            </w:r>
            <w:r w:rsidR="00A807E6" w:rsidRPr="0011179D">
              <w:rPr>
                <w:rFonts w:eastAsiaTheme="majorEastAsia" w:cstheme="majorBidi"/>
                <w:color w:val="auto"/>
                <w:lang w:eastAsia="en-NZ"/>
              </w:rPr>
              <w:t>73.</w:t>
            </w:r>
            <w:r w:rsidR="0066368E" w:rsidRPr="0011179D">
              <w:rPr>
                <w:rFonts w:eastAsiaTheme="majorEastAsia" w:cstheme="majorBidi"/>
                <w:color w:val="auto"/>
                <w:lang w:eastAsia="en-NZ"/>
              </w:rPr>
              <w:t>42</w:t>
            </w:r>
            <w:r w:rsidRPr="0011179D">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7C36BC77" w14:textId="72F9B5A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(10</w:t>
            </w:r>
            <w:r w:rsidR="004700D9">
              <w:rPr>
                <w:rFonts w:eastAsiaTheme="majorEastAsia" w:cstheme="majorBidi"/>
                <w:color w:val="auto"/>
                <w:lang w:eastAsia="en-NZ"/>
              </w:rPr>
              <w:t>0.88</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5AE92720" w14:textId="2D9EC876"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(74.</w:t>
            </w:r>
            <w:r w:rsidR="008B2039" w:rsidRPr="005607B3">
              <w:rPr>
                <w:rFonts w:eastAsiaTheme="majorEastAsia" w:cstheme="majorBidi"/>
                <w:color w:val="auto"/>
                <w:lang w:eastAsia="en-NZ"/>
              </w:rPr>
              <w:t>6</w:t>
            </w:r>
            <w:r w:rsidR="00DD4AC0">
              <w:rPr>
                <w:rFonts w:eastAsiaTheme="majorEastAsia" w:cstheme="majorBidi"/>
                <w:color w:val="auto"/>
                <w:lang w:eastAsia="en-NZ"/>
              </w:rPr>
              <w:t>1</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3D8EE73E" w14:textId="4AE63AC6"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(11</w:t>
            </w:r>
            <w:r w:rsidR="00C66A01">
              <w:rPr>
                <w:rFonts w:eastAsiaTheme="majorEastAsia" w:cstheme="majorBidi"/>
                <w:color w:val="auto"/>
                <w:lang w:eastAsia="en-NZ"/>
              </w:rPr>
              <w:t>0.52</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2E4A0F97" w14:textId="56819BDD"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(44.</w:t>
            </w:r>
            <w:r w:rsidR="00BB19B5">
              <w:rPr>
                <w:rFonts w:eastAsiaTheme="majorEastAsia" w:cstheme="majorBidi"/>
                <w:color w:val="auto"/>
                <w:lang w:eastAsia="en-NZ"/>
              </w:rPr>
              <w:t>58</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6A44D411" w14:textId="351D0E3E"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(33.</w:t>
            </w:r>
            <w:r w:rsidR="001A0002">
              <w:rPr>
                <w:rFonts w:eastAsiaTheme="majorEastAsia" w:cstheme="majorBidi"/>
                <w:color w:val="auto"/>
                <w:lang w:eastAsia="en-NZ"/>
              </w:rPr>
              <w:t>46</w:t>
            </w:r>
            <w:r w:rsidRPr="005607B3">
              <w:rPr>
                <w:rFonts w:eastAsiaTheme="majorEastAsia" w:cstheme="majorBidi"/>
                <w:color w:val="auto"/>
                <w:lang w:eastAsia="en-NZ"/>
              </w:rPr>
              <w:t>)</w:t>
            </w:r>
          </w:p>
        </w:tc>
        <w:tc>
          <w:tcPr>
            <w:tcW w:w="1406" w:type="dxa"/>
            <w:tcBorders>
              <w:top w:val="nil"/>
              <w:left w:val="single" w:sz="4" w:space="0" w:color="B4C6E7" w:themeColor="accent5" w:themeTint="66"/>
              <w:bottom w:val="single" w:sz="4" w:space="0" w:color="B4C6E7" w:themeColor="accent5" w:themeTint="66"/>
              <w:right w:val="single" w:sz="4" w:space="0" w:color="B4C6E7" w:themeColor="accent5" w:themeTint="66"/>
            </w:tcBorders>
          </w:tcPr>
          <w:p w14:paraId="6D888390" w14:textId="05B7F9B8"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(9</w:t>
            </w:r>
            <w:r w:rsidR="006C517D">
              <w:rPr>
                <w:rFonts w:eastAsiaTheme="majorEastAsia" w:cstheme="majorBidi"/>
                <w:color w:val="auto"/>
                <w:lang w:eastAsia="en-NZ"/>
              </w:rPr>
              <w:t>4.59</w:t>
            </w:r>
            <w:r w:rsidRPr="005607B3">
              <w:rPr>
                <w:rFonts w:eastAsiaTheme="majorEastAsia" w:cstheme="majorBidi"/>
                <w:color w:val="auto"/>
                <w:lang w:eastAsia="en-NZ"/>
              </w:rPr>
              <w:t>)</w:t>
            </w:r>
          </w:p>
        </w:tc>
      </w:tr>
      <w:tr w:rsidR="00CF7361" w:rsidRPr="00B5248D" w14:paraId="766C8AA0" w14:textId="77777777" w:rsidTr="00A83FED">
        <w:tc>
          <w:tcPr>
            <w:tcW w:w="2367" w:type="dxa"/>
            <w:tcBorders>
              <w:top w:val="single" w:sz="4" w:space="0" w:color="B4C6E7" w:themeColor="accent5" w:themeTint="66"/>
              <w:bottom w:val="nil"/>
            </w:tcBorders>
            <w:shd w:val="clear" w:color="auto" w:fill="D9E2F3" w:themeFill="accent5" w:themeFillTint="33"/>
          </w:tcPr>
          <w:p w14:paraId="1CFBCACF" w14:textId="77777777" w:rsidR="00CF7361" w:rsidRPr="00A83A22" w:rsidRDefault="00CF7361" w:rsidP="00D64355">
            <w:pPr>
              <w:spacing w:after="0" w:line="240" w:lineRule="auto"/>
              <w:rPr>
                <w:rFonts w:eastAsiaTheme="majorEastAsia" w:cstheme="majorBidi"/>
                <w:lang w:eastAsia="en-NZ"/>
              </w:rPr>
            </w:pPr>
            <w:r w:rsidRPr="00A83A22">
              <w:rPr>
                <w:rFonts w:eastAsiaTheme="majorEastAsia" w:cstheme="majorBidi"/>
                <w:lang w:eastAsia="en-NZ"/>
              </w:rPr>
              <w:t>Lagged per capita cap</w:t>
            </w:r>
          </w:p>
        </w:tc>
        <w:tc>
          <w:tcPr>
            <w:tcW w:w="1405" w:type="dxa"/>
            <w:tcBorders>
              <w:top w:val="single" w:sz="4" w:space="0" w:color="B4C6E7" w:themeColor="accent5" w:themeTint="66"/>
              <w:bottom w:val="nil"/>
            </w:tcBorders>
            <w:shd w:val="clear" w:color="auto" w:fill="FBE4D5" w:themeFill="accent2" w:themeFillTint="33"/>
          </w:tcPr>
          <w:p w14:paraId="02A022B2" w14:textId="194C0CBB" w:rsidR="00CF7361" w:rsidRPr="005607B3" w:rsidRDefault="005C45ED"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177.56</w:t>
            </w:r>
          </w:p>
        </w:tc>
        <w:tc>
          <w:tcPr>
            <w:tcW w:w="1405" w:type="dxa"/>
            <w:tcBorders>
              <w:top w:val="single" w:sz="4" w:space="0" w:color="B4C6E7" w:themeColor="accent5" w:themeTint="66"/>
              <w:bottom w:val="nil"/>
            </w:tcBorders>
            <w:shd w:val="clear" w:color="auto" w:fill="FBE4D5" w:themeFill="accent2" w:themeFillTint="33"/>
          </w:tcPr>
          <w:p w14:paraId="545FC2AE" w14:textId="6155EF7C"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1</w:t>
            </w:r>
            <w:r w:rsidR="00E767A2" w:rsidRPr="000A7CC0">
              <w:rPr>
                <w:rFonts w:eastAsiaTheme="majorEastAsia" w:cstheme="majorBidi"/>
                <w:color w:val="auto"/>
                <w:lang w:eastAsia="en-NZ"/>
              </w:rPr>
              <w:t>86</w:t>
            </w:r>
            <w:r w:rsidR="00C729CE" w:rsidRPr="000A7CC0">
              <w:rPr>
                <w:rFonts w:eastAsiaTheme="majorEastAsia" w:cstheme="majorBidi"/>
                <w:color w:val="auto"/>
                <w:lang w:eastAsia="en-NZ"/>
              </w:rPr>
              <w:t>.</w:t>
            </w:r>
            <w:r w:rsidR="00E767A2" w:rsidRPr="000A7CC0">
              <w:rPr>
                <w:rFonts w:eastAsiaTheme="majorEastAsia" w:cstheme="majorBidi"/>
                <w:color w:val="auto"/>
                <w:lang w:eastAsia="en-NZ"/>
              </w:rPr>
              <w:t>30</w:t>
            </w:r>
            <w:r w:rsidR="00C729CE" w:rsidRPr="000A7CC0">
              <w:rPr>
                <w:rFonts w:eastAsiaTheme="majorEastAsia" w:cstheme="majorBidi"/>
                <w:color w:val="auto"/>
                <w:lang w:eastAsia="en-NZ"/>
              </w:rPr>
              <w:t>*</w:t>
            </w:r>
          </w:p>
        </w:tc>
        <w:tc>
          <w:tcPr>
            <w:tcW w:w="1405" w:type="dxa"/>
            <w:tcBorders>
              <w:top w:val="single" w:sz="4" w:space="0" w:color="B4C6E7" w:themeColor="accent5" w:themeTint="66"/>
              <w:bottom w:val="nil"/>
            </w:tcBorders>
            <w:shd w:val="clear" w:color="auto" w:fill="FBE4D5" w:themeFill="accent2" w:themeFillTint="33"/>
          </w:tcPr>
          <w:p w14:paraId="06AC3305" w14:textId="77D0B968" w:rsidR="00CF7361" w:rsidRPr="0011179D" w:rsidRDefault="0066368E"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0.77</w:t>
            </w:r>
          </w:p>
        </w:tc>
        <w:tc>
          <w:tcPr>
            <w:tcW w:w="1405" w:type="dxa"/>
            <w:tcBorders>
              <w:top w:val="single" w:sz="4" w:space="0" w:color="B4C6E7" w:themeColor="accent5" w:themeTint="66"/>
              <w:bottom w:val="nil"/>
            </w:tcBorders>
            <w:shd w:val="clear" w:color="auto" w:fill="FBE4D5" w:themeFill="accent2" w:themeFillTint="33"/>
          </w:tcPr>
          <w:p w14:paraId="78BC7A02" w14:textId="13D6A37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9555EE">
              <w:rPr>
                <w:rFonts w:eastAsiaTheme="majorEastAsia" w:cstheme="majorBidi"/>
                <w:color w:val="auto"/>
                <w:lang w:eastAsia="en-NZ"/>
              </w:rPr>
              <w:t>70.34</w:t>
            </w:r>
            <w:r w:rsidRPr="005607B3">
              <w:rPr>
                <w:rFonts w:eastAsiaTheme="majorEastAsia" w:cstheme="majorBidi"/>
                <w:color w:val="auto"/>
                <w:lang w:eastAsia="en-NZ"/>
              </w:rPr>
              <w:t>*</w:t>
            </w:r>
          </w:p>
        </w:tc>
        <w:tc>
          <w:tcPr>
            <w:tcW w:w="1405" w:type="dxa"/>
            <w:tcBorders>
              <w:top w:val="single" w:sz="4" w:space="0" w:color="B4C6E7" w:themeColor="accent5" w:themeTint="66"/>
              <w:bottom w:val="nil"/>
            </w:tcBorders>
            <w:shd w:val="clear" w:color="auto" w:fill="FBE4D5" w:themeFill="accent2" w:themeFillTint="33"/>
          </w:tcPr>
          <w:p w14:paraId="71A185AD" w14:textId="5BA4F78B"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E06BCB">
              <w:rPr>
                <w:rFonts w:eastAsiaTheme="majorEastAsia" w:cstheme="majorBidi"/>
                <w:color w:val="auto"/>
                <w:lang w:eastAsia="en-NZ"/>
              </w:rPr>
              <w:t>6.73</w:t>
            </w:r>
          </w:p>
        </w:tc>
        <w:tc>
          <w:tcPr>
            <w:tcW w:w="1405" w:type="dxa"/>
            <w:tcBorders>
              <w:top w:val="single" w:sz="4" w:space="0" w:color="B4C6E7" w:themeColor="accent5" w:themeTint="66"/>
              <w:bottom w:val="nil"/>
            </w:tcBorders>
            <w:shd w:val="clear" w:color="auto" w:fill="FBE4D5" w:themeFill="accent2" w:themeFillTint="33"/>
          </w:tcPr>
          <w:p w14:paraId="5C922DDD" w14:textId="6979770B"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FF4508">
              <w:rPr>
                <w:rFonts w:eastAsiaTheme="majorEastAsia" w:cstheme="majorBidi"/>
                <w:color w:val="auto"/>
                <w:lang w:eastAsia="en-NZ"/>
              </w:rPr>
              <w:t>90.33</w:t>
            </w:r>
            <w:r w:rsidRPr="005607B3">
              <w:rPr>
                <w:rFonts w:eastAsiaTheme="majorEastAsia" w:cstheme="majorBidi"/>
                <w:color w:val="auto"/>
                <w:lang w:eastAsia="en-NZ"/>
              </w:rPr>
              <w:t>**</w:t>
            </w:r>
          </w:p>
        </w:tc>
        <w:tc>
          <w:tcPr>
            <w:tcW w:w="1405" w:type="dxa"/>
            <w:tcBorders>
              <w:top w:val="single" w:sz="4" w:space="0" w:color="B4C6E7" w:themeColor="accent5" w:themeTint="66"/>
              <w:bottom w:val="nil"/>
            </w:tcBorders>
            <w:shd w:val="clear" w:color="auto" w:fill="FBE4D5" w:themeFill="accent2" w:themeFillTint="33"/>
          </w:tcPr>
          <w:p w14:paraId="6EF66667" w14:textId="2F5A64C5"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EF72F0">
              <w:rPr>
                <w:rFonts w:eastAsiaTheme="majorEastAsia" w:cstheme="majorBidi"/>
                <w:color w:val="auto"/>
                <w:lang w:eastAsia="en-NZ"/>
              </w:rPr>
              <w:t>3</w:t>
            </w:r>
            <w:r w:rsidR="00B64F88" w:rsidRPr="005607B3">
              <w:rPr>
                <w:rFonts w:eastAsiaTheme="majorEastAsia" w:cstheme="majorBidi"/>
                <w:color w:val="auto"/>
                <w:lang w:eastAsia="en-NZ"/>
              </w:rPr>
              <w:t>.25</w:t>
            </w:r>
          </w:p>
        </w:tc>
        <w:tc>
          <w:tcPr>
            <w:tcW w:w="1405" w:type="dxa"/>
            <w:tcBorders>
              <w:top w:val="single" w:sz="4" w:space="0" w:color="B4C6E7" w:themeColor="accent5" w:themeTint="66"/>
              <w:bottom w:val="nil"/>
            </w:tcBorders>
            <w:shd w:val="clear" w:color="auto" w:fill="FBE4D5" w:themeFill="accent2" w:themeFillTint="33"/>
          </w:tcPr>
          <w:p w14:paraId="7DC36591" w14:textId="6372AA29"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594FB0" w:rsidRPr="005607B3">
              <w:rPr>
                <w:rFonts w:eastAsiaTheme="majorEastAsia" w:cstheme="majorBidi"/>
                <w:color w:val="auto"/>
                <w:lang w:eastAsia="en-NZ"/>
              </w:rPr>
              <w:t>7.</w:t>
            </w:r>
            <w:r w:rsidR="001A0002">
              <w:rPr>
                <w:rFonts w:eastAsiaTheme="majorEastAsia" w:cstheme="majorBidi"/>
                <w:color w:val="auto"/>
                <w:lang w:eastAsia="en-NZ"/>
              </w:rPr>
              <w:t>51</w:t>
            </w:r>
          </w:p>
        </w:tc>
        <w:tc>
          <w:tcPr>
            <w:tcW w:w="1406" w:type="dxa"/>
            <w:tcBorders>
              <w:top w:val="single" w:sz="4" w:space="0" w:color="B4C6E7" w:themeColor="accent5" w:themeTint="66"/>
              <w:bottom w:val="nil"/>
            </w:tcBorders>
            <w:shd w:val="clear" w:color="auto" w:fill="FBE4D5" w:themeFill="accent2" w:themeFillTint="33"/>
          </w:tcPr>
          <w:p w14:paraId="4C1C5819" w14:textId="196FC6E6"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6C517D">
              <w:rPr>
                <w:rFonts w:eastAsiaTheme="majorEastAsia" w:cstheme="majorBidi"/>
                <w:color w:val="auto"/>
                <w:lang w:eastAsia="en-NZ"/>
              </w:rPr>
              <w:t>60.83</w:t>
            </w:r>
            <w:r w:rsidRPr="005607B3">
              <w:rPr>
                <w:rFonts w:eastAsiaTheme="majorEastAsia" w:cstheme="majorBidi"/>
                <w:color w:val="auto"/>
                <w:lang w:eastAsia="en-NZ"/>
              </w:rPr>
              <w:t>*</w:t>
            </w:r>
          </w:p>
        </w:tc>
      </w:tr>
      <w:tr w:rsidR="00CF7361" w:rsidRPr="00B5248D" w14:paraId="024E10F6" w14:textId="77777777" w:rsidTr="00A83FED">
        <w:tc>
          <w:tcPr>
            <w:tcW w:w="2367"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3D0F0A45" w14:textId="77777777" w:rsidR="00CF7361" w:rsidRPr="00A83A22" w:rsidRDefault="00CF7361" w:rsidP="00D64355">
            <w:pPr>
              <w:spacing w:after="0" w:line="240" w:lineRule="auto"/>
              <w:rPr>
                <w:rFonts w:eastAsiaTheme="majorEastAsia" w:cstheme="majorBidi"/>
                <w:lang w:eastAsia="en-NZ"/>
              </w:rPr>
            </w:pP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0509D382" w14:textId="7F3C45C9"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3C668F">
              <w:rPr>
                <w:rFonts w:eastAsiaTheme="majorEastAsia" w:cstheme="majorBidi"/>
                <w:color w:val="auto"/>
                <w:lang w:eastAsia="en-NZ"/>
              </w:rPr>
              <w:t>134.76</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6503DEEB" w14:textId="5C3F40DC"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(1</w:t>
            </w:r>
            <w:r w:rsidR="00C729CE" w:rsidRPr="000A7CC0">
              <w:rPr>
                <w:rFonts w:eastAsiaTheme="majorEastAsia" w:cstheme="majorBidi"/>
                <w:color w:val="auto"/>
                <w:lang w:eastAsia="en-NZ"/>
              </w:rPr>
              <w:t>0</w:t>
            </w:r>
            <w:r w:rsidR="000A7CC0" w:rsidRPr="000A7CC0">
              <w:rPr>
                <w:rFonts w:eastAsiaTheme="majorEastAsia" w:cstheme="majorBidi"/>
                <w:color w:val="auto"/>
                <w:lang w:eastAsia="en-NZ"/>
              </w:rPr>
              <w:t>5.29</w:t>
            </w:r>
            <w:r w:rsidRPr="000A7CC0">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5E7B2C8A" w14:textId="62B14FCF" w:rsidR="00CF7361" w:rsidRPr="0011179D" w:rsidRDefault="00B17F5B"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w:t>
            </w:r>
            <w:r w:rsidR="00CB16BB" w:rsidRPr="0011179D">
              <w:rPr>
                <w:rFonts w:eastAsiaTheme="majorEastAsia" w:cstheme="majorBidi"/>
                <w:color w:val="auto"/>
                <w:lang w:eastAsia="en-NZ"/>
              </w:rPr>
              <w:t>4</w:t>
            </w:r>
            <w:r w:rsidR="0066368E" w:rsidRPr="0011179D">
              <w:rPr>
                <w:rFonts w:eastAsiaTheme="majorEastAsia" w:cstheme="majorBidi"/>
                <w:color w:val="auto"/>
                <w:lang w:eastAsia="en-NZ"/>
              </w:rPr>
              <w:t>6.75</w:t>
            </w:r>
            <w:r w:rsidRPr="0011179D">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608BBC27" w14:textId="0CBC836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(9</w:t>
            </w:r>
            <w:r w:rsidR="009555EE">
              <w:rPr>
                <w:rFonts w:eastAsiaTheme="majorEastAsia" w:cstheme="majorBidi"/>
                <w:color w:val="auto"/>
                <w:lang w:eastAsia="en-NZ"/>
              </w:rPr>
              <w:t>4.61</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6BBE1BC0" w14:textId="26E8556A"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w:t>
            </w:r>
            <w:r w:rsidR="00E06BCB">
              <w:rPr>
                <w:rFonts w:eastAsiaTheme="majorEastAsia" w:cstheme="majorBidi"/>
                <w:color w:val="auto"/>
                <w:lang w:eastAsia="en-NZ"/>
              </w:rPr>
              <w:t>9.11</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773B910E" w14:textId="20165797"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FF4508">
              <w:rPr>
                <w:rFonts w:eastAsiaTheme="majorEastAsia" w:cstheme="majorBidi"/>
                <w:color w:val="auto"/>
                <w:lang w:eastAsia="en-NZ"/>
              </w:rPr>
              <w:t>94.32</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4338AD1D" w14:textId="62629EB8"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w:t>
            </w:r>
            <w:r w:rsidR="00EF72F0">
              <w:rPr>
                <w:rFonts w:eastAsiaTheme="majorEastAsia" w:cstheme="majorBidi"/>
                <w:color w:val="auto"/>
                <w:lang w:eastAsia="en-NZ"/>
              </w:rPr>
              <w:t>5</w:t>
            </w:r>
            <w:r w:rsidRPr="005607B3">
              <w:rPr>
                <w:rFonts w:eastAsiaTheme="majorEastAsia" w:cstheme="majorBidi"/>
                <w:color w:val="auto"/>
                <w:lang w:eastAsia="en-NZ"/>
              </w:rPr>
              <w:t>.</w:t>
            </w:r>
            <w:r w:rsidR="00EF72F0">
              <w:rPr>
                <w:rFonts w:eastAsiaTheme="majorEastAsia" w:cstheme="majorBidi"/>
                <w:color w:val="auto"/>
                <w:lang w:eastAsia="en-NZ"/>
              </w:rPr>
              <w:t>00</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70560215" w14:textId="58CAB5BF"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(32.</w:t>
            </w:r>
            <w:r w:rsidR="00594FB0" w:rsidRPr="005607B3">
              <w:rPr>
                <w:rFonts w:eastAsiaTheme="majorEastAsia" w:cstheme="majorBidi"/>
                <w:color w:val="auto"/>
                <w:lang w:eastAsia="en-NZ"/>
              </w:rPr>
              <w:t>3</w:t>
            </w:r>
            <w:r w:rsidR="001A0002">
              <w:rPr>
                <w:rFonts w:eastAsiaTheme="majorEastAsia" w:cstheme="majorBidi"/>
                <w:color w:val="auto"/>
                <w:lang w:eastAsia="en-NZ"/>
              </w:rPr>
              <w:t>2</w:t>
            </w:r>
            <w:r w:rsidRPr="005607B3">
              <w:rPr>
                <w:rFonts w:eastAsiaTheme="majorEastAsia" w:cstheme="majorBidi"/>
                <w:color w:val="auto"/>
                <w:lang w:eastAsia="en-NZ"/>
              </w:rPr>
              <w:t>)</w:t>
            </w:r>
          </w:p>
        </w:tc>
        <w:tc>
          <w:tcPr>
            <w:tcW w:w="1406"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2E9AC396" w14:textId="2BF01147"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6C517D">
              <w:rPr>
                <w:rFonts w:eastAsiaTheme="majorEastAsia" w:cstheme="majorBidi"/>
                <w:color w:val="auto"/>
                <w:lang w:eastAsia="en-NZ"/>
              </w:rPr>
              <w:t>90</w:t>
            </w:r>
            <w:r w:rsidR="00DD7C6C">
              <w:rPr>
                <w:rFonts w:eastAsiaTheme="majorEastAsia" w:cstheme="majorBidi"/>
                <w:color w:val="auto"/>
                <w:lang w:eastAsia="en-NZ"/>
              </w:rPr>
              <w:t>.79</w:t>
            </w:r>
            <w:r w:rsidRPr="005607B3">
              <w:rPr>
                <w:rFonts w:eastAsiaTheme="majorEastAsia" w:cstheme="majorBidi"/>
                <w:color w:val="auto"/>
                <w:lang w:eastAsia="en-NZ"/>
              </w:rPr>
              <w:t>)</w:t>
            </w:r>
          </w:p>
        </w:tc>
      </w:tr>
      <w:tr w:rsidR="00D93874" w:rsidRPr="00B5248D" w14:paraId="34F4FF42" w14:textId="77777777" w:rsidTr="00A83FED">
        <w:tc>
          <w:tcPr>
            <w:tcW w:w="2367" w:type="dxa"/>
            <w:tcBorders>
              <w:top w:val="single" w:sz="4" w:space="0" w:color="B4C6E7" w:themeColor="accent5" w:themeTint="66"/>
              <w:bottom w:val="nil"/>
            </w:tcBorders>
            <w:shd w:val="clear" w:color="auto" w:fill="D9E2F3" w:themeFill="accent5" w:themeFillTint="33"/>
          </w:tcPr>
          <w:p w14:paraId="07ED5B14" w14:textId="77777777" w:rsidR="00CF7361" w:rsidRPr="00A83A22" w:rsidRDefault="00CF7361" w:rsidP="00D64355">
            <w:pPr>
              <w:spacing w:after="0" w:line="240" w:lineRule="auto"/>
              <w:rPr>
                <w:rFonts w:eastAsiaTheme="majorEastAsia" w:cstheme="majorBidi"/>
                <w:lang w:eastAsia="en-NZ"/>
              </w:rPr>
            </w:pPr>
            <w:r w:rsidRPr="00A83A22">
              <w:rPr>
                <w:rFonts w:eastAsiaTheme="majorEastAsia" w:cstheme="majorBidi"/>
                <w:lang w:eastAsia="en-NZ"/>
              </w:rPr>
              <w:t>Sinking lid</w:t>
            </w:r>
          </w:p>
        </w:tc>
        <w:tc>
          <w:tcPr>
            <w:tcW w:w="1405" w:type="dxa"/>
            <w:tcBorders>
              <w:top w:val="single" w:sz="4" w:space="0" w:color="B4C6E7" w:themeColor="accent5" w:themeTint="66"/>
              <w:bottom w:val="nil"/>
            </w:tcBorders>
            <w:shd w:val="clear" w:color="auto" w:fill="FBE4D5" w:themeFill="accent2" w:themeFillTint="33"/>
          </w:tcPr>
          <w:p w14:paraId="37CBBA1A" w14:textId="61995374"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3C668F">
              <w:rPr>
                <w:rFonts w:eastAsiaTheme="majorEastAsia" w:cstheme="majorBidi"/>
                <w:color w:val="auto"/>
                <w:lang w:eastAsia="en-NZ"/>
              </w:rPr>
              <w:t>59.37</w:t>
            </w:r>
            <w:r w:rsidRPr="005607B3">
              <w:rPr>
                <w:rFonts w:eastAsiaTheme="majorEastAsia" w:cstheme="majorBidi"/>
                <w:color w:val="auto"/>
                <w:lang w:eastAsia="en-NZ"/>
              </w:rPr>
              <w:t>*</w:t>
            </w:r>
          </w:p>
        </w:tc>
        <w:tc>
          <w:tcPr>
            <w:tcW w:w="1405" w:type="dxa"/>
            <w:tcBorders>
              <w:top w:val="single" w:sz="4" w:space="0" w:color="B4C6E7" w:themeColor="accent5" w:themeTint="66"/>
              <w:bottom w:val="nil"/>
            </w:tcBorders>
            <w:shd w:val="clear" w:color="auto" w:fill="FBE4D5" w:themeFill="accent2" w:themeFillTint="33"/>
          </w:tcPr>
          <w:p w14:paraId="1DAF4BE2" w14:textId="5602630E"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w:t>
            </w:r>
            <w:r w:rsidR="00C729CE" w:rsidRPr="000A7CC0">
              <w:rPr>
                <w:rFonts w:eastAsiaTheme="majorEastAsia" w:cstheme="majorBidi"/>
                <w:color w:val="auto"/>
                <w:lang w:eastAsia="en-NZ"/>
              </w:rPr>
              <w:t>5</w:t>
            </w:r>
            <w:r w:rsidR="000A7CC0" w:rsidRPr="000A7CC0">
              <w:rPr>
                <w:rFonts w:eastAsiaTheme="majorEastAsia" w:cstheme="majorBidi"/>
                <w:color w:val="auto"/>
                <w:lang w:eastAsia="en-NZ"/>
              </w:rPr>
              <w:t>0.33</w:t>
            </w:r>
          </w:p>
        </w:tc>
        <w:tc>
          <w:tcPr>
            <w:tcW w:w="1405" w:type="dxa"/>
            <w:tcBorders>
              <w:top w:val="single" w:sz="4" w:space="0" w:color="B4C6E7" w:themeColor="accent5" w:themeTint="66"/>
              <w:bottom w:val="nil"/>
            </w:tcBorders>
            <w:shd w:val="clear" w:color="auto" w:fill="FBE4D5" w:themeFill="accent2" w:themeFillTint="33"/>
          </w:tcPr>
          <w:p w14:paraId="041A177C" w14:textId="50FF16B8" w:rsidR="00CF7361" w:rsidRPr="0011179D" w:rsidRDefault="00CB16BB"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-87.</w:t>
            </w:r>
            <w:r w:rsidR="0011179D" w:rsidRPr="0011179D">
              <w:rPr>
                <w:rFonts w:eastAsiaTheme="majorEastAsia" w:cstheme="majorBidi"/>
                <w:color w:val="auto"/>
                <w:lang w:eastAsia="en-NZ"/>
              </w:rPr>
              <w:t>23</w:t>
            </w:r>
            <w:r w:rsidRPr="0011179D">
              <w:rPr>
                <w:rFonts w:eastAsiaTheme="majorEastAsia" w:cstheme="majorBidi"/>
                <w:color w:val="auto"/>
                <w:lang w:eastAsia="en-NZ"/>
              </w:rPr>
              <w:t>*</w:t>
            </w:r>
          </w:p>
        </w:tc>
        <w:tc>
          <w:tcPr>
            <w:tcW w:w="1405" w:type="dxa"/>
            <w:tcBorders>
              <w:top w:val="single" w:sz="4" w:space="0" w:color="B4C6E7" w:themeColor="accent5" w:themeTint="66"/>
              <w:bottom w:val="nil"/>
            </w:tcBorders>
            <w:shd w:val="clear" w:color="auto" w:fill="FBE4D5" w:themeFill="accent2" w:themeFillTint="33"/>
          </w:tcPr>
          <w:p w14:paraId="68FEDC7D" w14:textId="3AB3A374"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-9</w:t>
            </w:r>
            <w:r w:rsidR="00303BB2">
              <w:rPr>
                <w:rFonts w:eastAsiaTheme="majorEastAsia" w:cstheme="majorBidi"/>
                <w:color w:val="auto"/>
                <w:lang w:eastAsia="en-NZ"/>
              </w:rPr>
              <w:t>6.5</w:t>
            </w:r>
            <w:r w:rsidR="008C1D1E">
              <w:rPr>
                <w:rFonts w:eastAsiaTheme="majorEastAsia" w:cstheme="majorBidi"/>
                <w:color w:val="auto"/>
                <w:lang w:eastAsia="en-NZ"/>
              </w:rPr>
              <w:t>9</w:t>
            </w:r>
            <w:r w:rsidRPr="005607B3">
              <w:rPr>
                <w:rFonts w:eastAsiaTheme="majorEastAsia" w:cstheme="majorBidi"/>
                <w:color w:val="auto"/>
                <w:lang w:eastAsia="en-NZ"/>
              </w:rPr>
              <w:t>*</w:t>
            </w:r>
          </w:p>
        </w:tc>
        <w:tc>
          <w:tcPr>
            <w:tcW w:w="1405" w:type="dxa"/>
            <w:tcBorders>
              <w:top w:val="single" w:sz="4" w:space="0" w:color="B4C6E7" w:themeColor="accent5" w:themeTint="66"/>
              <w:bottom w:val="nil"/>
            </w:tcBorders>
            <w:shd w:val="clear" w:color="auto" w:fill="FBE4D5" w:themeFill="accent2" w:themeFillTint="33"/>
          </w:tcPr>
          <w:p w14:paraId="145D9AE1" w14:textId="510E3CB2"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-4</w:t>
            </w:r>
            <w:r w:rsidR="00E06BCB">
              <w:rPr>
                <w:rFonts w:eastAsiaTheme="majorEastAsia" w:cstheme="majorBidi"/>
                <w:color w:val="auto"/>
                <w:lang w:eastAsia="en-NZ"/>
              </w:rPr>
              <w:t>0.97</w:t>
            </w:r>
          </w:p>
        </w:tc>
        <w:tc>
          <w:tcPr>
            <w:tcW w:w="1405" w:type="dxa"/>
            <w:tcBorders>
              <w:top w:val="single" w:sz="4" w:space="0" w:color="B4C6E7" w:themeColor="accent5" w:themeTint="66"/>
              <w:bottom w:val="nil"/>
            </w:tcBorders>
            <w:shd w:val="clear" w:color="auto" w:fill="FBE4D5" w:themeFill="accent2" w:themeFillTint="33"/>
          </w:tcPr>
          <w:p w14:paraId="660B59B1" w14:textId="1D1F7BF5"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w:t>
            </w:r>
            <w:r w:rsidR="00971A7D">
              <w:rPr>
                <w:rFonts w:eastAsiaTheme="majorEastAsia" w:cstheme="majorBidi"/>
                <w:color w:val="auto"/>
                <w:lang w:eastAsia="en-NZ"/>
              </w:rPr>
              <w:t>104</w:t>
            </w:r>
            <w:r w:rsidR="00A90DAA">
              <w:rPr>
                <w:rFonts w:eastAsiaTheme="majorEastAsia" w:cstheme="majorBidi"/>
                <w:color w:val="auto"/>
                <w:lang w:eastAsia="en-NZ"/>
              </w:rPr>
              <w:t>.77</w:t>
            </w:r>
            <w:r w:rsidRPr="005607B3">
              <w:rPr>
                <w:rFonts w:eastAsiaTheme="majorEastAsia" w:cstheme="majorBidi"/>
                <w:color w:val="auto"/>
                <w:lang w:eastAsia="en-NZ"/>
              </w:rPr>
              <w:t>**</w:t>
            </w:r>
          </w:p>
        </w:tc>
        <w:tc>
          <w:tcPr>
            <w:tcW w:w="1405" w:type="dxa"/>
            <w:tcBorders>
              <w:top w:val="single" w:sz="4" w:space="0" w:color="B4C6E7" w:themeColor="accent5" w:themeTint="66"/>
              <w:bottom w:val="nil"/>
            </w:tcBorders>
            <w:shd w:val="clear" w:color="auto" w:fill="FBE4D5" w:themeFill="accent2" w:themeFillTint="33"/>
          </w:tcPr>
          <w:p w14:paraId="5C7CBEBB" w14:textId="192346A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-32.</w:t>
            </w:r>
            <w:r w:rsidR="00DB1148">
              <w:rPr>
                <w:rFonts w:eastAsiaTheme="majorEastAsia" w:cstheme="majorBidi"/>
                <w:color w:val="auto"/>
                <w:lang w:eastAsia="en-NZ"/>
              </w:rPr>
              <w:t>79</w:t>
            </w:r>
          </w:p>
        </w:tc>
        <w:tc>
          <w:tcPr>
            <w:tcW w:w="1405" w:type="dxa"/>
            <w:tcBorders>
              <w:top w:val="single" w:sz="4" w:space="0" w:color="B4C6E7" w:themeColor="accent5" w:themeTint="66"/>
              <w:bottom w:val="nil"/>
            </w:tcBorders>
            <w:shd w:val="clear" w:color="auto" w:fill="FBE4D5" w:themeFill="accent2" w:themeFillTint="33"/>
          </w:tcPr>
          <w:p w14:paraId="38ADE732" w14:textId="0E3B4E56"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594FB0" w:rsidRPr="005607B3">
              <w:rPr>
                <w:rFonts w:eastAsiaTheme="majorEastAsia" w:cstheme="majorBidi"/>
                <w:color w:val="auto"/>
                <w:lang w:eastAsia="en-NZ"/>
              </w:rPr>
              <w:t>5.1</w:t>
            </w:r>
            <w:r w:rsidR="001A0002">
              <w:rPr>
                <w:rFonts w:eastAsiaTheme="majorEastAsia" w:cstheme="majorBidi"/>
                <w:color w:val="auto"/>
                <w:lang w:eastAsia="en-NZ"/>
              </w:rPr>
              <w:t>1</w:t>
            </w:r>
          </w:p>
        </w:tc>
        <w:tc>
          <w:tcPr>
            <w:tcW w:w="1406" w:type="dxa"/>
            <w:tcBorders>
              <w:top w:val="single" w:sz="4" w:space="0" w:color="B4C6E7" w:themeColor="accent5" w:themeTint="66"/>
              <w:bottom w:val="nil"/>
            </w:tcBorders>
            <w:shd w:val="clear" w:color="auto" w:fill="FBE4D5" w:themeFill="accent2" w:themeFillTint="33"/>
          </w:tcPr>
          <w:p w14:paraId="028B4C26" w14:textId="51721D8F"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-9</w:t>
            </w:r>
            <w:r w:rsidR="00B14FF3">
              <w:rPr>
                <w:rFonts w:eastAsiaTheme="majorEastAsia" w:cstheme="majorBidi"/>
                <w:color w:val="auto"/>
                <w:lang w:eastAsia="en-NZ"/>
              </w:rPr>
              <w:t>0.</w:t>
            </w:r>
            <w:r w:rsidR="00376FA0">
              <w:rPr>
                <w:rFonts w:eastAsiaTheme="majorEastAsia" w:cstheme="majorBidi"/>
                <w:color w:val="auto"/>
                <w:lang w:eastAsia="en-NZ"/>
              </w:rPr>
              <w:t>19</w:t>
            </w:r>
            <w:r w:rsidRPr="005607B3">
              <w:rPr>
                <w:rFonts w:eastAsiaTheme="majorEastAsia" w:cstheme="majorBidi"/>
                <w:color w:val="auto"/>
                <w:lang w:eastAsia="en-NZ"/>
              </w:rPr>
              <w:t>**</w:t>
            </w:r>
          </w:p>
        </w:tc>
      </w:tr>
      <w:tr w:rsidR="00D93874" w:rsidRPr="00B5248D" w14:paraId="75155A22" w14:textId="77777777" w:rsidTr="00A83FED">
        <w:tc>
          <w:tcPr>
            <w:tcW w:w="2367"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35F15C53" w14:textId="77777777" w:rsidR="00CF7361" w:rsidRPr="00A83A22" w:rsidRDefault="00CF7361" w:rsidP="00D64355">
            <w:pPr>
              <w:spacing w:after="0" w:line="240" w:lineRule="auto"/>
              <w:rPr>
                <w:rFonts w:eastAsiaTheme="majorEastAsia" w:cstheme="majorBidi"/>
                <w:lang w:eastAsia="en-NZ"/>
              </w:rPr>
            </w:pP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076FA25D" w14:textId="28894EE1"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(84.</w:t>
            </w:r>
            <w:r w:rsidR="00674198">
              <w:rPr>
                <w:rFonts w:eastAsiaTheme="majorEastAsia" w:cstheme="majorBidi"/>
                <w:color w:val="auto"/>
                <w:lang w:eastAsia="en-NZ"/>
              </w:rPr>
              <w:t>14</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60B484D4" w14:textId="0FD01681"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w:t>
            </w:r>
            <w:r w:rsidR="00A45F79" w:rsidRPr="000A7CC0">
              <w:rPr>
                <w:rFonts w:eastAsiaTheme="majorEastAsia" w:cstheme="majorBidi"/>
                <w:color w:val="auto"/>
                <w:lang w:eastAsia="en-NZ"/>
              </w:rPr>
              <w:t>43.</w:t>
            </w:r>
            <w:r w:rsidR="000A7CC0" w:rsidRPr="000A7CC0">
              <w:rPr>
                <w:rFonts w:eastAsiaTheme="majorEastAsia" w:cstheme="majorBidi"/>
                <w:color w:val="auto"/>
                <w:lang w:eastAsia="en-NZ"/>
              </w:rPr>
              <w:t>06</w:t>
            </w:r>
            <w:r w:rsidRPr="000A7CC0">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189614A1" w14:textId="624AEBD1" w:rsidR="00CF7361" w:rsidRPr="0011179D" w:rsidRDefault="00B17F5B"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w:t>
            </w:r>
            <w:r w:rsidR="00CB16BB" w:rsidRPr="0011179D">
              <w:rPr>
                <w:rFonts w:eastAsiaTheme="majorEastAsia" w:cstheme="majorBidi"/>
                <w:color w:val="auto"/>
                <w:lang w:eastAsia="en-NZ"/>
              </w:rPr>
              <w:t>49.</w:t>
            </w:r>
            <w:r w:rsidR="0011179D" w:rsidRPr="0011179D">
              <w:rPr>
                <w:rFonts w:eastAsiaTheme="majorEastAsia" w:cstheme="majorBidi"/>
                <w:color w:val="auto"/>
                <w:lang w:eastAsia="en-NZ"/>
              </w:rPr>
              <w:t>03</w:t>
            </w:r>
            <w:r w:rsidRPr="0011179D">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085897F4" w14:textId="6AF01D1F"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w:t>
            </w:r>
            <w:r w:rsidR="002C47F1">
              <w:rPr>
                <w:rFonts w:eastAsiaTheme="majorEastAsia" w:cstheme="majorBidi"/>
                <w:color w:val="auto"/>
                <w:lang w:eastAsia="en-NZ"/>
              </w:rPr>
              <w:t>3.88</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49CA2470" w14:textId="44540872"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(27.2</w:t>
            </w:r>
            <w:r w:rsidR="00E06BCB">
              <w:rPr>
                <w:rFonts w:eastAsiaTheme="majorEastAsia" w:cstheme="majorBidi"/>
                <w:color w:val="auto"/>
                <w:lang w:eastAsia="en-NZ"/>
              </w:rPr>
              <w:t>3</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6AE4AA63" w14:textId="54C90CF3"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w:t>
            </w:r>
            <w:r w:rsidR="00D02E35">
              <w:rPr>
                <w:rFonts w:eastAsiaTheme="majorEastAsia" w:cstheme="majorBidi"/>
                <w:color w:val="auto"/>
                <w:lang w:eastAsia="en-NZ"/>
              </w:rPr>
              <w:t>2.57</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61697FAA" w14:textId="3882BC1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(34.</w:t>
            </w:r>
            <w:r w:rsidR="00DB1148">
              <w:rPr>
                <w:rFonts w:eastAsiaTheme="majorEastAsia" w:cstheme="majorBidi"/>
                <w:color w:val="auto"/>
                <w:lang w:eastAsia="en-NZ"/>
              </w:rPr>
              <w:t>04</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27538596" w14:textId="675C9AD3"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(13.</w:t>
            </w:r>
            <w:r w:rsidR="00594FB0" w:rsidRPr="005607B3">
              <w:rPr>
                <w:rFonts w:eastAsiaTheme="majorEastAsia" w:cstheme="majorBidi"/>
                <w:color w:val="auto"/>
                <w:lang w:eastAsia="en-NZ"/>
              </w:rPr>
              <w:t>6</w:t>
            </w:r>
            <w:r w:rsidR="001A0002">
              <w:rPr>
                <w:rFonts w:eastAsiaTheme="majorEastAsia" w:cstheme="majorBidi"/>
                <w:color w:val="auto"/>
                <w:lang w:eastAsia="en-NZ"/>
              </w:rPr>
              <w:t>6</w:t>
            </w:r>
            <w:r w:rsidRPr="005607B3">
              <w:rPr>
                <w:rFonts w:eastAsiaTheme="majorEastAsia" w:cstheme="majorBidi"/>
                <w:color w:val="auto"/>
                <w:lang w:eastAsia="en-NZ"/>
              </w:rPr>
              <w:t>)</w:t>
            </w:r>
          </w:p>
        </w:tc>
        <w:tc>
          <w:tcPr>
            <w:tcW w:w="1406" w:type="dxa"/>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FBE4D5" w:themeFill="accent2" w:themeFillTint="33"/>
          </w:tcPr>
          <w:p w14:paraId="4A388363" w14:textId="6928B899"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(4</w:t>
            </w:r>
            <w:r w:rsidR="000320FF" w:rsidRPr="005607B3">
              <w:rPr>
                <w:rFonts w:eastAsiaTheme="majorEastAsia" w:cstheme="majorBidi"/>
                <w:color w:val="auto"/>
                <w:lang w:eastAsia="en-NZ"/>
              </w:rPr>
              <w:t>5.</w:t>
            </w:r>
            <w:r w:rsidR="002F28C3">
              <w:rPr>
                <w:rFonts w:eastAsiaTheme="majorEastAsia" w:cstheme="majorBidi"/>
                <w:color w:val="auto"/>
                <w:lang w:eastAsia="en-NZ"/>
              </w:rPr>
              <w:t>36</w:t>
            </w:r>
            <w:r w:rsidRPr="005607B3">
              <w:rPr>
                <w:rFonts w:eastAsiaTheme="majorEastAsia" w:cstheme="majorBidi"/>
                <w:color w:val="auto"/>
                <w:lang w:eastAsia="en-NZ"/>
              </w:rPr>
              <w:t>)</w:t>
            </w:r>
          </w:p>
        </w:tc>
      </w:tr>
      <w:tr w:rsidR="00CF7361" w:rsidRPr="00B5248D" w14:paraId="58CC1339" w14:textId="77777777" w:rsidTr="00D93874">
        <w:tc>
          <w:tcPr>
            <w:tcW w:w="2367" w:type="dxa"/>
            <w:tcBorders>
              <w:top w:val="single" w:sz="4" w:space="0" w:color="B4C6E7" w:themeColor="accent5" w:themeTint="66"/>
              <w:bottom w:val="nil"/>
            </w:tcBorders>
            <w:shd w:val="clear" w:color="auto" w:fill="D9E2F3" w:themeFill="accent5" w:themeFillTint="33"/>
          </w:tcPr>
          <w:p w14:paraId="4F2FBD24" w14:textId="77777777" w:rsidR="00CF7361" w:rsidRPr="00A83A22" w:rsidRDefault="00CF7361" w:rsidP="00D64355">
            <w:pPr>
              <w:spacing w:after="0" w:line="240" w:lineRule="auto"/>
              <w:rPr>
                <w:rFonts w:eastAsiaTheme="majorEastAsia" w:cstheme="majorBidi"/>
                <w:lang w:eastAsia="en-NZ"/>
              </w:rPr>
            </w:pPr>
            <w:r w:rsidRPr="00A83A22">
              <w:rPr>
                <w:rFonts w:eastAsiaTheme="majorEastAsia" w:cstheme="majorBidi"/>
                <w:lang w:eastAsia="en-NZ"/>
              </w:rPr>
              <w:t>Lagged sinking lid</w:t>
            </w:r>
          </w:p>
        </w:tc>
        <w:tc>
          <w:tcPr>
            <w:tcW w:w="1405" w:type="dxa"/>
            <w:tcBorders>
              <w:top w:val="single" w:sz="4" w:space="0" w:color="B4C6E7" w:themeColor="accent5" w:themeTint="66"/>
              <w:bottom w:val="nil"/>
            </w:tcBorders>
          </w:tcPr>
          <w:p w14:paraId="7577F267" w14:textId="5B74C202"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2</w:t>
            </w:r>
            <w:r w:rsidR="00674198">
              <w:rPr>
                <w:rFonts w:eastAsiaTheme="majorEastAsia" w:cstheme="majorBidi"/>
                <w:color w:val="auto"/>
                <w:lang w:eastAsia="en-NZ"/>
              </w:rPr>
              <w:t>1.08</w:t>
            </w:r>
          </w:p>
        </w:tc>
        <w:tc>
          <w:tcPr>
            <w:tcW w:w="1405" w:type="dxa"/>
            <w:tcBorders>
              <w:top w:val="single" w:sz="4" w:space="0" w:color="B4C6E7" w:themeColor="accent5" w:themeTint="66"/>
              <w:bottom w:val="nil"/>
            </w:tcBorders>
          </w:tcPr>
          <w:p w14:paraId="159B61F1" w14:textId="0FBD1161" w:rsidR="00CF7361" w:rsidRPr="000A7CC0" w:rsidRDefault="000A7CC0"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9.47</w:t>
            </w:r>
          </w:p>
        </w:tc>
        <w:tc>
          <w:tcPr>
            <w:tcW w:w="1405" w:type="dxa"/>
            <w:tcBorders>
              <w:top w:val="single" w:sz="4" w:space="0" w:color="B4C6E7" w:themeColor="accent5" w:themeTint="66"/>
              <w:bottom w:val="nil"/>
            </w:tcBorders>
          </w:tcPr>
          <w:p w14:paraId="0009EC64" w14:textId="2360CF3F" w:rsidR="00CF7361" w:rsidRPr="0011179D" w:rsidRDefault="0011179D"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19.78</w:t>
            </w:r>
          </w:p>
        </w:tc>
        <w:tc>
          <w:tcPr>
            <w:tcW w:w="1405" w:type="dxa"/>
            <w:tcBorders>
              <w:top w:val="single" w:sz="4" w:space="0" w:color="B4C6E7" w:themeColor="accent5" w:themeTint="66"/>
              <w:bottom w:val="nil"/>
            </w:tcBorders>
          </w:tcPr>
          <w:p w14:paraId="05090C3B" w14:textId="5A78F2D7" w:rsidR="00CF7361" w:rsidRPr="00971A7D" w:rsidRDefault="00BE32CF" w:rsidP="00DC1734">
            <w:pPr>
              <w:spacing w:after="0" w:line="240" w:lineRule="auto"/>
              <w:jc w:val="center"/>
              <w:rPr>
                <w:rFonts w:eastAsiaTheme="majorEastAsia" w:cstheme="majorBidi"/>
                <w:color w:val="auto"/>
                <w:lang w:eastAsia="en-NZ"/>
              </w:rPr>
            </w:pPr>
            <w:r w:rsidRPr="00971A7D">
              <w:rPr>
                <w:rFonts w:eastAsiaTheme="majorEastAsia" w:cstheme="majorBidi"/>
                <w:color w:val="auto"/>
                <w:lang w:eastAsia="en-NZ"/>
              </w:rPr>
              <w:t>8.</w:t>
            </w:r>
            <w:r w:rsidR="001D3701" w:rsidRPr="00971A7D">
              <w:rPr>
                <w:rFonts w:eastAsiaTheme="majorEastAsia" w:cstheme="majorBidi"/>
                <w:color w:val="auto"/>
                <w:lang w:eastAsia="en-NZ"/>
              </w:rPr>
              <w:t>72</w:t>
            </w:r>
          </w:p>
        </w:tc>
        <w:tc>
          <w:tcPr>
            <w:tcW w:w="1405" w:type="dxa"/>
            <w:tcBorders>
              <w:top w:val="single" w:sz="4" w:space="0" w:color="B4C6E7" w:themeColor="accent5" w:themeTint="66"/>
              <w:bottom w:val="nil"/>
            </w:tcBorders>
          </w:tcPr>
          <w:p w14:paraId="4726F752" w14:textId="6AA9898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2</w:t>
            </w:r>
            <w:r w:rsidR="007C4646">
              <w:rPr>
                <w:rFonts w:eastAsiaTheme="majorEastAsia" w:cstheme="majorBidi"/>
                <w:color w:val="auto"/>
                <w:lang w:eastAsia="en-NZ"/>
              </w:rPr>
              <w:t>0.53</w:t>
            </w:r>
          </w:p>
        </w:tc>
        <w:tc>
          <w:tcPr>
            <w:tcW w:w="1405" w:type="dxa"/>
            <w:tcBorders>
              <w:top w:val="single" w:sz="4" w:space="0" w:color="B4C6E7" w:themeColor="accent5" w:themeTint="66"/>
              <w:bottom w:val="nil"/>
            </w:tcBorders>
          </w:tcPr>
          <w:p w14:paraId="3CEACDFF" w14:textId="72949925" w:rsidR="00CF7361" w:rsidRPr="005607B3" w:rsidRDefault="00D02E35" w:rsidP="00DC1734">
            <w:pPr>
              <w:spacing w:after="0" w:line="240" w:lineRule="auto"/>
              <w:jc w:val="center"/>
              <w:rPr>
                <w:rFonts w:eastAsiaTheme="majorEastAsia" w:cstheme="majorBidi"/>
                <w:color w:val="auto"/>
                <w:lang w:eastAsia="en-NZ"/>
              </w:rPr>
            </w:pPr>
            <w:r>
              <w:rPr>
                <w:rFonts w:eastAsiaTheme="majorEastAsia" w:cstheme="majorBidi"/>
                <w:color w:val="auto"/>
                <w:lang w:eastAsia="en-NZ"/>
              </w:rPr>
              <w:t>30.</w:t>
            </w:r>
            <w:r w:rsidR="00D46195">
              <w:rPr>
                <w:rFonts w:eastAsiaTheme="majorEastAsia" w:cstheme="majorBidi"/>
                <w:color w:val="auto"/>
                <w:lang w:eastAsia="en-NZ"/>
              </w:rPr>
              <w:t>49</w:t>
            </w:r>
          </w:p>
        </w:tc>
        <w:tc>
          <w:tcPr>
            <w:tcW w:w="1405" w:type="dxa"/>
            <w:tcBorders>
              <w:top w:val="single" w:sz="4" w:space="0" w:color="B4C6E7" w:themeColor="accent5" w:themeTint="66"/>
              <w:bottom w:val="nil"/>
            </w:tcBorders>
          </w:tcPr>
          <w:p w14:paraId="16ED74E0" w14:textId="1F970BC8"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w:t>
            </w:r>
            <w:r w:rsidR="00DB1148">
              <w:rPr>
                <w:rFonts w:eastAsiaTheme="majorEastAsia" w:cstheme="majorBidi"/>
                <w:color w:val="auto"/>
                <w:lang w:eastAsia="en-NZ"/>
              </w:rPr>
              <w:t>23</w:t>
            </w:r>
          </w:p>
        </w:tc>
        <w:tc>
          <w:tcPr>
            <w:tcW w:w="1405" w:type="dxa"/>
            <w:tcBorders>
              <w:top w:val="single" w:sz="4" w:space="0" w:color="B4C6E7" w:themeColor="accent5" w:themeTint="66"/>
              <w:bottom w:val="nil"/>
            </w:tcBorders>
          </w:tcPr>
          <w:p w14:paraId="2EA9628F" w14:textId="7289BB3B"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w:t>
            </w:r>
            <w:r w:rsidR="001A0002">
              <w:rPr>
                <w:rFonts w:eastAsiaTheme="majorEastAsia" w:cstheme="majorBidi"/>
                <w:color w:val="auto"/>
                <w:lang w:eastAsia="en-NZ"/>
              </w:rPr>
              <w:t>30</w:t>
            </w:r>
          </w:p>
        </w:tc>
        <w:tc>
          <w:tcPr>
            <w:tcW w:w="1406" w:type="dxa"/>
            <w:tcBorders>
              <w:top w:val="single" w:sz="4" w:space="0" w:color="B4C6E7" w:themeColor="accent5" w:themeTint="66"/>
              <w:bottom w:val="nil"/>
            </w:tcBorders>
          </w:tcPr>
          <w:p w14:paraId="3336CFBB" w14:textId="79B3CDF5"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w:t>
            </w:r>
            <w:r w:rsidR="002F28C3">
              <w:rPr>
                <w:rFonts w:eastAsiaTheme="majorEastAsia" w:cstheme="majorBidi"/>
                <w:color w:val="auto"/>
                <w:lang w:eastAsia="en-NZ"/>
              </w:rPr>
              <w:t>0.55</w:t>
            </w:r>
          </w:p>
        </w:tc>
      </w:tr>
      <w:tr w:rsidR="00CF7361" w:rsidRPr="00B5248D" w14:paraId="18EFE5F5" w14:textId="77777777" w:rsidTr="00D93874">
        <w:trPr>
          <w:trHeight w:val="272"/>
        </w:trPr>
        <w:tc>
          <w:tcPr>
            <w:tcW w:w="2367" w:type="dxa"/>
            <w:tcBorders>
              <w:top w:val="nil"/>
              <w:left w:val="single" w:sz="4" w:space="0" w:color="B4C6E7" w:themeColor="accent5" w:themeTint="66"/>
              <w:bottom w:val="single" w:sz="8" w:space="0" w:color="B4C6E7" w:themeColor="accent5" w:themeTint="66"/>
              <w:right w:val="single" w:sz="4" w:space="0" w:color="B4C6E7" w:themeColor="accent5" w:themeTint="66"/>
            </w:tcBorders>
            <w:shd w:val="clear" w:color="auto" w:fill="D9E2F3" w:themeFill="accent5" w:themeFillTint="33"/>
            <w:vAlign w:val="center"/>
          </w:tcPr>
          <w:p w14:paraId="280A46D4" w14:textId="77777777" w:rsidR="00CF7361" w:rsidRPr="00A83A22" w:rsidRDefault="00CF7361" w:rsidP="00D64355">
            <w:pPr>
              <w:spacing w:after="0" w:line="240" w:lineRule="auto"/>
              <w:rPr>
                <w:rFonts w:eastAsiaTheme="majorEastAsia" w:cstheme="majorBidi"/>
                <w:lang w:eastAsia="en-NZ"/>
              </w:rPr>
            </w:pPr>
          </w:p>
        </w:tc>
        <w:tc>
          <w:tcPr>
            <w:tcW w:w="1405"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2D4BF3AE" w14:textId="079DE4D5" w:rsidR="00CF7361" w:rsidRPr="005607B3" w:rsidRDefault="00CF7361" w:rsidP="006D0B1D">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(77.</w:t>
            </w:r>
            <w:r w:rsidR="00674198">
              <w:rPr>
                <w:rFonts w:eastAsiaTheme="majorEastAsia" w:cstheme="majorBidi"/>
                <w:color w:val="auto"/>
                <w:lang w:eastAsia="en-NZ"/>
              </w:rPr>
              <w:t>61</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55D02AAF" w14:textId="0F60B19A"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w:t>
            </w:r>
            <w:r w:rsidR="00A45F79" w:rsidRPr="000A7CC0">
              <w:rPr>
                <w:rFonts w:eastAsiaTheme="majorEastAsia" w:cstheme="majorBidi"/>
                <w:color w:val="auto"/>
                <w:lang w:eastAsia="en-NZ"/>
              </w:rPr>
              <w:t>5</w:t>
            </w:r>
            <w:r w:rsidR="000A7CC0" w:rsidRPr="000A7CC0">
              <w:rPr>
                <w:rFonts w:eastAsiaTheme="majorEastAsia" w:cstheme="majorBidi"/>
                <w:color w:val="auto"/>
                <w:lang w:eastAsia="en-NZ"/>
              </w:rPr>
              <w:t>7.61</w:t>
            </w:r>
            <w:r w:rsidRPr="000A7CC0">
              <w:rPr>
                <w:rFonts w:eastAsiaTheme="majorEastAsia" w:cstheme="majorBidi"/>
                <w:color w:val="auto"/>
                <w:lang w:eastAsia="en-NZ"/>
              </w:rPr>
              <w:t>)</w:t>
            </w:r>
          </w:p>
        </w:tc>
        <w:tc>
          <w:tcPr>
            <w:tcW w:w="1405"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63663CEA" w14:textId="30FB0EDF" w:rsidR="00CF7361" w:rsidRPr="0011179D" w:rsidRDefault="00B17F5B"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(25.</w:t>
            </w:r>
            <w:r w:rsidR="0011179D" w:rsidRPr="0011179D">
              <w:rPr>
                <w:rFonts w:eastAsiaTheme="majorEastAsia" w:cstheme="majorBidi"/>
                <w:color w:val="auto"/>
                <w:lang w:eastAsia="en-NZ"/>
              </w:rPr>
              <w:t>48</w:t>
            </w:r>
            <w:r w:rsidRPr="0011179D">
              <w:rPr>
                <w:rFonts w:eastAsiaTheme="majorEastAsia" w:cstheme="majorBidi"/>
                <w:color w:val="auto"/>
                <w:lang w:eastAsia="en-NZ"/>
              </w:rPr>
              <w:t>)</w:t>
            </w:r>
          </w:p>
        </w:tc>
        <w:tc>
          <w:tcPr>
            <w:tcW w:w="1405"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2E025890" w14:textId="1316B634" w:rsidR="00CF7361" w:rsidRPr="00971A7D" w:rsidRDefault="00CF7361" w:rsidP="00DC1734">
            <w:pPr>
              <w:spacing w:after="0" w:line="240" w:lineRule="auto"/>
              <w:jc w:val="center"/>
              <w:rPr>
                <w:rFonts w:eastAsiaTheme="majorEastAsia" w:cstheme="majorBidi"/>
                <w:color w:val="auto"/>
                <w:lang w:eastAsia="en-NZ"/>
              </w:rPr>
            </w:pPr>
            <w:r w:rsidRPr="00971A7D">
              <w:rPr>
                <w:rFonts w:eastAsiaTheme="majorEastAsia" w:cstheme="majorBidi"/>
                <w:color w:val="auto"/>
                <w:lang w:eastAsia="en-NZ"/>
              </w:rPr>
              <w:t>(51.</w:t>
            </w:r>
            <w:r w:rsidR="00483D67" w:rsidRPr="00971A7D">
              <w:rPr>
                <w:rFonts w:eastAsiaTheme="majorEastAsia" w:cstheme="majorBidi"/>
                <w:color w:val="auto"/>
                <w:lang w:eastAsia="en-NZ"/>
              </w:rPr>
              <w:t>54</w:t>
            </w:r>
            <w:r w:rsidRPr="00971A7D">
              <w:rPr>
                <w:rFonts w:eastAsiaTheme="majorEastAsia" w:cstheme="majorBidi"/>
                <w:color w:val="auto"/>
                <w:lang w:eastAsia="en-NZ"/>
              </w:rPr>
              <w:t>)</w:t>
            </w:r>
          </w:p>
        </w:tc>
        <w:tc>
          <w:tcPr>
            <w:tcW w:w="1405"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2B0C4FC0" w14:textId="29E123BD"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(30.</w:t>
            </w:r>
            <w:r w:rsidR="007C4646">
              <w:rPr>
                <w:rFonts w:eastAsiaTheme="majorEastAsia" w:cstheme="majorBidi"/>
                <w:color w:val="auto"/>
                <w:lang w:eastAsia="en-NZ"/>
              </w:rPr>
              <w:t>78</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125C3E83" w14:textId="23FBFC42"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(53.</w:t>
            </w:r>
            <w:r w:rsidR="008F4C81">
              <w:rPr>
                <w:rFonts w:eastAsiaTheme="majorEastAsia" w:cstheme="majorBidi"/>
                <w:color w:val="auto"/>
                <w:lang w:eastAsia="en-NZ"/>
              </w:rPr>
              <w:t>08</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77D6DF2F" w14:textId="569454B8"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(29.</w:t>
            </w:r>
            <w:r w:rsidR="00B64F88" w:rsidRPr="005607B3">
              <w:rPr>
                <w:rFonts w:eastAsiaTheme="majorEastAsia" w:cstheme="majorBidi"/>
                <w:color w:val="auto"/>
                <w:lang w:eastAsia="en-NZ"/>
              </w:rPr>
              <w:t>1</w:t>
            </w:r>
            <w:r w:rsidR="00DB1148">
              <w:rPr>
                <w:rFonts w:eastAsiaTheme="majorEastAsia" w:cstheme="majorBidi"/>
                <w:color w:val="auto"/>
                <w:lang w:eastAsia="en-NZ"/>
              </w:rPr>
              <w:t>0</w:t>
            </w:r>
            <w:r w:rsidRPr="005607B3">
              <w:rPr>
                <w:rFonts w:eastAsiaTheme="majorEastAsia" w:cstheme="majorBidi"/>
                <w:color w:val="auto"/>
                <w:lang w:eastAsia="en-NZ"/>
              </w:rPr>
              <w:t>)</w:t>
            </w:r>
          </w:p>
        </w:tc>
        <w:tc>
          <w:tcPr>
            <w:tcW w:w="1405"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093D05BD" w14:textId="074F123F"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(14.</w:t>
            </w:r>
            <w:r w:rsidR="001A0002">
              <w:rPr>
                <w:rFonts w:eastAsiaTheme="majorEastAsia" w:cstheme="majorBidi"/>
                <w:color w:val="auto"/>
                <w:lang w:eastAsia="en-NZ"/>
              </w:rPr>
              <w:t>06</w:t>
            </w:r>
            <w:r w:rsidRPr="005607B3">
              <w:rPr>
                <w:rFonts w:eastAsiaTheme="majorEastAsia" w:cstheme="majorBidi"/>
                <w:color w:val="auto"/>
                <w:lang w:eastAsia="en-NZ"/>
              </w:rPr>
              <w:t>)</w:t>
            </w:r>
          </w:p>
        </w:tc>
        <w:tc>
          <w:tcPr>
            <w:tcW w:w="1406" w:type="dxa"/>
            <w:tcBorders>
              <w:top w:val="nil"/>
              <w:left w:val="single" w:sz="4" w:space="0" w:color="B4C6E7" w:themeColor="accent5" w:themeTint="66"/>
              <w:bottom w:val="single" w:sz="8" w:space="0" w:color="B4C6E7" w:themeColor="accent5" w:themeTint="66"/>
              <w:right w:val="single" w:sz="4" w:space="0" w:color="B4C6E7" w:themeColor="accent5" w:themeTint="66"/>
            </w:tcBorders>
          </w:tcPr>
          <w:p w14:paraId="0511DA49" w14:textId="1EA1FE1B"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(4</w:t>
            </w:r>
            <w:r w:rsidR="000320FF" w:rsidRPr="005607B3">
              <w:rPr>
                <w:rFonts w:eastAsiaTheme="majorEastAsia" w:cstheme="majorBidi"/>
                <w:color w:val="auto"/>
                <w:lang w:eastAsia="en-NZ"/>
              </w:rPr>
              <w:t>8.</w:t>
            </w:r>
            <w:r w:rsidR="002F28C3">
              <w:rPr>
                <w:rFonts w:eastAsiaTheme="majorEastAsia" w:cstheme="majorBidi"/>
                <w:color w:val="auto"/>
                <w:lang w:eastAsia="en-NZ"/>
              </w:rPr>
              <w:t>5</w:t>
            </w:r>
            <w:r w:rsidR="000320FF" w:rsidRPr="005607B3">
              <w:rPr>
                <w:rFonts w:eastAsiaTheme="majorEastAsia" w:cstheme="majorBidi"/>
                <w:color w:val="auto"/>
                <w:lang w:eastAsia="en-NZ"/>
              </w:rPr>
              <w:t>7</w:t>
            </w:r>
            <w:r w:rsidRPr="005607B3">
              <w:rPr>
                <w:rFonts w:eastAsiaTheme="majorEastAsia" w:cstheme="majorBidi"/>
                <w:color w:val="auto"/>
                <w:lang w:eastAsia="en-NZ"/>
              </w:rPr>
              <w:t>)</w:t>
            </w:r>
          </w:p>
        </w:tc>
      </w:tr>
      <w:tr w:rsidR="00CF7361" w:rsidRPr="00B5248D" w14:paraId="35442BBC" w14:textId="77777777" w:rsidTr="00D93874">
        <w:tc>
          <w:tcPr>
            <w:tcW w:w="2367" w:type="dxa"/>
            <w:tcBorders>
              <w:top w:val="single" w:sz="8" w:space="0" w:color="B4C6E7" w:themeColor="accent5" w:themeTint="66"/>
            </w:tcBorders>
            <w:shd w:val="clear" w:color="auto" w:fill="D9E2F3" w:themeFill="accent5" w:themeFillTint="33"/>
            <w:vAlign w:val="center"/>
          </w:tcPr>
          <w:p w14:paraId="4655ADC3" w14:textId="7BFDC03D" w:rsidR="00CF7361" w:rsidRPr="006D0B1D" w:rsidRDefault="00CF7361" w:rsidP="00D64355">
            <w:pPr>
              <w:spacing w:after="0" w:line="240" w:lineRule="auto"/>
              <w:rPr>
                <w:rFonts w:eastAsiaTheme="majorEastAsia" w:cstheme="majorBidi"/>
                <w:b/>
                <w:lang w:eastAsia="en-NZ"/>
              </w:rPr>
            </w:pPr>
            <w:r w:rsidRPr="00F020BF">
              <w:rPr>
                <w:rFonts w:eastAsiaTheme="majorEastAsia" w:cstheme="majorBidi"/>
                <w:b/>
                <w:bCs/>
                <w:color w:val="201F1E"/>
                <w:lang w:eastAsia="en-NZ"/>
              </w:rPr>
              <w:t>Observations</w:t>
            </w:r>
          </w:p>
        </w:tc>
        <w:tc>
          <w:tcPr>
            <w:tcW w:w="1405" w:type="dxa"/>
            <w:tcBorders>
              <w:top w:val="single" w:sz="8" w:space="0" w:color="B4C6E7" w:themeColor="accent5" w:themeTint="66"/>
            </w:tcBorders>
          </w:tcPr>
          <w:p w14:paraId="5FF7EFCC" w14:textId="59FEF28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536</w:t>
            </w:r>
          </w:p>
        </w:tc>
        <w:tc>
          <w:tcPr>
            <w:tcW w:w="1405" w:type="dxa"/>
            <w:tcBorders>
              <w:top w:val="single" w:sz="8" w:space="0" w:color="B4C6E7" w:themeColor="accent5" w:themeTint="66"/>
            </w:tcBorders>
          </w:tcPr>
          <w:p w14:paraId="45B75CC5" w14:textId="24AA0A05"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536</w:t>
            </w:r>
          </w:p>
        </w:tc>
        <w:tc>
          <w:tcPr>
            <w:tcW w:w="1405" w:type="dxa"/>
            <w:tcBorders>
              <w:top w:val="single" w:sz="8" w:space="0" w:color="B4C6E7" w:themeColor="accent5" w:themeTint="66"/>
            </w:tcBorders>
          </w:tcPr>
          <w:p w14:paraId="5E067D99" w14:textId="549B8253" w:rsidR="00CF7361" w:rsidRPr="0011179D" w:rsidRDefault="00B21C70"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536</w:t>
            </w:r>
          </w:p>
        </w:tc>
        <w:tc>
          <w:tcPr>
            <w:tcW w:w="1405" w:type="dxa"/>
            <w:tcBorders>
              <w:top w:val="single" w:sz="8" w:space="0" w:color="B4C6E7" w:themeColor="accent5" w:themeTint="66"/>
            </w:tcBorders>
          </w:tcPr>
          <w:p w14:paraId="266ECE7B" w14:textId="2A4F1C69"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536</w:t>
            </w:r>
          </w:p>
        </w:tc>
        <w:tc>
          <w:tcPr>
            <w:tcW w:w="1405" w:type="dxa"/>
            <w:tcBorders>
              <w:top w:val="single" w:sz="8" w:space="0" w:color="B4C6E7" w:themeColor="accent5" w:themeTint="66"/>
            </w:tcBorders>
          </w:tcPr>
          <w:p w14:paraId="03F40128" w14:textId="3801C3A2"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536</w:t>
            </w:r>
          </w:p>
        </w:tc>
        <w:tc>
          <w:tcPr>
            <w:tcW w:w="1405" w:type="dxa"/>
            <w:tcBorders>
              <w:top w:val="single" w:sz="8" w:space="0" w:color="B4C6E7" w:themeColor="accent5" w:themeTint="66"/>
            </w:tcBorders>
          </w:tcPr>
          <w:p w14:paraId="42DCFF0C" w14:textId="36BAEF60"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536</w:t>
            </w:r>
          </w:p>
        </w:tc>
        <w:tc>
          <w:tcPr>
            <w:tcW w:w="1405" w:type="dxa"/>
            <w:tcBorders>
              <w:top w:val="single" w:sz="8" w:space="0" w:color="B4C6E7" w:themeColor="accent5" w:themeTint="66"/>
            </w:tcBorders>
          </w:tcPr>
          <w:p w14:paraId="33314CF2" w14:textId="3C7E0154"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536</w:t>
            </w:r>
          </w:p>
        </w:tc>
        <w:tc>
          <w:tcPr>
            <w:tcW w:w="1405" w:type="dxa"/>
            <w:tcBorders>
              <w:top w:val="single" w:sz="8" w:space="0" w:color="B4C6E7" w:themeColor="accent5" w:themeTint="66"/>
            </w:tcBorders>
          </w:tcPr>
          <w:p w14:paraId="0561B4BD" w14:textId="4905C9FC"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536</w:t>
            </w:r>
          </w:p>
        </w:tc>
        <w:tc>
          <w:tcPr>
            <w:tcW w:w="1406" w:type="dxa"/>
            <w:tcBorders>
              <w:top w:val="single" w:sz="8" w:space="0" w:color="B4C6E7" w:themeColor="accent5" w:themeTint="66"/>
            </w:tcBorders>
          </w:tcPr>
          <w:p w14:paraId="105F5B74" w14:textId="7E22938C"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536</w:t>
            </w:r>
          </w:p>
        </w:tc>
      </w:tr>
      <w:tr w:rsidR="00CF7361" w:rsidRPr="00B5248D" w14:paraId="3102D70A" w14:textId="77777777" w:rsidTr="00D93874">
        <w:tc>
          <w:tcPr>
            <w:tcW w:w="2367" w:type="dxa"/>
            <w:shd w:val="clear" w:color="auto" w:fill="D9E2F3" w:themeFill="accent5" w:themeFillTint="33"/>
            <w:vAlign w:val="center"/>
          </w:tcPr>
          <w:p w14:paraId="134EA6CA" w14:textId="77777777" w:rsidR="00CF7361" w:rsidRPr="006D0B1D" w:rsidRDefault="00CF7361" w:rsidP="00D64355">
            <w:pPr>
              <w:spacing w:after="0" w:line="240" w:lineRule="auto"/>
              <w:rPr>
                <w:rFonts w:eastAsiaTheme="majorEastAsia" w:cstheme="majorBidi"/>
                <w:b/>
                <w:lang w:eastAsia="en-NZ"/>
              </w:rPr>
            </w:pPr>
            <w:r w:rsidRPr="006D0B1D">
              <w:rPr>
                <w:rFonts w:eastAsiaTheme="majorEastAsia" w:cstheme="majorBidi"/>
                <w:b/>
                <w:lang w:eastAsia="en-NZ"/>
              </w:rPr>
              <w:t>R-squared</w:t>
            </w:r>
          </w:p>
        </w:tc>
        <w:tc>
          <w:tcPr>
            <w:tcW w:w="1405" w:type="dxa"/>
          </w:tcPr>
          <w:p w14:paraId="4B613E8B" w14:textId="77777777"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0.09</w:t>
            </w:r>
          </w:p>
        </w:tc>
        <w:tc>
          <w:tcPr>
            <w:tcW w:w="1405" w:type="dxa"/>
          </w:tcPr>
          <w:p w14:paraId="6CA925F2" w14:textId="4B105DFA" w:rsidR="00CF7361" w:rsidRPr="000A7CC0" w:rsidRDefault="00CF7361" w:rsidP="00DC1734">
            <w:pPr>
              <w:spacing w:after="0" w:line="240" w:lineRule="auto"/>
              <w:jc w:val="center"/>
              <w:rPr>
                <w:rFonts w:eastAsiaTheme="majorEastAsia" w:cstheme="majorBidi"/>
                <w:color w:val="auto"/>
                <w:lang w:eastAsia="en-NZ"/>
              </w:rPr>
            </w:pPr>
            <w:r w:rsidRPr="000A7CC0">
              <w:rPr>
                <w:rFonts w:eastAsiaTheme="majorEastAsia" w:cstheme="majorBidi"/>
                <w:color w:val="auto"/>
                <w:lang w:eastAsia="en-NZ"/>
              </w:rPr>
              <w:t>0.0</w:t>
            </w:r>
            <w:r w:rsidR="000A7CC0" w:rsidRPr="000A7CC0">
              <w:rPr>
                <w:rFonts w:eastAsiaTheme="majorEastAsia" w:cstheme="majorBidi"/>
                <w:color w:val="auto"/>
                <w:lang w:eastAsia="en-NZ"/>
              </w:rPr>
              <w:t>7</w:t>
            </w:r>
          </w:p>
        </w:tc>
        <w:tc>
          <w:tcPr>
            <w:tcW w:w="1405" w:type="dxa"/>
          </w:tcPr>
          <w:p w14:paraId="4F99E60F" w14:textId="43613085" w:rsidR="00CF7361" w:rsidRPr="0011179D" w:rsidRDefault="0011179D" w:rsidP="00DC1734">
            <w:pPr>
              <w:spacing w:after="0" w:line="240" w:lineRule="auto"/>
              <w:jc w:val="center"/>
              <w:rPr>
                <w:rFonts w:eastAsiaTheme="majorEastAsia" w:cstheme="majorBidi"/>
                <w:color w:val="auto"/>
                <w:lang w:eastAsia="en-NZ"/>
              </w:rPr>
            </w:pPr>
            <w:r w:rsidRPr="0011179D">
              <w:rPr>
                <w:rFonts w:eastAsiaTheme="majorEastAsia" w:cstheme="majorBidi"/>
                <w:color w:val="auto"/>
                <w:lang w:eastAsia="en-NZ"/>
              </w:rPr>
              <w:t>0.12</w:t>
            </w:r>
          </w:p>
        </w:tc>
        <w:tc>
          <w:tcPr>
            <w:tcW w:w="1405" w:type="dxa"/>
          </w:tcPr>
          <w:p w14:paraId="3021B1BF" w14:textId="1C3F9DEA"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0.09</w:t>
            </w:r>
          </w:p>
        </w:tc>
        <w:tc>
          <w:tcPr>
            <w:tcW w:w="1405" w:type="dxa"/>
          </w:tcPr>
          <w:p w14:paraId="17ACB78B" w14:textId="4A4AB763"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0.05</w:t>
            </w:r>
          </w:p>
        </w:tc>
        <w:tc>
          <w:tcPr>
            <w:tcW w:w="1405" w:type="dxa"/>
          </w:tcPr>
          <w:p w14:paraId="580A0A17" w14:textId="77777777"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0.09</w:t>
            </w:r>
          </w:p>
        </w:tc>
        <w:tc>
          <w:tcPr>
            <w:tcW w:w="1405" w:type="dxa"/>
          </w:tcPr>
          <w:p w14:paraId="1431EFD9" w14:textId="77777777"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0.10</w:t>
            </w:r>
          </w:p>
        </w:tc>
        <w:tc>
          <w:tcPr>
            <w:tcW w:w="1405" w:type="dxa"/>
          </w:tcPr>
          <w:p w14:paraId="5ACB02FD" w14:textId="2F6A2376"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0.08</w:t>
            </w:r>
          </w:p>
        </w:tc>
        <w:tc>
          <w:tcPr>
            <w:tcW w:w="1406" w:type="dxa"/>
          </w:tcPr>
          <w:p w14:paraId="393E95BA" w14:textId="77777777" w:rsidR="00CF7361" w:rsidRPr="005607B3" w:rsidRDefault="00CF7361" w:rsidP="00DC1734">
            <w:pPr>
              <w:spacing w:after="0" w:line="240" w:lineRule="auto"/>
              <w:jc w:val="center"/>
              <w:rPr>
                <w:rFonts w:eastAsiaTheme="majorEastAsia" w:cstheme="majorBidi"/>
                <w:color w:val="auto"/>
                <w:lang w:eastAsia="en-NZ"/>
              </w:rPr>
            </w:pPr>
            <w:r w:rsidRPr="005607B3">
              <w:rPr>
                <w:rFonts w:eastAsiaTheme="majorEastAsia" w:cstheme="majorBidi"/>
                <w:color w:val="auto"/>
                <w:lang w:eastAsia="en-NZ"/>
              </w:rPr>
              <w:t>0.07</w:t>
            </w:r>
          </w:p>
        </w:tc>
      </w:tr>
    </w:tbl>
    <w:p w14:paraId="0B47F13D" w14:textId="4FF17F51" w:rsidR="00CB1106" w:rsidRPr="00B5248D" w:rsidRDefault="00CB1106" w:rsidP="004E6663">
      <w:pPr>
        <w:rPr>
          <w:sz w:val="18"/>
          <w:szCs w:val="18"/>
        </w:rPr>
      </w:pPr>
      <w:r w:rsidRPr="00B5248D">
        <w:rPr>
          <w:sz w:val="18"/>
          <w:szCs w:val="18"/>
        </w:rPr>
        <w:t xml:space="preserve">Notes:   </w:t>
      </w:r>
      <w:bookmarkStart w:id="216" w:name="_Hlk36216302"/>
      <w:r w:rsidRPr="00B5248D">
        <w:rPr>
          <w:sz w:val="18"/>
          <w:szCs w:val="18"/>
        </w:rPr>
        <w:t xml:space="preserve">The control variables described in </w:t>
      </w:r>
      <w:r w:rsidRPr="005A0061">
        <w:rPr>
          <w:sz w:val="18"/>
          <w:szCs w:val="18"/>
        </w:rPr>
        <w:t xml:space="preserve">Table </w:t>
      </w:r>
      <w:r w:rsidR="00A83A22">
        <w:rPr>
          <w:sz w:val="18"/>
          <w:szCs w:val="18"/>
        </w:rPr>
        <w:t>3</w:t>
      </w:r>
      <w:r w:rsidRPr="00B5248D">
        <w:rPr>
          <w:sz w:val="18"/>
          <w:szCs w:val="18"/>
        </w:rPr>
        <w:t xml:space="preserve"> are included in these regressions, but not included here for the sake of brevity.</w:t>
      </w:r>
      <w:r w:rsidRPr="0064746A">
        <w:rPr>
          <w:rFonts w:eastAsia="Calibri"/>
          <w:sz w:val="18"/>
          <w:szCs w:val="18"/>
        </w:rPr>
        <w:t xml:space="preserve"> </w:t>
      </w:r>
      <w:r w:rsidR="00E4492F" w:rsidRPr="0064746A">
        <w:rPr>
          <w:rFonts w:eastAsia="Calibri"/>
          <w:sz w:val="18"/>
          <w:szCs w:val="18"/>
        </w:rPr>
        <w:t>TA and year fixed effects included</w:t>
      </w:r>
      <w:r w:rsidR="00E4492F" w:rsidRPr="00285A4F">
        <w:rPr>
          <w:rFonts w:ascii="Calibri" w:eastAsia="Calibri" w:hAnsi="Calibri" w:cs="Arial"/>
          <w:sz w:val="18"/>
          <w:szCs w:val="18"/>
        </w:rPr>
        <w:t>.</w:t>
      </w:r>
      <w:r w:rsidRPr="00285A4F">
        <w:rPr>
          <w:sz w:val="18"/>
          <w:szCs w:val="18"/>
        </w:rPr>
        <w:t xml:space="preserve"> </w:t>
      </w:r>
      <w:bookmarkEnd w:id="216"/>
      <w:r w:rsidR="00072B6B">
        <w:rPr>
          <w:sz w:val="18"/>
          <w:szCs w:val="18"/>
        </w:rPr>
        <w:t>Boots</w:t>
      </w:r>
      <w:r w:rsidR="00BE7588">
        <w:rPr>
          <w:sz w:val="18"/>
          <w:szCs w:val="18"/>
        </w:rPr>
        <w:t>t</w:t>
      </w:r>
      <w:r w:rsidR="00072B6B">
        <w:rPr>
          <w:sz w:val="18"/>
          <w:szCs w:val="18"/>
        </w:rPr>
        <w:t>rap</w:t>
      </w:r>
      <w:r w:rsidR="00D1494E">
        <w:rPr>
          <w:sz w:val="18"/>
          <w:szCs w:val="18"/>
        </w:rPr>
        <w:t>ped clustered</w:t>
      </w:r>
      <w:r w:rsidR="00072B6B" w:rsidRPr="00B5248D">
        <w:rPr>
          <w:sz w:val="18"/>
          <w:szCs w:val="18"/>
        </w:rPr>
        <w:t xml:space="preserve"> </w:t>
      </w:r>
      <w:r w:rsidRPr="00B5248D">
        <w:rPr>
          <w:sz w:val="18"/>
          <w:szCs w:val="18"/>
        </w:rPr>
        <w:t>standard errors are shown in parentheses. ***, **, and * denotes statistical significance at the one, five, and ten percent-levels, respectively.</w:t>
      </w:r>
    </w:p>
    <w:p w14:paraId="15C58FAE" w14:textId="77777777" w:rsidR="004F47F3" w:rsidRDefault="004F47F3" w:rsidP="00DC1734">
      <w:pPr>
        <w:rPr>
          <w:rFonts w:eastAsiaTheme="majorEastAsia" w:cstheme="majorBidi"/>
          <w:color w:val="201F1E"/>
          <w:lang w:eastAsia="en-NZ"/>
        </w:rPr>
      </w:pPr>
    </w:p>
    <w:p w14:paraId="415E9204" w14:textId="2E64F440" w:rsidR="00D859B3" w:rsidRDefault="00D859B3">
      <w:pPr>
        <w:rPr>
          <w:rFonts w:eastAsiaTheme="majorEastAsia" w:cstheme="majorBidi"/>
          <w:color w:val="201F1E"/>
          <w:lang w:eastAsia="en-NZ"/>
        </w:rPr>
      </w:pPr>
      <w:r>
        <w:rPr>
          <w:rFonts w:eastAsiaTheme="majorEastAsia" w:cstheme="majorBidi"/>
          <w:color w:val="201F1E"/>
          <w:lang w:eastAsia="en-NZ"/>
        </w:rPr>
        <w:br w:type="page"/>
      </w:r>
    </w:p>
    <w:p w14:paraId="71FB1709" w14:textId="77777777" w:rsidR="004F47F3" w:rsidRPr="00DC1734" w:rsidRDefault="004F47F3" w:rsidP="00DC1734">
      <w:pPr>
        <w:rPr>
          <w:rFonts w:eastAsiaTheme="majorEastAsia" w:cstheme="majorBidi"/>
          <w:color w:val="201F1E"/>
          <w:lang w:eastAsia="en-NZ"/>
        </w:rPr>
        <w:sectPr w:rsidR="004F47F3" w:rsidRPr="00DC1734" w:rsidSect="00CB1106">
          <w:pgSz w:w="16838" w:h="11906" w:orient="landscape"/>
          <w:pgMar w:top="1440" w:right="1440" w:bottom="1440" w:left="1440" w:header="709" w:footer="709" w:gutter="0"/>
          <w:cols w:space="708"/>
          <w:docGrid w:linePitch="360"/>
        </w:sectPr>
      </w:pPr>
    </w:p>
    <w:p w14:paraId="0922914C" w14:textId="6F16BF44" w:rsidR="00824D4F" w:rsidRPr="00CA3B89" w:rsidRDefault="00F939D9" w:rsidP="00E661C3">
      <w:pPr>
        <w:pStyle w:val="Heading1"/>
        <w:numPr>
          <w:ilvl w:val="0"/>
          <w:numId w:val="30"/>
        </w:numPr>
        <w:spacing w:before="480" w:after="240"/>
        <w:rPr>
          <w:lang w:eastAsia="en-NZ"/>
        </w:rPr>
      </w:pPr>
      <w:bookmarkStart w:id="217" w:name="_Toc50033373"/>
      <w:r>
        <w:rPr>
          <w:lang w:eastAsia="en-NZ"/>
        </w:rPr>
        <w:lastRenderedPageBreak/>
        <w:t>Impact</w:t>
      </w:r>
      <w:r w:rsidR="00824D4F" w:rsidRPr="00DC1734">
        <w:rPr>
          <w:lang w:eastAsia="en-NZ"/>
        </w:rPr>
        <w:t xml:space="preserve"> on </w:t>
      </w:r>
      <w:r w:rsidR="00824D4F">
        <w:rPr>
          <w:lang w:eastAsia="en-NZ"/>
        </w:rPr>
        <w:t>bankruptcies</w:t>
      </w:r>
      <w:bookmarkEnd w:id="217"/>
    </w:p>
    <w:p w14:paraId="0E2CC6A3" w14:textId="77777777" w:rsidR="00824D4F" w:rsidRDefault="00824D4F" w:rsidP="00824D4F">
      <w:pPr>
        <w:pStyle w:val="Heading2"/>
        <w:rPr>
          <w:lang w:eastAsia="en-NZ"/>
        </w:rPr>
      </w:pPr>
      <w:bookmarkStart w:id="218" w:name="_Toc39575063"/>
      <w:bookmarkStart w:id="219" w:name="_Toc39575064"/>
      <w:bookmarkStart w:id="220" w:name="_Toc39575065"/>
      <w:bookmarkStart w:id="221" w:name="_Toc39575066"/>
      <w:bookmarkStart w:id="222" w:name="_Toc39575067"/>
      <w:bookmarkStart w:id="223" w:name="_Toc39575068"/>
      <w:bookmarkStart w:id="224" w:name="_Toc39575069"/>
      <w:bookmarkStart w:id="225" w:name="_Toc39575070"/>
      <w:bookmarkStart w:id="226" w:name="_Toc50033374"/>
      <w:bookmarkEnd w:id="218"/>
      <w:bookmarkEnd w:id="219"/>
      <w:bookmarkEnd w:id="220"/>
      <w:bookmarkEnd w:id="221"/>
      <w:bookmarkEnd w:id="222"/>
      <w:bookmarkEnd w:id="223"/>
      <w:bookmarkEnd w:id="224"/>
      <w:bookmarkEnd w:id="225"/>
      <w:r>
        <w:rPr>
          <w:lang w:eastAsia="en-NZ"/>
        </w:rPr>
        <w:t>Introduction</w:t>
      </w:r>
      <w:bookmarkEnd w:id="226"/>
    </w:p>
    <w:p w14:paraId="6382D06E" w14:textId="68C4AF81" w:rsidR="00824D4F" w:rsidRPr="0036638C" w:rsidRDefault="003E2384" w:rsidP="00824D4F">
      <w:pPr>
        <w:pStyle w:val="Sensebody"/>
        <w:spacing w:after="240" w:line="312" w:lineRule="auto"/>
        <w:jc w:val="both"/>
        <w:rPr>
          <w:rStyle w:val="FootnoteReference"/>
          <w:rFonts w:asciiTheme="majorHAnsi" w:hAnsiTheme="majorHAnsi" w:cstheme="majorHAnsi"/>
          <w:color w:val="262626" w:themeColor="text1" w:themeTint="D9"/>
          <w:sz w:val="22"/>
          <w:szCs w:val="22"/>
        </w:rPr>
      </w:pPr>
      <w:r>
        <w:rPr>
          <w:rFonts w:asciiTheme="majorHAnsi" w:hAnsiTheme="majorHAnsi" w:cstheme="majorHAnsi"/>
          <w:color w:val="262626" w:themeColor="text1" w:themeTint="D9"/>
          <w:sz w:val="22"/>
          <w:szCs w:val="22"/>
        </w:rPr>
        <w:t xml:space="preserve">This section </w:t>
      </w:r>
      <w:r w:rsidR="00824D4F" w:rsidRPr="0036638C">
        <w:rPr>
          <w:rFonts w:asciiTheme="majorHAnsi" w:hAnsiTheme="majorHAnsi" w:cstheme="majorHAnsi"/>
          <w:color w:val="262626" w:themeColor="text1" w:themeTint="D9"/>
          <w:sz w:val="22"/>
          <w:szCs w:val="22"/>
        </w:rPr>
        <w:t>investigate</w:t>
      </w:r>
      <w:r>
        <w:rPr>
          <w:rFonts w:asciiTheme="majorHAnsi" w:hAnsiTheme="majorHAnsi" w:cstheme="majorHAnsi"/>
          <w:color w:val="262626" w:themeColor="text1" w:themeTint="D9"/>
          <w:sz w:val="22"/>
          <w:szCs w:val="22"/>
        </w:rPr>
        <w:t>s</w:t>
      </w:r>
      <w:r w:rsidR="00824D4F" w:rsidRPr="0036638C">
        <w:rPr>
          <w:rFonts w:asciiTheme="majorHAnsi" w:hAnsiTheme="majorHAnsi" w:cstheme="majorHAnsi"/>
          <w:color w:val="262626" w:themeColor="text1" w:themeTint="D9"/>
          <w:sz w:val="22"/>
          <w:szCs w:val="22"/>
        </w:rPr>
        <w:t xml:space="preserve"> the relationship between Class 4 gambling policies</w:t>
      </w:r>
      <w:r w:rsidR="008F4CB1" w:rsidRPr="0036638C">
        <w:rPr>
          <w:rFonts w:asciiTheme="majorHAnsi" w:hAnsiTheme="majorHAnsi" w:cstheme="majorHAnsi"/>
          <w:color w:val="262626" w:themeColor="text1" w:themeTint="D9"/>
          <w:sz w:val="22"/>
          <w:szCs w:val="22"/>
        </w:rPr>
        <w:t xml:space="preserve"> </w:t>
      </w:r>
      <w:r w:rsidR="00824D4F" w:rsidRPr="0036638C">
        <w:rPr>
          <w:rFonts w:asciiTheme="majorHAnsi" w:hAnsiTheme="majorHAnsi" w:cstheme="majorHAnsi"/>
          <w:color w:val="262626" w:themeColor="text1" w:themeTint="D9"/>
          <w:sz w:val="22"/>
          <w:szCs w:val="22"/>
        </w:rPr>
        <w:t>and bankruptcy rates.</w:t>
      </w:r>
      <w:r w:rsidR="00824D4F" w:rsidRPr="0036638C">
        <w:rPr>
          <w:rStyle w:val="FootnoteReference"/>
          <w:rFonts w:asciiTheme="majorHAnsi" w:hAnsiTheme="majorHAnsi" w:cstheme="majorHAnsi"/>
          <w:color w:val="262626" w:themeColor="text1" w:themeTint="D9"/>
          <w:sz w:val="22"/>
          <w:szCs w:val="22"/>
        </w:rPr>
        <w:footnoteReference w:id="29"/>
      </w:r>
    </w:p>
    <w:p w14:paraId="2DB393A6" w14:textId="6DC45601" w:rsidR="00824D4F" w:rsidRPr="0036638C" w:rsidRDefault="00824D4F" w:rsidP="00DA399F">
      <w:pPr>
        <w:spacing w:after="240" w:line="312" w:lineRule="auto"/>
        <w:jc w:val="both"/>
      </w:pPr>
      <w:r w:rsidRPr="0036638C">
        <w:t xml:space="preserve">According to </w:t>
      </w:r>
      <w:r w:rsidR="00A84A1B" w:rsidRPr="0036638C">
        <w:t xml:space="preserve">the </w:t>
      </w:r>
      <w:r w:rsidR="0083162A" w:rsidRPr="0036638C">
        <w:t>existing</w:t>
      </w:r>
      <w:r w:rsidR="00AE1A6E" w:rsidRPr="0036638C">
        <w:t xml:space="preserve"> </w:t>
      </w:r>
      <w:r w:rsidRPr="0036638C">
        <w:t xml:space="preserve">literature, many households where problem gamblers reside become insolvent due to unhealthy gambling behaviour. </w:t>
      </w:r>
      <w:r w:rsidR="00AC5CAB" w:rsidRPr="0036638C">
        <w:t xml:space="preserve"> Research suggests </w:t>
      </w:r>
      <w:r w:rsidR="002F3B86" w:rsidRPr="0036638C">
        <w:t xml:space="preserve">that </w:t>
      </w:r>
      <w:r w:rsidR="00732490" w:rsidRPr="0036638C">
        <w:t xml:space="preserve">problem gambling </w:t>
      </w:r>
      <w:r w:rsidR="00B51D9D" w:rsidRPr="0036638C">
        <w:t>results</w:t>
      </w:r>
      <w:r w:rsidR="00CB5801" w:rsidRPr="0036638C">
        <w:t xml:space="preserve"> in </w:t>
      </w:r>
      <w:r w:rsidR="00F0179D" w:rsidRPr="0036638C">
        <w:t>“</w:t>
      </w:r>
      <w:r w:rsidRPr="0036638C">
        <w:t>increased levels of poverty and bankruptcy, more family breakups, domestic violence, increased stress and anxiety and a range of wider community and (local) economic impacts</w:t>
      </w:r>
      <w:r w:rsidR="003E2384">
        <w:t>”</w:t>
      </w:r>
      <w:r w:rsidR="001E727D" w:rsidRPr="0036638C">
        <w:t xml:space="preserve"> (Adams et al.</w:t>
      </w:r>
      <w:r w:rsidR="00FF68D9" w:rsidRPr="0036638C">
        <w:t>, 2004</w:t>
      </w:r>
      <w:r w:rsidR="00977672" w:rsidRPr="0036638C">
        <w:t>, p</w:t>
      </w:r>
      <w:r w:rsidR="008F7ED3" w:rsidRPr="0036638C">
        <w:t>. 24)</w:t>
      </w:r>
      <w:r w:rsidRPr="0036638C">
        <w:t>.</w:t>
      </w:r>
      <w:r w:rsidR="007A44CE" w:rsidRPr="0036638C">
        <w:t xml:space="preserve"> </w:t>
      </w:r>
      <w:r w:rsidRPr="0036638C">
        <w:t>The Australian Productivity Commission</w:t>
      </w:r>
      <w:r w:rsidR="0027657B" w:rsidRPr="0036638C">
        <w:t xml:space="preserve"> (1999)</w:t>
      </w:r>
      <w:r w:rsidRPr="0036638C">
        <w:t xml:space="preserve"> </w:t>
      </w:r>
      <w:r w:rsidR="00A4764C" w:rsidRPr="0036638C">
        <w:t xml:space="preserve">also </w:t>
      </w:r>
      <w:r w:rsidR="000A18A4" w:rsidRPr="0036638C">
        <w:t>lists</w:t>
      </w:r>
      <w:r w:rsidRPr="0036638C">
        <w:t xml:space="preserve"> bankruptcy </w:t>
      </w:r>
      <w:r w:rsidR="003546F5" w:rsidRPr="0036638C">
        <w:t>as</w:t>
      </w:r>
      <w:r w:rsidRPr="0036638C">
        <w:t xml:space="preserve"> a </w:t>
      </w:r>
      <w:r w:rsidR="003546F5" w:rsidRPr="0036638C">
        <w:t xml:space="preserve">potential </w:t>
      </w:r>
      <w:r w:rsidR="00F54522" w:rsidRPr="0036638C">
        <w:t xml:space="preserve">form of </w:t>
      </w:r>
      <w:r w:rsidRPr="0036638C">
        <w:t>problem gambling harm</w:t>
      </w:r>
      <w:r w:rsidR="00E37ED6" w:rsidRPr="0036638C">
        <w:t xml:space="preserve">, alongside other outcomes </w:t>
      </w:r>
      <w:r w:rsidR="003C5819" w:rsidRPr="0036638C">
        <w:t>including</w:t>
      </w:r>
      <w:r w:rsidR="00E37ED6" w:rsidRPr="0036638C">
        <w:t xml:space="preserve"> </w:t>
      </w:r>
      <w:r w:rsidR="00700571" w:rsidRPr="0036638C">
        <w:t xml:space="preserve">suicide, </w:t>
      </w:r>
      <w:r w:rsidR="006C3062" w:rsidRPr="0036638C">
        <w:t xml:space="preserve">depression, </w:t>
      </w:r>
      <w:r w:rsidR="00157CEC" w:rsidRPr="0036638C">
        <w:t>low productivity, and job loss.</w:t>
      </w:r>
      <w:r w:rsidRPr="0036638C">
        <w:rPr>
          <w:rStyle w:val="FootnoteReference"/>
        </w:rPr>
        <w:footnoteReference w:id="30"/>
      </w:r>
    </w:p>
    <w:p w14:paraId="550A4B95" w14:textId="56F446E3" w:rsidR="00824D4F" w:rsidRPr="0036638C" w:rsidRDefault="00337C14" w:rsidP="00D36607">
      <w:pPr>
        <w:spacing w:after="240" w:line="312" w:lineRule="auto"/>
        <w:jc w:val="both"/>
      </w:pPr>
      <w:r w:rsidRPr="0036638C">
        <w:t>The</w:t>
      </w:r>
      <w:r w:rsidR="00824D4F" w:rsidRPr="0036638C">
        <w:t xml:space="preserve"> relationship </w:t>
      </w:r>
      <w:r w:rsidR="0022663A" w:rsidRPr="0036638C">
        <w:t>between</w:t>
      </w:r>
      <w:r w:rsidR="00824D4F" w:rsidRPr="0036638C">
        <w:t xml:space="preserve"> </w:t>
      </w:r>
      <w:r w:rsidR="00552DC2" w:rsidRPr="0036638C">
        <w:t>gambling and bankruptcy</w:t>
      </w:r>
      <w:r w:rsidR="00DD1E0F" w:rsidRPr="0036638C">
        <w:t xml:space="preserve"> </w:t>
      </w:r>
      <w:r w:rsidR="00824D4F" w:rsidRPr="0036638C">
        <w:t xml:space="preserve">has been empirically documented in </w:t>
      </w:r>
      <w:r w:rsidR="00011ED7" w:rsidRPr="0036638C">
        <w:t xml:space="preserve">international </w:t>
      </w:r>
      <w:r w:rsidR="00824D4F" w:rsidRPr="0036638C">
        <w:t>literature</w:t>
      </w:r>
      <w:r w:rsidR="00011ED7" w:rsidRPr="0036638C">
        <w:t xml:space="preserve"> as well</w:t>
      </w:r>
      <w:r w:rsidR="00824D4F" w:rsidRPr="0036638C">
        <w:t xml:space="preserve">. For example, </w:t>
      </w:r>
      <w:proofErr w:type="spellStart"/>
      <w:r w:rsidR="00824D4F" w:rsidRPr="0036638C">
        <w:rPr>
          <w:rFonts w:ascii="Calibri Light" w:eastAsia="Calibri" w:hAnsi="Calibri Light" w:cs="Calibri Light"/>
        </w:rPr>
        <w:t>Mikhed</w:t>
      </w:r>
      <w:proofErr w:type="spellEnd"/>
      <w:r w:rsidR="00824D4F" w:rsidRPr="0036638C">
        <w:rPr>
          <w:rFonts w:ascii="Calibri Light" w:eastAsia="Calibri" w:hAnsi="Calibri Light" w:cs="Calibri Light"/>
        </w:rPr>
        <w:t>, </w:t>
      </w:r>
      <w:proofErr w:type="spellStart"/>
      <w:r w:rsidR="00824D4F" w:rsidRPr="0036638C">
        <w:rPr>
          <w:rFonts w:ascii="Calibri Light" w:eastAsia="Calibri" w:hAnsi="Calibri Light" w:cs="Calibri Light"/>
        </w:rPr>
        <w:t>Scholnick</w:t>
      </w:r>
      <w:proofErr w:type="spellEnd"/>
      <w:r w:rsidR="00824D4F" w:rsidRPr="0036638C">
        <w:rPr>
          <w:rFonts w:ascii="Calibri Light" w:eastAsia="Calibri" w:hAnsi="Calibri Light" w:cs="Calibri Light"/>
        </w:rPr>
        <w:t xml:space="preserve">, and </w:t>
      </w:r>
      <w:proofErr w:type="spellStart"/>
      <w:r w:rsidR="00824D4F" w:rsidRPr="0036638C">
        <w:rPr>
          <w:rFonts w:ascii="Calibri Light" w:eastAsia="Calibri" w:hAnsi="Calibri Light" w:cs="Calibri Light"/>
        </w:rPr>
        <w:t>Hyungsuk</w:t>
      </w:r>
      <w:proofErr w:type="spellEnd"/>
      <w:r w:rsidR="00824D4F" w:rsidRPr="0036638C">
        <w:rPr>
          <w:rFonts w:ascii="Calibri Light" w:eastAsia="Calibri" w:hAnsi="Calibri Light" w:cs="Calibri Light"/>
        </w:rPr>
        <w:t xml:space="preserve"> (2017) find that a policy which reduced the number of EGMs in bars in Nevada resulted in reduced bankruptcy rates. </w:t>
      </w:r>
      <w:r w:rsidR="0048337A" w:rsidRPr="0036638C">
        <w:rPr>
          <w:rFonts w:ascii="Calibri Light" w:eastAsia="Calibri" w:hAnsi="Calibri Light" w:cs="Calibri Light"/>
        </w:rPr>
        <w:t xml:space="preserve">Barron, </w:t>
      </w:r>
      <w:r w:rsidR="00601BD3" w:rsidRPr="0036638C">
        <w:rPr>
          <w:rFonts w:ascii="Calibri Light" w:eastAsia="Calibri" w:hAnsi="Calibri Light" w:cs="Calibri Light"/>
        </w:rPr>
        <w:t>S</w:t>
      </w:r>
      <w:r w:rsidR="0048337A" w:rsidRPr="0036638C">
        <w:rPr>
          <w:rFonts w:ascii="Calibri Light" w:eastAsia="Calibri" w:hAnsi="Calibri Light" w:cs="Calibri Light"/>
        </w:rPr>
        <w:t>taten</w:t>
      </w:r>
      <w:r w:rsidR="00AA47ED" w:rsidRPr="0036638C">
        <w:rPr>
          <w:rFonts w:ascii="Calibri Light" w:eastAsia="Calibri" w:hAnsi="Calibri Light" w:cs="Calibri Light"/>
        </w:rPr>
        <w:t xml:space="preserve">, and </w:t>
      </w:r>
      <w:proofErr w:type="spellStart"/>
      <w:r w:rsidR="00AA47ED" w:rsidRPr="0036638C">
        <w:rPr>
          <w:rFonts w:ascii="Calibri Light" w:eastAsia="Calibri" w:hAnsi="Calibri Light" w:cs="Calibri Light"/>
        </w:rPr>
        <w:t>Wilshusen</w:t>
      </w:r>
      <w:proofErr w:type="spellEnd"/>
      <w:r w:rsidR="00601BD3" w:rsidRPr="0036638C">
        <w:rPr>
          <w:rFonts w:ascii="Calibri Light" w:eastAsia="Calibri" w:hAnsi="Calibri Light" w:cs="Calibri Light"/>
        </w:rPr>
        <w:t xml:space="preserve"> (2002) </w:t>
      </w:r>
      <w:r w:rsidR="00246C21" w:rsidRPr="0036638C">
        <w:rPr>
          <w:rFonts w:ascii="Calibri Light" w:eastAsia="Calibri" w:hAnsi="Calibri Light" w:cs="Calibri Light"/>
        </w:rPr>
        <w:t xml:space="preserve">examine the effects of casino gambling on </w:t>
      </w:r>
      <w:r w:rsidR="00CD4DCA" w:rsidRPr="0036638C">
        <w:rPr>
          <w:rFonts w:ascii="Calibri Light" w:eastAsia="Calibri" w:hAnsi="Calibri Light" w:cs="Calibri Light"/>
        </w:rPr>
        <w:t>personal bankruptcy filings</w:t>
      </w:r>
      <w:r w:rsidR="00044A53" w:rsidRPr="0036638C">
        <w:rPr>
          <w:rFonts w:ascii="Calibri Light" w:eastAsia="Calibri" w:hAnsi="Calibri Light" w:cs="Calibri Light"/>
        </w:rPr>
        <w:t xml:space="preserve"> in </w:t>
      </w:r>
      <w:r w:rsidR="00624099" w:rsidRPr="0036638C">
        <w:rPr>
          <w:rFonts w:ascii="Calibri Light" w:eastAsia="Calibri" w:hAnsi="Calibri Light" w:cs="Calibri Light"/>
        </w:rPr>
        <w:t>t</w:t>
      </w:r>
      <w:r w:rsidR="00044A53" w:rsidRPr="0036638C">
        <w:rPr>
          <w:rFonts w:ascii="Calibri Light" w:eastAsia="Calibri" w:hAnsi="Calibri Light" w:cs="Calibri Light"/>
        </w:rPr>
        <w:t>he U.S</w:t>
      </w:r>
      <w:r w:rsidR="00CD4DCA" w:rsidRPr="0036638C">
        <w:rPr>
          <w:rFonts w:ascii="Calibri Light" w:eastAsia="Calibri" w:hAnsi="Calibri Light" w:cs="Calibri Light"/>
        </w:rPr>
        <w:t xml:space="preserve">. </w:t>
      </w:r>
      <w:r w:rsidR="00F74446" w:rsidRPr="0036638C">
        <w:rPr>
          <w:rFonts w:ascii="Calibri Light" w:eastAsia="Calibri" w:hAnsi="Calibri Light" w:cs="Calibri Light"/>
        </w:rPr>
        <w:t>Results show</w:t>
      </w:r>
      <w:r w:rsidR="00D64325" w:rsidRPr="0036638C">
        <w:rPr>
          <w:rFonts w:ascii="Calibri Light" w:eastAsia="Calibri" w:hAnsi="Calibri Light" w:cs="Calibri Light"/>
        </w:rPr>
        <w:t xml:space="preserve"> that </w:t>
      </w:r>
      <w:r w:rsidR="0073684B" w:rsidRPr="0036638C">
        <w:rPr>
          <w:rFonts w:ascii="Calibri Light" w:eastAsia="Calibri" w:hAnsi="Calibri Light" w:cs="Calibri Light"/>
        </w:rPr>
        <w:t>casino gambling</w:t>
      </w:r>
      <w:r w:rsidR="00D64325" w:rsidRPr="0036638C">
        <w:rPr>
          <w:rFonts w:ascii="Calibri Light" w:eastAsia="Calibri" w:hAnsi="Calibri Light" w:cs="Calibri Light"/>
        </w:rPr>
        <w:t xml:space="preserve"> </w:t>
      </w:r>
      <w:r w:rsidR="001E6488" w:rsidRPr="0036638C">
        <w:rPr>
          <w:rFonts w:ascii="Calibri Light" w:eastAsia="Calibri" w:hAnsi="Calibri Light" w:cs="Calibri Light"/>
        </w:rPr>
        <w:t xml:space="preserve">exerts </w:t>
      </w:r>
      <w:r w:rsidR="00A41182" w:rsidRPr="0036638C">
        <w:rPr>
          <w:rFonts w:ascii="Calibri Light" w:eastAsia="Calibri" w:hAnsi="Calibri Light" w:cs="Calibri Light"/>
        </w:rPr>
        <w:t xml:space="preserve">a </w:t>
      </w:r>
      <w:r w:rsidR="00044A53" w:rsidRPr="0036638C">
        <w:rPr>
          <w:rFonts w:ascii="Calibri Light" w:eastAsia="Calibri" w:hAnsi="Calibri Light" w:cs="Calibri Light"/>
        </w:rPr>
        <w:t xml:space="preserve">significant, albeit small, </w:t>
      </w:r>
      <w:r w:rsidR="009452BA" w:rsidRPr="0036638C">
        <w:rPr>
          <w:rFonts w:ascii="Calibri Light" w:eastAsia="Calibri" w:hAnsi="Calibri Light" w:cs="Calibri Light"/>
        </w:rPr>
        <w:t>local</w:t>
      </w:r>
      <w:r w:rsidR="001E6488" w:rsidRPr="0036638C">
        <w:rPr>
          <w:rFonts w:ascii="Calibri Light" w:eastAsia="Calibri" w:hAnsi="Calibri Light" w:cs="Calibri Light"/>
        </w:rPr>
        <w:t xml:space="preserve"> effect on </w:t>
      </w:r>
      <w:r w:rsidR="009217A0" w:rsidRPr="0036638C">
        <w:rPr>
          <w:rFonts w:ascii="Calibri Light" w:eastAsia="Calibri" w:hAnsi="Calibri Light" w:cs="Calibri Light"/>
        </w:rPr>
        <w:t>personal financial crises</w:t>
      </w:r>
      <w:r w:rsidR="004F5D23" w:rsidRPr="0036638C">
        <w:rPr>
          <w:rFonts w:ascii="Calibri Light" w:eastAsia="Calibri" w:hAnsi="Calibri Light" w:cs="Calibri Light"/>
        </w:rPr>
        <w:t xml:space="preserve"> at the county-level</w:t>
      </w:r>
      <w:r w:rsidR="009217A0" w:rsidRPr="0036638C">
        <w:rPr>
          <w:rFonts w:ascii="Calibri Light" w:eastAsia="Calibri" w:hAnsi="Calibri Light" w:cs="Calibri Light"/>
        </w:rPr>
        <w:t>.</w:t>
      </w:r>
      <w:r w:rsidR="004C05A2" w:rsidRPr="0036638C">
        <w:rPr>
          <w:rFonts w:ascii="Calibri Light" w:eastAsia="Calibri" w:hAnsi="Calibri Light" w:cs="Calibri Light"/>
        </w:rPr>
        <w:t xml:space="preserve"> </w:t>
      </w:r>
      <w:r w:rsidR="00F74446" w:rsidRPr="0036638C">
        <w:rPr>
          <w:rFonts w:ascii="Calibri Light" w:eastAsia="Calibri" w:hAnsi="Calibri Light" w:cs="Calibri Light"/>
        </w:rPr>
        <w:t>The authors estimate</w:t>
      </w:r>
      <w:r w:rsidR="00605978" w:rsidRPr="0036638C">
        <w:rPr>
          <w:rFonts w:ascii="Calibri Light" w:eastAsia="Calibri" w:hAnsi="Calibri Light" w:cs="Calibri Light"/>
        </w:rPr>
        <w:t xml:space="preserve"> that </w:t>
      </w:r>
      <w:r w:rsidR="00AE68DF" w:rsidRPr="0036638C">
        <w:rPr>
          <w:rFonts w:ascii="Calibri Light" w:eastAsia="Calibri" w:hAnsi="Calibri Light" w:cs="Calibri Light"/>
        </w:rPr>
        <w:t xml:space="preserve">eliminating casino gambling </w:t>
      </w:r>
      <w:r w:rsidR="00F74446" w:rsidRPr="0036638C">
        <w:rPr>
          <w:rFonts w:ascii="Calibri Light" w:eastAsia="Calibri" w:hAnsi="Calibri Light" w:cs="Calibri Light"/>
        </w:rPr>
        <w:t xml:space="preserve">altogether in the U.S. </w:t>
      </w:r>
      <w:r w:rsidR="00F01F91" w:rsidRPr="0036638C">
        <w:rPr>
          <w:rFonts w:ascii="Calibri Light" w:eastAsia="Calibri" w:hAnsi="Calibri Light" w:cs="Calibri Light"/>
        </w:rPr>
        <w:t xml:space="preserve">would reduce </w:t>
      </w:r>
      <w:r w:rsidR="001423C0" w:rsidRPr="0036638C">
        <w:rPr>
          <w:rFonts w:ascii="Calibri Light" w:eastAsia="Calibri" w:hAnsi="Calibri Light" w:cs="Calibri Light"/>
        </w:rPr>
        <w:t xml:space="preserve">personal bankruptcy filings by </w:t>
      </w:r>
      <w:r w:rsidR="00A330BE" w:rsidRPr="0036638C">
        <w:rPr>
          <w:rFonts w:ascii="Calibri Light" w:eastAsia="Calibri" w:hAnsi="Calibri Light" w:cs="Calibri Light"/>
        </w:rPr>
        <w:t xml:space="preserve">five percent for </w:t>
      </w:r>
      <w:r w:rsidR="006C4C4D" w:rsidRPr="0036638C">
        <w:rPr>
          <w:rFonts w:ascii="Calibri Light" w:eastAsia="Calibri" w:hAnsi="Calibri Light" w:cs="Calibri Light"/>
        </w:rPr>
        <w:t>counties surrounding</w:t>
      </w:r>
      <w:r w:rsidR="00F74446" w:rsidRPr="0036638C">
        <w:rPr>
          <w:rFonts w:ascii="Calibri Light" w:eastAsia="Calibri" w:hAnsi="Calibri Light" w:cs="Calibri Light"/>
        </w:rPr>
        <w:t xml:space="preserve"> </w:t>
      </w:r>
      <w:r w:rsidR="00D02B2B" w:rsidRPr="0036638C">
        <w:rPr>
          <w:rFonts w:ascii="Calibri Light" w:eastAsia="Calibri" w:hAnsi="Calibri Light" w:cs="Calibri Light"/>
        </w:rPr>
        <w:t xml:space="preserve">a casino, but only decrease </w:t>
      </w:r>
      <w:r w:rsidR="0059174E" w:rsidRPr="0036638C">
        <w:rPr>
          <w:rFonts w:ascii="Calibri Light" w:eastAsia="Calibri" w:hAnsi="Calibri Light" w:cs="Calibri Light"/>
        </w:rPr>
        <w:t xml:space="preserve">the </w:t>
      </w:r>
      <w:r w:rsidR="00D02B2B" w:rsidRPr="0036638C">
        <w:rPr>
          <w:rFonts w:ascii="Calibri Light" w:eastAsia="Calibri" w:hAnsi="Calibri Light" w:cs="Calibri Light"/>
        </w:rPr>
        <w:t xml:space="preserve">national filing </w:t>
      </w:r>
      <w:r w:rsidR="0059174E" w:rsidRPr="0036638C">
        <w:rPr>
          <w:rFonts w:ascii="Calibri Light" w:eastAsia="Calibri" w:hAnsi="Calibri Light" w:cs="Calibri Light"/>
        </w:rPr>
        <w:t xml:space="preserve">rate </w:t>
      </w:r>
      <w:r w:rsidR="00D02B2B" w:rsidRPr="0036638C">
        <w:rPr>
          <w:rFonts w:ascii="Calibri Light" w:eastAsia="Calibri" w:hAnsi="Calibri Light" w:cs="Calibri Light"/>
        </w:rPr>
        <w:t>by one percent.</w:t>
      </w:r>
    </w:p>
    <w:p w14:paraId="07026C13" w14:textId="2CE24F9E" w:rsidR="00824D4F" w:rsidRPr="0036638C" w:rsidRDefault="0023516A" w:rsidP="00824D4F">
      <w:pPr>
        <w:pStyle w:val="Sensebody"/>
        <w:spacing w:after="240" w:line="312" w:lineRule="auto"/>
        <w:jc w:val="both"/>
        <w:rPr>
          <w:rFonts w:ascii="Calibri Light" w:eastAsia="Calibri" w:hAnsi="Calibri Light" w:cs="Calibri Light"/>
          <w:color w:val="262626" w:themeColor="text1" w:themeTint="D9"/>
          <w:sz w:val="22"/>
          <w:szCs w:val="22"/>
          <w:lang w:val="en-NZ"/>
        </w:rPr>
      </w:pPr>
      <w:r w:rsidRPr="0036638C">
        <w:rPr>
          <w:rFonts w:ascii="Calibri Light" w:eastAsia="Calibri" w:hAnsi="Calibri Light" w:cs="Calibri Light"/>
          <w:color w:val="262626" w:themeColor="text1" w:themeTint="D9"/>
          <w:sz w:val="22"/>
          <w:szCs w:val="22"/>
          <w:lang w:val="en-NZ"/>
        </w:rPr>
        <w:t>In</w:t>
      </w:r>
      <w:r w:rsidR="00824D4F" w:rsidRPr="0036638C">
        <w:rPr>
          <w:rFonts w:ascii="Calibri Light" w:eastAsia="Calibri" w:hAnsi="Calibri Light" w:cs="Calibri Light"/>
          <w:color w:val="262626" w:themeColor="text1" w:themeTint="D9"/>
          <w:sz w:val="22"/>
          <w:szCs w:val="22"/>
          <w:lang w:val="en-NZ"/>
        </w:rPr>
        <w:t xml:space="preserve"> NZ, Browne et al. (2017) </w:t>
      </w:r>
      <w:r w:rsidR="00824D4F" w:rsidRPr="0036638C" w:rsidDel="00C961F1">
        <w:rPr>
          <w:rFonts w:ascii="Calibri Light" w:eastAsia="Calibri" w:hAnsi="Calibri Light" w:cs="Calibri Light"/>
          <w:color w:val="262626" w:themeColor="text1" w:themeTint="D9"/>
          <w:sz w:val="22"/>
          <w:szCs w:val="22"/>
          <w:lang w:val="en-NZ"/>
        </w:rPr>
        <w:t xml:space="preserve">document </w:t>
      </w:r>
      <w:r w:rsidR="00824D4F" w:rsidRPr="0036638C">
        <w:rPr>
          <w:rFonts w:ascii="Calibri Light" w:eastAsia="Calibri" w:hAnsi="Calibri Light" w:cs="Calibri Light"/>
          <w:color w:val="262626" w:themeColor="text1" w:themeTint="D9"/>
          <w:sz w:val="22"/>
          <w:szCs w:val="22"/>
          <w:lang w:val="en-NZ"/>
        </w:rPr>
        <w:t xml:space="preserve">bankruptcy as a key factor in the burden of gambling harm. </w:t>
      </w:r>
      <w:r w:rsidR="00A215BB" w:rsidRPr="0036638C">
        <w:rPr>
          <w:rFonts w:ascii="Calibri Light" w:eastAsia="Calibri" w:hAnsi="Calibri Light" w:cs="Calibri Light"/>
          <w:color w:val="262626" w:themeColor="text1" w:themeTint="D9"/>
          <w:sz w:val="22"/>
          <w:szCs w:val="22"/>
          <w:lang w:val="en-NZ"/>
        </w:rPr>
        <w:t>Applying</w:t>
      </w:r>
      <w:r w:rsidR="00824D4F" w:rsidRPr="0036638C">
        <w:rPr>
          <w:rFonts w:ascii="Calibri Light" w:eastAsia="Calibri" w:hAnsi="Calibri Light" w:cs="Calibri Light"/>
          <w:color w:val="262626" w:themeColor="text1" w:themeTint="D9"/>
          <w:sz w:val="22"/>
          <w:szCs w:val="22"/>
          <w:lang w:val="en-NZ"/>
        </w:rPr>
        <w:t xml:space="preserve"> confirmatory factor analysis and item-response theoretic methods</w:t>
      </w:r>
      <w:r w:rsidR="00A215BB" w:rsidRPr="0036638C">
        <w:rPr>
          <w:rFonts w:ascii="Calibri Light" w:eastAsia="Calibri" w:hAnsi="Calibri Light" w:cs="Calibri Light"/>
          <w:color w:val="262626" w:themeColor="text1" w:themeTint="D9"/>
          <w:sz w:val="22"/>
          <w:szCs w:val="22"/>
          <w:lang w:val="en-NZ"/>
        </w:rPr>
        <w:t xml:space="preserve"> to a survey of problem gamblers</w:t>
      </w:r>
      <w:r w:rsidR="00183D6E" w:rsidRPr="0036638C">
        <w:rPr>
          <w:rFonts w:ascii="Calibri Light" w:eastAsia="Calibri" w:hAnsi="Calibri Light" w:cs="Calibri Light"/>
          <w:color w:val="262626" w:themeColor="text1" w:themeTint="D9"/>
          <w:sz w:val="22"/>
          <w:szCs w:val="22"/>
          <w:lang w:val="en-NZ"/>
        </w:rPr>
        <w:t>, the authors</w:t>
      </w:r>
      <w:r w:rsidR="00824D4F" w:rsidRPr="0036638C">
        <w:rPr>
          <w:rFonts w:ascii="Calibri Light" w:eastAsia="Calibri" w:hAnsi="Calibri Light" w:cs="Calibri Light"/>
          <w:color w:val="262626" w:themeColor="text1" w:themeTint="D9"/>
          <w:sz w:val="22"/>
          <w:szCs w:val="22"/>
          <w:lang w:val="en-NZ"/>
        </w:rPr>
        <w:t xml:space="preserve"> rank harms </w:t>
      </w:r>
      <w:r w:rsidR="00183D6E" w:rsidRPr="0036638C">
        <w:rPr>
          <w:rFonts w:ascii="Calibri Light" w:eastAsia="Calibri" w:hAnsi="Calibri Light" w:cs="Calibri Light"/>
          <w:color w:val="262626" w:themeColor="text1" w:themeTint="D9"/>
          <w:sz w:val="22"/>
          <w:szCs w:val="22"/>
          <w:lang w:val="en-NZ"/>
        </w:rPr>
        <w:t>from problem gambling</w:t>
      </w:r>
      <w:r w:rsidR="006C4B85" w:rsidRPr="0036638C">
        <w:rPr>
          <w:rFonts w:ascii="Calibri Light" w:eastAsia="Calibri" w:hAnsi="Calibri Light" w:cs="Calibri Light"/>
          <w:color w:val="262626" w:themeColor="text1" w:themeTint="D9"/>
          <w:sz w:val="22"/>
          <w:szCs w:val="22"/>
          <w:lang w:val="en-NZ"/>
        </w:rPr>
        <w:t xml:space="preserve"> according to their severity</w:t>
      </w:r>
      <w:r w:rsidR="00824D4F" w:rsidRPr="0036638C">
        <w:rPr>
          <w:rFonts w:ascii="Calibri Light" w:eastAsia="Calibri" w:hAnsi="Calibri Light" w:cs="Calibri Light"/>
          <w:color w:val="262626" w:themeColor="text1" w:themeTint="D9"/>
          <w:sz w:val="22"/>
          <w:szCs w:val="22"/>
          <w:lang w:val="en-NZ"/>
        </w:rPr>
        <w:t xml:space="preserve">. Bankruptcy sits towards the higher end of severity relative to other financial indicators of harm </w:t>
      </w:r>
      <w:r w:rsidR="00DA399F" w:rsidRPr="0036638C">
        <w:rPr>
          <w:rFonts w:ascii="Calibri Light" w:eastAsia="Calibri" w:hAnsi="Calibri Light" w:cs="Calibri Light"/>
          <w:color w:val="262626" w:themeColor="text1" w:themeTint="D9"/>
          <w:sz w:val="22"/>
          <w:szCs w:val="22"/>
          <w:lang w:val="en-NZ"/>
        </w:rPr>
        <w:t>as well as</w:t>
      </w:r>
      <w:r w:rsidR="00824D4F" w:rsidRPr="0036638C">
        <w:rPr>
          <w:rFonts w:ascii="Calibri Light" w:eastAsia="Calibri" w:hAnsi="Calibri Light" w:cs="Calibri Light"/>
          <w:color w:val="262626" w:themeColor="text1" w:themeTint="D9"/>
          <w:sz w:val="22"/>
          <w:szCs w:val="22"/>
          <w:lang w:val="en-NZ"/>
        </w:rPr>
        <w:t xml:space="preserve"> broader indicators of harm (see </w:t>
      </w:r>
      <w:r w:rsidR="001E3081" w:rsidRPr="0036638C">
        <w:rPr>
          <w:rFonts w:ascii="Calibri Light" w:eastAsia="Calibri" w:hAnsi="Calibri Light" w:cs="Calibri Light"/>
          <w:color w:val="262626" w:themeColor="text1" w:themeTint="D9"/>
          <w:sz w:val="22"/>
          <w:szCs w:val="22"/>
          <w:lang w:val="en-NZ"/>
        </w:rPr>
        <w:t>Figure 3</w:t>
      </w:r>
      <w:r w:rsidR="00824D4F" w:rsidRPr="0036638C">
        <w:rPr>
          <w:rFonts w:ascii="Calibri Light" w:eastAsia="Calibri" w:hAnsi="Calibri Light" w:cs="Calibri Light"/>
          <w:color w:val="262626" w:themeColor="text1" w:themeTint="D9"/>
          <w:sz w:val="22"/>
          <w:szCs w:val="22"/>
          <w:lang w:val="en-NZ"/>
        </w:rPr>
        <w:t xml:space="preserve">). </w:t>
      </w:r>
    </w:p>
    <w:p w14:paraId="7D27D67C" w14:textId="289CC710" w:rsidR="00C36038" w:rsidRDefault="00C36038" w:rsidP="00FE5B05">
      <w:pPr>
        <w:pStyle w:val="Caption"/>
        <w:keepNext/>
        <w:spacing w:after="0"/>
      </w:pPr>
      <w:bookmarkStart w:id="227" w:name="_Toc50034204"/>
      <w:r>
        <w:lastRenderedPageBreak/>
        <w:t xml:space="preserve">Figure </w:t>
      </w:r>
      <w:fldSimple w:instr=" SEQ Figure \* ARABIC ">
        <w:r w:rsidR="00CB2BDA">
          <w:rPr>
            <w:noProof/>
          </w:rPr>
          <w:t>3</w:t>
        </w:r>
      </w:fldSimple>
      <w:r>
        <w:t xml:space="preserve">. </w:t>
      </w:r>
      <w:r w:rsidRPr="00214BC9">
        <w:t>Severity of selected gambling harms</w:t>
      </w:r>
      <w:bookmarkEnd w:id="227"/>
    </w:p>
    <w:p w14:paraId="36421743" w14:textId="7F973B30" w:rsidR="00E175CA" w:rsidRDefault="004473EC" w:rsidP="002F3278">
      <w:pPr>
        <w:spacing w:after="0"/>
        <w:rPr>
          <w:sz w:val="20"/>
          <w:szCs w:val="20"/>
        </w:rPr>
      </w:pPr>
      <w:r>
        <w:rPr>
          <w:noProof/>
        </w:rPr>
        <w:drawing>
          <wp:inline distT="0" distB="0" distL="0" distR="0" wp14:anchorId="7A7D9931" wp14:editId="39D0B87D">
            <wp:extent cx="6092456" cy="3062177"/>
            <wp:effectExtent l="0" t="0" r="3810" b="5080"/>
            <wp:docPr id="1" name="Chart 1">
              <a:extLst xmlns:a="http://schemas.openxmlformats.org/drawingml/2006/main">
                <a:ext uri="{FF2B5EF4-FFF2-40B4-BE49-F238E27FC236}">
                  <a16:creationId xmlns:a16="http://schemas.microsoft.com/office/drawing/2014/main" id="{7B219701-9D26-4BF0-AA0C-45E65C56B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64B67F" w14:textId="77777777" w:rsidR="002F3278" w:rsidRPr="0085583A" w:rsidRDefault="002F3278" w:rsidP="002F3278">
      <w:pPr>
        <w:rPr>
          <w:sz w:val="18"/>
          <w:szCs w:val="18"/>
        </w:rPr>
      </w:pPr>
      <w:r w:rsidRPr="0085583A">
        <w:rPr>
          <w:sz w:val="18"/>
          <w:szCs w:val="18"/>
        </w:rPr>
        <w:t>Note: Selected factors sourced from Browne et al. (2017), Tables 10-12.</w:t>
      </w:r>
    </w:p>
    <w:p w14:paraId="49D84C05" w14:textId="1958523A" w:rsidR="00824D4F" w:rsidRDefault="00824D4F" w:rsidP="00824D4F">
      <w:pPr>
        <w:pStyle w:val="Heading2"/>
        <w:numPr>
          <w:ilvl w:val="0"/>
          <w:numId w:val="0"/>
        </w:numPr>
        <w:rPr>
          <w:lang w:eastAsia="en-NZ"/>
        </w:rPr>
      </w:pPr>
      <w:bookmarkStart w:id="228" w:name="_Toc50033375"/>
      <w:r>
        <w:rPr>
          <w:lang w:eastAsia="en-NZ"/>
        </w:rPr>
        <w:t xml:space="preserve">7.2 </w:t>
      </w:r>
      <w:r w:rsidR="00D538E9">
        <w:rPr>
          <w:lang w:eastAsia="en-NZ"/>
        </w:rPr>
        <w:tab/>
      </w:r>
      <w:r>
        <w:rPr>
          <w:lang w:eastAsia="en-NZ"/>
        </w:rPr>
        <w:t>Data</w:t>
      </w:r>
      <w:bookmarkEnd w:id="228"/>
    </w:p>
    <w:p w14:paraId="19CA0EB8" w14:textId="77777777" w:rsidR="005828DB" w:rsidRPr="0036638C" w:rsidRDefault="005828DB" w:rsidP="005828DB">
      <w:pPr>
        <w:rPr>
          <w:rStyle w:val="normaltextrun"/>
          <w:b/>
        </w:rPr>
      </w:pPr>
      <w:r>
        <w:rPr>
          <w:rStyle w:val="normaltextrun"/>
          <w:b/>
        </w:rPr>
        <w:t xml:space="preserve">Bankruptcy data </w:t>
      </w:r>
    </w:p>
    <w:p w14:paraId="77A373BB" w14:textId="3CD021D4" w:rsidR="005828DB" w:rsidRPr="00FD6218" w:rsidRDefault="005828DB" w:rsidP="0068358A">
      <w:pPr>
        <w:pStyle w:val="Sensebody"/>
        <w:spacing w:before="240" w:after="240" w:line="312" w:lineRule="auto"/>
        <w:jc w:val="both"/>
        <w:rPr>
          <w:rFonts w:asciiTheme="majorHAnsi" w:hAnsiTheme="majorHAnsi" w:cstheme="majorHAnsi"/>
          <w:color w:val="262626" w:themeColor="text1" w:themeTint="D9"/>
          <w:sz w:val="22"/>
          <w:szCs w:val="22"/>
        </w:rPr>
      </w:pPr>
      <w:r w:rsidRPr="00FD6218">
        <w:rPr>
          <w:rFonts w:asciiTheme="majorHAnsi" w:hAnsiTheme="majorHAnsi" w:cstheme="majorHAnsi"/>
          <w:color w:val="262626" w:themeColor="text1" w:themeTint="D9"/>
          <w:sz w:val="22"/>
          <w:szCs w:val="22"/>
        </w:rPr>
        <w:t>The NZ Insolvency and Trustee Service provide statistics on the number of bankruptcies</w:t>
      </w:r>
      <w:r w:rsidR="0017710C">
        <w:rPr>
          <w:rFonts w:asciiTheme="majorHAnsi" w:hAnsiTheme="majorHAnsi" w:cstheme="majorHAnsi"/>
          <w:color w:val="262626" w:themeColor="text1" w:themeTint="D9"/>
          <w:sz w:val="22"/>
          <w:szCs w:val="22"/>
        </w:rPr>
        <w:t xml:space="preserve"> per financial year (</w:t>
      </w:r>
      <w:r w:rsidR="004C7968">
        <w:rPr>
          <w:rFonts w:asciiTheme="majorHAnsi" w:hAnsiTheme="majorHAnsi" w:cstheme="majorHAnsi"/>
          <w:color w:val="262626" w:themeColor="text1" w:themeTint="D9"/>
          <w:sz w:val="22"/>
          <w:szCs w:val="22"/>
        </w:rPr>
        <w:t>June end)</w:t>
      </w:r>
      <w:r w:rsidRPr="00FD6218">
        <w:rPr>
          <w:rFonts w:asciiTheme="majorHAnsi" w:hAnsiTheme="majorHAnsi" w:cstheme="majorHAnsi"/>
          <w:color w:val="262626" w:themeColor="text1" w:themeTint="D9"/>
          <w:sz w:val="22"/>
          <w:szCs w:val="22"/>
        </w:rPr>
        <w:t xml:space="preserve">. Figure </w:t>
      </w:r>
      <w:r w:rsidR="008D49DB">
        <w:rPr>
          <w:rFonts w:asciiTheme="majorHAnsi" w:hAnsiTheme="majorHAnsi" w:cstheme="majorHAnsi"/>
          <w:color w:val="262626" w:themeColor="text1" w:themeTint="D9"/>
          <w:sz w:val="22"/>
          <w:szCs w:val="22"/>
        </w:rPr>
        <w:t>4</w:t>
      </w:r>
      <w:r w:rsidRPr="00FD6218">
        <w:rPr>
          <w:rFonts w:asciiTheme="majorHAnsi" w:hAnsiTheme="majorHAnsi" w:cstheme="majorHAnsi"/>
          <w:color w:val="262626" w:themeColor="text1" w:themeTint="D9"/>
          <w:sz w:val="22"/>
          <w:szCs w:val="22"/>
        </w:rPr>
        <w:t xml:space="preserve"> shows the total number </w:t>
      </w:r>
      <w:r>
        <w:rPr>
          <w:rFonts w:asciiTheme="majorHAnsi" w:hAnsiTheme="majorHAnsi" w:cstheme="majorHAnsi"/>
          <w:color w:val="262626" w:themeColor="text1" w:themeTint="D9"/>
          <w:sz w:val="22"/>
          <w:szCs w:val="22"/>
        </w:rPr>
        <w:t>over the last two decades in NZ</w:t>
      </w:r>
      <w:r w:rsidRPr="00FD6218">
        <w:rPr>
          <w:rFonts w:asciiTheme="majorHAnsi" w:hAnsiTheme="majorHAnsi" w:cstheme="majorHAnsi"/>
          <w:color w:val="262626" w:themeColor="text1" w:themeTint="D9"/>
          <w:sz w:val="22"/>
          <w:szCs w:val="22"/>
        </w:rPr>
        <w:t xml:space="preserve">. </w:t>
      </w:r>
    </w:p>
    <w:p w14:paraId="1C3C47A6" w14:textId="468C0465" w:rsidR="00FB34EC" w:rsidRDefault="00FB34EC" w:rsidP="00FB34EC">
      <w:pPr>
        <w:pStyle w:val="Caption"/>
        <w:keepNext/>
        <w:spacing w:after="0"/>
        <w:jc w:val="both"/>
      </w:pPr>
      <w:bookmarkStart w:id="229" w:name="_Toc50034205"/>
      <w:r>
        <w:t xml:space="preserve">Figure </w:t>
      </w:r>
      <w:fldSimple w:instr=" SEQ Figure \* ARABIC ">
        <w:r w:rsidR="00CB2BDA">
          <w:rPr>
            <w:noProof/>
          </w:rPr>
          <w:t>4</w:t>
        </w:r>
      </w:fldSimple>
      <w:r>
        <w:t xml:space="preserve">. </w:t>
      </w:r>
      <w:r w:rsidRPr="005C1029">
        <w:t xml:space="preserve">Number </w:t>
      </w:r>
      <w:r w:rsidR="00335223">
        <w:t xml:space="preserve">of </w:t>
      </w:r>
      <w:r w:rsidRPr="005C1029">
        <w:t>bankruptcies</w:t>
      </w:r>
      <w:r w:rsidR="00577321">
        <w:t>,</w:t>
      </w:r>
      <w:r w:rsidRPr="005C1029">
        <w:t xml:space="preserve"> by financial year</w:t>
      </w:r>
      <w:bookmarkEnd w:id="229"/>
    </w:p>
    <w:p w14:paraId="7862D633" w14:textId="57EE043E" w:rsidR="005828DB" w:rsidRDefault="005828DB" w:rsidP="0085583A">
      <w:pPr>
        <w:pStyle w:val="Sensebody"/>
        <w:spacing w:after="0" w:line="312" w:lineRule="auto"/>
        <w:jc w:val="both"/>
        <w:rPr>
          <w:rFonts w:ascii="Calibri Light" w:eastAsia="Calibri" w:hAnsi="Calibri Light" w:cs="Calibri Light"/>
          <w:color w:val="262626"/>
          <w:sz w:val="22"/>
          <w:szCs w:val="22"/>
          <w:lang w:val="en-NZ"/>
        </w:rPr>
      </w:pPr>
      <w:r>
        <w:rPr>
          <w:noProof/>
        </w:rPr>
        <w:drawing>
          <wp:inline distT="0" distB="0" distL="0" distR="0" wp14:anchorId="361B21AA" wp14:editId="164103CC">
            <wp:extent cx="6580505" cy="3277210"/>
            <wp:effectExtent l="0" t="0" r="0" b="0"/>
            <wp:docPr id="4" name="Chart 4">
              <a:extLst xmlns:a="http://schemas.openxmlformats.org/drawingml/2006/main">
                <a:ext uri="{FF2B5EF4-FFF2-40B4-BE49-F238E27FC236}">
                  <a16:creationId xmlns:a16="http://schemas.microsoft.com/office/drawing/2014/main" id="{2A3249E4-7113-4445-89E3-00D07D537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25B37C" w14:textId="66884EB9" w:rsidR="00AB00C9" w:rsidRPr="00CD5DA6" w:rsidRDefault="00AB00C9" w:rsidP="005828DB">
      <w:pPr>
        <w:pStyle w:val="Sensebody"/>
        <w:spacing w:after="240" w:line="312" w:lineRule="auto"/>
        <w:jc w:val="both"/>
        <w:rPr>
          <w:rFonts w:ascii="Calibri Light" w:eastAsia="Calibri" w:hAnsi="Calibri Light" w:cs="Calibri Light"/>
          <w:color w:val="595959" w:themeColor="text1" w:themeTint="A6"/>
          <w:lang w:val="en-NZ"/>
        </w:rPr>
      </w:pPr>
      <w:r w:rsidRPr="00AB00C9">
        <w:rPr>
          <w:rFonts w:ascii="Calibri Light" w:eastAsia="Calibri" w:hAnsi="Calibri Light" w:cs="Calibri Light"/>
          <w:color w:val="262626"/>
          <w:lang w:val="en-NZ"/>
        </w:rPr>
        <w:t>Note</w:t>
      </w:r>
      <w:r>
        <w:rPr>
          <w:rFonts w:ascii="Calibri Light" w:eastAsia="Calibri" w:hAnsi="Calibri Light" w:cs="Calibri Light"/>
          <w:color w:val="262626"/>
          <w:lang w:val="en-NZ"/>
        </w:rPr>
        <w:t xml:space="preserve">: </w:t>
      </w:r>
      <w:r w:rsidR="0085583A">
        <w:rPr>
          <w:rFonts w:ascii="Calibri Light" w:eastAsia="Calibri" w:hAnsi="Calibri Light" w:cs="Calibri Light"/>
          <w:color w:val="262626"/>
          <w:lang w:val="en-NZ"/>
        </w:rPr>
        <w:t>Data sourced from the NZ Insolvency and Trustee Service</w:t>
      </w:r>
      <w:r w:rsidR="006C28BC">
        <w:rPr>
          <w:rFonts w:ascii="Calibri Light" w:eastAsia="Calibri" w:hAnsi="Calibri Light" w:cs="Calibri Light"/>
          <w:color w:val="262626"/>
          <w:lang w:val="en-NZ"/>
        </w:rPr>
        <w:t>.</w:t>
      </w:r>
    </w:p>
    <w:p w14:paraId="02C05060" w14:textId="7ED87757" w:rsidR="005828DB" w:rsidRPr="0073139F" w:rsidRDefault="005828DB" w:rsidP="005828DB">
      <w:pPr>
        <w:pStyle w:val="Sensebody"/>
        <w:spacing w:after="240" w:line="312" w:lineRule="auto"/>
        <w:jc w:val="both"/>
        <w:rPr>
          <w:rFonts w:asciiTheme="majorHAnsi" w:hAnsiTheme="majorHAnsi" w:cstheme="majorHAnsi"/>
          <w:color w:val="262626" w:themeColor="text1" w:themeTint="D9"/>
          <w:sz w:val="22"/>
          <w:szCs w:val="22"/>
        </w:rPr>
      </w:pPr>
      <w:r w:rsidRPr="0073139F">
        <w:rPr>
          <w:rFonts w:asciiTheme="majorHAnsi" w:hAnsiTheme="majorHAnsi" w:cstheme="majorHAnsi"/>
          <w:color w:val="262626" w:themeColor="text1" w:themeTint="D9"/>
          <w:sz w:val="22"/>
          <w:szCs w:val="22"/>
        </w:rPr>
        <w:lastRenderedPageBreak/>
        <w:t xml:space="preserve">As shown in Figure </w:t>
      </w:r>
      <w:r w:rsidR="008D49DB" w:rsidRPr="0073139F">
        <w:rPr>
          <w:rFonts w:asciiTheme="majorHAnsi" w:hAnsiTheme="majorHAnsi" w:cstheme="majorHAnsi"/>
          <w:color w:val="262626" w:themeColor="text1" w:themeTint="D9"/>
          <w:sz w:val="22"/>
          <w:szCs w:val="22"/>
        </w:rPr>
        <w:t>4</w:t>
      </w:r>
      <w:r w:rsidRPr="0073139F">
        <w:rPr>
          <w:rFonts w:asciiTheme="majorHAnsi" w:hAnsiTheme="majorHAnsi" w:cstheme="majorHAnsi"/>
          <w:color w:val="262626" w:themeColor="text1" w:themeTint="D9"/>
          <w:sz w:val="22"/>
          <w:szCs w:val="22"/>
        </w:rPr>
        <w:t xml:space="preserve">, the number of bankruptcies recorded in the </w:t>
      </w:r>
      <w:r w:rsidR="00351201" w:rsidRPr="0073139F">
        <w:rPr>
          <w:rFonts w:asciiTheme="majorHAnsi" w:hAnsiTheme="majorHAnsi" w:cstheme="majorHAnsi"/>
          <w:color w:val="262626" w:themeColor="text1" w:themeTint="D9"/>
          <w:sz w:val="22"/>
          <w:szCs w:val="22"/>
        </w:rPr>
        <w:t>2018/</w:t>
      </w:r>
      <w:r w:rsidRPr="0073139F">
        <w:rPr>
          <w:rFonts w:asciiTheme="majorHAnsi" w:hAnsiTheme="majorHAnsi" w:cstheme="majorHAnsi"/>
          <w:color w:val="262626" w:themeColor="text1" w:themeTint="D9"/>
          <w:sz w:val="22"/>
          <w:szCs w:val="22"/>
        </w:rPr>
        <w:t>19 financial year was 2,890. Thus, while bankruptcies may represent the severest extreme of harm for problem gamblers, bankruptcies are not common in NZ. The NZ Insolvency and Trustee Service also collected qualitative information</w:t>
      </w:r>
      <w:r w:rsidR="00A925F0" w:rsidRPr="0073139F">
        <w:rPr>
          <w:rStyle w:val="FootnoteReference"/>
          <w:rFonts w:asciiTheme="majorHAnsi" w:hAnsiTheme="majorHAnsi" w:cstheme="majorHAnsi"/>
          <w:color w:val="262626" w:themeColor="text1" w:themeTint="D9"/>
          <w:sz w:val="22"/>
          <w:szCs w:val="22"/>
        </w:rPr>
        <w:footnoteReference w:id="31"/>
      </w:r>
      <w:r w:rsidRPr="0073139F">
        <w:rPr>
          <w:rFonts w:asciiTheme="majorHAnsi" w:hAnsiTheme="majorHAnsi" w:cstheme="majorHAnsi"/>
          <w:color w:val="262626" w:themeColor="text1" w:themeTint="D9"/>
          <w:sz w:val="22"/>
          <w:szCs w:val="22"/>
        </w:rPr>
        <w:t xml:space="preserve"> on the primary reason for declaring bankruptcy</w:t>
      </w:r>
      <w:r w:rsidR="00A925F0" w:rsidRPr="0073139F">
        <w:rPr>
          <w:rFonts w:asciiTheme="majorHAnsi" w:hAnsiTheme="majorHAnsi" w:cstheme="majorHAnsi"/>
          <w:color w:val="262626" w:themeColor="text1" w:themeTint="D9"/>
          <w:sz w:val="22"/>
          <w:szCs w:val="22"/>
        </w:rPr>
        <w:t xml:space="preserve"> in 2017/18</w:t>
      </w:r>
      <w:r w:rsidRPr="0073139F">
        <w:rPr>
          <w:rFonts w:asciiTheme="majorHAnsi" w:hAnsiTheme="majorHAnsi" w:cstheme="majorHAnsi"/>
          <w:color w:val="262626" w:themeColor="text1" w:themeTint="D9"/>
          <w:sz w:val="22"/>
          <w:szCs w:val="22"/>
        </w:rPr>
        <w:t>. Gambling did not feature prominently in this information, representing just 1% of the population surveyed, with the highest proportion (22%) attributing their circumstances to unemployment or lost job. Note though that there is a strong disincentive to self-report the impacts of gambling on debt since the court-appointed Official Assignee can press charges if debtors’ gambling is found to have contributed to bankruptcy.</w:t>
      </w:r>
      <w:r w:rsidRPr="0073139F">
        <w:rPr>
          <w:rStyle w:val="FootnoteReference"/>
          <w:rFonts w:asciiTheme="majorHAnsi" w:hAnsiTheme="majorHAnsi" w:cstheme="majorHAnsi"/>
          <w:color w:val="262626" w:themeColor="text1" w:themeTint="D9"/>
          <w:sz w:val="22"/>
          <w:szCs w:val="22"/>
        </w:rPr>
        <w:footnoteReference w:id="32"/>
      </w:r>
      <w:r w:rsidRPr="0073139F">
        <w:rPr>
          <w:rFonts w:asciiTheme="majorHAnsi" w:hAnsiTheme="majorHAnsi" w:cstheme="majorHAnsi"/>
          <w:color w:val="262626" w:themeColor="text1" w:themeTint="D9"/>
          <w:sz w:val="22"/>
          <w:szCs w:val="22"/>
        </w:rPr>
        <w:t xml:space="preserve"> Further, this survey asked for the primary reason, and therefore we do not know what proportion of respondents would have listed gambling as one of the </w:t>
      </w:r>
      <w:proofErr w:type="gramStart"/>
      <w:r w:rsidRPr="0073139F">
        <w:rPr>
          <w:rFonts w:asciiTheme="majorHAnsi" w:hAnsiTheme="majorHAnsi" w:cstheme="majorHAnsi"/>
          <w:color w:val="262626" w:themeColor="text1" w:themeTint="D9"/>
          <w:sz w:val="22"/>
          <w:szCs w:val="22"/>
        </w:rPr>
        <w:t>list</w:t>
      </w:r>
      <w:proofErr w:type="gramEnd"/>
      <w:r w:rsidRPr="0073139F">
        <w:rPr>
          <w:rFonts w:asciiTheme="majorHAnsi" w:hAnsiTheme="majorHAnsi" w:cstheme="majorHAnsi"/>
          <w:color w:val="262626" w:themeColor="text1" w:themeTint="D9"/>
          <w:sz w:val="22"/>
          <w:szCs w:val="22"/>
        </w:rPr>
        <w:t xml:space="preserve"> of reasons. </w:t>
      </w:r>
    </w:p>
    <w:p w14:paraId="26D83171" w14:textId="435FB2B1" w:rsidR="005828DB" w:rsidRPr="0073139F" w:rsidRDefault="005828DB" w:rsidP="005828DB">
      <w:pPr>
        <w:pStyle w:val="Sensebody"/>
        <w:spacing w:after="240" w:line="312" w:lineRule="auto"/>
        <w:jc w:val="both"/>
        <w:rPr>
          <w:rFonts w:ascii="Calibri Light" w:eastAsia="Calibri" w:hAnsi="Calibri Light" w:cs="Calibri Light"/>
          <w:color w:val="262626" w:themeColor="text1" w:themeTint="D9"/>
          <w:sz w:val="22"/>
          <w:szCs w:val="22"/>
          <w:lang w:val="en-NZ"/>
        </w:rPr>
      </w:pPr>
      <w:r w:rsidRPr="0073139F">
        <w:rPr>
          <w:rFonts w:ascii="Calibri Light" w:eastAsia="Calibri" w:hAnsi="Calibri Light" w:cs="Calibri Light"/>
          <w:color w:val="262626" w:themeColor="text1" w:themeTint="D9"/>
          <w:sz w:val="22"/>
          <w:szCs w:val="22"/>
          <w:lang w:val="en-NZ"/>
        </w:rPr>
        <w:t xml:space="preserve">One key takeaway from Figure </w:t>
      </w:r>
      <w:r w:rsidR="00900596" w:rsidRPr="0073139F">
        <w:rPr>
          <w:rFonts w:ascii="Calibri Light" w:eastAsia="Calibri" w:hAnsi="Calibri Light" w:cs="Calibri Light"/>
          <w:color w:val="262626" w:themeColor="text1" w:themeTint="D9"/>
          <w:sz w:val="22"/>
          <w:szCs w:val="22"/>
          <w:lang w:val="en-NZ"/>
        </w:rPr>
        <w:t>4</w:t>
      </w:r>
      <w:r w:rsidRPr="0073139F">
        <w:rPr>
          <w:rFonts w:ascii="Calibri Light" w:eastAsia="Calibri" w:hAnsi="Calibri Light" w:cs="Calibri Light"/>
          <w:color w:val="262626" w:themeColor="text1" w:themeTint="D9"/>
          <w:sz w:val="22"/>
          <w:szCs w:val="22"/>
          <w:lang w:val="en-NZ"/>
        </w:rPr>
        <w:t xml:space="preserve"> is that bankruptcies spiked immediately after the Global Financial Crisis, at the low point of the economic cycle. This suggests that </w:t>
      </w:r>
      <w:proofErr w:type="gramStart"/>
      <w:r w:rsidRPr="0073139F">
        <w:rPr>
          <w:rFonts w:ascii="Calibri Light" w:eastAsia="Calibri" w:hAnsi="Calibri Light" w:cs="Calibri Light"/>
          <w:color w:val="262626" w:themeColor="text1" w:themeTint="D9"/>
          <w:sz w:val="22"/>
          <w:szCs w:val="22"/>
          <w:lang w:val="en-NZ"/>
        </w:rPr>
        <w:t>in order to</w:t>
      </w:r>
      <w:proofErr w:type="gramEnd"/>
      <w:r w:rsidRPr="0073139F">
        <w:rPr>
          <w:rFonts w:ascii="Calibri Light" w:eastAsia="Calibri" w:hAnsi="Calibri Light" w:cs="Calibri Light"/>
          <w:color w:val="262626" w:themeColor="text1" w:themeTint="D9"/>
          <w:sz w:val="22"/>
          <w:szCs w:val="22"/>
          <w:lang w:val="en-NZ"/>
        </w:rPr>
        <w:t xml:space="preserve"> assess the impact of Class 4 </w:t>
      </w:r>
      <w:r w:rsidR="00351201" w:rsidRPr="0073139F">
        <w:rPr>
          <w:rFonts w:ascii="Calibri Light" w:eastAsia="Calibri" w:hAnsi="Calibri Light" w:cs="Calibri Light"/>
          <w:color w:val="262626" w:themeColor="text1" w:themeTint="D9"/>
          <w:sz w:val="22"/>
          <w:szCs w:val="22"/>
          <w:lang w:val="en-NZ"/>
        </w:rPr>
        <w:t xml:space="preserve">gambling </w:t>
      </w:r>
      <w:r w:rsidRPr="0073139F">
        <w:rPr>
          <w:rFonts w:ascii="Calibri Light" w:eastAsia="Calibri" w:hAnsi="Calibri Light" w:cs="Calibri Light"/>
          <w:color w:val="262626" w:themeColor="text1" w:themeTint="D9"/>
          <w:sz w:val="22"/>
          <w:szCs w:val="22"/>
          <w:lang w:val="en-NZ"/>
        </w:rPr>
        <w:t>policies on bankruptcies we need to ensure our specification accounts for economic conditions.</w:t>
      </w:r>
    </w:p>
    <w:p w14:paraId="4EED893B" w14:textId="77777777" w:rsidR="005828DB" w:rsidRPr="0073139F" w:rsidRDefault="005828DB" w:rsidP="005828DB">
      <w:pPr>
        <w:pStyle w:val="Sensebody"/>
        <w:spacing w:after="240" w:line="312" w:lineRule="auto"/>
        <w:jc w:val="both"/>
        <w:rPr>
          <w:rFonts w:ascii="Calibri Light" w:eastAsia="Calibri" w:hAnsi="Calibri Light" w:cs="Calibri Light"/>
          <w:color w:val="262626" w:themeColor="text1" w:themeTint="D9"/>
          <w:sz w:val="22"/>
          <w:szCs w:val="22"/>
          <w:lang w:val="en-NZ"/>
        </w:rPr>
      </w:pPr>
      <w:r w:rsidRPr="0073139F">
        <w:rPr>
          <w:rFonts w:ascii="Calibri Light" w:eastAsia="Calibri" w:hAnsi="Calibri Light" w:cs="Calibri Light"/>
          <w:color w:val="262626" w:themeColor="text1" w:themeTint="D9"/>
          <w:sz w:val="22"/>
          <w:szCs w:val="22"/>
          <w:lang w:val="en-NZ"/>
        </w:rPr>
        <w:t xml:space="preserve">Internationally, researchers have found a strong link between local unemployment shocks and bankruptcies. For example, Agarwal and Liu (2003) show that even after adjusting for health and relationship break-up (at least as measured by divorce), personal bankruptcy is driven by </w:t>
      </w:r>
      <w:proofErr w:type="gramStart"/>
      <w:r w:rsidRPr="0073139F">
        <w:rPr>
          <w:rFonts w:ascii="Calibri Light" w:eastAsia="Calibri" w:hAnsi="Calibri Light" w:cs="Calibri Light"/>
          <w:color w:val="262626" w:themeColor="text1" w:themeTint="D9"/>
          <w:sz w:val="22"/>
          <w:szCs w:val="22"/>
          <w:lang w:val="en-NZ"/>
        </w:rPr>
        <w:t>U.S. county</w:t>
      </w:r>
      <w:proofErr w:type="gramEnd"/>
      <w:r w:rsidRPr="0073139F">
        <w:rPr>
          <w:rFonts w:ascii="Calibri Light" w:eastAsia="Calibri" w:hAnsi="Calibri Light" w:cs="Calibri Light"/>
          <w:color w:val="262626" w:themeColor="text1" w:themeTint="D9"/>
          <w:sz w:val="22"/>
          <w:szCs w:val="22"/>
          <w:lang w:val="en-NZ"/>
        </w:rPr>
        <w:t xml:space="preserve"> unemployment rates.</w:t>
      </w:r>
    </w:p>
    <w:p w14:paraId="09B66A5D" w14:textId="05C9D008" w:rsidR="005828DB" w:rsidRPr="0073139F" w:rsidRDefault="005828DB" w:rsidP="005828DB">
      <w:pPr>
        <w:pStyle w:val="Sensebody"/>
        <w:spacing w:after="240" w:line="312" w:lineRule="auto"/>
        <w:jc w:val="both"/>
        <w:rPr>
          <w:rFonts w:asciiTheme="majorHAnsi" w:hAnsiTheme="majorHAnsi" w:cstheme="majorHAnsi"/>
          <w:color w:val="262626" w:themeColor="text1" w:themeTint="D9"/>
          <w:sz w:val="22"/>
          <w:szCs w:val="22"/>
        </w:rPr>
      </w:pPr>
      <w:r w:rsidRPr="0073139F">
        <w:rPr>
          <w:rFonts w:asciiTheme="majorHAnsi" w:hAnsiTheme="majorHAnsi" w:cstheme="majorHAnsi"/>
          <w:color w:val="262626" w:themeColor="text1" w:themeTint="D9"/>
          <w:sz w:val="22"/>
          <w:szCs w:val="22"/>
        </w:rPr>
        <w:t xml:space="preserve">Consequently, alongside the demographic and economic controls used in our main analysis </w:t>
      </w:r>
      <w:r w:rsidR="008849F6" w:rsidRPr="0073139F">
        <w:rPr>
          <w:rFonts w:asciiTheme="majorHAnsi" w:hAnsiTheme="majorHAnsi" w:cstheme="majorHAnsi"/>
          <w:color w:val="262626" w:themeColor="text1" w:themeTint="D9"/>
          <w:sz w:val="22"/>
          <w:szCs w:val="22"/>
        </w:rPr>
        <w:t>in</w:t>
      </w:r>
      <w:r w:rsidRPr="0073139F">
        <w:rPr>
          <w:rFonts w:asciiTheme="majorHAnsi" w:hAnsiTheme="majorHAnsi" w:cstheme="majorHAnsi"/>
          <w:color w:val="262626" w:themeColor="text1" w:themeTint="D9"/>
          <w:sz w:val="22"/>
          <w:szCs w:val="22"/>
        </w:rPr>
        <w:t xml:space="preserve"> Table 4 we add further economic controls to our bankruptcy models</w:t>
      </w:r>
      <w:r w:rsidR="00EC587E" w:rsidRPr="0073139F">
        <w:rPr>
          <w:rFonts w:asciiTheme="majorHAnsi" w:hAnsiTheme="majorHAnsi" w:cstheme="majorHAnsi"/>
          <w:color w:val="262626" w:themeColor="text1" w:themeTint="D9"/>
          <w:sz w:val="22"/>
          <w:szCs w:val="22"/>
        </w:rPr>
        <w:t xml:space="preserve"> to capture</w:t>
      </w:r>
      <w:r w:rsidR="007D1A35" w:rsidRPr="0073139F">
        <w:rPr>
          <w:rFonts w:asciiTheme="majorHAnsi" w:hAnsiTheme="majorHAnsi" w:cstheme="majorHAnsi"/>
          <w:color w:val="262626" w:themeColor="text1" w:themeTint="D9"/>
          <w:sz w:val="22"/>
          <w:szCs w:val="22"/>
        </w:rPr>
        <w:t xml:space="preserve"> changes in</w:t>
      </w:r>
      <w:r w:rsidR="00EC587E" w:rsidRPr="0073139F">
        <w:rPr>
          <w:rFonts w:asciiTheme="majorHAnsi" w:hAnsiTheme="majorHAnsi" w:cstheme="majorHAnsi"/>
          <w:color w:val="262626" w:themeColor="text1" w:themeTint="D9"/>
          <w:sz w:val="22"/>
          <w:szCs w:val="22"/>
        </w:rPr>
        <w:t xml:space="preserve"> house prices</w:t>
      </w:r>
      <w:r w:rsidR="00537551" w:rsidRPr="0073139F">
        <w:rPr>
          <w:rStyle w:val="FootnoteReference"/>
          <w:rFonts w:asciiTheme="majorHAnsi" w:hAnsiTheme="majorHAnsi" w:cstheme="majorHAnsi"/>
          <w:color w:val="262626" w:themeColor="text1" w:themeTint="D9"/>
          <w:sz w:val="22"/>
          <w:szCs w:val="22"/>
        </w:rPr>
        <w:footnoteReference w:id="33"/>
      </w:r>
      <w:r w:rsidR="00537551" w:rsidRPr="0073139F">
        <w:rPr>
          <w:rFonts w:asciiTheme="majorHAnsi" w:hAnsiTheme="majorHAnsi" w:cstheme="majorHAnsi"/>
          <w:color w:val="262626" w:themeColor="text1" w:themeTint="D9"/>
          <w:sz w:val="22"/>
          <w:szCs w:val="22"/>
        </w:rPr>
        <w:t>,</w:t>
      </w:r>
      <w:r w:rsidRPr="0073139F">
        <w:rPr>
          <w:rFonts w:asciiTheme="majorHAnsi" w:hAnsiTheme="majorHAnsi" w:cstheme="majorHAnsi"/>
          <w:color w:val="262626" w:themeColor="text1" w:themeTint="D9"/>
          <w:sz w:val="22"/>
          <w:szCs w:val="22"/>
        </w:rPr>
        <w:t xml:space="preserve"> </w:t>
      </w:r>
      <w:r w:rsidR="00D24527" w:rsidRPr="0073139F">
        <w:rPr>
          <w:rFonts w:asciiTheme="majorHAnsi" w:hAnsiTheme="majorHAnsi" w:cstheme="majorHAnsi"/>
          <w:color w:val="262626" w:themeColor="text1" w:themeTint="D9"/>
          <w:sz w:val="22"/>
          <w:szCs w:val="22"/>
        </w:rPr>
        <w:t xml:space="preserve">as well as </w:t>
      </w:r>
      <w:r w:rsidR="001213D6" w:rsidRPr="0073139F">
        <w:rPr>
          <w:rFonts w:asciiTheme="majorHAnsi" w:hAnsiTheme="majorHAnsi" w:cstheme="majorHAnsi"/>
          <w:color w:val="262626" w:themeColor="text1" w:themeTint="D9"/>
          <w:sz w:val="22"/>
          <w:szCs w:val="22"/>
        </w:rPr>
        <w:t>business and employment growth</w:t>
      </w:r>
      <w:r w:rsidR="00511378" w:rsidRPr="0073139F">
        <w:rPr>
          <w:rFonts w:asciiTheme="majorHAnsi" w:hAnsiTheme="majorHAnsi" w:cstheme="majorHAnsi"/>
          <w:color w:val="262626" w:themeColor="text1" w:themeTint="D9"/>
          <w:sz w:val="22"/>
          <w:szCs w:val="22"/>
        </w:rPr>
        <w:t xml:space="preserve"> (</w:t>
      </w:r>
      <w:r w:rsidR="008849F6" w:rsidRPr="0073139F">
        <w:rPr>
          <w:rFonts w:asciiTheme="majorHAnsi" w:hAnsiTheme="majorHAnsi" w:cstheme="majorHAnsi"/>
          <w:color w:val="262626" w:themeColor="text1" w:themeTint="D9"/>
          <w:sz w:val="22"/>
          <w:szCs w:val="22"/>
        </w:rPr>
        <w:t xml:space="preserve">all </w:t>
      </w:r>
      <w:r w:rsidR="00511378" w:rsidRPr="0073139F">
        <w:rPr>
          <w:rFonts w:asciiTheme="majorHAnsi" w:hAnsiTheme="majorHAnsi" w:cstheme="majorHAnsi"/>
          <w:color w:val="262626" w:themeColor="text1" w:themeTint="D9"/>
          <w:sz w:val="22"/>
          <w:szCs w:val="22"/>
        </w:rPr>
        <w:t>detailed i</w:t>
      </w:r>
      <w:r w:rsidR="00B41FCD" w:rsidRPr="0073139F">
        <w:rPr>
          <w:rFonts w:asciiTheme="majorHAnsi" w:hAnsiTheme="majorHAnsi" w:cstheme="majorHAnsi"/>
          <w:color w:val="262626" w:themeColor="text1" w:themeTint="D9"/>
          <w:sz w:val="22"/>
          <w:szCs w:val="22"/>
        </w:rPr>
        <w:t>n Table 7)</w:t>
      </w:r>
      <w:r w:rsidR="001213D6" w:rsidRPr="0073139F">
        <w:rPr>
          <w:rFonts w:asciiTheme="majorHAnsi" w:hAnsiTheme="majorHAnsi" w:cstheme="majorHAnsi"/>
          <w:color w:val="262626" w:themeColor="text1" w:themeTint="D9"/>
          <w:sz w:val="22"/>
          <w:szCs w:val="22"/>
        </w:rPr>
        <w:t xml:space="preserve">. </w:t>
      </w:r>
    </w:p>
    <w:p w14:paraId="09E9270C" w14:textId="0161AB84" w:rsidR="00824D4F" w:rsidRPr="0073139F" w:rsidRDefault="00824D4F" w:rsidP="00D62C76">
      <w:pPr>
        <w:pStyle w:val="FigureTableTitle"/>
        <w:rPr>
          <w:rStyle w:val="normaltextrun"/>
          <w:b w:val="0"/>
          <w:color w:val="262626" w:themeColor="text1" w:themeTint="D9"/>
        </w:rPr>
      </w:pPr>
      <w:r w:rsidRPr="0073139F">
        <w:rPr>
          <w:rStyle w:val="normaltextrun"/>
          <w:color w:val="262626" w:themeColor="text1" w:themeTint="D9"/>
        </w:rPr>
        <w:t>Bankruptcy and access to gambling</w:t>
      </w:r>
    </w:p>
    <w:p w14:paraId="508BB8EC" w14:textId="0208F314" w:rsidR="00824D4F" w:rsidRPr="0073139F" w:rsidRDefault="00A162A7" w:rsidP="0068358A">
      <w:pPr>
        <w:spacing w:before="240" w:after="240" w:line="312" w:lineRule="auto"/>
        <w:jc w:val="both"/>
        <w:rPr>
          <w:rFonts w:ascii="Calibri Light" w:eastAsia="Calibri" w:hAnsi="Calibri Light" w:cs="Calibri Light"/>
        </w:rPr>
      </w:pPr>
      <w:r w:rsidRPr="0073139F">
        <w:rPr>
          <w:rFonts w:ascii="Calibri Light" w:eastAsia="Calibri" w:hAnsi="Calibri Light" w:cs="Calibri Light"/>
        </w:rPr>
        <w:t xml:space="preserve">There </w:t>
      </w:r>
      <w:r w:rsidR="00422FB5" w:rsidRPr="0073139F">
        <w:rPr>
          <w:rFonts w:ascii="Calibri Light" w:eastAsia="Calibri" w:hAnsi="Calibri Light" w:cs="Calibri Light"/>
        </w:rPr>
        <w:t xml:space="preserve">is evidence </w:t>
      </w:r>
      <w:r w:rsidR="00355BFB" w:rsidRPr="0073139F">
        <w:rPr>
          <w:rFonts w:ascii="Calibri Light" w:eastAsia="Calibri" w:hAnsi="Calibri Light" w:cs="Calibri Light"/>
        </w:rPr>
        <w:t>that problem gambling</w:t>
      </w:r>
      <w:r w:rsidR="00422FB5" w:rsidRPr="0073139F">
        <w:rPr>
          <w:rFonts w:ascii="Calibri Light" w:eastAsia="Calibri" w:hAnsi="Calibri Light" w:cs="Calibri Light"/>
        </w:rPr>
        <w:t xml:space="preserve"> </w:t>
      </w:r>
      <w:r w:rsidR="00BD74F5" w:rsidRPr="0073139F">
        <w:rPr>
          <w:rFonts w:ascii="Calibri Light" w:eastAsia="Calibri" w:hAnsi="Calibri Light" w:cs="Calibri Light"/>
        </w:rPr>
        <w:t xml:space="preserve">occurs more frequently in areas with higher concentrations of EGMs (Storer, Abbot, and </w:t>
      </w:r>
      <w:r w:rsidR="00453E21" w:rsidRPr="0073139F">
        <w:rPr>
          <w:rFonts w:ascii="Calibri Light" w:eastAsia="Calibri" w:hAnsi="Calibri Light" w:cs="Calibri Light"/>
        </w:rPr>
        <w:t>Stubbs, 2009)</w:t>
      </w:r>
      <w:r w:rsidR="003D5315" w:rsidRPr="0073139F">
        <w:rPr>
          <w:rFonts w:ascii="Calibri Light" w:eastAsia="Calibri" w:hAnsi="Calibri Light" w:cs="Calibri Light"/>
        </w:rPr>
        <w:t>. Thi</w:t>
      </w:r>
      <w:r w:rsidR="004B6509" w:rsidRPr="0073139F">
        <w:rPr>
          <w:rFonts w:ascii="Calibri Light" w:eastAsia="Calibri" w:hAnsi="Calibri Light" w:cs="Calibri Light"/>
        </w:rPr>
        <w:t>s</w:t>
      </w:r>
      <w:r w:rsidR="003D5315" w:rsidRPr="0073139F">
        <w:rPr>
          <w:rFonts w:ascii="Calibri Light" w:eastAsia="Calibri" w:hAnsi="Calibri Light" w:cs="Calibri Light"/>
        </w:rPr>
        <w:t xml:space="preserve"> highlights the importance of </w:t>
      </w:r>
      <w:r w:rsidR="0010263E" w:rsidRPr="0073139F">
        <w:rPr>
          <w:rFonts w:ascii="Calibri Light" w:eastAsia="Calibri" w:hAnsi="Calibri Light" w:cs="Calibri Light"/>
        </w:rPr>
        <w:t>a</w:t>
      </w:r>
      <w:r w:rsidR="00960176" w:rsidRPr="0073139F">
        <w:rPr>
          <w:rFonts w:ascii="Calibri Light" w:eastAsia="Calibri" w:hAnsi="Calibri Light" w:cs="Calibri Light"/>
        </w:rPr>
        <w:t>ccounting for the</w:t>
      </w:r>
      <w:r w:rsidR="0010263E" w:rsidRPr="0073139F">
        <w:rPr>
          <w:rFonts w:ascii="Calibri Light" w:eastAsia="Calibri" w:hAnsi="Calibri Light" w:cs="Calibri Light"/>
        </w:rPr>
        <w:t xml:space="preserve"> </w:t>
      </w:r>
      <w:r w:rsidR="00422FB5" w:rsidRPr="0073139F">
        <w:rPr>
          <w:rFonts w:ascii="Calibri Light" w:eastAsia="Calibri" w:hAnsi="Calibri Light" w:cs="Calibri Light"/>
        </w:rPr>
        <w:t xml:space="preserve">spatial dimension </w:t>
      </w:r>
      <w:r w:rsidR="00DC2E83" w:rsidRPr="0073139F">
        <w:rPr>
          <w:rFonts w:ascii="Calibri Light" w:eastAsia="Calibri" w:hAnsi="Calibri Light" w:cs="Calibri Light"/>
        </w:rPr>
        <w:t>of</w:t>
      </w:r>
      <w:r w:rsidR="00422FB5" w:rsidRPr="0073139F">
        <w:rPr>
          <w:rFonts w:ascii="Calibri Light" w:eastAsia="Calibri" w:hAnsi="Calibri Light" w:cs="Calibri Light"/>
        </w:rPr>
        <w:t xml:space="preserve"> problem gambling </w:t>
      </w:r>
      <w:r w:rsidR="00FA57A7" w:rsidRPr="0073139F">
        <w:rPr>
          <w:rFonts w:ascii="Calibri Light" w:eastAsia="Calibri" w:hAnsi="Calibri Light" w:cs="Calibri Light"/>
        </w:rPr>
        <w:t>and bankruptcy</w:t>
      </w:r>
      <w:r w:rsidR="00422FB5" w:rsidRPr="0073139F">
        <w:rPr>
          <w:rFonts w:ascii="Calibri Light" w:eastAsia="Calibri" w:hAnsi="Calibri Light" w:cs="Calibri Light"/>
        </w:rPr>
        <w:t>.</w:t>
      </w:r>
      <w:r w:rsidRPr="0073139F">
        <w:rPr>
          <w:rFonts w:ascii="Calibri Light" w:eastAsia="Calibri" w:hAnsi="Calibri Light" w:cs="Calibri Light"/>
        </w:rPr>
        <w:t xml:space="preserve"> </w:t>
      </w:r>
      <w:bookmarkStart w:id="230" w:name="_Hlk49951891"/>
      <w:r w:rsidR="00824D4F" w:rsidRPr="0073139F">
        <w:rPr>
          <w:rFonts w:ascii="Calibri Light" w:eastAsia="Calibri" w:hAnsi="Calibri Light" w:cs="Calibri Light"/>
        </w:rPr>
        <w:t xml:space="preserve">To </w:t>
      </w:r>
      <w:r w:rsidR="007A4CF8" w:rsidRPr="0073139F">
        <w:rPr>
          <w:rFonts w:ascii="Calibri Light" w:eastAsia="Calibri" w:hAnsi="Calibri Light" w:cs="Calibri Light"/>
        </w:rPr>
        <w:t>explore</w:t>
      </w:r>
      <w:r w:rsidR="00824D4F" w:rsidRPr="0073139F">
        <w:rPr>
          <w:rFonts w:ascii="Calibri Light" w:eastAsia="Calibri" w:hAnsi="Calibri Light" w:cs="Calibri Light"/>
        </w:rPr>
        <w:t xml:space="preserve"> the </w:t>
      </w:r>
      <w:r w:rsidR="007A4CF8" w:rsidRPr="0073139F">
        <w:rPr>
          <w:rFonts w:ascii="Calibri Light" w:eastAsia="Calibri" w:hAnsi="Calibri Light" w:cs="Calibri Light"/>
        </w:rPr>
        <w:t>role</w:t>
      </w:r>
      <w:r w:rsidR="00824D4F" w:rsidRPr="0073139F">
        <w:rPr>
          <w:rFonts w:ascii="Calibri Light" w:eastAsia="Calibri" w:hAnsi="Calibri Light" w:cs="Calibri Light"/>
        </w:rPr>
        <w:t xml:space="preserve"> of spatial access on bankruptcy</w:t>
      </w:r>
      <w:r w:rsidR="00DC54AC" w:rsidRPr="0073139F">
        <w:rPr>
          <w:rFonts w:ascii="Calibri Light" w:eastAsia="Calibri" w:hAnsi="Calibri Light" w:cs="Calibri Light"/>
        </w:rPr>
        <w:t xml:space="preserve"> in NZ</w:t>
      </w:r>
      <w:r w:rsidR="00824D4F" w:rsidRPr="0073139F">
        <w:rPr>
          <w:rFonts w:ascii="Calibri Light" w:eastAsia="Calibri" w:hAnsi="Calibri Light" w:cs="Calibri Light"/>
        </w:rPr>
        <w:t xml:space="preserve">, we create three distance variables that approximate access for population for each TA </w:t>
      </w:r>
      <w:r w:rsidR="000F2F00" w:rsidRPr="0073139F">
        <w:rPr>
          <w:rFonts w:ascii="Calibri Light" w:eastAsia="Calibri" w:hAnsi="Calibri Light" w:cs="Calibri Light"/>
        </w:rPr>
        <w:t>over</w:t>
      </w:r>
      <w:r w:rsidR="00824D4F" w:rsidRPr="0073139F">
        <w:rPr>
          <w:rFonts w:ascii="Calibri Light" w:eastAsia="Calibri" w:hAnsi="Calibri Light" w:cs="Calibri Light"/>
        </w:rPr>
        <w:t xml:space="preserve"> time. </w:t>
      </w:r>
    </w:p>
    <w:bookmarkEnd w:id="230"/>
    <w:p w14:paraId="1B420D1A" w14:textId="25AC890A" w:rsidR="00824D4F" w:rsidRPr="0036638C" w:rsidRDefault="00824D4F" w:rsidP="004F0A37">
      <w:pPr>
        <w:spacing w:after="240" w:line="312" w:lineRule="auto"/>
        <w:jc w:val="both"/>
        <w:rPr>
          <w:rFonts w:ascii="Calibri Light" w:eastAsia="Calibri" w:hAnsi="Calibri Light" w:cs="Calibri Light"/>
        </w:rPr>
      </w:pPr>
      <w:r w:rsidRPr="0073139F">
        <w:rPr>
          <w:rFonts w:ascii="Calibri Light" w:eastAsia="Calibri" w:hAnsi="Calibri Light" w:cs="Calibri Light"/>
        </w:rPr>
        <w:t xml:space="preserve">We </w:t>
      </w:r>
      <w:r w:rsidR="00FE40DA" w:rsidRPr="0073139F">
        <w:rPr>
          <w:rFonts w:ascii="Calibri Light" w:eastAsia="Calibri" w:hAnsi="Calibri Light" w:cs="Calibri Light"/>
        </w:rPr>
        <w:t xml:space="preserve">begin by </w:t>
      </w:r>
      <w:r w:rsidRPr="0073139F">
        <w:rPr>
          <w:rFonts w:ascii="Calibri Light" w:eastAsia="Calibri" w:hAnsi="Calibri Light" w:cs="Calibri Light"/>
        </w:rPr>
        <w:t>geocod</w:t>
      </w:r>
      <w:r w:rsidR="00FE40DA" w:rsidRPr="0073139F">
        <w:rPr>
          <w:rFonts w:ascii="Calibri Light" w:eastAsia="Calibri" w:hAnsi="Calibri Light" w:cs="Calibri Light"/>
        </w:rPr>
        <w:t>ing</w:t>
      </w:r>
      <w:r w:rsidRPr="0073139F">
        <w:rPr>
          <w:rFonts w:ascii="Calibri Light" w:eastAsia="Calibri" w:hAnsi="Calibri Light" w:cs="Calibri Light"/>
        </w:rPr>
        <w:t xml:space="preserve"> every </w:t>
      </w:r>
      <w:r w:rsidR="00E64243" w:rsidRPr="0073139F">
        <w:rPr>
          <w:rFonts w:ascii="Calibri Light" w:eastAsia="Calibri" w:hAnsi="Calibri Light" w:cs="Calibri Light"/>
        </w:rPr>
        <w:t>Class 4</w:t>
      </w:r>
      <w:r w:rsidRPr="0073139F">
        <w:rPr>
          <w:rFonts w:ascii="Calibri Light" w:eastAsia="Calibri" w:hAnsi="Calibri Light" w:cs="Calibri Light"/>
        </w:rPr>
        <w:t xml:space="preserve"> venue </w:t>
      </w:r>
      <w:r w:rsidR="00782ACF" w:rsidRPr="0073139F">
        <w:rPr>
          <w:rFonts w:ascii="Calibri Light" w:eastAsia="Calibri" w:hAnsi="Calibri Light" w:cs="Calibri Light"/>
        </w:rPr>
        <w:t xml:space="preserve">in </w:t>
      </w:r>
      <w:r w:rsidR="006A3A91" w:rsidRPr="0073139F">
        <w:rPr>
          <w:rFonts w:ascii="Calibri Light" w:eastAsia="Calibri" w:hAnsi="Calibri Light" w:cs="Calibri Light"/>
        </w:rPr>
        <w:t>each</w:t>
      </w:r>
      <w:r w:rsidRPr="0073139F">
        <w:rPr>
          <w:rFonts w:ascii="Calibri Light" w:eastAsia="Calibri" w:hAnsi="Calibri Light" w:cs="Calibri Light"/>
        </w:rPr>
        <w:t xml:space="preserve"> year </w:t>
      </w:r>
      <w:r w:rsidR="00782ACF" w:rsidRPr="0073139F">
        <w:rPr>
          <w:rFonts w:ascii="Calibri Light" w:eastAsia="Calibri" w:hAnsi="Calibri Light" w:cs="Calibri Light"/>
        </w:rPr>
        <w:t xml:space="preserve">of </w:t>
      </w:r>
      <w:r w:rsidRPr="0073139F">
        <w:rPr>
          <w:rFonts w:ascii="Calibri Light" w:eastAsia="Calibri" w:hAnsi="Calibri Light" w:cs="Calibri Light"/>
        </w:rPr>
        <w:t xml:space="preserve">our sample. </w:t>
      </w:r>
      <w:r w:rsidR="000C2080" w:rsidRPr="0073139F">
        <w:rPr>
          <w:rFonts w:ascii="Calibri Light" w:eastAsia="Calibri" w:hAnsi="Calibri Light" w:cs="Calibri Light"/>
        </w:rPr>
        <w:t>We</w:t>
      </w:r>
      <w:r w:rsidRPr="0073139F" w:rsidDel="004F51B8">
        <w:rPr>
          <w:rFonts w:ascii="Calibri Light" w:eastAsia="Calibri" w:hAnsi="Calibri Light" w:cs="Calibri Light"/>
        </w:rPr>
        <w:t xml:space="preserve"> </w:t>
      </w:r>
      <w:r w:rsidR="004F51B8" w:rsidRPr="0073139F">
        <w:rPr>
          <w:rFonts w:ascii="Calibri Light" w:eastAsia="Calibri" w:hAnsi="Calibri Light" w:cs="Calibri Light"/>
        </w:rPr>
        <w:t>then</w:t>
      </w:r>
      <w:r w:rsidR="003A199E" w:rsidRPr="0073139F">
        <w:rPr>
          <w:rFonts w:ascii="Calibri Light" w:eastAsia="Calibri" w:hAnsi="Calibri Light" w:cs="Calibri Light"/>
        </w:rPr>
        <w:t xml:space="preserve"> define a binary </w:t>
      </w:r>
      <w:r w:rsidR="00C76823" w:rsidRPr="0073139F">
        <w:rPr>
          <w:rFonts w:ascii="Calibri Light" w:eastAsia="Calibri" w:hAnsi="Calibri Light" w:cs="Calibri Light"/>
        </w:rPr>
        <w:t>variable equal to one if the centroid of the Statistical Area Unit 1</w:t>
      </w:r>
      <w:r w:rsidR="002D3FC7" w:rsidRPr="0073139F">
        <w:rPr>
          <w:rFonts w:ascii="Calibri Light" w:eastAsia="Calibri" w:hAnsi="Calibri Light" w:cs="Calibri Light"/>
        </w:rPr>
        <w:t xml:space="preserve"> </w:t>
      </w:r>
      <w:r w:rsidR="00CE0E16" w:rsidRPr="0073139F">
        <w:rPr>
          <w:rFonts w:ascii="Calibri Light" w:eastAsia="Calibri" w:hAnsi="Calibri Light" w:cs="Calibri Light"/>
        </w:rPr>
        <w:t>(SA1)</w:t>
      </w:r>
      <w:r w:rsidR="009350D9">
        <w:rPr>
          <w:rStyle w:val="FootnoteReference"/>
          <w:rFonts w:ascii="Calibri Light" w:eastAsia="Calibri" w:hAnsi="Calibri Light" w:cs="Calibri Light"/>
        </w:rPr>
        <w:footnoteReference w:id="34"/>
      </w:r>
      <w:r w:rsidR="00CE0E16" w:rsidRPr="0073139F">
        <w:rPr>
          <w:rFonts w:ascii="Calibri Light" w:eastAsia="Calibri" w:hAnsi="Calibri Light" w:cs="Calibri Light"/>
        </w:rPr>
        <w:t xml:space="preserve"> </w:t>
      </w:r>
      <w:r w:rsidR="002D3FC7" w:rsidRPr="0073139F">
        <w:rPr>
          <w:rFonts w:ascii="Calibri Light" w:eastAsia="Calibri" w:hAnsi="Calibri Light" w:cs="Calibri Light"/>
        </w:rPr>
        <w:t xml:space="preserve">is within </w:t>
      </w:r>
      <w:r w:rsidR="00F879A6" w:rsidRPr="0073139F">
        <w:rPr>
          <w:rFonts w:ascii="Calibri Light" w:eastAsia="Calibri" w:hAnsi="Calibri Light" w:cs="Calibri Light"/>
        </w:rPr>
        <w:t>a certain distance to an EGM</w:t>
      </w:r>
      <w:r w:rsidR="00243FE0" w:rsidRPr="0073139F">
        <w:rPr>
          <w:rFonts w:ascii="Calibri Light" w:eastAsia="Calibri" w:hAnsi="Calibri Light" w:cs="Calibri Light"/>
        </w:rPr>
        <w:t xml:space="preserve">, and zero otherwise. </w:t>
      </w:r>
      <w:r w:rsidR="00273704" w:rsidRPr="0073139F">
        <w:rPr>
          <w:rFonts w:ascii="Calibri Light" w:eastAsia="Calibri" w:hAnsi="Calibri Light" w:cs="Calibri Light"/>
        </w:rPr>
        <w:t xml:space="preserve">We </w:t>
      </w:r>
      <w:r w:rsidR="00A50ACF" w:rsidRPr="0073139F">
        <w:rPr>
          <w:rFonts w:ascii="Calibri Light" w:eastAsia="Calibri" w:hAnsi="Calibri Light" w:cs="Calibri Light"/>
        </w:rPr>
        <w:t xml:space="preserve">define </w:t>
      </w:r>
      <w:r w:rsidR="00A7182F" w:rsidRPr="0073139F">
        <w:rPr>
          <w:rFonts w:ascii="Calibri Light" w:eastAsia="Calibri" w:hAnsi="Calibri Light" w:cs="Calibri Light"/>
        </w:rPr>
        <w:t xml:space="preserve">these variables using three </w:t>
      </w:r>
      <w:r w:rsidR="00B240EE" w:rsidRPr="0073139F">
        <w:rPr>
          <w:rFonts w:ascii="Calibri Light" w:eastAsia="Calibri" w:hAnsi="Calibri Light" w:cs="Calibri Light"/>
        </w:rPr>
        <w:t xml:space="preserve">distances: </w:t>
      </w:r>
      <w:r w:rsidR="00177074" w:rsidRPr="0073139F">
        <w:rPr>
          <w:rFonts w:ascii="Calibri Light" w:eastAsia="Calibri" w:hAnsi="Calibri Light" w:cs="Calibri Light"/>
        </w:rPr>
        <w:t>0.5km</w:t>
      </w:r>
      <w:r w:rsidR="00B240EE" w:rsidRPr="0073139F">
        <w:rPr>
          <w:rFonts w:ascii="Calibri Light" w:eastAsia="Calibri" w:hAnsi="Calibri Light" w:cs="Calibri Light"/>
        </w:rPr>
        <w:t>, 1</w:t>
      </w:r>
      <w:r w:rsidR="00177074" w:rsidRPr="0073139F">
        <w:rPr>
          <w:rFonts w:ascii="Calibri Light" w:eastAsia="Calibri" w:hAnsi="Calibri Light" w:cs="Calibri Light"/>
        </w:rPr>
        <w:t>km</w:t>
      </w:r>
      <w:r w:rsidR="00B240EE" w:rsidRPr="0073139F">
        <w:rPr>
          <w:rFonts w:ascii="Calibri Light" w:eastAsia="Calibri" w:hAnsi="Calibri Light" w:cs="Calibri Light"/>
        </w:rPr>
        <w:t>, and 2</w:t>
      </w:r>
      <w:r w:rsidR="00177074" w:rsidRPr="0073139F">
        <w:rPr>
          <w:rFonts w:ascii="Calibri Light" w:eastAsia="Calibri" w:hAnsi="Calibri Light" w:cs="Calibri Light"/>
        </w:rPr>
        <w:t>km</w:t>
      </w:r>
      <w:r w:rsidR="00B240EE" w:rsidRPr="0073139F">
        <w:rPr>
          <w:rFonts w:ascii="Calibri Light" w:eastAsia="Calibri" w:hAnsi="Calibri Light" w:cs="Calibri Light"/>
        </w:rPr>
        <w:t>.</w:t>
      </w:r>
      <w:r w:rsidR="00B240EE" w:rsidRPr="0073139F" w:rsidDel="004F51B8">
        <w:rPr>
          <w:rFonts w:ascii="Calibri Light" w:eastAsia="Calibri" w:hAnsi="Calibri Light" w:cs="Calibri Light"/>
        </w:rPr>
        <w:t xml:space="preserve"> </w:t>
      </w:r>
      <w:r w:rsidR="00CE0E16" w:rsidRPr="0073139F">
        <w:rPr>
          <w:rFonts w:ascii="Calibri Light" w:eastAsia="Calibri" w:hAnsi="Calibri Light" w:cs="Calibri Light"/>
        </w:rPr>
        <w:t xml:space="preserve">Thus, each </w:t>
      </w:r>
      <w:r w:rsidR="00F41849" w:rsidRPr="0073139F">
        <w:rPr>
          <w:rFonts w:ascii="Calibri Light" w:eastAsia="Calibri" w:hAnsi="Calibri Light" w:cs="Calibri Light"/>
        </w:rPr>
        <w:t xml:space="preserve">SA1 </w:t>
      </w:r>
      <w:r w:rsidR="000F7C88" w:rsidRPr="0073139F">
        <w:rPr>
          <w:rFonts w:ascii="Calibri Light" w:eastAsia="Calibri" w:hAnsi="Calibri Light" w:cs="Calibri Light"/>
        </w:rPr>
        <w:t xml:space="preserve">has </w:t>
      </w:r>
      <w:r w:rsidR="00EE5D0B" w:rsidRPr="0073139F">
        <w:rPr>
          <w:rFonts w:ascii="Calibri Light" w:eastAsia="Calibri" w:hAnsi="Calibri Light" w:cs="Calibri Light"/>
        </w:rPr>
        <w:t xml:space="preserve">three binary variables which indicate proximity to </w:t>
      </w:r>
      <w:r w:rsidR="006C5127" w:rsidRPr="0073139F">
        <w:rPr>
          <w:rFonts w:ascii="Calibri Light" w:eastAsia="Calibri" w:hAnsi="Calibri Light" w:cs="Calibri Light"/>
        </w:rPr>
        <w:t>Class 4 gaming.</w:t>
      </w:r>
      <w:r w:rsidR="000540C7" w:rsidRPr="0073139F">
        <w:rPr>
          <w:rFonts w:ascii="Calibri Light" w:eastAsia="Calibri" w:hAnsi="Calibri Light" w:cs="Calibri Light"/>
        </w:rPr>
        <w:t xml:space="preserve"> </w:t>
      </w:r>
      <w:r w:rsidRPr="0073139F">
        <w:rPr>
          <w:rFonts w:ascii="Calibri Light" w:eastAsia="Calibri" w:hAnsi="Calibri Light" w:cs="Calibri Light"/>
        </w:rPr>
        <w:t xml:space="preserve"> </w:t>
      </w:r>
      <w:r w:rsidR="00592A30" w:rsidRPr="00592A30">
        <w:rPr>
          <w:rFonts w:ascii="Calibri Light" w:eastAsia="Calibri" w:hAnsi="Calibri Light" w:cs="Calibri Light"/>
        </w:rPr>
        <w:t xml:space="preserve">The measures are constructed for each </w:t>
      </w:r>
      <w:r w:rsidR="00592A30" w:rsidRPr="00592A30">
        <w:rPr>
          <w:rFonts w:ascii="Calibri Light" w:eastAsia="Calibri" w:hAnsi="Calibri Light" w:cs="Calibri Light"/>
        </w:rPr>
        <w:lastRenderedPageBreak/>
        <w:t>TA by summing the population of SA1s whose centroid lies within each distance measure, and then dividing by TA population.</w:t>
      </w:r>
      <w:r w:rsidR="00851FC7" w:rsidRPr="0036638C">
        <w:rPr>
          <w:rStyle w:val="FootnoteReference"/>
          <w:rFonts w:ascii="Calibri Light" w:eastAsia="Calibri" w:hAnsi="Calibri Light" w:cs="Calibri Light"/>
        </w:rPr>
        <w:footnoteReference w:id="35"/>
      </w:r>
      <w:r w:rsidR="00851FC7" w:rsidRPr="0036638C">
        <w:rPr>
          <w:rFonts w:ascii="Calibri Light" w:eastAsia="Calibri" w:hAnsi="Calibri Light" w:cs="Calibri Light"/>
        </w:rPr>
        <w:t xml:space="preserve"> </w:t>
      </w:r>
    </w:p>
    <w:p w14:paraId="48CBA7E6" w14:textId="2E7B4879" w:rsidR="00824D4F" w:rsidRPr="0036638C" w:rsidRDefault="00781777" w:rsidP="004F0A37">
      <w:pPr>
        <w:spacing w:after="240" w:line="312" w:lineRule="auto"/>
        <w:jc w:val="both"/>
        <w:rPr>
          <w:rFonts w:ascii="Calibri Light" w:eastAsia="Calibri" w:hAnsi="Calibri Light" w:cs="Calibri Light"/>
        </w:rPr>
      </w:pPr>
      <w:r w:rsidRPr="0036638C">
        <w:rPr>
          <w:rFonts w:ascii="Calibri Light" w:eastAsia="Calibri" w:hAnsi="Calibri Light" w:cs="Calibri Light"/>
        </w:rPr>
        <w:t xml:space="preserve">Figure </w:t>
      </w:r>
      <w:r w:rsidR="003252B3">
        <w:rPr>
          <w:rFonts w:ascii="Calibri Light" w:eastAsia="Calibri" w:hAnsi="Calibri Light" w:cs="Calibri Light"/>
        </w:rPr>
        <w:t>5</w:t>
      </w:r>
      <w:r w:rsidRPr="0036638C">
        <w:rPr>
          <w:rFonts w:ascii="Calibri Light" w:eastAsia="Calibri" w:hAnsi="Calibri Light" w:cs="Calibri Light"/>
        </w:rPr>
        <w:t xml:space="preserve"> </w:t>
      </w:r>
      <w:r w:rsidR="00335463">
        <w:rPr>
          <w:rFonts w:ascii="Calibri Light" w:eastAsia="Calibri" w:hAnsi="Calibri Light" w:cs="Calibri Light"/>
        </w:rPr>
        <w:t>compares the three measures</w:t>
      </w:r>
      <w:r w:rsidR="00824D4F">
        <w:rPr>
          <w:rFonts w:ascii="Calibri Light" w:eastAsia="Calibri" w:hAnsi="Calibri Light" w:cs="Calibri Light"/>
        </w:rPr>
        <w:t xml:space="preserve"> </w:t>
      </w:r>
      <w:r w:rsidR="00E41B29">
        <w:rPr>
          <w:rFonts w:ascii="Calibri Light" w:eastAsia="Calibri" w:hAnsi="Calibri Light" w:cs="Calibri Light"/>
        </w:rPr>
        <w:t>of access</w:t>
      </w:r>
      <w:r w:rsidR="00824D4F" w:rsidRPr="0036638C">
        <w:rPr>
          <w:rFonts w:ascii="Calibri Light" w:eastAsia="Calibri" w:hAnsi="Calibri Light" w:cs="Calibri Light"/>
        </w:rPr>
        <w:t>. Each measure declines slowly over time with the 0.5</w:t>
      </w:r>
      <w:r w:rsidR="00A76590">
        <w:rPr>
          <w:rFonts w:ascii="Calibri Light" w:eastAsia="Calibri" w:hAnsi="Calibri Light" w:cs="Calibri Light"/>
        </w:rPr>
        <w:t>km</w:t>
      </w:r>
      <w:r w:rsidR="00824D4F" w:rsidRPr="0036638C">
        <w:rPr>
          <w:rFonts w:ascii="Calibri Light" w:eastAsia="Calibri" w:hAnsi="Calibri Light" w:cs="Calibri Light"/>
        </w:rPr>
        <w:t xml:space="preserve"> access variable declining by 19.3 percent over the </w:t>
      </w:r>
      <w:r w:rsidR="00133D0E">
        <w:rPr>
          <w:rFonts w:ascii="Calibri Light" w:eastAsia="Calibri" w:hAnsi="Calibri Light" w:cs="Calibri Light"/>
        </w:rPr>
        <w:t xml:space="preserve">sample </w:t>
      </w:r>
      <w:r w:rsidR="001E0E42">
        <w:rPr>
          <w:rFonts w:ascii="Calibri Light" w:eastAsia="Calibri" w:hAnsi="Calibri Light" w:cs="Calibri Light"/>
        </w:rPr>
        <w:t>time</w:t>
      </w:r>
      <w:r w:rsidR="00787786">
        <w:rPr>
          <w:rFonts w:ascii="Calibri Light" w:eastAsia="Calibri" w:hAnsi="Calibri Light" w:cs="Calibri Light"/>
        </w:rPr>
        <w:t>frame (2010 to 2018);</w:t>
      </w:r>
      <w:r w:rsidR="00824D4F" w:rsidRPr="0036638C">
        <w:rPr>
          <w:rFonts w:ascii="Calibri Light" w:eastAsia="Calibri" w:hAnsi="Calibri Light" w:cs="Calibri Light"/>
        </w:rPr>
        <w:t xml:space="preserve"> while the 1</w:t>
      </w:r>
      <w:r w:rsidR="000C034C">
        <w:rPr>
          <w:rFonts w:ascii="Calibri Light" w:eastAsia="Calibri" w:hAnsi="Calibri Light" w:cs="Calibri Light"/>
        </w:rPr>
        <w:t>km</w:t>
      </w:r>
      <w:r w:rsidR="00824D4F">
        <w:rPr>
          <w:rFonts w:ascii="Calibri Light" w:eastAsia="Calibri" w:hAnsi="Calibri Light" w:cs="Calibri Light"/>
        </w:rPr>
        <w:t xml:space="preserve"> </w:t>
      </w:r>
      <w:r w:rsidR="00824D4F" w:rsidRPr="0036638C">
        <w:rPr>
          <w:rFonts w:ascii="Calibri Light" w:eastAsia="Calibri" w:hAnsi="Calibri Light" w:cs="Calibri Light"/>
        </w:rPr>
        <w:t>and 2</w:t>
      </w:r>
      <w:r w:rsidR="000C034C">
        <w:rPr>
          <w:rFonts w:ascii="Calibri Light" w:eastAsia="Calibri" w:hAnsi="Calibri Light" w:cs="Calibri Light"/>
        </w:rPr>
        <w:t>km</w:t>
      </w:r>
      <w:r w:rsidR="00824D4F" w:rsidRPr="0036638C">
        <w:rPr>
          <w:rFonts w:ascii="Calibri Light" w:eastAsia="Calibri" w:hAnsi="Calibri Light" w:cs="Calibri Light"/>
        </w:rPr>
        <w:t xml:space="preserve"> access variable</w:t>
      </w:r>
      <w:r w:rsidR="000C034C">
        <w:rPr>
          <w:rFonts w:ascii="Calibri Light" w:eastAsia="Calibri" w:hAnsi="Calibri Light" w:cs="Calibri Light"/>
        </w:rPr>
        <w:t>s</w:t>
      </w:r>
      <w:r w:rsidR="00824D4F" w:rsidRPr="0036638C">
        <w:rPr>
          <w:rFonts w:ascii="Calibri Light" w:eastAsia="Calibri" w:hAnsi="Calibri Light" w:cs="Calibri Light"/>
        </w:rPr>
        <w:t xml:space="preserve"> show smaller declines (11.4 percent and 4.2 percent respectively).</w:t>
      </w:r>
      <w:r w:rsidR="007833DA">
        <w:rPr>
          <w:rFonts w:ascii="Calibri Light" w:eastAsia="Calibri" w:hAnsi="Calibri Light" w:cs="Calibri Light"/>
        </w:rPr>
        <w:t xml:space="preserve"> </w:t>
      </w:r>
      <w:r w:rsidR="00C072CA">
        <w:rPr>
          <w:rFonts w:ascii="Calibri Light" w:eastAsia="Calibri" w:hAnsi="Calibri Light" w:cs="Calibri Light"/>
        </w:rPr>
        <w:t>Th</w:t>
      </w:r>
      <w:r w:rsidR="006A1348">
        <w:rPr>
          <w:rFonts w:ascii="Calibri Light" w:eastAsia="Calibri" w:hAnsi="Calibri Light" w:cs="Calibri Light"/>
        </w:rPr>
        <w:t>e general declining</w:t>
      </w:r>
      <w:r w:rsidR="00D94F4C">
        <w:rPr>
          <w:rFonts w:ascii="Calibri Light" w:eastAsia="Calibri" w:hAnsi="Calibri Light" w:cs="Calibri Light"/>
        </w:rPr>
        <w:t xml:space="preserve"> </w:t>
      </w:r>
      <w:r w:rsidR="003A4F17">
        <w:rPr>
          <w:rFonts w:ascii="Calibri Light" w:eastAsia="Calibri" w:hAnsi="Calibri Light" w:cs="Calibri Light"/>
        </w:rPr>
        <w:t>trend</w:t>
      </w:r>
      <w:r w:rsidR="00C072CA">
        <w:rPr>
          <w:rFonts w:ascii="Calibri Light" w:eastAsia="Calibri" w:hAnsi="Calibri Light" w:cs="Calibri Light"/>
        </w:rPr>
        <w:t xml:space="preserve"> is in accord with the </w:t>
      </w:r>
      <w:r w:rsidR="0079774C">
        <w:rPr>
          <w:rFonts w:ascii="Calibri Light" w:eastAsia="Calibri" w:hAnsi="Calibri Light" w:cs="Calibri Light"/>
        </w:rPr>
        <w:t>falling</w:t>
      </w:r>
      <w:r w:rsidR="00C072CA">
        <w:rPr>
          <w:rFonts w:ascii="Calibri Light" w:eastAsia="Calibri" w:hAnsi="Calibri Light" w:cs="Calibri Light"/>
        </w:rPr>
        <w:t xml:space="preserve"> number of Class 4 venues and EGM</w:t>
      </w:r>
      <w:r w:rsidR="00946FCF">
        <w:rPr>
          <w:rFonts w:ascii="Calibri Light" w:eastAsia="Calibri" w:hAnsi="Calibri Light" w:cs="Calibri Light"/>
        </w:rPr>
        <w:t>s</w:t>
      </w:r>
      <w:r w:rsidR="00C072CA">
        <w:rPr>
          <w:rFonts w:ascii="Calibri Light" w:eastAsia="Calibri" w:hAnsi="Calibri Light" w:cs="Calibri Light"/>
        </w:rPr>
        <w:t xml:space="preserve"> in NZ over time.</w:t>
      </w:r>
    </w:p>
    <w:p w14:paraId="5F95B7AE" w14:textId="3AC04EB8" w:rsidR="00FB34EC" w:rsidRDefault="00FB34EC" w:rsidP="00FB34EC">
      <w:pPr>
        <w:pStyle w:val="Caption"/>
        <w:keepNext/>
        <w:spacing w:after="0"/>
        <w:jc w:val="both"/>
      </w:pPr>
      <w:bookmarkStart w:id="231" w:name="_Toc50034206"/>
      <w:r>
        <w:t xml:space="preserve">Figure </w:t>
      </w:r>
      <w:fldSimple w:instr=" SEQ Figure \* ARABIC ">
        <w:r w:rsidR="00CB2BDA">
          <w:rPr>
            <w:noProof/>
          </w:rPr>
          <w:t>5</w:t>
        </w:r>
      </w:fldSimple>
      <w:r>
        <w:t xml:space="preserve">. </w:t>
      </w:r>
      <w:r w:rsidRPr="002E5634">
        <w:t xml:space="preserve">Access to </w:t>
      </w:r>
      <w:r w:rsidR="004122C3">
        <w:t>EGMs</w:t>
      </w:r>
      <w:bookmarkEnd w:id="231"/>
      <w:r w:rsidR="00372B46" w:rsidRPr="002E5634">
        <w:t xml:space="preserve">  </w:t>
      </w:r>
    </w:p>
    <w:p w14:paraId="3993A1E0" w14:textId="77777777" w:rsidR="009A66D6" w:rsidRPr="009A66D6" w:rsidRDefault="009A66D6" w:rsidP="009A66D6">
      <w:pPr>
        <w:rPr>
          <w:sz w:val="12"/>
          <w:szCs w:val="12"/>
        </w:rPr>
      </w:pPr>
    </w:p>
    <w:p w14:paraId="0F307905" w14:textId="5BE8109A" w:rsidR="004B1ECA" w:rsidRDefault="00155A8F" w:rsidP="001970D5">
      <w:pPr>
        <w:spacing w:after="0" w:line="312" w:lineRule="auto"/>
        <w:jc w:val="both"/>
        <w:rPr>
          <w:rFonts w:ascii="Calibri Light" w:eastAsia="Calibri" w:hAnsi="Calibri Light" w:cs="Calibri Light"/>
          <w:color w:val="262626"/>
          <w:sz w:val="20"/>
          <w:szCs w:val="20"/>
        </w:rPr>
      </w:pPr>
      <w:r>
        <w:rPr>
          <w:noProof/>
        </w:rPr>
        <w:drawing>
          <wp:inline distT="0" distB="0" distL="0" distR="0" wp14:anchorId="3BB48701" wp14:editId="7F9BE78C">
            <wp:extent cx="6082748" cy="3331596"/>
            <wp:effectExtent l="0" t="0" r="0" b="2540"/>
            <wp:docPr id="6" name="Chart 6">
              <a:extLst xmlns:a="http://schemas.openxmlformats.org/drawingml/2006/main">
                <a:ext uri="{FF2B5EF4-FFF2-40B4-BE49-F238E27FC236}">
                  <a16:creationId xmlns:a16="http://schemas.microsoft.com/office/drawing/2014/main" id="{C9BC3C82-29FB-45E8-840F-A824701FA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30DB07" w14:textId="57311401" w:rsidR="00092201" w:rsidRPr="00E70629" w:rsidRDefault="00E70629" w:rsidP="009B2379">
      <w:pPr>
        <w:spacing w:after="0" w:line="240" w:lineRule="auto"/>
        <w:jc w:val="both"/>
        <w:rPr>
          <w:rFonts w:ascii="Calibri Light" w:eastAsia="Calibri" w:hAnsi="Calibri Light" w:cs="Calibri Light"/>
          <w:color w:val="262626"/>
          <w:sz w:val="20"/>
          <w:szCs w:val="20"/>
        </w:rPr>
      </w:pPr>
      <w:r w:rsidRPr="0079774C">
        <w:rPr>
          <w:rFonts w:ascii="Calibri Light" w:eastAsia="Calibri" w:hAnsi="Calibri Light" w:cs="Calibri Light"/>
          <w:color w:val="262626"/>
          <w:sz w:val="20"/>
          <w:szCs w:val="20"/>
        </w:rPr>
        <w:t>Notes</w:t>
      </w:r>
      <w:r w:rsidRPr="00EB7205">
        <w:rPr>
          <w:rFonts w:ascii="Calibri Light" w:eastAsia="Calibri" w:hAnsi="Calibri Light" w:cs="Calibri Light"/>
          <w:color w:val="262626"/>
          <w:sz w:val="20"/>
          <w:szCs w:val="20"/>
        </w:rPr>
        <w:t xml:space="preserve">: </w:t>
      </w:r>
      <w:r w:rsidR="00BD0BCD" w:rsidRPr="00EB7205">
        <w:rPr>
          <w:rFonts w:ascii="Calibri Light" w:eastAsia="Calibri" w:hAnsi="Calibri Light" w:cs="Calibri Light"/>
          <w:color w:val="262626"/>
          <w:sz w:val="20"/>
          <w:szCs w:val="20"/>
        </w:rPr>
        <w:t>Distance</w:t>
      </w:r>
      <w:r w:rsidR="00BD0BCD">
        <w:rPr>
          <w:rFonts w:ascii="Calibri Light" w:eastAsia="Calibri" w:hAnsi="Calibri Light" w:cs="Calibri Light"/>
          <w:color w:val="262626"/>
          <w:sz w:val="20"/>
          <w:szCs w:val="20"/>
        </w:rPr>
        <w:t xml:space="preserve"> measures </w:t>
      </w:r>
      <w:r w:rsidR="004A6B46">
        <w:rPr>
          <w:rFonts w:ascii="Calibri Light" w:eastAsia="Calibri" w:hAnsi="Calibri Light" w:cs="Calibri Light"/>
          <w:color w:val="262626"/>
          <w:sz w:val="20"/>
          <w:szCs w:val="20"/>
        </w:rPr>
        <w:t xml:space="preserve">are </w:t>
      </w:r>
      <w:r w:rsidR="00BD0BCD">
        <w:rPr>
          <w:rFonts w:ascii="Calibri Light" w:eastAsia="Calibri" w:hAnsi="Calibri Light" w:cs="Calibri Light"/>
          <w:color w:val="262626"/>
          <w:sz w:val="20"/>
          <w:szCs w:val="20"/>
        </w:rPr>
        <w:t xml:space="preserve">constructed using </w:t>
      </w:r>
      <w:r w:rsidR="004E28D9">
        <w:rPr>
          <w:rFonts w:ascii="Calibri Light" w:eastAsia="Calibri" w:hAnsi="Calibri Light" w:cs="Calibri Light"/>
          <w:color w:val="262626"/>
          <w:sz w:val="20"/>
          <w:szCs w:val="20"/>
        </w:rPr>
        <w:t xml:space="preserve">geographic </w:t>
      </w:r>
      <w:r w:rsidR="004A6B46">
        <w:rPr>
          <w:rFonts w:ascii="Calibri Light" w:eastAsia="Calibri" w:hAnsi="Calibri Light" w:cs="Calibri Light"/>
          <w:color w:val="262626"/>
          <w:sz w:val="20"/>
          <w:szCs w:val="20"/>
        </w:rPr>
        <w:t xml:space="preserve">boundaries and </w:t>
      </w:r>
      <w:r w:rsidR="0029771B">
        <w:rPr>
          <w:rFonts w:ascii="Calibri Light" w:eastAsia="Calibri" w:hAnsi="Calibri Light" w:cs="Calibri Light"/>
          <w:color w:val="262626"/>
          <w:sz w:val="20"/>
          <w:szCs w:val="20"/>
        </w:rPr>
        <w:t xml:space="preserve">population </w:t>
      </w:r>
      <w:r w:rsidR="000F3492">
        <w:rPr>
          <w:rFonts w:ascii="Calibri Light" w:eastAsia="Calibri" w:hAnsi="Calibri Light" w:cs="Calibri Light"/>
          <w:color w:val="262626"/>
          <w:sz w:val="20"/>
          <w:szCs w:val="20"/>
        </w:rPr>
        <w:t xml:space="preserve">estimates </w:t>
      </w:r>
      <w:r w:rsidR="00E2239D">
        <w:rPr>
          <w:rFonts w:ascii="Calibri Light" w:eastAsia="Calibri" w:hAnsi="Calibri Light" w:cs="Calibri Light"/>
          <w:color w:val="262626"/>
          <w:sz w:val="20"/>
          <w:szCs w:val="20"/>
        </w:rPr>
        <w:t xml:space="preserve">sourced </w:t>
      </w:r>
      <w:r w:rsidR="004E28D9">
        <w:rPr>
          <w:rFonts w:ascii="Calibri Light" w:eastAsia="Calibri" w:hAnsi="Calibri Light" w:cs="Calibri Light"/>
          <w:color w:val="262626"/>
          <w:sz w:val="20"/>
          <w:szCs w:val="20"/>
        </w:rPr>
        <w:t>from Stats NZ</w:t>
      </w:r>
      <w:r w:rsidR="0029771B">
        <w:rPr>
          <w:rFonts w:ascii="Calibri Light" w:eastAsia="Calibri" w:hAnsi="Calibri Light" w:cs="Calibri Light"/>
          <w:color w:val="262626"/>
          <w:sz w:val="20"/>
          <w:szCs w:val="20"/>
        </w:rPr>
        <w:t>.</w:t>
      </w:r>
      <w:r w:rsidR="00E02D09">
        <w:rPr>
          <w:rFonts w:ascii="Calibri Light" w:eastAsia="Calibri" w:hAnsi="Calibri Light" w:cs="Calibri Light"/>
          <w:color w:val="262626"/>
          <w:sz w:val="20"/>
          <w:szCs w:val="20"/>
        </w:rPr>
        <w:t xml:space="preserve"> Physical locations of EGMs provided by </w:t>
      </w:r>
      <w:r w:rsidR="0081092B">
        <w:rPr>
          <w:rFonts w:ascii="Calibri Light" w:eastAsia="Calibri" w:hAnsi="Calibri Light" w:cs="Calibri Light"/>
          <w:color w:val="262626"/>
          <w:sz w:val="20"/>
          <w:szCs w:val="20"/>
        </w:rPr>
        <w:t>DIA</w:t>
      </w:r>
      <w:r w:rsidR="00E02D09">
        <w:rPr>
          <w:rFonts w:ascii="Calibri Light" w:eastAsia="Calibri" w:hAnsi="Calibri Light" w:cs="Calibri Light"/>
          <w:color w:val="262626"/>
          <w:sz w:val="20"/>
          <w:szCs w:val="20"/>
        </w:rPr>
        <w:t>.</w:t>
      </w:r>
    </w:p>
    <w:p w14:paraId="77431A48" w14:textId="77777777" w:rsidR="001970D5" w:rsidRPr="00E70629" w:rsidRDefault="001970D5" w:rsidP="001970D5">
      <w:pPr>
        <w:spacing w:after="0" w:line="312" w:lineRule="auto"/>
        <w:jc w:val="both"/>
        <w:rPr>
          <w:rFonts w:ascii="Calibri Light" w:eastAsia="Calibri" w:hAnsi="Calibri Light" w:cs="Calibri Light"/>
          <w:color w:val="262626"/>
          <w:sz w:val="20"/>
          <w:szCs w:val="20"/>
        </w:rPr>
      </w:pPr>
    </w:p>
    <w:p w14:paraId="10B9A222" w14:textId="70885267" w:rsidR="00210593" w:rsidRPr="00DF0A15" w:rsidRDefault="00A97EE9" w:rsidP="0068358A">
      <w:pPr>
        <w:pStyle w:val="Caption"/>
        <w:keepNext/>
        <w:spacing w:after="0" w:line="312" w:lineRule="auto"/>
        <w:jc w:val="both"/>
        <w:rPr>
          <w:b w:val="0"/>
          <w:bCs w:val="0"/>
          <w:color w:val="262626" w:themeColor="text1" w:themeTint="D9"/>
        </w:rPr>
      </w:pPr>
      <w:r w:rsidRPr="00DF0A15">
        <w:rPr>
          <w:b w:val="0"/>
          <w:color w:val="262626" w:themeColor="text1" w:themeTint="D9"/>
        </w:rPr>
        <w:t xml:space="preserve">Figure 5 </w:t>
      </w:r>
      <w:r w:rsidR="00E00546" w:rsidRPr="00DF0A15">
        <w:rPr>
          <w:b w:val="0"/>
          <w:color w:val="262626" w:themeColor="text1" w:themeTint="D9"/>
        </w:rPr>
        <w:t xml:space="preserve">masks variation in the accessibility </w:t>
      </w:r>
      <w:r w:rsidR="0089769C" w:rsidRPr="00DF0A15">
        <w:rPr>
          <w:b w:val="0"/>
          <w:color w:val="262626" w:themeColor="text1" w:themeTint="D9"/>
        </w:rPr>
        <w:t>to EGMs at</w:t>
      </w:r>
      <w:r w:rsidR="004A3A9A" w:rsidRPr="00DF0A15">
        <w:rPr>
          <w:b w:val="0"/>
          <w:bCs w:val="0"/>
          <w:color w:val="262626" w:themeColor="text1" w:themeTint="D9"/>
        </w:rPr>
        <w:t xml:space="preserve"> the TA-level. In the appendix, Figure A1 </w:t>
      </w:r>
      <w:r w:rsidR="00A74751" w:rsidRPr="00DF0A15">
        <w:rPr>
          <w:b w:val="0"/>
          <w:bCs w:val="0"/>
          <w:color w:val="262626" w:themeColor="text1" w:themeTint="D9"/>
        </w:rPr>
        <w:t xml:space="preserve">presents the approximate </w:t>
      </w:r>
      <w:r w:rsidR="00A6231F" w:rsidRPr="00DF0A15">
        <w:rPr>
          <w:b w:val="0"/>
          <w:bCs w:val="0"/>
          <w:color w:val="262626" w:themeColor="text1" w:themeTint="D9"/>
        </w:rPr>
        <w:t>proportion</w:t>
      </w:r>
      <w:r w:rsidR="00A74751" w:rsidRPr="00DF0A15">
        <w:rPr>
          <w:b w:val="0"/>
          <w:bCs w:val="0"/>
          <w:color w:val="262626" w:themeColor="text1" w:themeTint="D9"/>
        </w:rPr>
        <w:t xml:space="preserve"> of </w:t>
      </w:r>
      <w:r w:rsidR="00DF2270" w:rsidRPr="00DF0A15">
        <w:rPr>
          <w:b w:val="0"/>
          <w:bCs w:val="0"/>
          <w:color w:val="262626" w:themeColor="text1" w:themeTint="D9"/>
        </w:rPr>
        <w:t xml:space="preserve">the TA population that is within </w:t>
      </w:r>
      <w:r w:rsidR="00A6231F" w:rsidRPr="00DF0A15">
        <w:rPr>
          <w:b w:val="0"/>
          <w:bCs w:val="0"/>
          <w:color w:val="262626" w:themeColor="text1" w:themeTint="D9"/>
        </w:rPr>
        <w:t>1km</w:t>
      </w:r>
      <w:r w:rsidR="00DF2270" w:rsidRPr="00DF0A15">
        <w:rPr>
          <w:b w:val="0"/>
          <w:bCs w:val="0"/>
          <w:color w:val="262626" w:themeColor="text1" w:themeTint="D9"/>
        </w:rPr>
        <w:t xml:space="preserve"> of a</w:t>
      </w:r>
      <w:r w:rsidR="001876A8" w:rsidRPr="00DF0A15">
        <w:rPr>
          <w:b w:val="0"/>
          <w:bCs w:val="0"/>
          <w:color w:val="262626" w:themeColor="text1" w:themeTint="D9"/>
        </w:rPr>
        <w:t>n</w:t>
      </w:r>
      <w:r w:rsidR="00DF2270" w:rsidRPr="00DF0A15">
        <w:rPr>
          <w:b w:val="0"/>
          <w:bCs w:val="0"/>
          <w:color w:val="262626" w:themeColor="text1" w:themeTint="D9"/>
        </w:rPr>
        <w:t xml:space="preserve"> EGM in </w:t>
      </w:r>
      <w:r w:rsidR="00DF2270" w:rsidRPr="008B5152">
        <w:rPr>
          <w:b w:val="0"/>
          <w:color w:val="262626" w:themeColor="text1" w:themeTint="D9"/>
        </w:rPr>
        <w:t>201</w:t>
      </w:r>
      <w:r w:rsidR="00766CB0" w:rsidRPr="008B5152">
        <w:rPr>
          <w:b w:val="0"/>
          <w:color w:val="262626" w:themeColor="text1" w:themeTint="D9"/>
        </w:rPr>
        <w:t>8</w:t>
      </w:r>
      <w:r w:rsidR="00DF2270" w:rsidRPr="008B5152">
        <w:rPr>
          <w:b w:val="0"/>
          <w:color w:val="262626" w:themeColor="text1" w:themeTint="D9"/>
        </w:rPr>
        <w:t>.</w:t>
      </w:r>
      <w:r w:rsidR="00DF2270" w:rsidRPr="008B5152">
        <w:rPr>
          <w:b w:val="0"/>
          <w:bCs w:val="0"/>
          <w:color w:val="262626" w:themeColor="text1" w:themeTint="D9"/>
        </w:rPr>
        <w:t xml:space="preserve"> As</w:t>
      </w:r>
      <w:r w:rsidR="00DF2270" w:rsidRPr="00DF0A15">
        <w:rPr>
          <w:b w:val="0"/>
          <w:bCs w:val="0"/>
          <w:color w:val="262626" w:themeColor="text1" w:themeTint="D9"/>
        </w:rPr>
        <w:t xml:space="preserve"> </w:t>
      </w:r>
      <w:r w:rsidR="00764AA9" w:rsidRPr="00DF0A15">
        <w:rPr>
          <w:b w:val="0"/>
          <w:bCs w:val="0"/>
          <w:color w:val="262626" w:themeColor="text1" w:themeTint="D9"/>
        </w:rPr>
        <w:t>evident in Figure A1</w:t>
      </w:r>
      <w:r w:rsidR="00DF2270" w:rsidRPr="00DF0A15">
        <w:rPr>
          <w:b w:val="0"/>
          <w:bCs w:val="0"/>
          <w:color w:val="262626" w:themeColor="text1" w:themeTint="D9"/>
        </w:rPr>
        <w:t xml:space="preserve">, there is substantial variation across </w:t>
      </w:r>
      <w:proofErr w:type="spellStart"/>
      <w:r w:rsidR="00DF2270" w:rsidRPr="00DF0A15">
        <w:rPr>
          <w:b w:val="0"/>
          <w:bCs w:val="0"/>
          <w:color w:val="262626" w:themeColor="text1" w:themeTint="D9"/>
        </w:rPr>
        <w:t>TAs.</w:t>
      </w:r>
      <w:proofErr w:type="spellEnd"/>
      <w:r w:rsidR="00DF2270" w:rsidRPr="00DF0A15">
        <w:rPr>
          <w:b w:val="0"/>
          <w:bCs w:val="0"/>
          <w:color w:val="262626" w:themeColor="text1" w:themeTint="D9"/>
        </w:rPr>
        <w:t xml:space="preserve"> For example, our distance measure estimates that </w:t>
      </w:r>
      <w:r w:rsidR="00764AA9" w:rsidRPr="00DF0A15">
        <w:rPr>
          <w:b w:val="0"/>
          <w:bCs w:val="0"/>
          <w:color w:val="262626" w:themeColor="text1" w:themeTint="D9"/>
        </w:rPr>
        <w:t>approximately</w:t>
      </w:r>
      <w:r w:rsidR="00DF2270" w:rsidRPr="00DF0A15">
        <w:rPr>
          <w:b w:val="0"/>
          <w:bCs w:val="0"/>
          <w:color w:val="262626" w:themeColor="text1" w:themeTint="D9"/>
        </w:rPr>
        <w:t xml:space="preserve"> </w:t>
      </w:r>
      <w:r w:rsidR="00065FBC" w:rsidRPr="00DF0A15">
        <w:rPr>
          <w:b w:val="0"/>
          <w:bCs w:val="0"/>
          <w:color w:val="262626" w:themeColor="text1" w:themeTint="D9"/>
        </w:rPr>
        <w:t>68</w:t>
      </w:r>
      <w:r w:rsidR="00DF2270" w:rsidRPr="00DF0A15">
        <w:rPr>
          <w:b w:val="0"/>
          <w:bCs w:val="0"/>
          <w:color w:val="262626" w:themeColor="text1" w:themeTint="D9"/>
        </w:rPr>
        <w:t xml:space="preserve"> percent of </w:t>
      </w:r>
      <w:r w:rsidR="00CC6D3E" w:rsidRPr="00DF0A15">
        <w:rPr>
          <w:b w:val="0"/>
          <w:bCs w:val="0"/>
          <w:color w:val="262626" w:themeColor="text1" w:themeTint="D9"/>
        </w:rPr>
        <w:t>residents in the</w:t>
      </w:r>
      <w:r w:rsidR="00A74751" w:rsidRPr="00DF0A15">
        <w:rPr>
          <w:b w:val="0"/>
          <w:bCs w:val="0"/>
          <w:color w:val="262626" w:themeColor="text1" w:themeTint="D9"/>
        </w:rPr>
        <w:t xml:space="preserve"> </w:t>
      </w:r>
      <w:r w:rsidR="00065FBC" w:rsidRPr="00DF0A15">
        <w:rPr>
          <w:b w:val="0"/>
          <w:bCs w:val="0"/>
          <w:color w:val="262626" w:themeColor="text1" w:themeTint="D9"/>
        </w:rPr>
        <w:t xml:space="preserve">Napier </w:t>
      </w:r>
      <w:r w:rsidR="007F67F4" w:rsidRPr="00DF0A15">
        <w:rPr>
          <w:b w:val="0"/>
          <w:bCs w:val="0"/>
          <w:color w:val="262626" w:themeColor="text1" w:themeTint="D9"/>
        </w:rPr>
        <w:t>TA</w:t>
      </w:r>
      <w:r w:rsidR="00065FBC" w:rsidRPr="00DF0A15">
        <w:rPr>
          <w:b w:val="0"/>
          <w:bCs w:val="0"/>
          <w:color w:val="262626" w:themeColor="text1" w:themeTint="D9"/>
        </w:rPr>
        <w:t xml:space="preserve"> live within </w:t>
      </w:r>
      <w:r w:rsidR="00764AA9" w:rsidRPr="00DF0A15">
        <w:rPr>
          <w:b w:val="0"/>
          <w:bCs w:val="0"/>
          <w:color w:val="262626" w:themeColor="text1" w:themeTint="D9"/>
        </w:rPr>
        <w:t>1km</w:t>
      </w:r>
      <w:r w:rsidR="00065FBC" w:rsidRPr="00DF0A15">
        <w:rPr>
          <w:b w:val="0"/>
          <w:bCs w:val="0"/>
          <w:color w:val="262626" w:themeColor="text1" w:themeTint="D9"/>
        </w:rPr>
        <w:t xml:space="preserve"> of a</w:t>
      </w:r>
      <w:r w:rsidR="00CD1464" w:rsidRPr="00DF0A15">
        <w:rPr>
          <w:b w:val="0"/>
          <w:bCs w:val="0"/>
          <w:color w:val="262626" w:themeColor="text1" w:themeTint="D9"/>
        </w:rPr>
        <w:t>n</w:t>
      </w:r>
      <w:r w:rsidR="00065FBC" w:rsidRPr="00DF0A15">
        <w:rPr>
          <w:b w:val="0"/>
          <w:bCs w:val="0"/>
          <w:color w:val="262626" w:themeColor="text1" w:themeTint="D9"/>
        </w:rPr>
        <w:t xml:space="preserve"> EGM</w:t>
      </w:r>
      <w:r w:rsidR="009F4E53" w:rsidRPr="00DF0A15">
        <w:rPr>
          <w:b w:val="0"/>
          <w:bCs w:val="0"/>
          <w:color w:val="262626" w:themeColor="text1" w:themeTint="D9"/>
        </w:rPr>
        <w:t xml:space="preserve"> in </w:t>
      </w:r>
      <w:r w:rsidR="009F4E53" w:rsidRPr="00DF0A15">
        <w:rPr>
          <w:b w:val="0"/>
          <w:color w:val="262626" w:themeColor="text1" w:themeTint="D9"/>
        </w:rPr>
        <w:t>201</w:t>
      </w:r>
      <w:r w:rsidR="00BE4961" w:rsidRPr="00DF0A15">
        <w:rPr>
          <w:b w:val="0"/>
          <w:color w:val="262626" w:themeColor="text1" w:themeTint="D9"/>
        </w:rPr>
        <w:t>8</w:t>
      </w:r>
      <w:r w:rsidR="009F4E53" w:rsidRPr="00DF0A15">
        <w:rPr>
          <w:b w:val="0"/>
          <w:bCs w:val="0"/>
          <w:color w:val="262626" w:themeColor="text1" w:themeTint="D9"/>
        </w:rPr>
        <w:t xml:space="preserve">, </w:t>
      </w:r>
      <w:r w:rsidR="007F67F4" w:rsidRPr="00DF0A15">
        <w:rPr>
          <w:b w:val="0"/>
          <w:bCs w:val="0"/>
          <w:color w:val="262626" w:themeColor="text1" w:themeTint="D9"/>
        </w:rPr>
        <w:t xml:space="preserve">while </w:t>
      </w:r>
      <w:r w:rsidR="001876A8" w:rsidRPr="00DF0A15">
        <w:rPr>
          <w:b w:val="0"/>
          <w:bCs w:val="0"/>
          <w:color w:val="262626" w:themeColor="text1" w:themeTint="D9"/>
        </w:rPr>
        <w:t xml:space="preserve">the comparable number for </w:t>
      </w:r>
      <w:r w:rsidR="00210593" w:rsidRPr="00DF0A15">
        <w:rPr>
          <w:b w:val="0"/>
          <w:bCs w:val="0"/>
          <w:color w:val="262626" w:themeColor="text1" w:themeTint="D9"/>
        </w:rPr>
        <w:t xml:space="preserve">the TA of </w:t>
      </w:r>
      <w:proofErr w:type="spellStart"/>
      <w:r w:rsidR="008B2AAC" w:rsidRPr="00DF0A15">
        <w:rPr>
          <w:b w:val="0"/>
          <w:bCs w:val="0"/>
          <w:color w:val="262626" w:themeColor="text1" w:themeTint="D9"/>
        </w:rPr>
        <w:t>Otorohanga</w:t>
      </w:r>
      <w:proofErr w:type="spellEnd"/>
      <w:r w:rsidR="007F67F4" w:rsidRPr="00DF0A15">
        <w:rPr>
          <w:b w:val="0"/>
          <w:bCs w:val="0"/>
          <w:color w:val="262626" w:themeColor="text1" w:themeTint="D9"/>
        </w:rPr>
        <w:t xml:space="preserve"> </w:t>
      </w:r>
      <w:r w:rsidR="00210593" w:rsidRPr="00DF0A15">
        <w:rPr>
          <w:b w:val="0"/>
          <w:bCs w:val="0"/>
          <w:color w:val="262626" w:themeColor="text1" w:themeTint="D9"/>
        </w:rPr>
        <w:t>is 12 percent</w:t>
      </w:r>
      <w:r w:rsidR="008B2AAC" w:rsidRPr="00DF0A15">
        <w:rPr>
          <w:b w:val="0"/>
          <w:bCs w:val="0"/>
          <w:color w:val="262626" w:themeColor="text1" w:themeTint="D9"/>
        </w:rPr>
        <w:t>.</w:t>
      </w:r>
    </w:p>
    <w:p w14:paraId="0275832A" w14:textId="77777777" w:rsidR="0068358A" w:rsidRDefault="0068358A" w:rsidP="0068358A"/>
    <w:p w14:paraId="2E0932A1" w14:textId="77777777" w:rsidR="0068358A" w:rsidRPr="0068358A" w:rsidRDefault="0068358A" w:rsidP="0068358A"/>
    <w:p w14:paraId="060A5016" w14:textId="7DD93455" w:rsidR="00DD1009" w:rsidRDefault="00DD1009" w:rsidP="0040286C">
      <w:pPr>
        <w:pStyle w:val="FigureTableTitle"/>
        <w:spacing w:before="0"/>
        <w:rPr>
          <w:rStyle w:val="normaltextrun"/>
          <w:color w:val="262626" w:themeColor="text1" w:themeTint="D9"/>
        </w:rPr>
      </w:pPr>
      <w:r>
        <w:rPr>
          <w:rStyle w:val="normaltextrun"/>
          <w:color w:val="262626" w:themeColor="text1" w:themeTint="D9"/>
        </w:rPr>
        <w:lastRenderedPageBreak/>
        <w:t>Descriptive Statistics</w:t>
      </w:r>
    </w:p>
    <w:p w14:paraId="11308BBB" w14:textId="47A560EB" w:rsidR="00DD1009" w:rsidRDefault="00040EAB" w:rsidP="0068358A">
      <w:pPr>
        <w:pStyle w:val="FigureTableTitle"/>
        <w:spacing w:line="312" w:lineRule="auto"/>
        <w:jc w:val="both"/>
        <w:rPr>
          <w:rFonts w:eastAsiaTheme="minorEastAsia"/>
          <w:b w:val="0"/>
          <w:bCs w:val="0"/>
          <w:color w:val="000000"/>
          <w:lang w:val="en-AU"/>
        </w:rPr>
      </w:pPr>
      <w:r>
        <w:rPr>
          <w:rStyle w:val="normaltextrun"/>
          <w:b w:val="0"/>
          <w:bCs w:val="0"/>
          <w:color w:val="262626" w:themeColor="text1" w:themeTint="D9"/>
        </w:rPr>
        <w:t xml:space="preserve">Table 7 presents </w:t>
      </w:r>
      <w:r w:rsidR="003510FA">
        <w:rPr>
          <w:rStyle w:val="normaltextrun"/>
          <w:b w:val="0"/>
          <w:bCs w:val="0"/>
          <w:color w:val="262626" w:themeColor="text1" w:themeTint="D9"/>
        </w:rPr>
        <w:t xml:space="preserve">definitions </w:t>
      </w:r>
      <w:r w:rsidR="00A10944">
        <w:rPr>
          <w:rStyle w:val="normaltextrun"/>
          <w:b w:val="0"/>
          <w:bCs w:val="0"/>
          <w:color w:val="262626" w:themeColor="text1" w:themeTint="D9"/>
        </w:rPr>
        <w:t xml:space="preserve">and </w:t>
      </w:r>
      <w:proofErr w:type="spellStart"/>
      <w:r w:rsidR="00A10944">
        <w:rPr>
          <w:rStyle w:val="normaltextrun"/>
          <w:b w:val="0"/>
          <w:bCs w:val="0"/>
          <w:color w:val="262626" w:themeColor="text1" w:themeTint="D9"/>
        </w:rPr>
        <w:t>descriptives</w:t>
      </w:r>
      <w:proofErr w:type="spellEnd"/>
      <w:r w:rsidR="00A10944">
        <w:rPr>
          <w:rStyle w:val="normaltextrun"/>
          <w:b w:val="0"/>
          <w:bCs w:val="0"/>
          <w:color w:val="262626" w:themeColor="text1" w:themeTint="D9"/>
        </w:rPr>
        <w:t xml:space="preserve"> of our outcome of interest (bankruptcies)</w:t>
      </w:r>
      <w:r w:rsidR="00C71FB5">
        <w:rPr>
          <w:rStyle w:val="normaltextrun"/>
          <w:b w:val="0"/>
          <w:bCs w:val="0"/>
          <w:color w:val="262626" w:themeColor="text1" w:themeTint="D9"/>
        </w:rPr>
        <w:t xml:space="preserve">, additional economic controls included in the upcoming empirical </w:t>
      </w:r>
      <w:r w:rsidR="00C71FB5" w:rsidRPr="006B5EB5">
        <w:rPr>
          <w:rStyle w:val="normaltextrun"/>
          <w:b w:val="0"/>
          <w:bCs w:val="0"/>
          <w:color w:val="262626" w:themeColor="text1" w:themeTint="D9"/>
        </w:rPr>
        <w:t>specification</w:t>
      </w:r>
      <w:r w:rsidR="00921BBF" w:rsidRPr="006B5EB5">
        <w:rPr>
          <w:rStyle w:val="normaltextrun"/>
          <w:b w:val="0"/>
          <w:bCs w:val="0"/>
          <w:color w:val="262626" w:themeColor="text1" w:themeTint="D9"/>
        </w:rPr>
        <w:t xml:space="preserve"> (beyond </w:t>
      </w:r>
      <w:r w:rsidR="0015161F" w:rsidRPr="006B5EB5">
        <w:rPr>
          <w:rStyle w:val="normaltextrun"/>
          <w:b w:val="0"/>
          <w:bCs w:val="0"/>
          <w:color w:val="262626" w:themeColor="text1" w:themeTint="D9"/>
        </w:rPr>
        <w:t>those already employed in Section 4</w:t>
      </w:r>
      <w:r w:rsidR="00D276B9" w:rsidRPr="006B5EB5">
        <w:rPr>
          <w:rStyle w:val="normaltextrun"/>
          <w:b w:val="0"/>
          <w:bCs w:val="0"/>
          <w:color w:val="262626" w:themeColor="text1" w:themeTint="D9"/>
        </w:rPr>
        <w:t>)</w:t>
      </w:r>
      <w:r w:rsidR="0015161F" w:rsidRPr="006B5EB5">
        <w:rPr>
          <w:rStyle w:val="normaltextrun"/>
          <w:b w:val="0"/>
          <w:bCs w:val="0"/>
          <w:color w:val="262626" w:themeColor="text1" w:themeTint="D9"/>
        </w:rPr>
        <w:t xml:space="preserve">, and </w:t>
      </w:r>
      <w:r w:rsidR="003C5103" w:rsidRPr="006B5EB5">
        <w:rPr>
          <w:rStyle w:val="normaltextrun"/>
          <w:b w:val="0"/>
          <w:bCs w:val="0"/>
          <w:color w:val="262626" w:themeColor="text1" w:themeTint="D9"/>
        </w:rPr>
        <w:t>the three distance measures constructed.</w:t>
      </w:r>
      <w:r w:rsidR="00D276B9" w:rsidRPr="006B5EB5">
        <w:rPr>
          <w:rFonts w:eastAsiaTheme="minorEastAsia"/>
          <w:b w:val="0"/>
          <w:bCs w:val="0"/>
          <w:color w:val="262626" w:themeColor="text1" w:themeTint="D9"/>
          <w:lang w:val="en-AU"/>
        </w:rPr>
        <w:t xml:space="preserve"> </w:t>
      </w:r>
      <w:r w:rsidR="006B5F52" w:rsidRPr="006B5EB5">
        <w:rPr>
          <w:rFonts w:eastAsiaTheme="minorEastAsia"/>
          <w:b w:val="0"/>
          <w:bCs w:val="0"/>
          <w:color w:val="262626" w:themeColor="text1" w:themeTint="D9"/>
          <w:lang w:val="en-AU"/>
        </w:rPr>
        <w:t>As evident in the table, t</w:t>
      </w:r>
      <w:r w:rsidR="00D276B9" w:rsidRPr="006B5EB5">
        <w:rPr>
          <w:rFonts w:eastAsiaTheme="minorEastAsia"/>
          <w:b w:val="0"/>
          <w:bCs w:val="0"/>
          <w:color w:val="262626" w:themeColor="text1" w:themeTint="D9"/>
          <w:lang w:val="en-AU"/>
        </w:rPr>
        <w:t xml:space="preserve">here are eight fewer observations </w:t>
      </w:r>
      <w:r w:rsidR="006B5F52" w:rsidRPr="006B5EB5">
        <w:rPr>
          <w:rFonts w:eastAsiaTheme="minorEastAsia"/>
          <w:b w:val="0"/>
          <w:bCs w:val="0"/>
          <w:color w:val="262626" w:themeColor="text1" w:themeTint="D9"/>
          <w:lang w:val="en-AU"/>
        </w:rPr>
        <w:t xml:space="preserve">relative to earlier analysis in this study. The reason for this </w:t>
      </w:r>
      <w:r w:rsidR="0099639B" w:rsidRPr="006B5EB5">
        <w:rPr>
          <w:rFonts w:eastAsiaTheme="minorEastAsia"/>
          <w:b w:val="0"/>
          <w:bCs w:val="0"/>
          <w:color w:val="262626" w:themeColor="text1" w:themeTint="D9"/>
          <w:lang w:val="en-AU"/>
        </w:rPr>
        <w:t xml:space="preserve">is because </w:t>
      </w:r>
      <w:r w:rsidR="00977490" w:rsidRPr="006B5EB5">
        <w:rPr>
          <w:rFonts w:eastAsiaTheme="minorEastAsia"/>
          <w:b w:val="0"/>
          <w:bCs w:val="0"/>
          <w:color w:val="262626" w:themeColor="text1" w:themeTint="D9"/>
          <w:lang w:val="en-AU"/>
        </w:rPr>
        <w:t>the house price indicator</w:t>
      </w:r>
      <w:r w:rsidR="00D276B9" w:rsidRPr="006B5EB5">
        <w:rPr>
          <w:rFonts w:eastAsiaTheme="minorEastAsia"/>
          <w:b w:val="0"/>
          <w:bCs w:val="0"/>
          <w:color w:val="262626" w:themeColor="text1" w:themeTint="D9"/>
          <w:lang w:val="en-AU"/>
        </w:rPr>
        <w:t xml:space="preserve"> is not available for the Chatham Islands TA.</w:t>
      </w:r>
    </w:p>
    <w:p w14:paraId="05F05F4D" w14:textId="77777777" w:rsidR="00F84A45" w:rsidRPr="00040EAB" w:rsidRDefault="00F84A45" w:rsidP="003C5103">
      <w:pPr>
        <w:pStyle w:val="FigureTableTitle"/>
        <w:spacing w:line="312" w:lineRule="auto"/>
        <w:jc w:val="both"/>
        <w:rPr>
          <w:rStyle w:val="normaltextrun"/>
          <w:b w:val="0"/>
          <w:bCs w:val="0"/>
          <w:color w:val="262626" w:themeColor="text1" w:themeTint="D9"/>
        </w:rPr>
      </w:pPr>
    </w:p>
    <w:p w14:paraId="6C7D8D77" w14:textId="4B7BE0CF" w:rsidR="00F84A45" w:rsidRDefault="00F84A45" w:rsidP="00C56602">
      <w:pPr>
        <w:pStyle w:val="Caption"/>
        <w:keepNext/>
        <w:spacing w:after="0"/>
        <w:ind w:left="-142"/>
      </w:pPr>
      <w:bookmarkStart w:id="232" w:name="_Toc50033357"/>
      <w:r>
        <w:t xml:space="preserve">Table </w:t>
      </w:r>
      <w:fldSimple w:instr=" SEQ Table \* ARABIC ">
        <w:r w:rsidR="00CB2BDA">
          <w:rPr>
            <w:noProof/>
          </w:rPr>
          <w:t>7</w:t>
        </w:r>
      </w:fldSimple>
      <w:r>
        <w:t xml:space="preserve">. </w:t>
      </w:r>
      <w:r w:rsidRPr="00FA4F6D">
        <w:t xml:space="preserve">Descriptive statistics </w:t>
      </w:r>
      <w:r w:rsidR="00503C23">
        <w:t>of</w:t>
      </w:r>
      <w:r w:rsidRPr="00FA4F6D">
        <w:t xml:space="preserve"> bankruptcies, economic </w:t>
      </w:r>
      <w:proofErr w:type="gramStart"/>
      <w:r w:rsidRPr="00FA4F6D">
        <w:t>controls</w:t>
      </w:r>
      <w:proofErr w:type="gramEnd"/>
      <w:r w:rsidRPr="00FA4F6D">
        <w:t xml:space="preserve"> and distance variables</w:t>
      </w:r>
      <w:bookmarkEnd w:id="232"/>
    </w:p>
    <w:tbl>
      <w:tblPr>
        <w:tblStyle w:val="TableGrid"/>
        <w:tblW w:w="9214" w:type="dxa"/>
        <w:tblInd w:w="-147"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2410"/>
        <w:gridCol w:w="5529"/>
        <w:gridCol w:w="1275"/>
      </w:tblGrid>
      <w:tr w:rsidR="008B1EFA" w:rsidRPr="008B1EFA" w14:paraId="15875B9C" w14:textId="77777777" w:rsidTr="00F51D44">
        <w:tc>
          <w:tcPr>
            <w:tcW w:w="2410" w:type="dxa"/>
            <w:shd w:val="clear" w:color="auto" w:fill="4472C4" w:themeFill="accent5"/>
            <w:vAlign w:val="center"/>
            <w:hideMark/>
          </w:tcPr>
          <w:p w14:paraId="7D0B88BE" w14:textId="77777777" w:rsidR="00203FC1" w:rsidRPr="008B1EFA" w:rsidRDefault="00203FC1" w:rsidP="001F558D">
            <w:pPr>
              <w:jc w:val="center"/>
              <w:rPr>
                <w:rFonts w:eastAsiaTheme="majorEastAsia" w:cstheme="majorBidi"/>
                <w:color w:val="FFFFFF" w:themeColor="background1"/>
                <w:lang w:eastAsia="en-NZ"/>
              </w:rPr>
            </w:pPr>
            <w:r w:rsidRPr="008B1EFA">
              <w:rPr>
                <w:rFonts w:eastAsiaTheme="majorEastAsia" w:cstheme="majorBidi"/>
                <w:color w:val="FFFFFF" w:themeColor="background1"/>
                <w:lang w:eastAsia="en-NZ"/>
              </w:rPr>
              <w:t>Variables</w:t>
            </w:r>
          </w:p>
        </w:tc>
        <w:tc>
          <w:tcPr>
            <w:tcW w:w="5529" w:type="dxa"/>
            <w:shd w:val="clear" w:color="auto" w:fill="4472C4" w:themeFill="accent5"/>
          </w:tcPr>
          <w:p w14:paraId="3E89E62C" w14:textId="77777777" w:rsidR="00203FC1" w:rsidRPr="008B1EFA" w:rsidRDefault="00203FC1" w:rsidP="001F558D">
            <w:pPr>
              <w:jc w:val="center"/>
              <w:rPr>
                <w:rFonts w:eastAsiaTheme="majorEastAsia" w:cstheme="majorBidi"/>
                <w:color w:val="FFFFFF" w:themeColor="background1"/>
                <w:lang w:eastAsia="en-NZ"/>
              </w:rPr>
            </w:pPr>
            <w:r w:rsidRPr="008B1EFA">
              <w:rPr>
                <w:rFonts w:eastAsiaTheme="majorEastAsia" w:cstheme="majorBidi"/>
                <w:color w:val="FFFFFF" w:themeColor="background1"/>
                <w:lang w:eastAsia="en-NZ"/>
              </w:rPr>
              <w:t>Description</w:t>
            </w:r>
          </w:p>
        </w:tc>
        <w:tc>
          <w:tcPr>
            <w:tcW w:w="1275" w:type="dxa"/>
            <w:shd w:val="clear" w:color="auto" w:fill="4472C4" w:themeFill="accent5"/>
            <w:vAlign w:val="center"/>
            <w:hideMark/>
          </w:tcPr>
          <w:p w14:paraId="55CE6211" w14:textId="77777777" w:rsidR="00203FC1" w:rsidRPr="008B1EFA" w:rsidRDefault="00203FC1" w:rsidP="001F558D">
            <w:pPr>
              <w:jc w:val="center"/>
              <w:rPr>
                <w:rFonts w:eastAsiaTheme="majorEastAsia" w:cstheme="majorBidi"/>
                <w:color w:val="FFFFFF" w:themeColor="background1"/>
                <w:lang w:eastAsia="en-NZ"/>
              </w:rPr>
            </w:pPr>
            <w:r w:rsidRPr="008B1EFA">
              <w:rPr>
                <w:rFonts w:eastAsiaTheme="majorEastAsia" w:cstheme="majorBidi"/>
                <w:color w:val="FFFFFF" w:themeColor="background1"/>
                <w:lang w:eastAsia="en-NZ"/>
              </w:rPr>
              <w:t>Mean</w:t>
            </w:r>
          </w:p>
        </w:tc>
      </w:tr>
      <w:tr w:rsidR="008B1EFA" w:rsidRPr="008B1EFA" w14:paraId="0D2AF403" w14:textId="77777777" w:rsidTr="00AB786A">
        <w:tc>
          <w:tcPr>
            <w:tcW w:w="9214" w:type="dxa"/>
            <w:gridSpan w:val="3"/>
            <w:shd w:val="clear" w:color="auto" w:fill="D9E2F3" w:themeFill="accent5" w:themeFillTint="33"/>
            <w:vAlign w:val="center"/>
          </w:tcPr>
          <w:p w14:paraId="48425040" w14:textId="77777777" w:rsidR="00203FC1" w:rsidRPr="008B1EFA" w:rsidRDefault="00203FC1" w:rsidP="00F75E60">
            <w:pPr>
              <w:rPr>
                <w:rFonts w:eastAsiaTheme="majorEastAsia" w:cstheme="majorBidi"/>
                <w:b/>
                <w:lang w:eastAsia="en-NZ"/>
              </w:rPr>
            </w:pPr>
            <w:r w:rsidRPr="008B1EFA">
              <w:rPr>
                <w:rFonts w:eastAsiaTheme="majorEastAsia" w:cstheme="majorBidi"/>
                <w:b/>
                <w:lang w:eastAsia="en-NZ"/>
              </w:rPr>
              <w:t>Dependent variable</w:t>
            </w:r>
          </w:p>
        </w:tc>
      </w:tr>
      <w:tr w:rsidR="008B1EFA" w:rsidRPr="008B1EFA" w14:paraId="11F0C04A" w14:textId="77777777" w:rsidTr="00A800BB">
        <w:tc>
          <w:tcPr>
            <w:tcW w:w="2410" w:type="dxa"/>
            <w:shd w:val="clear" w:color="auto" w:fill="D9E2F3" w:themeFill="accent5" w:themeFillTint="33"/>
          </w:tcPr>
          <w:p w14:paraId="49C88B4F" w14:textId="59BE06B4" w:rsidR="00203FC1" w:rsidRPr="008B1EFA" w:rsidRDefault="00203FC1" w:rsidP="00A800BB">
            <w:pPr>
              <w:rPr>
                <w:rFonts w:ascii="Calibri Light" w:hAnsi="Calibri Light" w:cs="Calibri Light"/>
              </w:rPr>
            </w:pPr>
            <w:r w:rsidRPr="008B1EFA">
              <w:rPr>
                <w:rFonts w:ascii="Calibri Light" w:hAnsi="Calibri Light" w:cs="Calibri Light"/>
              </w:rPr>
              <w:t xml:space="preserve">Bankruptcies </w:t>
            </w:r>
          </w:p>
        </w:tc>
        <w:tc>
          <w:tcPr>
            <w:tcW w:w="5529" w:type="dxa"/>
          </w:tcPr>
          <w:p w14:paraId="2D952593" w14:textId="26E51598" w:rsidR="00203FC1" w:rsidRPr="008B1EFA" w:rsidRDefault="00203FC1" w:rsidP="001F558D">
            <w:pPr>
              <w:rPr>
                <w:rFonts w:eastAsiaTheme="majorEastAsia" w:cstheme="majorBidi"/>
                <w:lang w:eastAsia="en-NZ"/>
              </w:rPr>
            </w:pPr>
            <w:r w:rsidRPr="008B1EFA">
              <w:rPr>
                <w:rFonts w:eastAsiaTheme="majorEastAsia" w:cstheme="majorBidi"/>
                <w:lang w:eastAsia="en-NZ"/>
              </w:rPr>
              <w:t>Bankruptcies per 100,000 population</w:t>
            </w:r>
            <w:r w:rsidR="00BA4662" w:rsidRPr="008B1EFA">
              <w:rPr>
                <w:rFonts w:eastAsiaTheme="majorEastAsia" w:cstheme="majorBidi"/>
                <w:lang w:eastAsia="en-NZ"/>
              </w:rPr>
              <w:t xml:space="preserve"> of TA</w:t>
            </w:r>
          </w:p>
        </w:tc>
        <w:tc>
          <w:tcPr>
            <w:tcW w:w="1275" w:type="dxa"/>
          </w:tcPr>
          <w:p w14:paraId="0A2C8930" w14:textId="20E3F38B" w:rsidR="00203FC1" w:rsidRPr="008B1EFA" w:rsidRDefault="002E5FC0" w:rsidP="001F558D">
            <w:pPr>
              <w:jc w:val="center"/>
              <w:rPr>
                <w:rFonts w:eastAsiaTheme="majorEastAsia" w:cstheme="majorBidi"/>
                <w:lang w:eastAsia="en-NZ"/>
              </w:rPr>
            </w:pPr>
            <w:r w:rsidRPr="008B1EFA">
              <w:rPr>
                <w:rFonts w:eastAsiaTheme="majorEastAsia" w:cstheme="majorBidi"/>
                <w:lang w:eastAsia="en-NZ"/>
              </w:rPr>
              <w:t>20.23</w:t>
            </w:r>
          </w:p>
          <w:p w14:paraId="2370BEC5" w14:textId="3F050F82" w:rsidR="00203FC1" w:rsidRPr="008B1EFA" w:rsidRDefault="00203FC1" w:rsidP="001F558D">
            <w:pPr>
              <w:jc w:val="center"/>
              <w:rPr>
                <w:rFonts w:eastAsiaTheme="majorEastAsia" w:cstheme="majorBidi"/>
                <w:lang w:eastAsia="en-NZ"/>
              </w:rPr>
            </w:pPr>
            <w:r w:rsidRPr="008B1EFA">
              <w:rPr>
                <w:rFonts w:eastAsiaTheme="majorEastAsia" w:cstheme="majorBidi"/>
                <w:lang w:eastAsia="en-NZ"/>
              </w:rPr>
              <w:t>(17.77)</w:t>
            </w:r>
          </w:p>
        </w:tc>
      </w:tr>
      <w:tr w:rsidR="008B1EFA" w:rsidRPr="008B1EFA" w14:paraId="0EEEF82F" w14:textId="77777777" w:rsidTr="00A800BB">
        <w:tc>
          <w:tcPr>
            <w:tcW w:w="9214" w:type="dxa"/>
            <w:gridSpan w:val="3"/>
            <w:shd w:val="clear" w:color="auto" w:fill="D9E2F3" w:themeFill="accent5" w:themeFillTint="33"/>
          </w:tcPr>
          <w:p w14:paraId="1D6883DC" w14:textId="77777777" w:rsidR="00203FC1" w:rsidRPr="008B1EFA" w:rsidRDefault="00203FC1" w:rsidP="00F75E60">
            <w:pPr>
              <w:rPr>
                <w:rFonts w:eastAsiaTheme="majorEastAsia" w:cstheme="majorBidi"/>
                <w:b/>
                <w:lang w:eastAsia="en-NZ"/>
              </w:rPr>
            </w:pPr>
            <w:r w:rsidRPr="008B1EFA">
              <w:rPr>
                <w:rFonts w:eastAsiaTheme="majorEastAsia" w:cstheme="majorBidi"/>
                <w:b/>
                <w:lang w:eastAsia="en-NZ"/>
              </w:rPr>
              <w:t>Economic controls</w:t>
            </w:r>
          </w:p>
        </w:tc>
      </w:tr>
      <w:tr w:rsidR="008B1EFA" w:rsidRPr="008B1EFA" w14:paraId="4249A450" w14:textId="77777777" w:rsidTr="00A800BB">
        <w:tc>
          <w:tcPr>
            <w:tcW w:w="2410" w:type="dxa"/>
            <w:shd w:val="clear" w:color="auto" w:fill="D9E2F3" w:themeFill="accent5" w:themeFillTint="33"/>
          </w:tcPr>
          <w:p w14:paraId="00B3D2F5" w14:textId="406D6959" w:rsidR="00203FC1" w:rsidRPr="008B1EFA" w:rsidRDefault="00203FC1" w:rsidP="00A800BB">
            <w:pPr>
              <w:rPr>
                <w:rFonts w:ascii="Calibri Light" w:hAnsi="Calibri Light" w:cs="Calibri Light"/>
              </w:rPr>
            </w:pPr>
            <w:r w:rsidRPr="008B1EFA">
              <w:rPr>
                <w:rFonts w:ascii="Calibri Light" w:hAnsi="Calibri Light" w:cs="Calibri Light"/>
              </w:rPr>
              <w:t>House price</w:t>
            </w:r>
            <w:r w:rsidR="0031209F">
              <w:rPr>
                <w:rFonts w:ascii="Calibri Light" w:hAnsi="Calibri Light" w:cs="Calibri Light"/>
              </w:rPr>
              <w:t xml:space="preserve"> index</w:t>
            </w:r>
            <w:r w:rsidRPr="008B1EFA">
              <w:rPr>
                <w:rFonts w:ascii="Calibri Light" w:hAnsi="Calibri Light" w:cs="Calibri Light"/>
              </w:rPr>
              <w:t xml:space="preserve"> </w:t>
            </w:r>
          </w:p>
        </w:tc>
        <w:tc>
          <w:tcPr>
            <w:tcW w:w="5529" w:type="dxa"/>
          </w:tcPr>
          <w:p w14:paraId="0DB0B71B" w14:textId="3B7EE02C" w:rsidR="00203FC1" w:rsidRPr="008B1EFA" w:rsidRDefault="00203FC1" w:rsidP="001F558D">
            <w:pPr>
              <w:rPr>
                <w:rFonts w:eastAsiaTheme="majorEastAsia" w:cstheme="majorBidi"/>
                <w:lang w:eastAsia="en-NZ"/>
              </w:rPr>
            </w:pPr>
            <w:r w:rsidRPr="008B1EFA">
              <w:rPr>
                <w:rFonts w:eastAsiaTheme="majorEastAsia" w:cstheme="majorBidi"/>
                <w:lang w:eastAsia="en-NZ"/>
              </w:rPr>
              <w:t xml:space="preserve">REINZ </w:t>
            </w:r>
            <w:r w:rsidR="004D29A6">
              <w:rPr>
                <w:rFonts w:eastAsiaTheme="majorEastAsia" w:cstheme="majorBidi"/>
                <w:lang w:eastAsia="en-NZ"/>
              </w:rPr>
              <w:t>H</w:t>
            </w:r>
            <w:r w:rsidRPr="008B1EFA">
              <w:rPr>
                <w:rFonts w:eastAsiaTheme="majorEastAsia" w:cstheme="majorBidi"/>
                <w:lang w:eastAsia="en-NZ"/>
              </w:rPr>
              <w:t xml:space="preserve">ouse </w:t>
            </w:r>
            <w:r w:rsidR="004D29A6">
              <w:rPr>
                <w:rFonts w:eastAsiaTheme="majorEastAsia" w:cstheme="majorBidi"/>
                <w:lang w:eastAsia="en-NZ"/>
              </w:rPr>
              <w:t>P</w:t>
            </w:r>
            <w:r w:rsidRPr="008B1EFA">
              <w:rPr>
                <w:rFonts w:eastAsiaTheme="majorEastAsia" w:cstheme="majorBidi"/>
                <w:lang w:eastAsia="en-NZ"/>
              </w:rPr>
              <w:t xml:space="preserve">rice </w:t>
            </w:r>
            <w:r w:rsidR="004D29A6">
              <w:rPr>
                <w:rFonts w:eastAsiaTheme="majorEastAsia" w:cstheme="majorBidi"/>
                <w:lang w:eastAsia="en-NZ"/>
              </w:rPr>
              <w:t>I</w:t>
            </w:r>
            <w:r w:rsidRPr="008B1EFA">
              <w:rPr>
                <w:rFonts w:eastAsiaTheme="majorEastAsia" w:cstheme="majorBidi"/>
                <w:lang w:eastAsia="en-NZ"/>
              </w:rPr>
              <w:t>ndex (December</w:t>
            </w:r>
            <w:r w:rsidR="008E6E90">
              <w:rPr>
                <w:rFonts w:eastAsiaTheme="majorEastAsia" w:cstheme="majorBidi"/>
                <w:lang w:eastAsia="en-NZ"/>
              </w:rPr>
              <w:t xml:space="preserve"> month</w:t>
            </w:r>
            <w:r w:rsidRPr="008B1EFA">
              <w:rPr>
                <w:rFonts w:eastAsiaTheme="majorEastAsia" w:cstheme="majorBidi"/>
                <w:lang w:eastAsia="en-NZ"/>
              </w:rPr>
              <w:t>)</w:t>
            </w:r>
          </w:p>
        </w:tc>
        <w:tc>
          <w:tcPr>
            <w:tcW w:w="1275" w:type="dxa"/>
          </w:tcPr>
          <w:p w14:paraId="2B3B5CDA" w14:textId="3FFA6056" w:rsidR="00203FC1" w:rsidRPr="008B1EFA" w:rsidRDefault="00664276" w:rsidP="001F558D">
            <w:pPr>
              <w:jc w:val="center"/>
              <w:rPr>
                <w:rFonts w:eastAsiaTheme="majorEastAsia" w:cstheme="majorBidi"/>
                <w:lang w:eastAsia="en-NZ"/>
              </w:rPr>
            </w:pPr>
            <w:r w:rsidRPr="008B1EFA">
              <w:rPr>
                <w:rFonts w:eastAsiaTheme="majorEastAsia" w:cstheme="majorBidi"/>
                <w:lang w:eastAsia="en-NZ"/>
              </w:rPr>
              <w:t>2193.54</w:t>
            </w:r>
          </w:p>
          <w:p w14:paraId="2D369620" w14:textId="26C88DAA" w:rsidR="00375119" w:rsidRPr="008B1EFA" w:rsidRDefault="00375119" w:rsidP="001F558D">
            <w:pPr>
              <w:jc w:val="center"/>
              <w:rPr>
                <w:rFonts w:eastAsiaTheme="majorEastAsia" w:cstheme="majorBidi"/>
                <w:lang w:eastAsia="en-NZ"/>
              </w:rPr>
            </w:pPr>
            <w:r w:rsidRPr="008B1EFA">
              <w:rPr>
                <w:rFonts w:eastAsiaTheme="majorEastAsia" w:cstheme="majorBidi"/>
                <w:lang w:eastAsia="en-NZ"/>
              </w:rPr>
              <w:t>(</w:t>
            </w:r>
            <w:r w:rsidR="00812D3E" w:rsidRPr="008B1EFA">
              <w:rPr>
                <w:rFonts w:eastAsiaTheme="majorEastAsia" w:cstheme="majorBidi"/>
                <w:lang w:eastAsia="en-NZ"/>
              </w:rPr>
              <w:t>564.20</w:t>
            </w:r>
            <w:r w:rsidR="006648BD" w:rsidRPr="008B1EFA">
              <w:rPr>
                <w:rFonts w:eastAsiaTheme="majorEastAsia" w:cstheme="majorBidi"/>
                <w:lang w:eastAsia="en-NZ"/>
              </w:rPr>
              <w:t>)</w:t>
            </w:r>
          </w:p>
        </w:tc>
      </w:tr>
      <w:tr w:rsidR="008B1EFA" w:rsidRPr="008B1EFA" w14:paraId="52689114" w14:textId="77777777" w:rsidTr="00A800BB">
        <w:tc>
          <w:tcPr>
            <w:tcW w:w="2410" w:type="dxa"/>
            <w:shd w:val="clear" w:color="auto" w:fill="D9E2F3" w:themeFill="accent5" w:themeFillTint="33"/>
          </w:tcPr>
          <w:p w14:paraId="720FE04E" w14:textId="77777777" w:rsidR="00203FC1" w:rsidRPr="008B1EFA" w:rsidRDefault="00203FC1" w:rsidP="00A800BB">
            <w:pPr>
              <w:rPr>
                <w:rFonts w:ascii="Calibri Light" w:eastAsiaTheme="majorEastAsia" w:hAnsi="Calibri Light" w:cs="Calibri Light"/>
                <w:lang w:eastAsia="en-NZ"/>
              </w:rPr>
            </w:pPr>
            <w:r w:rsidRPr="008B1EFA">
              <w:rPr>
                <w:rFonts w:ascii="Calibri Light" w:eastAsiaTheme="majorEastAsia" w:hAnsi="Calibri Light" w:cs="Calibri Light"/>
                <w:lang w:eastAsia="en-NZ"/>
              </w:rPr>
              <w:t>Business unit growth</w:t>
            </w:r>
          </w:p>
        </w:tc>
        <w:tc>
          <w:tcPr>
            <w:tcW w:w="5529" w:type="dxa"/>
          </w:tcPr>
          <w:p w14:paraId="661D1495" w14:textId="5046DD6B" w:rsidR="00203FC1" w:rsidRPr="008B1EFA" w:rsidRDefault="005F68CD" w:rsidP="001F558D">
            <w:pPr>
              <w:rPr>
                <w:rFonts w:eastAsiaTheme="majorEastAsia" w:cstheme="majorBidi"/>
                <w:lang w:eastAsia="en-NZ"/>
              </w:rPr>
            </w:pPr>
            <w:r w:rsidRPr="008B1EFA">
              <w:rPr>
                <w:rFonts w:eastAsiaTheme="majorEastAsia" w:cstheme="majorBidi"/>
                <w:lang w:eastAsia="en-NZ"/>
              </w:rPr>
              <w:t xml:space="preserve">Two-year percent change in </w:t>
            </w:r>
            <w:r w:rsidR="00FD06F1" w:rsidRPr="008B1EFA">
              <w:rPr>
                <w:rFonts w:eastAsiaTheme="majorEastAsia" w:cstheme="majorBidi"/>
                <w:lang w:eastAsia="en-NZ"/>
              </w:rPr>
              <w:t>the number of businesses</w:t>
            </w:r>
            <w:r w:rsidR="00E46394" w:rsidRPr="008B1EFA">
              <w:rPr>
                <w:rStyle w:val="FootnoteReference"/>
                <w:rFonts w:eastAsiaTheme="majorEastAsia" w:cstheme="majorBidi"/>
                <w:lang w:eastAsia="en-NZ"/>
              </w:rPr>
              <w:footnoteReference w:id="36"/>
            </w:r>
          </w:p>
        </w:tc>
        <w:tc>
          <w:tcPr>
            <w:tcW w:w="1275" w:type="dxa"/>
          </w:tcPr>
          <w:p w14:paraId="7DEA41B8" w14:textId="77777777" w:rsidR="00203FC1" w:rsidRPr="008B1EFA" w:rsidRDefault="00203FC1" w:rsidP="00F33AA5">
            <w:pPr>
              <w:jc w:val="center"/>
              <w:rPr>
                <w:rFonts w:eastAsiaTheme="majorEastAsia" w:cstheme="majorBidi"/>
                <w:lang w:eastAsia="en-NZ"/>
              </w:rPr>
            </w:pPr>
            <w:r w:rsidRPr="008B1EFA">
              <w:rPr>
                <w:rFonts w:eastAsiaTheme="majorEastAsia" w:cstheme="majorBidi"/>
                <w:lang w:eastAsia="en-NZ"/>
              </w:rPr>
              <w:t>1.20</w:t>
            </w:r>
          </w:p>
          <w:p w14:paraId="43AFA131" w14:textId="33B0FE25" w:rsidR="00203FC1" w:rsidRPr="008B1EFA" w:rsidRDefault="00203FC1" w:rsidP="00F33AA5">
            <w:pPr>
              <w:jc w:val="center"/>
              <w:rPr>
                <w:rFonts w:eastAsiaTheme="majorEastAsia" w:cstheme="majorBidi"/>
                <w:lang w:eastAsia="en-NZ"/>
              </w:rPr>
            </w:pPr>
            <w:r w:rsidRPr="008B1EFA">
              <w:rPr>
                <w:rFonts w:eastAsiaTheme="majorEastAsia" w:cstheme="majorBidi"/>
                <w:lang w:eastAsia="en-NZ"/>
              </w:rPr>
              <w:t>(2.86)</w:t>
            </w:r>
          </w:p>
        </w:tc>
      </w:tr>
      <w:tr w:rsidR="008B1EFA" w:rsidRPr="008B1EFA" w14:paraId="52C3D56F" w14:textId="77777777" w:rsidTr="00A800BB">
        <w:tc>
          <w:tcPr>
            <w:tcW w:w="2410" w:type="dxa"/>
            <w:shd w:val="clear" w:color="auto" w:fill="D9E2F3" w:themeFill="accent5" w:themeFillTint="33"/>
          </w:tcPr>
          <w:p w14:paraId="109290F9" w14:textId="77777777" w:rsidR="00203FC1" w:rsidRPr="008B1EFA" w:rsidRDefault="00203FC1" w:rsidP="00A800BB">
            <w:pPr>
              <w:rPr>
                <w:rFonts w:ascii="Calibri Light" w:eastAsiaTheme="majorEastAsia" w:hAnsi="Calibri Light" w:cs="Calibri Light"/>
                <w:lang w:eastAsia="en-NZ"/>
              </w:rPr>
            </w:pPr>
            <w:r w:rsidRPr="008B1EFA">
              <w:rPr>
                <w:rFonts w:ascii="Calibri Light" w:eastAsiaTheme="majorEastAsia" w:hAnsi="Calibri Light" w:cs="Calibri Light"/>
                <w:lang w:eastAsia="en-NZ"/>
              </w:rPr>
              <w:t>Employee growth</w:t>
            </w:r>
          </w:p>
        </w:tc>
        <w:tc>
          <w:tcPr>
            <w:tcW w:w="5529" w:type="dxa"/>
          </w:tcPr>
          <w:p w14:paraId="61D058BA" w14:textId="7C7E5D3C" w:rsidR="00203FC1" w:rsidRPr="008B1EFA" w:rsidRDefault="00ED7D41" w:rsidP="001F558D">
            <w:pPr>
              <w:rPr>
                <w:rFonts w:eastAsiaTheme="majorEastAsia" w:cstheme="majorBidi"/>
                <w:lang w:eastAsia="en-NZ"/>
              </w:rPr>
            </w:pPr>
            <w:r w:rsidRPr="008B1EFA">
              <w:rPr>
                <w:rFonts w:eastAsiaTheme="majorEastAsia" w:cstheme="majorBidi"/>
                <w:lang w:eastAsia="en-NZ"/>
              </w:rPr>
              <w:t>One-year pe</w:t>
            </w:r>
            <w:r w:rsidR="000E1572" w:rsidRPr="008B1EFA">
              <w:rPr>
                <w:rFonts w:eastAsiaTheme="majorEastAsia" w:cstheme="majorBidi"/>
                <w:lang w:eastAsia="en-NZ"/>
              </w:rPr>
              <w:t>r</w:t>
            </w:r>
            <w:r w:rsidRPr="008B1EFA">
              <w:rPr>
                <w:rFonts w:eastAsiaTheme="majorEastAsia" w:cstheme="majorBidi"/>
                <w:lang w:eastAsia="en-NZ"/>
              </w:rPr>
              <w:t xml:space="preserve">cent change in </w:t>
            </w:r>
            <w:r w:rsidR="000E1572" w:rsidRPr="008B1EFA">
              <w:rPr>
                <w:rFonts w:eastAsiaTheme="majorEastAsia" w:cstheme="majorBidi"/>
                <w:lang w:eastAsia="en-NZ"/>
              </w:rPr>
              <w:t>employment</w:t>
            </w:r>
          </w:p>
        </w:tc>
        <w:tc>
          <w:tcPr>
            <w:tcW w:w="1275" w:type="dxa"/>
          </w:tcPr>
          <w:p w14:paraId="075556C6" w14:textId="28129D0C" w:rsidR="00203FC1" w:rsidRPr="008B1EFA" w:rsidRDefault="00203FC1" w:rsidP="001F558D">
            <w:pPr>
              <w:jc w:val="center"/>
              <w:rPr>
                <w:rFonts w:eastAsiaTheme="majorEastAsia" w:cstheme="majorBidi"/>
                <w:lang w:eastAsia="en-NZ"/>
              </w:rPr>
            </w:pPr>
            <w:r w:rsidRPr="008B1EFA">
              <w:rPr>
                <w:rFonts w:eastAsiaTheme="majorEastAsia" w:cstheme="majorBidi"/>
                <w:lang w:eastAsia="en-NZ"/>
              </w:rPr>
              <w:t>1.</w:t>
            </w:r>
            <w:r w:rsidR="00E764A0" w:rsidRPr="008B1EFA">
              <w:rPr>
                <w:rFonts w:eastAsiaTheme="majorEastAsia" w:cstheme="majorBidi"/>
                <w:lang w:eastAsia="en-NZ"/>
              </w:rPr>
              <w:t>3</w:t>
            </w:r>
            <w:r w:rsidR="00824D4F" w:rsidRPr="008B1EFA">
              <w:rPr>
                <w:rFonts w:eastAsiaTheme="majorEastAsia" w:cstheme="majorBidi"/>
                <w:lang w:eastAsia="en-NZ"/>
              </w:rPr>
              <w:t>0</w:t>
            </w:r>
          </w:p>
          <w:p w14:paraId="4C495F87" w14:textId="3E18170E" w:rsidR="00203FC1" w:rsidRPr="008B1EFA" w:rsidRDefault="00203FC1" w:rsidP="001F558D">
            <w:pPr>
              <w:jc w:val="center"/>
              <w:rPr>
                <w:rFonts w:eastAsiaTheme="majorEastAsia" w:cstheme="majorBidi"/>
                <w:lang w:eastAsia="en-NZ"/>
              </w:rPr>
            </w:pPr>
            <w:r w:rsidRPr="008B1EFA">
              <w:rPr>
                <w:rFonts w:eastAsiaTheme="majorEastAsia" w:cstheme="majorBidi"/>
                <w:lang w:eastAsia="en-NZ"/>
              </w:rPr>
              <w:t>(3.67)</w:t>
            </w:r>
          </w:p>
        </w:tc>
      </w:tr>
      <w:tr w:rsidR="008B1EFA" w:rsidRPr="008B1EFA" w14:paraId="293970AB" w14:textId="77777777" w:rsidTr="00A800BB">
        <w:tc>
          <w:tcPr>
            <w:tcW w:w="9214" w:type="dxa"/>
            <w:gridSpan w:val="3"/>
            <w:tcBorders>
              <w:bottom w:val="single" w:sz="8" w:space="0" w:color="B4C6E7" w:themeColor="accent5" w:themeTint="66"/>
            </w:tcBorders>
            <w:shd w:val="clear" w:color="auto" w:fill="D9E2F3" w:themeFill="accent5" w:themeFillTint="33"/>
          </w:tcPr>
          <w:p w14:paraId="5E00088B" w14:textId="41D714AA" w:rsidR="00203FC1" w:rsidRPr="008B1EFA" w:rsidRDefault="006E4EA0" w:rsidP="00F75E60">
            <w:pPr>
              <w:rPr>
                <w:rFonts w:eastAsiaTheme="majorEastAsia" w:cstheme="majorBidi"/>
                <w:b/>
                <w:lang w:eastAsia="en-NZ"/>
              </w:rPr>
            </w:pPr>
            <w:r w:rsidRPr="008B1EFA">
              <w:rPr>
                <w:rFonts w:eastAsiaTheme="majorEastAsia" w:cstheme="majorBidi"/>
                <w:b/>
                <w:lang w:eastAsia="en-NZ"/>
              </w:rPr>
              <w:t>Distance</w:t>
            </w:r>
            <w:r w:rsidR="00203FC1" w:rsidRPr="008B1EFA">
              <w:rPr>
                <w:rFonts w:eastAsiaTheme="majorEastAsia" w:cstheme="majorBidi"/>
                <w:b/>
                <w:lang w:eastAsia="en-NZ"/>
              </w:rPr>
              <w:t xml:space="preserve"> variables</w:t>
            </w:r>
          </w:p>
        </w:tc>
      </w:tr>
      <w:tr w:rsidR="008B1EFA" w:rsidRPr="008B1EFA" w14:paraId="1EA9CE26" w14:textId="77777777" w:rsidTr="00A800BB">
        <w:tc>
          <w:tcPr>
            <w:tcW w:w="2410" w:type="dxa"/>
            <w:tcBorders>
              <w:bottom w:val="single" w:sz="8" w:space="0" w:color="B4C6E7" w:themeColor="accent5" w:themeTint="66"/>
            </w:tcBorders>
            <w:shd w:val="clear" w:color="auto" w:fill="D9E2F3" w:themeFill="accent5" w:themeFillTint="33"/>
          </w:tcPr>
          <w:p w14:paraId="1BA4235E" w14:textId="056C0D1D" w:rsidR="00203FC1" w:rsidRPr="008B1EFA" w:rsidRDefault="00203FC1" w:rsidP="00A800BB">
            <w:pPr>
              <w:rPr>
                <w:rFonts w:ascii="Calibri Light" w:eastAsiaTheme="majorEastAsia" w:hAnsi="Calibri Light" w:cs="Calibri Light"/>
                <w:lang w:eastAsia="en-NZ"/>
              </w:rPr>
            </w:pPr>
            <w:r w:rsidRPr="008B1EFA">
              <w:rPr>
                <w:rFonts w:ascii="Calibri Light" w:hAnsi="Calibri Light" w:cs="Calibri Light"/>
              </w:rPr>
              <w:t xml:space="preserve">Distance to </w:t>
            </w:r>
            <w:r w:rsidR="006E4EA0" w:rsidRPr="008B1EFA">
              <w:rPr>
                <w:rFonts w:ascii="Calibri Light" w:hAnsi="Calibri Light" w:cs="Calibri Light"/>
              </w:rPr>
              <w:t>EGM 0.5km</w:t>
            </w:r>
          </w:p>
        </w:tc>
        <w:tc>
          <w:tcPr>
            <w:tcW w:w="5529" w:type="dxa"/>
            <w:tcBorders>
              <w:bottom w:val="single" w:sz="8" w:space="0" w:color="B4C6E7" w:themeColor="accent5" w:themeTint="66"/>
            </w:tcBorders>
          </w:tcPr>
          <w:p w14:paraId="02ED9F6C" w14:textId="6225A318" w:rsidR="00203FC1" w:rsidRPr="008B1EFA" w:rsidRDefault="000E1572" w:rsidP="001F558D">
            <w:pPr>
              <w:rPr>
                <w:rFonts w:eastAsiaTheme="majorEastAsia" w:cstheme="majorBidi"/>
                <w:lang w:eastAsia="en-NZ"/>
              </w:rPr>
            </w:pPr>
            <w:r w:rsidRPr="008B1EFA">
              <w:rPr>
                <w:rFonts w:eastAsiaTheme="majorEastAsia" w:cstheme="majorBidi"/>
                <w:lang w:eastAsia="en-NZ"/>
              </w:rPr>
              <w:t>Approximate</w:t>
            </w:r>
            <w:r w:rsidR="00824D4F" w:rsidRPr="008B1EFA">
              <w:rPr>
                <w:rFonts w:eastAsiaTheme="majorEastAsia" w:cstheme="majorBidi"/>
                <w:lang w:eastAsia="en-NZ"/>
              </w:rPr>
              <w:t xml:space="preserve"> </w:t>
            </w:r>
            <w:r w:rsidR="00404512" w:rsidRPr="008B1EFA">
              <w:rPr>
                <w:rFonts w:eastAsiaTheme="majorEastAsia" w:cstheme="majorBidi"/>
                <w:lang w:eastAsia="en-NZ"/>
              </w:rPr>
              <w:t xml:space="preserve">proportion of the </w:t>
            </w:r>
            <w:r w:rsidR="000E3B08" w:rsidRPr="008B1EFA">
              <w:rPr>
                <w:rFonts w:eastAsiaTheme="majorEastAsia" w:cstheme="majorBidi"/>
                <w:lang w:eastAsia="en-NZ"/>
              </w:rPr>
              <w:t xml:space="preserve">TA </w:t>
            </w:r>
            <w:r w:rsidR="00824D4F" w:rsidRPr="008B1EFA">
              <w:rPr>
                <w:rFonts w:eastAsiaTheme="majorEastAsia" w:cstheme="majorBidi"/>
                <w:lang w:eastAsia="en-NZ"/>
              </w:rPr>
              <w:t xml:space="preserve">population </w:t>
            </w:r>
            <w:r w:rsidRPr="008B1EFA">
              <w:rPr>
                <w:rFonts w:eastAsiaTheme="majorEastAsia" w:cstheme="majorBidi"/>
                <w:lang w:eastAsia="en-NZ"/>
              </w:rPr>
              <w:t xml:space="preserve">residing within </w:t>
            </w:r>
            <w:r w:rsidR="00E61367" w:rsidRPr="008B1EFA">
              <w:rPr>
                <w:rFonts w:eastAsiaTheme="majorEastAsia" w:cstheme="majorBidi"/>
                <w:lang w:eastAsia="en-NZ"/>
              </w:rPr>
              <w:t>0.5km</w:t>
            </w:r>
            <w:r w:rsidRPr="008B1EFA">
              <w:rPr>
                <w:rFonts w:eastAsiaTheme="majorEastAsia" w:cstheme="majorBidi"/>
                <w:lang w:eastAsia="en-NZ"/>
              </w:rPr>
              <w:t xml:space="preserve"> of an EGM</w:t>
            </w:r>
          </w:p>
        </w:tc>
        <w:tc>
          <w:tcPr>
            <w:tcW w:w="1275" w:type="dxa"/>
            <w:tcBorders>
              <w:bottom w:val="single" w:sz="8" w:space="0" w:color="B4C6E7" w:themeColor="accent5" w:themeTint="66"/>
            </w:tcBorders>
          </w:tcPr>
          <w:p w14:paraId="2D7CC829" w14:textId="77777777" w:rsidR="00203FC1" w:rsidRPr="008B1EFA" w:rsidRDefault="00203FC1" w:rsidP="001F558D">
            <w:pPr>
              <w:jc w:val="center"/>
              <w:rPr>
                <w:rFonts w:eastAsiaTheme="majorEastAsia" w:cstheme="majorBidi"/>
                <w:lang w:eastAsia="en-NZ"/>
              </w:rPr>
            </w:pPr>
            <w:r w:rsidRPr="008B1EFA">
              <w:rPr>
                <w:rFonts w:eastAsiaTheme="majorEastAsia" w:cstheme="majorBidi"/>
                <w:lang w:eastAsia="en-NZ"/>
              </w:rPr>
              <w:t>0.16</w:t>
            </w:r>
          </w:p>
          <w:p w14:paraId="1CB0AB91" w14:textId="6D1F9366" w:rsidR="00203FC1" w:rsidRPr="008B1EFA" w:rsidRDefault="00203FC1" w:rsidP="001F558D">
            <w:pPr>
              <w:jc w:val="center"/>
              <w:rPr>
                <w:rFonts w:eastAsiaTheme="majorEastAsia" w:cstheme="majorBidi"/>
                <w:lang w:eastAsia="en-NZ"/>
              </w:rPr>
            </w:pPr>
            <w:r w:rsidRPr="008B1EFA">
              <w:rPr>
                <w:rFonts w:eastAsiaTheme="majorEastAsia" w:cstheme="majorBidi"/>
                <w:lang w:eastAsia="en-NZ"/>
              </w:rPr>
              <w:t>(0.07)</w:t>
            </w:r>
          </w:p>
        </w:tc>
      </w:tr>
      <w:tr w:rsidR="008B1EFA" w:rsidRPr="008B1EFA" w14:paraId="7E70DE5F" w14:textId="77777777" w:rsidTr="00A800BB">
        <w:tc>
          <w:tcPr>
            <w:tcW w:w="2410" w:type="dxa"/>
            <w:tcBorders>
              <w:bottom w:val="single" w:sz="8" w:space="0" w:color="B4C6E7" w:themeColor="accent5" w:themeTint="66"/>
            </w:tcBorders>
            <w:shd w:val="clear" w:color="auto" w:fill="D9E2F3" w:themeFill="accent5" w:themeFillTint="33"/>
          </w:tcPr>
          <w:p w14:paraId="73565A00" w14:textId="48EC3CEA" w:rsidR="00203FC1" w:rsidRPr="008B1EFA" w:rsidRDefault="00203FC1" w:rsidP="00A800BB">
            <w:pPr>
              <w:rPr>
                <w:rFonts w:ascii="Calibri Light" w:eastAsiaTheme="majorEastAsia" w:hAnsi="Calibri Light" w:cs="Calibri Light"/>
                <w:lang w:eastAsia="en-NZ"/>
              </w:rPr>
            </w:pPr>
            <w:r w:rsidRPr="008B1EFA">
              <w:rPr>
                <w:rFonts w:ascii="Calibri Light" w:hAnsi="Calibri Light" w:cs="Calibri Light"/>
              </w:rPr>
              <w:t xml:space="preserve">Distance to </w:t>
            </w:r>
            <w:r w:rsidR="00A800BB" w:rsidRPr="008B1EFA">
              <w:rPr>
                <w:rFonts w:ascii="Calibri Light" w:hAnsi="Calibri Light" w:cs="Calibri Light"/>
              </w:rPr>
              <w:t>EGM 1km</w:t>
            </w:r>
          </w:p>
        </w:tc>
        <w:tc>
          <w:tcPr>
            <w:tcW w:w="5529" w:type="dxa"/>
            <w:tcBorders>
              <w:bottom w:val="single" w:sz="8" w:space="0" w:color="B4C6E7" w:themeColor="accent5" w:themeTint="66"/>
            </w:tcBorders>
          </w:tcPr>
          <w:p w14:paraId="52C795CE" w14:textId="22C7036D" w:rsidR="00203FC1" w:rsidRPr="008B1EFA" w:rsidRDefault="008E2118" w:rsidP="001F558D">
            <w:pPr>
              <w:rPr>
                <w:rFonts w:eastAsiaTheme="majorEastAsia" w:cstheme="majorBidi"/>
                <w:lang w:eastAsia="en-NZ"/>
              </w:rPr>
            </w:pPr>
            <w:r w:rsidRPr="008B1EFA">
              <w:rPr>
                <w:rFonts w:eastAsiaTheme="majorEastAsia" w:cstheme="majorBidi"/>
                <w:lang w:eastAsia="en-NZ"/>
              </w:rPr>
              <w:t xml:space="preserve">Approximate </w:t>
            </w:r>
            <w:r w:rsidR="00404512" w:rsidRPr="008B1EFA">
              <w:rPr>
                <w:rFonts w:eastAsiaTheme="majorEastAsia" w:cstheme="majorBidi"/>
                <w:lang w:eastAsia="en-NZ"/>
              </w:rPr>
              <w:t xml:space="preserve">proportion of the </w:t>
            </w:r>
            <w:r w:rsidR="000E3B08" w:rsidRPr="008B1EFA">
              <w:rPr>
                <w:rFonts w:eastAsiaTheme="majorEastAsia" w:cstheme="majorBidi"/>
                <w:lang w:eastAsia="en-NZ"/>
              </w:rPr>
              <w:t xml:space="preserve">TA </w:t>
            </w:r>
            <w:r w:rsidRPr="008B1EFA">
              <w:rPr>
                <w:rFonts w:eastAsiaTheme="majorEastAsia" w:cstheme="majorBidi"/>
                <w:lang w:eastAsia="en-NZ"/>
              </w:rPr>
              <w:t>population residing within 1</w:t>
            </w:r>
            <w:r w:rsidR="00E61367" w:rsidRPr="008B1EFA">
              <w:rPr>
                <w:rFonts w:eastAsiaTheme="majorEastAsia" w:cstheme="majorBidi"/>
                <w:lang w:eastAsia="en-NZ"/>
              </w:rPr>
              <w:t>km</w:t>
            </w:r>
            <w:r w:rsidRPr="008B1EFA">
              <w:rPr>
                <w:rFonts w:eastAsiaTheme="majorEastAsia" w:cstheme="majorBidi"/>
                <w:lang w:eastAsia="en-NZ"/>
              </w:rPr>
              <w:t xml:space="preserve"> of an EGM</w:t>
            </w:r>
          </w:p>
        </w:tc>
        <w:tc>
          <w:tcPr>
            <w:tcW w:w="1275" w:type="dxa"/>
            <w:tcBorders>
              <w:bottom w:val="single" w:sz="8" w:space="0" w:color="B4C6E7" w:themeColor="accent5" w:themeTint="66"/>
            </w:tcBorders>
          </w:tcPr>
          <w:p w14:paraId="11F381C5" w14:textId="77777777" w:rsidR="00203FC1" w:rsidRPr="008B1EFA" w:rsidRDefault="00203FC1" w:rsidP="001F558D">
            <w:pPr>
              <w:jc w:val="center"/>
              <w:rPr>
                <w:rFonts w:eastAsiaTheme="majorEastAsia" w:cstheme="majorBidi"/>
                <w:lang w:eastAsia="en-NZ"/>
              </w:rPr>
            </w:pPr>
            <w:r w:rsidRPr="008B1EFA">
              <w:rPr>
                <w:rFonts w:eastAsiaTheme="majorEastAsia" w:cstheme="majorBidi"/>
                <w:lang w:eastAsia="en-NZ"/>
              </w:rPr>
              <w:t>0.40</w:t>
            </w:r>
          </w:p>
          <w:p w14:paraId="79BD1723" w14:textId="6F66992D" w:rsidR="00203FC1" w:rsidRPr="008B1EFA" w:rsidRDefault="00203FC1" w:rsidP="001F558D">
            <w:pPr>
              <w:jc w:val="center"/>
              <w:rPr>
                <w:rFonts w:eastAsiaTheme="majorEastAsia" w:cstheme="majorBidi"/>
                <w:lang w:eastAsia="en-NZ"/>
              </w:rPr>
            </w:pPr>
            <w:r w:rsidRPr="008B1EFA">
              <w:rPr>
                <w:rFonts w:eastAsiaTheme="majorEastAsia" w:cstheme="majorBidi"/>
                <w:lang w:eastAsia="en-NZ"/>
              </w:rPr>
              <w:t>(0.13)</w:t>
            </w:r>
          </w:p>
        </w:tc>
      </w:tr>
      <w:tr w:rsidR="008B1EFA" w:rsidRPr="008B1EFA" w14:paraId="4BA2B8FE" w14:textId="77777777" w:rsidTr="00F51D44">
        <w:tc>
          <w:tcPr>
            <w:tcW w:w="2410" w:type="dxa"/>
            <w:shd w:val="clear" w:color="auto" w:fill="D9E2F3" w:themeFill="accent5" w:themeFillTint="33"/>
            <w:vAlign w:val="center"/>
          </w:tcPr>
          <w:p w14:paraId="4B0FF179" w14:textId="634B6A73" w:rsidR="00203FC1" w:rsidRPr="008B1EFA" w:rsidRDefault="00203FC1" w:rsidP="001F558D">
            <w:pPr>
              <w:rPr>
                <w:rFonts w:ascii="Calibri Light" w:eastAsiaTheme="majorEastAsia" w:hAnsi="Calibri Light" w:cs="Calibri Light"/>
                <w:lang w:eastAsia="en-NZ"/>
              </w:rPr>
            </w:pPr>
            <w:r w:rsidRPr="008B1EFA">
              <w:rPr>
                <w:rFonts w:ascii="Calibri Light" w:hAnsi="Calibri Light" w:cs="Calibri Light"/>
              </w:rPr>
              <w:t xml:space="preserve">Distance to </w:t>
            </w:r>
            <w:r w:rsidR="00A800BB" w:rsidRPr="008B1EFA">
              <w:rPr>
                <w:rFonts w:ascii="Calibri Light" w:hAnsi="Calibri Light" w:cs="Calibri Light"/>
              </w:rPr>
              <w:t>EGM 2km</w:t>
            </w:r>
          </w:p>
        </w:tc>
        <w:tc>
          <w:tcPr>
            <w:tcW w:w="5529" w:type="dxa"/>
          </w:tcPr>
          <w:p w14:paraId="3DAF9EAD" w14:textId="63B4A916" w:rsidR="00203FC1" w:rsidRPr="008B1EFA" w:rsidRDefault="008E2118" w:rsidP="001F558D">
            <w:pPr>
              <w:rPr>
                <w:rFonts w:eastAsiaTheme="majorEastAsia" w:cstheme="majorBidi"/>
                <w:lang w:eastAsia="en-NZ"/>
              </w:rPr>
            </w:pPr>
            <w:r w:rsidRPr="008B1EFA">
              <w:rPr>
                <w:rFonts w:eastAsiaTheme="majorEastAsia" w:cstheme="majorBidi"/>
                <w:lang w:eastAsia="en-NZ"/>
              </w:rPr>
              <w:t xml:space="preserve">Approximate </w:t>
            </w:r>
            <w:r w:rsidR="00404512" w:rsidRPr="008B1EFA">
              <w:rPr>
                <w:rFonts w:eastAsiaTheme="majorEastAsia" w:cstheme="majorBidi"/>
                <w:lang w:eastAsia="en-NZ"/>
              </w:rPr>
              <w:t xml:space="preserve">proportion of the </w:t>
            </w:r>
            <w:r w:rsidR="000E3B08" w:rsidRPr="008B1EFA">
              <w:rPr>
                <w:rFonts w:eastAsiaTheme="majorEastAsia" w:cstheme="majorBidi"/>
                <w:lang w:eastAsia="en-NZ"/>
              </w:rPr>
              <w:t xml:space="preserve">TA </w:t>
            </w:r>
            <w:r w:rsidRPr="008B1EFA">
              <w:rPr>
                <w:rFonts w:eastAsiaTheme="majorEastAsia" w:cstheme="majorBidi"/>
                <w:lang w:eastAsia="en-NZ"/>
              </w:rPr>
              <w:t>population residing within 2</w:t>
            </w:r>
            <w:r w:rsidR="00E61367" w:rsidRPr="008B1EFA">
              <w:rPr>
                <w:rFonts w:eastAsiaTheme="majorEastAsia" w:cstheme="majorBidi"/>
                <w:lang w:eastAsia="en-NZ"/>
              </w:rPr>
              <w:t>km</w:t>
            </w:r>
            <w:r w:rsidRPr="008B1EFA">
              <w:rPr>
                <w:rFonts w:eastAsiaTheme="majorEastAsia" w:cstheme="majorBidi"/>
                <w:lang w:eastAsia="en-NZ"/>
              </w:rPr>
              <w:t xml:space="preserve"> of an EGM</w:t>
            </w:r>
          </w:p>
        </w:tc>
        <w:tc>
          <w:tcPr>
            <w:tcW w:w="1275" w:type="dxa"/>
          </w:tcPr>
          <w:p w14:paraId="64208686" w14:textId="4E0F4D8E" w:rsidR="00203FC1" w:rsidRPr="008B1EFA" w:rsidRDefault="00203FC1" w:rsidP="001F558D">
            <w:pPr>
              <w:jc w:val="center"/>
              <w:rPr>
                <w:rFonts w:eastAsiaTheme="majorEastAsia" w:cstheme="majorBidi"/>
                <w:lang w:eastAsia="en-NZ"/>
              </w:rPr>
            </w:pPr>
            <w:r w:rsidRPr="008B1EFA" w:rsidDel="00781541">
              <w:rPr>
                <w:rFonts w:eastAsiaTheme="majorEastAsia" w:cstheme="majorBidi"/>
                <w:lang w:eastAsia="en-NZ"/>
              </w:rPr>
              <w:t>0.</w:t>
            </w:r>
            <w:r w:rsidRPr="008B1EFA">
              <w:rPr>
                <w:rFonts w:eastAsiaTheme="majorEastAsia" w:cstheme="majorBidi"/>
                <w:lang w:eastAsia="en-NZ"/>
              </w:rPr>
              <w:t>62</w:t>
            </w:r>
          </w:p>
          <w:p w14:paraId="312A591F" w14:textId="2DF33A8B" w:rsidR="00203FC1" w:rsidRPr="008B1EFA" w:rsidRDefault="00203FC1" w:rsidP="001F558D">
            <w:pPr>
              <w:jc w:val="center"/>
              <w:rPr>
                <w:rFonts w:eastAsiaTheme="majorEastAsia" w:cstheme="majorBidi"/>
                <w:lang w:eastAsia="en-NZ"/>
              </w:rPr>
            </w:pPr>
            <w:r w:rsidRPr="008B1EFA">
              <w:rPr>
                <w:rFonts w:eastAsiaTheme="majorEastAsia" w:cstheme="majorBidi"/>
                <w:lang w:eastAsia="en-NZ"/>
              </w:rPr>
              <w:t>(0.16)</w:t>
            </w:r>
          </w:p>
        </w:tc>
      </w:tr>
      <w:tr w:rsidR="008B1EFA" w:rsidRPr="008B1EFA" w14:paraId="3AD5F2DA" w14:textId="77777777" w:rsidTr="00F51D44">
        <w:tc>
          <w:tcPr>
            <w:tcW w:w="2410" w:type="dxa"/>
            <w:shd w:val="clear" w:color="auto" w:fill="D9E2F3" w:themeFill="accent5" w:themeFillTint="33"/>
            <w:vAlign w:val="center"/>
          </w:tcPr>
          <w:p w14:paraId="22345551" w14:textId="388D1ABE" w:rsidR="00833372" w:rsidRPr="008B1EFA" w:rsidRDefault="00833372" w:rsidP="001F558D">
            <w:pPr>
              <w:rPr>
                <w:rFonts w:ascii="Calibri Light" w:hAnsi="Calibri Light" w:cs="Calibri Light"/>
                <w:b/>
              </w:rPr>
            </w:pPr>
            <w:r w:rsidRPr="008B1EFA">
              <w:rPr>
                <w:rFonts w:ascii="Calibri Light" w:hAnsi="Calibri Light" w:cs="Calibri Light"/>
                <w:b/>
              </w:rPr>
              <w:t>Observations</w:t>
            </w:r>
          </w:p>
        </w:tc>
        <w:tc>
          <w:tcPr>
            <w:tcW w:w="5529" w:type="dxa"/>
          </w:tcPr>
          <w:p w14:paraId="4CB9D187" w14:textId="77777777" w:rsidR="00833372" w:rsidRPr="008B1EFA" w:rsidRDefault="00833372" w:rsidP="001F558D">
            <w:pPr>
              <w:rPr>
                <w:rFonts w:eastAsiaTheme="majorEastAsia" w:cstheme="majorBidi"/>
                <w:lang w:eastAsia="en-NZ"/>
              </w:rPr>
            </w:pPr>
          </w:p>
        </w:tc>
        <w:tc>
          <w:tcPr>
            <w:tcW w:w="1275" w:type="dxa"/>
          </w:tcPr>
          <w:p w14:paraId="0FA7FE5D" w14:textId="706D80B3" w:rsidR="00833372" w:rsidRPr="008B1EFA" w:rsidDel="00781541" w:rsidRDefault="0047155D" w:rsidP="001F558D">
            <w:pPr>
              <w:jc w:val="center"/>
              <w:rPr>
                <w:rFonts w:eastAsiaTheme="majorEastAsia" w:cstheme="majorBidi"/>
                <w:lang w:eastAsia="en-NZ"/>
              </w:rPr>
            </w:pPr>
            <w:r w:rsidRPr="008B1EFA">
              <w:rPr>
                <w:rFonts w:eastAsiaTheme="majorEastAsia" w:cstheme="majorBidi"/>
                <w:lang w:eastAsia="en-NZ"/>
              </w:rPr>
              <w:t>528</w:t>
            </w:r>
          </w:p>
        </w:tc>
      </w:tr>
    </w:tbl>
    <w:p w14:paraId="4CBA754E" w14:textId="33FB86DE" w:rsidR="002C0999" w:rsidRPr="00BA4662" w:rsidRDefault="00BA47E2" w:rsidP="00C378E0">
      <w:pPr>
        <w:ind w:left="-142"/>
        <w:jc w:val="both"/>
        <w:rPr>
          <w:rFonts w:eastAsiaTheme="minorEastAsia"/>
          <w:sz w:val="18"/>
          <w:szCs w:val="18"/>
          <w:lang w:val="en-AU"/>
        </w:rPr>
      </w:pPr>
      <w:r w:rsidRPr="00BA4662">
        <w:rPr>
          <w:rFonts w:eastAsiaTheme="minorEastAsia"/>
          <w:sz w:val="18"/>
          <w:szCs w:val="18"/>
          <w:lang w:val="en-AU"/>
        </w:rPr>
        <w:t xml:space="preserve">Notes: </w:t>
      </w:r>
      <w:r w:rsidR="00D153FE" w:rsidRPr="00BA4662">
        <w:rPr>
          <w:sz w:val="18"/>
          <w:szCs w:val="18"/>
        </w:rPr>
        <w:t>Data cover the 6</w:t>
      </w:r>
      <w:r w:rsidR="00F07ECD" w:rsidRPr="00BA4662">
        <w:rPr>
          <w:sz w:val="18"/>
          <w:szCs w:val="18"/>
        </w:rPr>
        <w:t>6</w:t>
      </w:r>
      <w:r w:rsidR="00D153FE" w:rsidRPr="00BA4662">
        <w:rPr>
          <w:sz w:val="18"/>
          <w:szCs w:val="18"/>
        </w:rPr>
        <w:t xml:space="preserve"> TAs in NZ from 2010 to 2018. All </w:t>
      </w:r>
      <w:proofErr w:type="spellStart"/>
      <w:r w:rsidR="00D153FE" w:rsidRPr="00BA4662">
        <w:rPr>
          <w:sz w:val="18"/>
          <w:szCs w:val="18"/>
        </w:rPr>
        <w:t>descriptives</w:t>
      </w:r>
      <w:proofErr w:type="spellEnd"/>
      <w:r w:rsidR="00D153FE" w:rsidRPr="00BA4662">
        <w:rPr>
          <w:sz w:val="18"/>
          <w:szCs w:val="18"/>
        </w:rPr>
        <w:t xml:space="preserve"> are unweighted TA-year means. Standard deviations are shown in parentheses. </w:t>
      </w:r>
      <w:r w:rsidR="004F2D59" w:rsidRPr="00BA4662">
        <w:rPr>
          <w:rFonts w:eastAsiaTheme="minorEastAsia"/>
          <w:sz w:val="18"/>
          <w:szCs w:val="18"/>
          <w:lang w:val="en-AU"/>
        </w:rPr>
        <w:t>The h</w:t>
      </w:r>
      <w:r w:rsidR="00466D7A" w:rsidRPr="00BA4662">
        <w:rPr>
          <w:rFonts w:eastAsiaTheme="minorEastAsia"/>
          <w:sz w:val="18"/>
          <w:szCs w:val="18"/>
          <w:lang w:val="en-AU"/>
        </w:rPr>
        <w:t xml:space="preserve">ouse price variable </w:t>
      </w:r>
      <w:r w:rsidR="00544F35" w:rsidRPr="00BA4662">
        <w:rPr>
          <w:rFonts w:eastAsiaTheme="minorEastAsia"/>
          <w:sz w:val="18"/>
          <w:szCs w:val="18"/>
          <w:lang w:val="en-AU"/>
        </w:rPr>
        <w:t xml:space="preserve">used in the regression is the natural log of the </w:t>
      </w:r>
      <w:r w:rsidR="004F2D59" w:rsidRPr="00BA4662">
        <w:rPr>
          <w:rFonts w:eastAsiaTheme="minorEastAsia"/>
          <w:sz w:val="18"/>
          <w:szCs w:val="18"/>
          <w:lang w:val="en-AU"/>
        </w:rPr>
        <w:t>variable</w:t>
      </w:r>
      <w:r w:rsidR="00984A62" w:rsidRPr="00BA4662">
        <w:rPr>
          <w:rFonts w:eastAsiaTheme="minorEastAsia"/>
          <w:sz w:val="18"/>
          <w:szCs w:val="18"/>
          <w:lang w:val="en-AU"/>
        </w:rPr>
        <w:t xml:space="preserve"> defined</w:t>
      </w:r>
      <w:r w:rsidR="00F96DD2" w:rsidRPr="00BA4662">
        <w:rPr>
          <w:rFonts w:eastAsiaTheme="minorEastAsia"/>
          <w:sz w:val="18"/>
          <w:szCs w:val="18"/>
          <w:lang w:val="en-AU"/>
        </w:rPr>
        <w:t xml:space="preserve"> in this table</w:t>
      </w:r>
      <w:r w:rsidR="004F2D59" w:rsidRPr="00BA4662">
        <w:rPr>
          <w:rFonts w:eastAsiaTheme="minorEastAsia"/>
          <w:sz w:val="18"/>
          <w:szCs w:val="18"/>
          <w:lang w:val="en-AU"/>
        </w:rPr>
        <w:t>.</w:t>
      </w:r>
      <w:r w:rsidR="00C47292" w:rsidRPr="00BA4662">
        <w:rPr>
          <w:rFonts w:eastAsiaTheme="minorEastAsia"/>
          <w:sz w:val="18"/>
          <w:szCs w:val="18"/>
          <w:lang w:val="en-AU"/>
        </w:rPr>
        <w:t xml:space="preserve"> </w:t>
      </w:r>
      <w:r w:rsidR="00F40B38" w:rsidRPr="00BA4662">
        <w:rPr>
          <w:rFonts w:eastAsiaTheme="minorEastAsia"/>
          <w:sz w:val="18"/>
          <w:szCs w:val="18"/>
          <w:lang w:val="en-AU"/>
        </w:rPr>
        <w:t>Bu</w:t>
      </w:r>
      <w:r w:rsidR="003221DE" w:rsidRPr="00BA4662">
        <w:rPr>
          <w:rFonts w:eastAsiaTheme="minorEastAsia"/>
          <w:sz w:val="18"/>
          <w:szCs w:val="18"/>
          <w:lang w:val="en-AU"/>
        </w:rPr>
        <w:t xml:space="preserve">siness unit growth and employee growth </w:t>
      </w:r>
      <w:r w:rsidR="00313E9A" w:rsidRPr="00BA4662">
        <w:rPr>
          <w:rFonts w:eastAsiaTheme="minorEastAsia"/>
          <w:sz w:val="18"/>
          <w:szCs w:val="18"/>
          <w:lang w:val="en-AU"/>
        </w:rPr>
        <w:t>are sourced</w:t>
      </w:r>
      <w:r w:rsidR="003221DE" w:rsidRPr="00BA4662">
        <w:rPr>
          <w:rFonts w:eastAsiaTheme="minorEastAsia"/>
          <w:sz w:val="18"/>
          <w:szCs w:val="18"/>
          <w:lang w:val="en-AU"/>
        </w:rPr>
        <w:t xml:space="preserve"> from Stats NZ’s </w:t>
      </w:r>
      <w:r w:rsidR="004E6856" w:rsidRPr="00BA4662">
        <w:rPr>
          <w:rFonts w:eastAsiaTheme="minorEastAsia"/>
          <w:sz w:val="18"/>
          <w:szCs w:val="18"/>
          <w:lang w:val="en-AU"/>
        </w:rPr>
        <w:t>Business Demography Database.</w:t>
      </w:r>
      <w:r w:rsidR="005E7DF2" w:rsidRPr="00BA4662">
        <w:rPr>
          <w:rFonts w:eastAsiaTheme="minorEastAsia"/>
          <w:sz w:val="18"/>
          <w:szCs w:val="18"/>
          <w:lang w:val="en-AU"/>
        </w:rPr>
        <w:t xml:space="preserve"> The base year of the REINZ Ho</w:t>
      </w:r>
      <w:r w:rsidR="004D29A6">
        <w:rPr>
          <w:rFonts w:eastAsiaTheme="minorEastAsia"/>
          <w:sz w:val="18"/>
          <w:szCs w:val="18"/>
          <w:lang w:val="en-AU"/>
        </w:rPr>
        <w:t>us</w:t>
      </w:r>
      <w:r w:rsidR="005E7DF2" w:rsidRPr="00BA4662">
        <w:rPr>
          <w:rFonts w:eastAsiaTheme="minorEastAsia"/>
          <w:sz w:val="18"/>
          <w:szCs w:val="18"/>
          <w:lang w:val="en-AU"/>
        </w:rPr>
        <w:t>e Price Index is 2013</w:t>
      </w:r>
      <w:r w:rsidR="00A949C2" w:rsidRPr="00BA4662">
        <w:rPr>
          <w:rFonts w:eastAsiaTheme="minorEastAsia"/>
          <w:sz w:val="18"/>
          <w:szCs w:val="18"/>
          <w:lang w:val="en-AU"/>
        </w:rPr>
        <w:t>.</w:t>
      </w:r>
    </w:p>
    <w:p w14:paraId="446E97B0" w14:textId="34D40445" w:rsidR="00824D4F" w:rsidRDefault="00824D4F" w:rsidP="00824D4F">
      <w:pPr>
        <w:pStyle w:val="Heading2"/>
        <w:numPr>
          <w:ilvl w:val="0"/>
          <w:numId w:val="0"/>
        </w:numPr>
        <w:rPr>
          <w:lang w:eastAsia="en-NZ"/>
        </w:rPr>
      </w:pPr>
      <w:bookmarkStart w:id="233" w:name="_Toc50033376"/>
      <w:r>
        <w:rPr>
          <w:lang w:eastAsia="en-NZ"/>
        </w:rPr>
        <w:t>7.</w:t>
      </w:r>
      <w:r w:rsidR="006F22C0">
        <w:rPr>
          <w:lang w:eastAsia="en-NZ"/>
        </w:rPr>
        <w:t>3</w:t>
      </w:r>
      <w:r>
        <w:rPr>
          <w:lang w:eastAsia="en-NZ"/>
        </w:rPr>
        <w:t xml:space="preserve"> </w:t>
      </w:r>
      <w:r w:rsidR="00D538E9">
        <w:rPr>
          <w:lang w:eastAsia="en-NZ"/>
        </w:rPr>
        <w:tab/>
      </w:r>
      <w:r>
        <w:rPr>
          <w:lang w:eastAsia="en-NZ"/>
        </w:rPr>
        <w:t>Method</w:t>
      </w:r>
      <w:bookmarkEnd w:id="233"/>
    </w:p>
    <w:p w14:paraId="52867B1B" w14:textId="442319E9" w:rsidR="00824D4F" w:rsidRPr="001335F4" w:rsidRDefault="00824D4F" w:rsidP="00C3420E">
      <w:pPr>
        <w:spacing w:after="240" w:line="312" w:lineRule="auto"/>
        <w:jc w:val="both"/>
      </w:pPr>
      <w:r w:rsidRPr="001335F4">
        <w:t>Our modelling approach is driven by two key sets of characteristics: (</w:t>
      </w:r>
      <w:proofErr w:type="spellStart"/>
      <w:r w:rsidRPr="001335F4">
        <w:t>i</w:t>
      </w:r>
      <w:proofErr w:type="spellEnd"/>
      <w:r w:rsidRPr="001335F4">
        <w:t xml:space="preserve">) Class 4 </w:t>
      </w:r>
      <w:r w:rsidR="00244FDC">
        <w:t>g</w:t>
      </w:r>
      <w:r w:rsidRPr="001335F4">
        <w:t xml:space="preserve">ambling </w:t>
      </w:r>
      <w:r w:rsidR="00244FDC">
        <w:t>p</w:t>
      </w:r>
      <w:r w:rsidRPr="001335F4">
        <w:t xml:space="preserve">olicies complemented with a measure of accessibility; </w:t>
      </w:r>
      <w:r w:rsidR="00E62A13">
        <w:t xml:space="preserve">and </w:t>
      </w:r>
      <w:r w:rsidRPr="001335F4">
        <w:t xml:space="preserve">(ii) a set of economic characteristics designed to capture the impact of the economic cycle on bankruptcies. </w:t>
      </w:r>
    </w:p>
    <w:p w14:paraId="3CBAA715" w14:textId="60536BF7" w:rsidR="00824D4F" w:rsidRPr="00D90542" w:rsidRDefault="00824D4F" w:rsidP="00824D4F">
      <w:pPr>
        <w:spacing w:after="240" w:line="312" w:lineRule="auto"/>
        <w:jc w:val="both"/>
        <w:rPr>
          <w:rFonts w:eastAsiaTheme="minorEastAsia"/>
        </w:rPr>
      </w:pPr>
      <w:r w:rsidRPr="001335F4">
        <w:t>We repeat the difference-in-differences approach of section 4</w:t>
      </w:r>
      <w:r w:rsidR="00224905">
        <w:t xml:space="preserve"> (equation 1)</w:t>
      </w:r>
      <w:r w:rsidRPr="001335F4">
        <w:t xml:space="preserve">, </w:t>
      </w:r>
      <w:proofErr w:type="gramStart"/>
      <w:r w:rsidRPr="001335F4">
        <w:t>in order to</w:t>
      </w:r>
      <w:proofErr w:type="gramEnd"/>
      <w:r w:rsidRPr="001335F4">
        <w:t xml:space="preserve"> capture the impact of policy interventions at the TA level. We </w:t>
      </w:r>
      <w:r w:rsidR="00D90542">
        <w:t>add to equation (1)</w:t>
      </w:r>
      <w:r w:rsidRPr="001335F4">
        <w:t xml:space="preserve"> our accessibility variable, </w:t>
      </w:r>
      <m:oMath>
        <m:r>
          <w:rPr>
            <w:rFonts w:ascii="Cambria Math" w:hAnsi="Cambria Math"/>
          </w:rPr>
          <m:t>AC</m:t>
        </m:r>
        <m:sSub>
          <m:sSubPr>
            <m:ctrlPr>
              <w:rPr>
                <w:rFonts w:ascii="Cambria Math" w:hAnsi="Cambria Math"/>
                <w:i/>
              </w:rPr>
            </m:ctrlPr>
          </m:sSubPr>
          <m:e>
            <m:r>
              <w:rPr>
                <w:rFonts w:ascii="Cambria Math" w:hAnsi="Cambria Math"/>
              </w:rPr>
              <m:t>C</m:t>
            </m:r>
          </m:e>
          <m:sub>
            <m:r>
              <w:rPr>
                <w:rFonts w:ascii="Cambria Math" w:hAnsi="Cambria Math"/>
              </w:rPr>
              <m:t>i,t</m:t>
            </m:r>
          </m:sub>
        </m:sSub>
      </m:oMath>
      <w:r w:rsidRPr="001335F4">
        <w:rPr>
          <w:rFonts w:eastAsiaTheme="minorEastAsia"/>
        </w:rPr>
        <w:t xml:space="preserve"> that varies across time and each TA. </w:t>
      </w:r>
      <w:r w:rsidR="004C6FDA">
        <w:t>W</w:t>
      </w:r>
      <w:r w:rsidRPr="001335F4">
        <w:t xml:space="preserve">e </w:t>
      </w:r>
      <w:r w:rsidR="004C6FDA">
        <w:t>also</w:t>
      </w:r>
      <w:r>
        <w:t xml:space="preserve"> </w:t>
      </w:r>
      <w:r w:rsidRPr="001335F4">
        <w:t xml:space="preserve">include </w:t>
      </w:r>
      <m:oMath>
        <m:sSub>
          <m:sSubPr>
            <m:ctrlPr>
              <w:rPr>
                <w:rFonts w:ascii="Cambria Math" w:hAnsi="Cambria Math"/>
                <w:i/>
              </w:rPr>
            </m:ctrlPr>
          </m:sSubPr>
          <m:e>
            <m:r>
              <w:rPr>
                <w:rFonts w:ascii="Cambria Math" w:hAnsi="Cambria Math"/>
              </w:rPr>
              <m:t>X</m:t>
            </m:r>
          </m:e>
          <m:sub>
            <m:r>
              <w:rPr>
                <w:rFonts w:ascii="Cambria Math" w:hAnsi="Cambria Math"/>
              </w:rPr>
              <m:t>e</m:t>
            </m:r>
          </m:sub>
        </m:sSub>
      </m:oMath>
      <w:r w:rsidRPr="001335F4">
        <w:t xml:space="preserve"> which includes additional controls for the economic cycle</w:t>
      </w:r>
      <w:r w:rsidR="004C6FDA">
        <w:t>, as described in Table 7</w:t>
      </w:r>
      <w:r w:rsidRPr="001335F4">
        <w:t xml:space="preserve">. </w:t>
      </w:r>
    </w:p>
    <w:p w14:paraId="7EEF7D06" w14:textId="108EE4D1" w:rsidR="00D90542" w:rsidRPr="001335F4" w:rsidRDefault="00377AE6" w:rsidP="002D7893">
      <w:pPr>
        <w:spacing w:after="240" w:line="312" w:lineRule="auto"/>
        <w:jc w:val="both"/>
      </w:pPr>
      <w:r>
        <w:lastRenderedPageBreak/>
        <w:t xml:space="preserve">Finally, it is worth noting that we </w:t>
      </w:r>
      <w:r w:rsidR="00D90542" w:rsidRPr="001335F4">
        <w:t>omit variables that we only have available at the national level (such as inflation) since these impacts will be capture</w:t>
      </w:r>
      <w:r w:rsidR="00EE6DE7">
        <w:t>d</w:t>
      </w:r>
      <w:r w:rsidR="00D90542" w:rsidRPr="001335F4">
        <w:t xml:space="preserve"> in the vector of impacts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rsidR="00D90542" w:rsidRPr="001335F4">
        <w:rPr>
          <w:rFonts w:eastAsiaTheme="minorEastAsia"/>
        </w:rPr>
        <w:t xml:space="preserve"> that are invariant at the TA level.</w:t>
      </w:r>
    </w:p>
    <w:p w14:paraId="6461521C" w14:textId="68455B28" w:rsidR="00824D4F" w:rsidRDefault="00824D4F" w:rsidP="00824D4F">
      <w:pPr>
        <w:pStyle w:val="ExecSubheading"/>
        <w:rPr>
          <w:lang w:eastAsia="en-NZ"/>
        </w:rPr>
      </w:pPr>
      <w:bookmarkStart w:id="234" w:name="_Toc50033377"/>
      <w:r>
        <w:rPr>
          <w:lang w:eastAsia="en-NZ"/>
        </w:rPr>
        <w:t xml:space="preserve">7.4 </w:t>
      </w:r>
      <w:r w:rsidR="00D538E9">
        <w:rPr>
          <w:lang w:eastAsia="en-NZ"/>
        </w:rPr>
        <w:tab/>
      </w:r>
      <w:r>
        <w:rPr>
          <w:lang w:eastAsia="en-NZ"/>
        </w:rPr>
        <w:t>Results</w:t>
      </w:r>
      <w:bookmarkEnd w:id="234"/>
    </w:p>
    <w:p w14:paraId="0497E380" w14:textId="252B142E" w:rsidR="00824D4F" w:rsidRDefault="00824D4F" w:rsidP="00DF0A99">
      <w:pPr>
        <w:spacing w:line="312" w:lineRule="auto"/>
        <w:jc w:val="both"/>
      </w:pPr>
      <w:r>
        <w:t xml:space="preserve">Since we generate three access variables but are </w:t>
      </w:r>
      <w:r w:rsidR="00A84A90">
        <w:t xml:space="preserve">unsure as to which is most </w:t>
      </w:r>
      <w:proofErr w:type="gramStart"/>
      <w:r w:rsidR="00A84A90">
        <w:t>appropriate</w:t>
      </w:r>
      <w:proofErr w:type="gramEnd"/>
      <w:r w:rsidR="00A84A90">
        <w:t xml:space="preserve"> </w:t>
      </w:r>
      <w:r>
        <w:t xml:space="preserve">we </w:t>
      </w:r>
      <w:r w:rsidR="00A84A90">
        <w:t>estimate</w:t>
      </w:r>
      <w:r>
        <w:t xml:space="preserve"> three models: (</w:t>
      </w:r>
      <w:proofErr w:type="spellStart"/>
      <w:r>
        <w:t>i</w:t>
      </w:r>
      <w:proofErr w:type="spellEnd"/>
      <w:r>
        <w:t xml:space="preserve">) Model 1 includes </w:t>
      </w:r>
      <w:r w:rsidR="008F162C">
        <w:t>d</w:t>
      </w:r>
      <w:r w:rsidR="00F01535">
        <w:t>istance to EGM 0.5km</w:t>
      </w:r>
      <w:r w:rsidR="00FB7125">
        <w:t>;</w:t>
      </w:r>
      <w:r>
        <w:t xml:space="preserve"> (ii) Model 2 </w:t>
      </w:r>
      <w:r w:rsidR="008F162C">
        <w:t>uses distance to EGM 1km</w:t>
      </w:r>
      <w:r w:rsidR="00FB7125">
        <w:t>;</w:t>
      </w:r>
      <w:r w:rsidR="008F162C">
        <w:t xml:space="preserve"> </w:t>
      </w:r>
      <w:r w:rsidR="00FB7125">
        <w:t>while</w:t>
      </w:r>
      <w:r>
        <w:t xml:space="preserve"> (iii) Model 3 </w:t>
      </w:r>
      <w:r w:rsidR="00FB7125">
        <w:t>uses distance to EGM 2km</w:t>
      </w:r>
      <w:r>
        <w:t xml:space="preserve">. Table </w:t>
      </w:r>
      <w:r w:rsidR="000D558A">
        <w:t>8</w:t>
      </w:r>
      <w:r>
        <w:t xml:space="preserve"> presents the results of </w:t>
      </w:r>
      <w:r w:rsidR="00DF0A99">
        <w:t>these specifications</w:t>
      </w:r>
      <w:r>
        <w:t xml:space="preserve">. In each case the dependant </w:t>
      </w:r>
      <w:r w:rsidR="00DF0A99">
        <w:t>variable is</w:t>
      </w:r>
      <w:r>
        <w:t xml:space="preserve"> the number of bankruptcies per 100,000 people.</w:t>
      </w:r>
    </w:p>
    <w:p w14:paraId="62B8E25D" w14:textId="77777777" w:rsidR="003E0BE5" w:rsidRDefault="003E0BE5" w:rsidP="00DF0A99">
      <w:pPr>
        <w:spacing w:line="312" w:lineRule="auto"/>
        <w:jc w:val="both"/>
      </w:pPr>
    </w:p>
    <w:p w14:paraId="4C109E5F" w14:textId="1DC4CBD0" w:rsidR="00F84A45" w:rsidRDefault="00F84A45" w:rsidP="00F84A45">
      <w:pPr>
        <w:pStyle w:val="Caption"/>
        <w:keepNext/>
        <w:spacing w:after="0"/>
      </w:pPr>
      <w:bookmarkStart w:id="235" w:name="_Toc50033358"/>
      <w:bookmarkStart w:id="236" w:name="_Hlk49948583"/>
      <w:r>
        <w:t xml:space="preserve">Table </w:t>
      </w:r>
      <w:fldSimple w:instr=" SEQ Table \* ARABIC ">
        <w:r w:rsidR="00CB2BDA">
          <w:rPr>
            <w:noProof/>
          </w:rPr>
          <w:t>8</w:t>
        </w:r>
      </w:fldSimple>
      <w:r>
        <w:t xml:space="preserve">. </w:t>
      </w:r>
      <w:r w:rsidRPr="00535F6C">
        <w:t>Impact of gambling policies on bankruptcies</w:t>
      </w:r>
      <w:bookmarkEnd w:id="235"/>
    </w:p>
    <w:tbl>
      <w:tblPr>
        <w:tblW w:w="5000" w:type="pct"/>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left w:w="75" w:type="dxa"/>
          <w:right w:w="75" w:type="dxa"/>
        </w:tblCellMar>
        <w:tblLook w:val="0000" w:firstRow="0" w:lastRow="0" w:firstColumn="0" w:lastColumn="0" w:noHBand="0" w:noVBand="0"/>
      </w:tblPr>
      <w:tblGrid>
        <w:gridCol w:w="2784"/>
        <w:gridCol w:w="2179"/>
        <w:gridCol w:w="2181"/>
        <w:gridCol w:w="2178"/>
      </w:tblGrid>
      <w:tr w:rsidR="00824D4F" w:rsidRPr="00B5248D" w14:paraId="58F53ECF" w14:textId="77777777" w:rsidTr="001F558D">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4472C4" w:themeFill="accent5"/>
            <w:vAlign w:val="center"/>
          </w:tcPr>
          <w:p w14:paraId="66782628" w14:textId="77777777" w:rsidR="00824D4F" w:rsidRPr="00DC1734" w:rsidRDefault="00824D4F" w:rsidP="001F558D">
            <w:pPr>
              <w:spacing w:after="0"/>
              <w:jc w:val="center"/>
              <w:rPr>
                <w:rFonts w:ascii="Calibri Light" w:eastAsia="Yu Gothic Light" w:hAnsi="Calibri Light" w:cs="Times New Roman"/>
                <w:color w:val="FFFFFF" w:themeColor="background1"/>
                <w:lang w:eastAsia="en-NZ"/>
              </w:rPr>
            </w:pPr>
            <w:r w:rsidRPr="00DC1734">
              <w:rPr>
                <w:rFonts w:ascii="Calibri Light" w:eastAsia="Yu Gothic Light" w:hAnsi="Calibri Light" w:cs="Times New Roman"/>
                <w:color w:val="FFFFFF" w:themeColor="background1"/>
                <w:lang w:eastAsia="en-NZ"/>
              </w:rPr>
              <w:t>Variable</w:t>
            </w:r>
          </w:p>
        </w:tc>
        <w:tc>
          <w:tcPr>
            <w:tcW w:w="1169" w:type="pc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2A5CAA91" w14:textId="5986A576" w:rsidR="00824D4F" w:rsidRPr="00DC1734" w:rsidRDefault="00824D4F" w:rsidP="001F558D">
            <w:pPr>
              <w:spacing w:after="0"/>
              <w:jc w:val="center"/>
              <w:rPr>
                <w:rFonts w:ascii="Calibri Light" w:eastAsia="Yu Gothic Light" w:hAnsi="Calibri Light" w:cs="Times New Roman"/>
                <w:color w:val="FFFFFF" w:themeColor="background1"/>
                <w:lang w:eastAsia="en-NZ"/>
              </w:rPr>
            </w:pPr>
            <w:r>
              <w:rPr>
                <w:rFonts w:ascii="Calibri Light" w:eastAsia="Yu Gothic Light" w:hAnsi="Calibri Light" w:cs="Times New Roman"/>
                <w:color w:val="FFFFFF" w:themeColor="background1"/>
                <w:lang w:eastAsia="en-NZ"/>
              </w:rPr>
              <w:t>Model 1</w:t>
            </w:r>
          </w:p>
        </w:tc>
        <w:tc>
          <w:tcPr>
            <w:tcW w:w="1170" w:type="pc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400854F1" w14:textId="1D86932F" w:rsidR="00824D4F" w:rsidRPr="00DC1734" w:rsidRDefault="00824D4F" w:rsidP="001F558D">
            <w:pPr>
              <w:spacing w:after="0"/>
              <w:jc w:val="center"/>
              <w:rPr>
                <w:rFonts w:ascii="Calibri Light" w:eastAsia="Yu Gothic Light" w:hAnsi="Calibri Light" w:cs="Times New Roman"/>
                <w:color w:val="FFFFFF" w:themeColor="background1"/>
                <w:lang w:eastAsia="en-NZ"/>
              </w:rPr>
            </w:pPr>
            <w:r>
              <w:rPr>
                <w:rFonts w:ascii="Calibri Light" w:eastAsia="Yu Gothic Light" w:hAnsi="Calibri Light" w:cs="Times New Roman"/>
                <w:color w:val="FFFFFF" w:themeColor="background1"/>
                <w:lang w:eastAsia="en-NZ"/>
              </w:rPr>
              <w:t>Model 2</w:t>
            </w:r>
          </w:p>
        </w:tc>
        <w:tc>
          <w:tcPr>
            <w:tcW w:w="1168" w:type="pc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shd w:val="clear" w:color="auto" w:fill="4472C4" w:themeFill="accent5"/>
            <w:vAlign w:val="center"/>
          </w:tcPr>
          <w:p w14:paraId="1AAF7A58" w14:textId="4EC93A74" w:rsidR="00824D4F" w:rsidRPr="00DC1734" w:rsidRDefault="00824D4F" w:rsidP="001F558D">
            <w:pPr>
              <w:spacing w:after="0"/>
              <w:jc w:val="center"/>
              <w:rPr>
                <w:rFonts w:ascii="Calibri Light" w:eastAsia="Yu Gothic Light" w:hAnsi="Calibri Light" w:cs="Times New Roman"/>
                <w:color w:val="FFFFFF" w:themeColor="background1"/>
                <w:lang w:eastAsia="en-NZ"/>
              </w:rPr>
            </w:pPr>
            <w:r>
              <w:rPr>
                <w:rFonts w:ascii="Calibri Light" w:eastAsia="Yu Gothic Light" w:hAnsi="Calibri Light" w:cs="Times New Roman"/>
                <w:color w:val="FFFFFF" w:themeColor="background1"/>
                <w:lang w:eastAsia="en-NZ"/>
              </w:rPr>
              <w:t>Model 3</w:t>
            </w:r>
          </w:p>
        </w:tc>
      </w:tr>
      <w:tr w:rsidR="00847306" w:rsidRPr="00B5248D" w14:paraId="3329EBCB" w14:textId="77777777" w:rsidTr="00847306">
        <w:trPr>
          <w:trHeight w:val="283"/>
        </w:trPr>
        <w:tc>
          <w:tcPr>
            <w:tcW w:w="5000" w:type="pct"/>
            <w:gridSpan w:val="4"/>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4B2A5C76" w14:textId="26889207" w:rsidR="00847306" w:rsidRPr="001F558D" w:rsidRDefault="00847306" w:rsidP="00DD1FDF">
            <w:pPr>
              <w:tabs>
                <w:tab w:val="decimal" w:pos="852"/>
              </w:tabs>
              <w:spacing w:after="0"/>
              <w:rPr>
                <w:rFonts w:eastAsia="Yu Gothic Light" w:cs="Times New Roman"/>
                <w:b/>
                <w:lang w:eastAsia="en-NZ"/>
              </w:rPr>
            </w:pPr>
            <w:r w:rsidRPr="001F558D">
              <w:rPr>
                <w:rFonts w:eastAsia="Yu Gothic Light" w:cs="Times New Roman"/>
                <w:b/>
                <w:lang w:eastAsia="en-NZ"/>
              </w:rPr>
              <w:t>Outcome variables</w:t>
            </w:r>
          </w:p>
        </w:tc>
      </w:tr>
      <w:tr w:rsidR="00824D4F" w:rsidRPr="00B5248D" w14:paraId="6B08D2D9" w14:textId="77777777" w:rsidTr="001F558D">
        <w:trPr>
          <w:trHeight w:val="283"/>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537777EB" w14:textId="77777777" w:rsidR="00824D4F" w:rsidRPr="001F558D" w:rsidRDefault="00824D4F" w:rsidP="001F558D">
            <w:pPr>
              <w:spacing w:after="0"/>
              <w:rPr>
                <w:rFonts w:eastAsia="Yu Gothic Light" w:cs="Times New Roman"/>
                <w:lang w:eastAsia="en-NZ"/>
              </w:rPr>
            </w:pPr>
            <w:r w:rsidRPr="001F558D">
              <w:rPr>
                <w:rFonts w:eastAsia="Yu Gothic Light" w:cs="Times New Roman"/>
                <w:lang w:eastAsia="en-NZ"/>
              </w:rPr>
              <w:t>Absolute cap</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294061B7" w14:textId="7BCC7DFD"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-6.</w:t>
            </w:r>
            <w:r w:rsidR="00AB5EE7" w:rsidRPr="001F558D">
              <w:rPr>
                <w:rFonts w:eastAsia="Yu Gothic Light" w:cs="Times New Roman"/>
                <w:lang w:eastAsia="en-NZ"/>
              </w:rPr>
              <w:t>33</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25F1802D" w14:textId="7B0C26BA"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-6.</w:t>
            </w:r>
            <w:r w:rsidR="00AA3CB1" w:rsidRPr="001F558D">
              <w:rPr>
                <w:rFonts w:eastAsia="Yu Gothic Light" w:cs="Times New Roman"/>
                <w:lang w:eastAsia="en-NZ"/>
              </w:rPr>
              <w:t>24</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3CCEF7E5" w14:textId="1C36B8DD"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-5.</w:t>
            </w:r>
            <w:r w:rsidR="00D56096" w:rsidRPr="001F558D">
              <w:rPr>
                <w:rFonts w:eastAsia="Yu Gothic Light" w:cs="Times New Roman"/>
                <w:lang w:eastAsia="en-NZ"/>
              </w:rPr>
              <w:t>70</w:t>
            </w:r>
          </w:p>
        </w:tc>
      </w:tr>
      <w:tr w:rsidR="00824D4F" w:rsidRPr="00B5248D" w14:paraId="7F524281" w14:textId="77777777" w:rsidTr="001F558D">
        <w:trPr>
          <w:trHeight w:val="283"/>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C8DB3AF" w14:textId="77777777" w:rsidR="00824D4F" w:rsidRPr="001F558D" w:rsidRDefault="00824D4F" w:rsidP="001F558D">
            <w:pPr>
              <w:spacing w:after="0"/>
              <w:rPr>
                <w:rFonts w:eastAsia="Yu Gothic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73332D4B" w14:textId="7A5EC388"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(5.</w:t>
            </w:r>
            <w:r w:rsidR="00AB5EE7" w:rsidRPr="001F558D">
              <w:rPr>
                <w:rFonts w:eastAsia="Yu Gothic Light" w:cs="Times New Roman"/>
                <w:lang w:eastAsia="en-NZ"/>
              </w:rPr>
              <w:t>82</w:t>
            </w:r>
            <w:r w:rsidRPr="001F558D">
              <w:rPr>
                <w:rFonts w:eastAsia="Yu Gothic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0D5D8598" w14:textId="20804307"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(6.</w:t>
            </w:r>
            <w:r w:rsidR="00AA3CB1" w:rsidRPr="001F558D">
              <w:rPr>
                <w:rFonts w:eastAsia="Yu Gothic Light" w:cs="Times New Roman"/>
                <w:lang w:eastAsia="en-NZ"/>
              </w:rPr>
              <w:t>19</w:t>
            </w:r>
            <w:r w:rsidRPr="001F558D">
              <w:rPr>
                <w:rFonts w:eastAsia="Yu Gothic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57DAC8B2" w14:textId="447896C3"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w:t>
            </w:r>
            <w:r w:rsidR="00D56096" w:rsidRPr="001F558D">
              <w:rPr>
                <w:rFonts w:eastAsia="Yu Gothic Light" w:cs="Times New Roman"/>
                <w:lang w:eastAsia="en-NZ"/>
              </w:rPr>
              <w:t>5.95</w:t>
            </w:r>
            <w:r w:rsidRPr="001F558D">
              <w:rPr>
                <w:rFonts w:eastAsia="Yu Gothic Light" w:cs="Times New Roman"/>
                <w:lang w:eastAsia="en-NZ"/>
              </w:rPr>
              <w:t>)</w:t>
            </w:r>
          </w:p>
        </w:tc>
      </w:tr>
      <w:tr w:rsidR="00824D4F" w:rsidRPr="00B5248D" w14:paraId="7939D6A6" w14:textId="77777777" w:rsidTr="001F558D">
        <w:trPr>
          <w:trHeight w:val="283"/>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11CE5A02" w14:textId="77777777" w:rsidR="00824D4F" w:rsidRPr="001F558D" w:rsidRDefault="00824D4F" w:rsidP="001F558D">
            <w:pPr>
              <w:spacing w:after="0"/>
              <w:rPr>
                <w:rFonts w:eastAsia="Yu Gothic Light" w:cs="Times New Roman"/>
                <w:lang w:eastAsia="en-NZ"/>
              </w:rPr>
            </w:pPr>
            <w:r w:rsidRPr="001F558D">
              <w:rPr>
                <w:rFonts w:eastAsia="Yu Gothic Light" w:cs="Times New Roman"/>
                <w:lang w:eastAsia="en-NZ"/>
              </w:rPr>
              <w:t>Lagged absolute cap</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345FBE0B" w14:textId="6CFFC3F0"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1.2</w:t>
            </w:r>
            <w:r w:rsidR="00AB5EE7" w:rsidRPr="001F558D">
              <w:rPr>
                <w:rFonts w:eastAsia="Yu Gothic Light" w:cs="Times New Roman"/>
                <w:lang w:eastAsia="en-NZ"/>
              </w:rPr>
              <w:t>1</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580A7221" w14:textId="2B0CCB2B"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1.1</w:t>
            </w:r>
            <w:r w:rsidR="00AA3CB1" w:rsidRPr="001F558D">
              <w:rPr>
                <w:rFonts w:eastAsia="Yu Gothic Light" w:cs="Times New Roman"/>
                <w:lang w:eastAsia="en-NZ"/>
              </w:rPr>
              <w:t>6</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23C9366E" w14:textId="24DB0990"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1.2</w:t>
            </w:r>
            <w:r w:rsidR="00D56096" w:rsidRPr="001F558D">
              <w:rPr>
                <w:rFonts w:eastAsia="Yu Gothic Light" w:cs="Times New Roman"/>
                <w:lang w:eastAsia="en-NZ"/>
              </w:rPr>
              <w:t>9</w:t>
            </w:r>
          </w:p>
        </w:tc>
      </w:tr>
      <w:tr w:rsidR="00824D4F" w:rsidRPr="00B5248D" w14:paraId="694BDB63" w14:textId="77777777" w:rsidTr="001F558D">
        <w:trPr>
          <w:trHeight w:val="283"/>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3AECA374" w14:textId="77777777" w:rsidR="00824D4F" w:rsidRPr="001F558D" w:rsidRDefault="00824D4F" w:rsidP="001F558D">
            <w:pPr>
              <w:spacing w:after="0"/>
              <w:rPr>
                <w:rFonts w:eastAsia="Yu Gothic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23476A71" w14:textId="28DFF837"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w:t>
            </w:r>
            <w:r w:rsidR="00A94474" w:rsidRPr="001F558D">
              <w:rPr>
                <w:rFonts w:eastAsia="Yu Gothic Light" w:cs="Times New Roman"/>
                <w:lang w:eastAsia="en-NZ"/>
              </w:rPr>
              <w:t>6.99</w:t>
            </w:r>
            <w:r w:rsidRPr="001F558D">
              <w:rPr>
                <w:rFonts w:eastAsia="Yu Gothic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05CB279A" w14:textId="77C19911"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(7.</w:t>
            </w:r>
            <w:r w:rsidR="00AA3CB1" w:rsidRPr="001F558D">
              <w:rPr>
                <w:rFonts w:eastAsia="Yu Gothic Light" w:cs="Times New Roman"/>
                <w:lang w:eastAsia="en-NZ"/>
              </w:rPr>
              <w:t>1</w:t>
            </w:r>
            <w:r w:rsidR="00891D55" w:rsidRPr="001F558D">
              <w:rPr>
                <w:rFonts w:eastAsia="Yu Gothic Light" w:cs="Times New Roman"/>
                <w:lang w:eastAsia="en-NZ"/>
              </w:rPr>
              <w:t>0</w:t>
            </w:r>
            <w:r w:rsidRPr="001F558D">
              <w:rPr>
                <w:rFonts w:eastAsia="Yu Gothic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5DBAFB69" w14:textId="32AFA548"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w:t>
            </w:r>
            <w:r w:rsidR="004114AF" w:rsidRPr="001F558D">
              <w:rPr>
                <w:rFonts w:eastAsia="Yu Gothic Light" w:cs="Times New Roman"/>
                <w:lang w:eastAsia="en-NZ"/>
              </w:rPr>
              <w:t>6.77</w:t>
            </w:r>
            <w:r w:rsidRPr="001F558D">
              <w:rPr>
                <w:rFonts w:eastAsia="Yu Gothic Light" w:cs="Times New Roman"/>
                <w:lang w:eastAsia="en-NZ"/>
              </w:rPr>
              <w:t>)</w:t>
            </w:r>
          </w:p>
        </w:tc>
      </w:tr>
      <w:tr w:rsidR="00824D4F" w:rsidRPr="00B5248D" w14:paraId="6BE28753" w14:textId="77777777" w:rsidTr="001F558D">
        <w:trPr>
          <w:trHeight w:val="283"/>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1E2C428D" w14:textId="77777777" w:rsidR="00824D4F" w:rsidRPr="001F558D" w:rsidRDefault="00824D4F" w:rsidP="001F558D">
            <w:pPr>
              <w:spacing w:after="0"/>
              <w:rPr>
                <w:rFonts w:eastAsia="Yu Gothic Light" w:cs="Times New Roman"/>
                <w:lang w:eastAsia="en-NZ"/>
              </w:rPr>
            </w:pPr>
            <w:r w:rsidRPr="001F558D">
              <w:rPr>
                <w:rFonts w:eastAsia="Yu Gothic Light" w:cs="Times New Roman"/>
                <w:lang w:eastAsia="en-NZ"/>
              </w:rPr>
              <w:t>Per capita cap</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2301F00B" w14:textId="2DAAB279"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w:t>
            </w:r>
            <w:r w:rsidR="00A94474" w:rsidRPr="001F558D">
              <w:rPr>
                <w:rFonts w:eastAsia="Yu Gothic Light" w:cs="Times New Roman"/>
                <w:lang w:eastAsia="en-NZ"/>
              </w:rPr>
              <w:t>3.46</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1C62A127" w14:textId="088D904C"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-3.</w:t>
            </w:r>
            <w:r w:rsidR="00AA3CB1" w:rsidRPr="001F558D">
              <w:rPr>
                <w:rFonts w:eastAsia="Yu Gothic Light" w:cs="Times New Roman"/>
                <w:lang w:eastAsia="en-NZ"/>
              </w:rPr>
              <w:t>33</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0ECD0FC4" w14:textId="39E559E6"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-2.</w:t>
            </w:r>
            <w:r w:rsidR="004114AF" w:rsidRPr="001F558D">
              <w:rPr>
                <w:rFonts w:eastAsia="Yu Gothic Light" w:cs="Times New Roman"/>
                <w:lang w:eastAsia="en-NZ"/>
              </w:rPr>
              <w:t>50</w:t>
            </w:r>
          </w:p>
        </w:tc>
      </w:tr>
      <w:tr w:rsidR="00824D4F" w:rsidRPr="00B5248D" w14:paraId="4991A8EC" w14:textId="77777777" w:rsidTr="001F558D">
        <w:trPr>
          <w:trHeight w:val="283"/>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6C6E7309" w14:textId="77777777" w:rsidR="00824D4F" w:rsidRPr="001F558D" w:rsidRDefault="00824D4F" w:rsidP="001F558D">
            <w:pPr>
              <w:spacing w:after="0"/>
              <w:rPr>
                <w:rFonts w:eastAsia="Yu Gothic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64401215" w14:textId="2EB69F6D"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(6.9</w:t>
            </w:r>
            <w:r w:rsidR="00A94474" w:rsidRPr="001F558D">
              <w:rPr>
                <w:rFonts w:eastAsia="Yu Gothic Light" w:cs="Times New Roman"/>
                <w:lang w:eastAsia="en-NZ"/>
              </w:rPr>
              <w:t>1</w:t>
            </w:r>
            <w:r w:rsidRPr="001F558D">
              <w:rPr>
                <w:rFonts w:eastAsia="Yu Gothic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0902AC8A" w14:textId="6ADC4B57"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(7.</w:t>
            </w:r>
            <w:r w:rsidR="00AA3CB1" w:rsidRPr="001F558D">
              <w:rPr>
                <w:rFonts w:eastAsia="Yu Gothic Light" w:cs="Times New Roman"/>
                <w:lang w:eastAsia="en-NZ"/>
              </w:rPr>
              <w:t>15</w:t>
            </w:r>
            <w:r w:rsidRPr="001F558D">
              <w:rPr>
                <w:rFonts w:eastAsia="Yu Gothic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46A1D5BE" w14:textId="204340B8"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(7.</w:t>
            </w:r>
            <w:r w:rsidR="004114AF" w:rsidRPr="001F558D">
              <w:rPr>
                <w:rFonts w:eastAsia="Yu Gothic Light" w:cs="Times New Roman"/>
                <w:lang w:eastAsia="en-NZ"/>
              </w:rPr>
              <w:t>51</w:t>
            </w:r>
            <w:r w:rsidRPr="001F558D">
              <w:rPr>
                <w:rFonts w:eastAsia="Yu Gothic Light" w:cs="Times New Roman"/>
                <w:lang w:eastAsia="en-NZ"/>
              </w:rPr>
              <w:t>)</w:t>
            </w:r>
          </w:p>
        </w:tc>
      </w:tr>
      <w:tr w:rsidR="00824D4F" w:rsidRPr="00B5248D" w14:paraId="7A800626" w14:textId="77777777" w:rsidTr="001F558D">
        <w:trPr>
          <w:trHeight w:val="283"/>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740A49D6" w14:textId="77777777" w:rsidR="00824D4F" w:rsidRPr="001F558D" w:rsidRDefault="00824D4F" w:rsidP="001F558D">
            <w:pPr>
              <w:spacing w:after="0"/>
              <w:rPr>
                <w:rFonts w:eastAsia="Yu Gothic Light" w:cs="Times New Roman"/>
                <w:lang w:eastAsia="en-NZ"/>
              </w:rPr>
            </w:pPr>
            <w:r w:rsidRPr="001F558D">
              <w:rPr>
                <w:rFonts w:eastAsia="Yu Gothic Light" w:cs="Times New Roman"/>
                <w:lang w:eastAsia="en-NZ"/>
              </w:rPr>
              <w:t>Lagged per capita cap</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49BF8A5B" w14:textId="4910F3A3" w:rsidR="00824D4F" w:rsidRPr="001F558D" w:rsidRDefault="00A94474" w:rsidP="001F558D">
            <w:pPr>
              <w:tabs>
                <w:tab w:val="decimal" w:pos="852"/>
              </w:tabs>
              <w:spacing w:after="0"/>
              <w:rPr>
                <w:rFonts w:eastAsia="Yu Gothic Light" w:cs="Times New Roman"/>
                <w:lang w:eastAsia="en-NZ"/>
              </w:rPr>
            </w:pPr>
            <w:r w:rsidRPr="001F558D">
              <w:rPr>
                <w:rFonts w:eastAsia="Yu Gothic Light" w:cs="Times New Roman"/>
                <w:lang w:eastAsia="en-NZ"/>
              </w:rPr>
              <w:t>5.08</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542BA963" w14:textId="20BD86B0" w:rsidR="00824D4F" w:rsidRPr="001F558D" w:rsidRDefault="00EB1BB5" w:rsidP="00DD1FDF">
            <w:pPr>
              <w:tabs>
                <w:tab w:val="decimal" w:pos="982"/>
              </w:tabs>
              <w:spacing w:after="0"/>
              <w:rPr>
                <w:rFonts w:eastAsia="Yu Gothic Light" w:cs="Times New Roman"/>
                <w:lang w:eastAsia="en-NZ"/>
              </w:rPr>
            </w:pPr>
            <w:r w:rsidRPr="001F558D">
              <w:rPr>
                <w:rFonts w:eastAsia="Yu Gothic Light" w:cs="Times New Roman"/>
                <w:lang w:eastAsia="en-NZ"/>
              </w:rPr>
              <w:t>5.19</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2A0E1D1F" w14:textId="21E4D3D9"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5.</w:t>
            </w:r>
            <w:r w:rsidR="004114AF" w:rsidRPr="001F558D">
              <w:rPr>
                <w:rFonts w:eastAsia="Yu Gothic Light" w:cs="Times New Roman"/>
                <w:lang w:eastAsia="en-NZ"/>
              </w:rPr>
              <w:t>76</w:t>
            </w:r>
          </w:p>
        </w:tc>
      </w:tr>
      <w:tr w:rsidR="00824D4F" w:rsidRPr="00B5248D" w14:paraId="0D1FC183" w14:textId="77777777" w:rsidTr="001F558D">
        <w:trPr>
          <w:trHeight w:val="283"/>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1C78E27B" w14:textId="77777777" w:rsidR="00824D4F" w:rsidRPr="001F558D" w:rsidRDefault="00824D4F" w:rsidP="001F558D">
            <w:pPr>
              <w:spacing w:after="0"/>
              <w:rPr>
                <w:rFonts w:eastAsia="Yu Gothic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64955A21" w14:textId="629FF15D"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(8.</w:t>
            </w:r>
            <w:r w:rsidR="00A94474" w:rsidRPr="001F558D">
              <w:rPr>
                <w:rFonts w:eastAsia="Yu Gothic Light" w:cs="Times New Roman"/>
                <w:lang w:eastAsia="en-NZ"/>
              </w:rPr>
              <w:t>05</w:t>
            </w:r>
            <w:r w:rsidRPr="001F558D">
              <w:rPr>
                <w:rFonts w:eastAsia="Yu Gothic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50AF8ED6" w14:textId="06B6D103"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w:t>
            </w:r>
            <w:r w:rsidR="00D43713" w:rsidRPr="001F558D">
              <w:rPr>
                <w:rFonts w:eastAsia="Yu Gothic Light" w:cs="Times New Roman"/>
                <w:lang w:eastAsia="en-NZ"/>
              </w:rPr>
              <w:t>7.88</w:t>
            </w:r>
            <w:r w:rsidRPr="001F558D">
              <w:rPr>
                <w:rFonts w:eastAsia="Yu Gothic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7A078254" w14:textId="2E7D2720"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(7.</w:t>
            </w:r>
            <w:r w:rsidR="005463FC" w:rsidRPr="001F558D">
              <w:rPr>
                <w:rFonts w:eastAsia="Yu Gothic Light" w:cs="Times New Roman"/>
                <w:lang w:eastAsia="en-NZ"/>
              </w:rPr>
              <w:t>59</w:t>
            </w:r>
            <w:r w:rsidRPr="001F558D">
              <w:rPr>
                <w:rFonts w:eastAsia="Yu Gothic Light" w:cs="Times New Roman"/>
                <w:lang w:eastAsia="en-NZ"/>
              </w:rPr>
              <w:t>)</w:t>
            </w:r>
          </w:p>
        </w:tc>
      </w:tr>
      <w:tr w:rsidR="00824D4F" w:rsidRPr="00B5248D" w14:paraId="0D104FBB" w14:textId="77777777" w:rsidTr="001F558D">
        <w:trPr>
          <w:trHeight w:val="283"/>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164F6EC6" w14:textId="77777777" w:rsidR="00824D4F" w:rsidRPr="001F558D" w:rsidRDefault="00824D4F" w:rsidP="001F558D">
            <w:pPr>
              <w:spacing w:after="0"/>
              <w:rPr>
                <w:rFonts w:eastAsia="Yu Gothic Light" w:cs="Times New Roman"/>
                <w:lang w:eastAsia="en-NZ"/>
              </w:rPr>
            </w:pPr>
            <w:r w:rsidRPr="001F558D">
              <w:rPr>
                <w:rFonts w:eastAsia="Yu Gothic Light" w:cs="Times New Roman"/>
                <w:lang w:eastAsia="en-NZ"/>
              </w:rPr>
              <w:t>Sinking lid</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00594D8B" w14:textId="3F38AA5B"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w:t>
            </w:r>
            <w:r w:rsidR="00A94474" w:rsidRPr="001F558D">
              <w:rPr>
                <w:rFonts w:eastAsia="Yu Gothic Light" w:cs="Times New Roman"/>
                <w:lang w:eastAsia="en-NZ"/>
              </w:rPr>
              <w:t>7.56</w:t>
            </w:r>
            <w:r w:rsidRPr="001F558D">
              <w:rPr>
                <w:rFonts w:eastAsia="Yu Gothic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7D007607" w14:textId="4BBAB41A"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w:t>
            </w:r>
            <w:r w:rsidR="00D43713" w:rsidRPr="001F558D">
              <w:rPr>
                <w:rFonts w:eastAsia="Yu Gothic Light" w:cs="Times New Roman"/>
                <w:lang w:eastAsia="en-NZ"/>
              </w:rPr>
              <w:t>7.4</w:t>
            </w:r>
            <w:r w:rsidR="00D56096" w:rsidRPr="001F558D">
              <w:rPr>
                <w:rFonts w:eastAsia="Yu Gothic Light" w:cs="Times New Roman"/>
                <w:lang w:eastAsia="en-NZ"/>
              </w:rPr>
              <w:t>9</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15BCF504" w14:textId="6A958A47"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w:t>
            </w:r>
            <w:r w:rsidR="005463FC" w:rsidRPr="001F558D">
              <w:rPr>
                <w:rFonts w:eastAsia="Yu Gothic Light" w:cs="Times New Roman"/>
                <w:lang w:eastAsia="en-NZ"/>
              </w:rPr>
              <w:t>6.82</w:t>
            </w:r>
          </w:p>
        </w:tc>
      </w:tr>
      <w:tr w:rsidR="00824D4F" w:rsidRPr="00B5248D" w14:paraId="1E092819" w14:textId="77777777" w:rsidTr="001F558D">
        <w:trPr>
          <w:trHeight w:val="283"/>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5CF7207" w14:textId="77777777" w:rsidR="00824D4F" w:rsidRPr="001F558D" w:rsidRDefault="00824D4F" w:rsidP="001F558D">
            <w:pPr>
              <w:spacing w:after="0"/>
              <w:rPr>
                <w:rFonts w:eastAsia="Yu Gothic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4256601E" w14:textId="05E6C506"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(4.</w:t>
            </w:r>
            <w:r w:rsidR="0006170B" w:rsidRPr="001F558D">
              <w:rPr>
                <w:rFonts w:eastAsia="Yu Gothic Light" w:cs="Times New Roman"/>
                <w:lang w:eastAsia="en-NZ"/>
              </w:rPr>
              <w:t>5</w:t>
            </w:r>
            <w:r w:rsidRPr="001F558D">
              <w:rPr>
                <w:rFonts w:eastAsia="Yu Gothic Light" w:cs="Times New Roman"/>
                <w:lang w:eastAsia="en-NZ"/>
              </w:rPr>
              <w:t>4)</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06B2361E" w14:textId="01213AFE"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(4.</w:t>
            </w:r>
            <w:r w:rsidR="00D56096" w:rsidRPr="001F558D">
              <w:rPr>
                <w:rFonts w:eastAsia="Yu Gothic Light" w:cs="Times New Roman"/>
                <w:lang w:eastAsia="en-NZ"/>
              </w:rPr>
              <w:t>79</w:t>
            </w:r>
            <w:r w:rsidRPr="001F558D">
              <w:rPr>
                <w:rFonts w:eastAsia="Yu Gothic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7DD2E0DB" w14:textId="38AB3EF2"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(4.9</w:t>
            </w:r>
            <w:r w:rsidR="005463FC" w:rsidRPr="001F558D">
              <w:rPr>
                <w:rFonts w:eastAsia="Yu Gothic Light" w:cs="Times New Roman"/>
                <w:lang w:eastAsia="en-NZ"/>
              </w:rPr>
              <w:t>7</w:t>
            </w:r>
            <w:r w:rsidRPr="001F558D">
              <w:rPr>
                <w:rFonts w:eastAsia="Yu Gothic Light" w:cs="Times New Roman"/>
                <w:lang w:eastAsia="en-NZ"/>
              </w:rPr>
              <w:t>)</w:t>
            </w:r>
          </w:p>
        </w:tc>
      </w:tr>
      <w:tr w:rsidR="00824D4F" w:rsidRPr="00B5248D" w14:paraId="53AE3257" w14:textId="77777777" w:rsidTr="001F558D">
        <w:trPr>
          <w:trHeight w:val="283"/>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60540858" w14:textId="77777777" w:rsidR="00824D4F" w:rsidRPr="001F558D" w:rsidRDefault="00824D4F" w:rsidP="001F558D">
            <w:pPr>
              <w:spacing w:after="0"/>
              <w:rPr>
                <w:rFonts w:eastAsia="Yu Gothic Light" w:cs="Times New Roman"/>
                <w:lang w:eastAsia="en-NZ"/>
              </w:rPr>
            </w:pPr>
            <w:r w:rsidRPr="001F558D">
              <w:rPr>
                <w:rFonts w:eastAsia="Yu Gothic Light" w:cs="Times New Roman"/>
                <w:lang w:eastAsia="en-NZ"/>
              </w:rPr>
              <w:t>Lagged sinking lid</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12D0F9D4" w14:textId="58910C7D"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4.</w:t>
            </w:r>
            <w:r w:rsidR="00C641F9" w:rsidRPr="001F558D">
              <w:rPr>
                <w:rFonts w:eastAsia="Yu Gothic Light" w:cs="Times New Roman"/>
                <w:lang w:eastAsia="en-NZ"/>
              </w:rPr>
              <w:t>41</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760CF608" w14:textId="03A55973"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4.</w:t>
            </w:r>
            <w:r w:rsidR="00D56096" w:rsidRPr="001F558D">
              <w:rPr>
                <w:rFonts w:eastAsia="Yu Gothic Light" w:cs="Times New Roman"/>
                <w:lang w:eastAsia="en-NZ"/>
              </w:rPr>
              <w:t>41</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auto"/>
            <w:vAlign w:val="center"/>
          </w:tcPr>
          <w:p w14:paraId="6A477DB3" w14:textId="79654752"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4.</w:t>
            </w:r>
            <w:r w:rsidR="005463FC" w:rsidRPr="001F558D">
              <w:rPr>
                <w:rFonts w:eastAsia="Yu Gothic Light" w:cs="Times New Roman"/>
                <w:lang w:eastAsia="en-NZ"/>
              </w:rPr>
              <w:t>30</w:t>
            </w:r>
          </w:p>
        </w:tc>
      </w:tr>
      <w:tr w:rsidR="00824D4F" w:rsidRPr="00B5248D" w14:paraId="60448BF9" w14:textId="77777777" w:rsidTr="001F558D">
        <w:trPr>
          <w:trHeight w:val="283"/>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5CCE062D" w14:textId="77777777" w:rsidR="00824D4F" w:rsidRPr="001F558D" w:rsidRDefault="00824D4F" w:rsidP="001F558D">
            <w:pPr>
              <w:spacing w:after="0"/>
              <w:rPr>
                <w:rFonts w:eastAsia="Yu Gothic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66CFCCA1" w14:textId="3D6E1DFC" w:rsidR="00824D4F" w:rsidRPr="001F558D" w:rsidRDefault="00824D4F" w:rsidP="001F558D">
            <w:pPr>
              <w:tabs>
                <w:tab w:val="decimal" w:pos="852"/>
              </w:tabs>
              <w:spacing w:after="0"/>
              <w:rPr>
                <w:rFonts w:eastAsia="Yu Gothic Light" w:cs="Times New Roman"/>
                <w:lang w:eastAsia="en-NZ"/>
              </w:rPr>
            </w:pPr>
            <w:r w:rsidRPr="001F558D">
              <w:rPr>
                <w:rFonts w:eastAsia="Yu Gothic Light" w:cs="Times New Roman"/>
                <w:lang w:eastAsia="en-NZ"/>
              </w:rPr>
              <w:t>(6.</w:t>
            </w:r>
            <w:r w:rsidR="00C641F9" w:rsidRPr="001F558D">
              <w:rPr>
                <w:rFonts w:eastAsia="Yu Gothic Light" w:cs="Times New Roman"/>
                <w:lang w:eastAsia="en-NZ"/>
              </w:rPr>
              <w:t>32</w:t>
            </w:r>
            <w:r w:rsidRPr="001F558D">
              <w:rPr>
                <w:rFonts w:eastAsia="Yu Gothic Light" w:cs="Times New Roman"/>
                <w:lang w:eastAsia="en-NZ"/>
              </w:rPr>
              <w:t>)</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4CEA25FD" w14:textId="4CE4204B" w:rsidR="00824D4F" w:rsidRPr="001F558D" w:rsidRDefault="00824D4F" w:rsidP="00DD1FDF">
            <w:pPr>
              <w:tabs>
                <w:tab w:val="decimal" w:pos="982"/>
              </w:tabs>
              <w:spacing w:after="0"/>
              <w:rPr>
                <w:rFonts w:eastAsia="Yu Gothic Light" w:cs="Times New Roman"/>
                <w:lang w:eastAsia="en-NZ"/>
              </w:rPr>
            </w:pPr>
            <w:r w:rsidRPr="001F558D">
              <w:rPr>
                <w:rFonts w:eastAsia="Yu Gothic Light" w:cs="Times New Roman"/>
                <w:lang w:eastAsia="en-NZ"/>
              </w:rPr>
              <w:t>(6.</w:t>
            </w:r>
            <w:r w:rsidR="00D56096" w:rsidRPr="001F558D">
              <w:rPr>
                <w:rFonts w:eastAsia="Yu Gothic Light" w:cs="Times New Roman"/>
                <w:lang w:eastAsia="en-NZ"/>
              </w:rPr>
              <w:t>35</w:t>
            </w:r>
            <w:r w:rsidRPr="001F558D">
              <w:rPr>
                <w:rFonts w:eastAsia="Yu Gothic Light" w:cs="Times New Roman"/>
                <w:lang w:eastAsia="en-NZ"/>
              </w:rPr>
              <w:t>)</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auto"/>
            <w:vAlign w:val="center"/>
          </w:tcPr>
          <w:p w14:paraId="4DC02B28" w14:textId="66B7CA7D" w:rsidR="00824D4F" w:rsidRPr="001F558D" w:rsidRDefault="00824D4F" w:rsidP="00DD1FDF">
            <w:pPr>
              <w:tabs>
                <w:tab w:val="decimal" w:pos="852"/>
              </w:tabs>
              <w:spacing w:after="0"/>
              <w:rPr>
                <w:rFonts w:eastAsia="Yu Gothic Light" w:cs="Times New Roman"/>
                <w:lang w:eastAsia="en-NZ"/>
              </w:rPr>
            </w:pPr>
            <w:r w:rsidRPr="001F558D">
              <w:rPr>
                <w:rFonts w:eastAsia="Yu Gothic Light" w:cs="Times New Roman"/>
                <w:lang w:eastAsia="en-NZ"/>
              </w:rPr>
              <w:t>(6.</w:t>
            </w:r>
            <w:r w:rsidR="005463FC" w:rsidRPr="001F558D">
              <w:rPr>
                <w:rFonts w:eastAsia="Yu Gothic Light" w:cs="Times New Roman"/>
                <w:lang w:eastAsia="en-NZ"/>
              </w:rPr>
              <w:t>20</w:t>
            </w:r>
            <w:r w:rsidRPr="001F558D">
              <w:rPr>
                <w:rFonts w:eastAsia="Yu Gothic Light" w:cs="Times New Roman"/>
                <w:lang w:eastAsia="en-NZ"/>
              </w:rPr>
              <w:t>)</w:t>
            </w:r>
          </w:p>
        </w:tc>
      </w:tr>
      <w:tr w:rsidR="00847306" w:rsidRPr="00B5248D" w14:paraId="354AB7DC" w14:textId="77777777" w:rsidTr="00847306">
        <w:trPr>
          <w:trHeight w:val="255"/>
        </w:trPr>
        <w:tc>
          <w:tcPr>
            <w:tcW w:w="5000" w:type="pct"/>
            <w:gridSpan w:val="4"/>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406672B1" w14:textId="11DED680" w:rsidR="00847306" w:rsidRPr="001F558D" w:rsidRDefault="00847306" w:rsidP="001F558D">
            <w:pPr>
              <w:tabs>
                <w:tab w:val="decimal" w:pos="1069"/>
              </w:tabs>
              <w:spacing w:after="0"/>
              <w:rPr>
                <w:rFonts w:eastAsia="Yu Gothic Light" w:cs="Times New Roman"/>
                <w:b/>
                <w:lang w:eastAsia="en-NZ"/>
              </w:rPr>
            </w:pPr>
            <w:r w:rsidRPr="001F558D">
              <w:rPr>
                <w:rFonts w:eastAsia="Yu Gothic Light" w:cs="Times New Roman"/>
                <w:b/>
                <w:lang w:eastAsia="en-NZ"/>
              </w:rPr>
              <w:t>Distance variables</w:t>
            </w:r>
          </w:p>
        </w:tc>
      </w:tr>
      <w:tr w:rsidR="00D64302" w:rsidRPr="00B5248D" w14:paraId="4BD41B3A" w14:textId="77777777" w:rsidTr="001F558D">
        <w:trPr>
          <w:trHeight w:val="255"/>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40BAC59F" w14:textId="7A22C7BE" w:rsidR="00D64302" w:rsidRPr="001F558D" w:rsidRDefault="00D64302" w:rsidP="001F558D">
            <w:pPr>
              <w:spacing w:after="0"/>
              <w:rPr>
                <w:rFonts w:eastAsia="Yu Gothic Light" w:cs="Times New Roman"/>
                <w:lang w:eastAsia="en-NZ"/>
              </w:rPr>
            </w:pPr>
            <w:r w:rsidRPr="001F558D">
              <w:rPr>
                <w:rFonts w:eastAsia="Yu Gothic Light" w:cs="Times New Roman"/>
                <w:lang w:eastAsia="en-NZ"/>
              </w:rPr>
              <w:t xml:space="preserve">Distance to </w:t>
            </w:r>
            <w:r w:rsidR="00921FA6" w:rsidRPr="001F558D">
              <w:rPr>
                <w:rFonts w:eastAsia="Yu Gothic Light" w:cs="Times New Roman"/>
                <w:lang w:eastAsia="en-NZ"/>
              </w:rPr>
              <w:t>EGM 0.5km</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583C2965" w14:textId="33E0172B" w:rsidR="00D64302" w:rsidRPr="001F558D" w:rsidRDefault="00D64302" w:rsidP="00DD1FDF">
            <w:pPr>
              <w:tabs>
                <w:tab w:val="decimal" w:pos="982"/>
              </w:tabs>
              <w:spacing w:after="0"/>
              <w:rPr>
                <w:rFonts w:eastAsia="Yu Gothic Light" w:cs="Times New Roman"/>
                <w:lang w:eastAsia="en-NZ"/>
              </w:rPr>
            </w:pPr>
            <w:r w:rsidRPr="001F558D">
              <w:rPr>
                <w:rFonts w:eastAsia="Yu Gothic Light" w:cs="Times New Roman"/>
                <w:lang w:eastAsia="en-NZ"/>
              </w:rPr>
              <w:t>17.87</w:t>
            </w:r>
          </w:p>
        </w:tc>
        <w:tc>
          <w:tcPr>
            <w:tcW w:w="1170" w:type="pct"/>
            <w:vMerge w:val="restart"/>
            <w:tcBorders>
              <w:top w:val="single" w:sz="4" w:space="0" w:color="B4C6E7" w:themeColor="accent5" w:themeTint="66"/>
              <w:left w:val="single" w:sz="4" w:space="0" w:color="B4C6E7" w:themeColor="accent5" w:themeTint="66"/>
              <w:right w:val="single" w:sz="4" w:space="0" w:color="B4C6E7" w:themeColor="accent5" w:themeTint="66"/>
            </w:tcBorders>
            <w:vAlign w:val="center"/>
          </w:tcPr>
          <w:p w14:paraId="170CF038" w14:textId="0334930F" w:rsidR="00D64302" w:rsidRPr="001F558D" w:rsidRDefault="00D64302" w:rsidP="00DD1FDF">
            <w:pPr>
              <w:tabs>
                <w:tab w:val="decimal" w:pos="982"/>
              </w:tabs>
              <w:spacing w:after="0"/>
              <w:rPr>
                <w:rFonts w:eastAsia="Yu Gothic Light" w:cs="Times New Roman"/>
                <w:lang w:eastAsia="en-NZ"/>
              </w:rPr>
            </w:pPr>
            <w:r w:rsidRPr="001F558D">
              <w:rPr>
                <w:rFonts w:eastAsia="Yu Gothic Light" w:cs="Times New Roman"/>
                <w:lang w:eastAsia="en-NZ"/>
              </w:rPr>
              <w:t>-</w:t>
            </w:r>
          </w:p>
        </w:tc>
        <w:tc>
          <w:tcPr>
            <w:tcW w:w="1168" w:type="pct"/>
            <w:vMerge w:val="restart"/>
            <w:tcBorders>
              <w:top w:val="single" w:sz="4" w:space="0" w:color="B4C6E7" w:themeColor="accent5" w:themeTint="66"/>
              <w:left w:val="single" w:sz="4" w:space="0" w:color="B4C6E7" w:themeColor="accent5" w:themeTint="66"/>
              <w:right w:val="single" w:sz="4" w:space="0" w:color="B4C6E7" w:themeColor="accent5" w:themeTint="66"/>
            </w:tcBorders>
            <w:vAlign w:val="center"/>
          </w:tcPr>
          <w:p w14:paraId="666856BA" w14:textId="12FA4A91" w:rsidR="00D64302" w:rsidRPr="001F558D" w:rsidRDefault="00D64302" w:rsidP="001F558D">
            <w:pPr>
              <w:tabs>
                <w:tab w:val="decimal" w:pos="1069"/>
              </w:tabs>
              <w:spacing w:after="0"/>
              <w:rPr>
                <w:rFonts w:eastAsia="Yu Gothic Light" w:cs="Times New Roman"/>
                <w:lang w:eastAsia="en-NZ"/>
              </w:rPr>
            </w:pPr>
            <w:r w:rsidRPr="001F558D">
              <w:rPr>
                <w:rFonts w:eastAsia="Yu Gothic Light" w:cs="Times New Roman"/>
                <w:lang w:eastAsia="en-NZ"/>
              </w:rPr>
              <w:t>-</w:t>
            </w:r>
          </w:p>
        </w:tc>
      </w:tr>
      <w:tr w:rsidR="00D64302" w:rsidRPr="00B5248D" w14:paraId="3B980A7E" w14:textId="77777777" w:rsidTr="001F558D">
        <w:trPr>
          <w:trHeight w:val="255"/>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23254B00" w14:textId="77777777" w:rsidR="00D64302" w:rsidRPr="001F558D" w:rsidRDefault="00D64302" w:rsidP="001F558D">
            <w:pPr>
              <w:spacing w:after="0"/>
              <w:rPr>
                <w:rFonts w:eastAsia="Yu Gothic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68BB0B0D" w14:textId="36E5ACD4" w:rsidR="00D64302" w:rsidRPr="001F558D" w:rsidRDefault="00D64302" w:rsidP="00DD1FDF">
            <w:pPr>
              <w:tabs>
                <w:tab w:val="decimal" w:pos="982"/>
              </w:tabs>
              <w:spacing w:after="0"/>
              <w:rPr>
                <w:rFonts w:eastAsia="Yu Gothic Light" w:cs="Times New Roman"/>
                <w:lang w:eastAsia="en-NZ"/>
              </w:rPr>
            </w:pPr>
            <w:r w:rsidRPr="001F558D">
              <w:rPr>
                <w:rFonts w:eastAsia="Yu Gothic Light" w:cs="Times New Roman"/>
                <w:lang w:eastAsia="en-NZ"/>
              </w:rPr>
              <w:t>(99.01)</w:t>
            </w:r>
          </w:p>
        </w:tc>
        <w:tc>
          <w:tcPr>
            <w:tcW w:w="1170" w:type="pct"/>
            <w:vMerge/>
            <w:tcBorders>
              <w:left w:val="single" w:sz="4" w:space="0" w:color="B4C6E7" w:themeColor="accent5" w:themeTint="66"/>
              <w:bottom w:val="single" w:sz="4" w:space="0" w:color="B4C6E7" w:themeColor="accent5" w:themeTint="66"/>
              <w:right w:val="single" w:sz="4" w:space="0" w:color="B4C6E7" w:themeColor="accent5" w:themeTint="66"/>
            </w:tcBorders>
            <w:vAlign w:val="center"/>
          </w:tcPr>
          <w:p w14:paraId="6AA3D992" w14:textId="77777777" w:rsidR="00D64302" w:rsidRPr="001F558D" w:rsidRDefault="00D64302" w:rsidP="00DD1FDF">
            <w:pPr>
              <w:tabs>
                <w:tab w:val="decimal" w:pos="982"/>
              </w:tabs>
              <w:spacing w:after="0"/>
              <w:rPr>
                <w:rFonts w:eastAsia="Yu Gothic Light" w:cs="Times New Roman"/>
                <w:lang w:eastAsia="en-NZ"/>
              </w:rPr>
            </w:pPr>
          </w:p>
        </w:tc>
        <w:tc>
          <w:tcPr>
            <w:tcW w:w="1168" w:type="pct"/>
            <w:vMerge/>
            <w:tcBorders>
              <w:left w:val="single" w:sz="4" w:space="0" w:color="B4C6E7" w:themeColor="accent5" w:themeTint="66"/>
              <w:bottom w:val="single" w:sz="4" w:space="0" w:color="B4C6E7" w:themeColor="accent5" w:themeTint="66"/>
              <w:right w:val="single" w:sz="4" w:space="0" w:color="B4C6E7" w:themeColor="accent5" w:themeTint="66"/>
            </w:tcBorders>
            <w:vAlign w:val="center"/>
          </w:tcPr>
          <w:p w14:paraId="2ADEACCD" w14:textId="77777777" w:rsidR="00D64302" w:rsidRPr="001F558D" w:rsidRDefault="00D64302" w:rsidP="001F558D">
            <w:pPr>
              <w:tabs>
                <w:tab w:val="decimal" w:pos="1069"/>
              </w:tabs>
              <w:spacing w:after="0"/>
              <w:rPr>
                <w:rFonts w:eastAsia="Yu Gothic Light" w:cs="Times New Roman"/>
                <w:lang w:eastAsia="en-NZ"/>
              </w:rPr>
            </w:pPr>
          </w:p>
        </w:tc>
      </w:tr>
      <w:tr w:rsidR="00D64302" w:rsidRPr="00B5248D" w14:paraId="51A4A0D7" w14:textId="77777777" w:rsidTr="001F558D">
        <w:trPr>
          <w:trHeight w:val="255"/>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52D74B54" w14:textId="722B65A7" w:rsidR="00D64302" w:rsidRPr="001F558D" w:rsidRDefault="00D64302" w:rsidP="001F558D">
            <w:pPr>
              <w:spacing w:after="0"/>
              <w:rPr>
                <w:rFonts w:eastAsia="Yu Gothic Light" w:cs="Times New Roman"/>
                <w:lang w:eastAsia="en-NZ"/>
              </w:rPr>
            </w:pPr>
            <w:r w:rsidRPr="001F558D">
              <w:rPr>
                <w:rFonts w:eastAsia="Yu Gothic Light" w:cs="Times New Roman"/>
                <w:lang w:eastAsia="en-NZ"/>
              </w:rPr>
              <w:t xml:space="preserve">Distance to </w:t>
            </w:r>
            <w:r w:rsidR="000B49B6" w:rsidRPr="001F558D">
              <w:rPr>
                <w:rFonts w:eastAsia="Yu Gothic Light" w:cs="Times New Roman"/>
                <w:lang w:eastAsia="en-NZ"/>
              </w:rPr>
              <w:t>EGM 1km</w:t>
            </w:r>
          </w:p>
        </w:tc>
        <w:tc>
          <w:tcPr>
            <w:tcW w:w="1169" w:type="pct"/>
            <w:vMerge w:val="restart"/>
            <w:tcBorders>
              <w:top w:val="single" w:sz="4" w:space="0" w:color="B4C6E7" w:themeColor="accent5" w:themeTint="66"/>
              <w:left w:val="single" w:sz="4" w:space="0" w:color="B4C6E7" w:themeColor="accent5" w:themeTint="66"/>
              <w:right w:val="single" w:sz="4" w:space="0" w:color="B4C6E7" w:themeColor="accent5" w:themeTint="66"/>
            </w:tcBorders>
            <w:vAlign w:val="center"/>
          </w:tcPr>
          <w:p w14:paraId="2871C144" w14:textId="270B6549" w:rsidR="00D64302" w:rsidRPr="001F558D" w:rsidRDefault="00D64302" w:rsidP="00DD1FDF">
            <w:pPr>
              <w:tabs>
                <w:tab w:val="decimal" w:pos="982"/>
              </w:tabs>
              <w:spacing w:after="0"/>
              <w:rPr>
                <w:rFonts w:eastAsia="Yu Gothic Light" w:cs="Times New Roman"/>
                <w:lang w:eastAsia="en-NZ"/>
              </w:rPr>
            </w:pPr>
            <w:r w:rsidRPr="001F558D">
              <w:rPr>
                <w:rFonts w:eastAsia="Yu Gothic Light" w:cs="Times New Roman"/>
                <w:lang w:eastAsia="en-NZ"/>
              </w:rPr>
              <w:t>-</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2F1008D3" w14:textId="2424238C" w:rsidR="00D64302" w:rsidRPr="001F558D" w:rsidRDefault="00D64302" w:rsidP="00DD1FDF">
            <w:pPr>
              <w:tabs>
                <w:tab w:val="decimal" w:pos="982"/>
              </w:tabs>
              <w:spacing w:after="0"/>
              <w:rPr>
                <w:rFonts w:eastAsia="Yu Gothic Light" w:cs="Times New Roman"/>
                <w:lang w:eastAsia="en-NZ"/>
              </w:rPr>
            </w:pPr>
            <w:r w:rsidRPr="001F558D">
              <w:rPr>
                <w:rFonts w:eastAsia="Yu Gothic Light" w:cs="Times New Roman"/>
                <w:lang w:eastAsia="en-NZ"/>
              </w:rPr>
              <w:t>15.05</w:t>
            </w:r>
          </w:p>
        </w:tc>
        <w:tc>
          <w:tcPr>
            <w:tcW w:w="1168" w:type="pct"/>
            <w:vMerge w:val="restart"/>
            <w:tcBorders>
              <w:top w:val="single" w:sz="4" w:space="0" w:color="B4C6E7" w:themeColor="accent5" w:themeTint="66"/>
              <w:left w:val="single" w:sz="4" w:space="0" w:color="B4C6E7" w:themeColor="accent5" w:themeTint="66"/>
              <w:right w:val="single" w:sz="4" w:space="0" w:color="B4C6E7" w:themeColor="accent5" w:themeTint="66"/>
            </w:tcBorders>
            <w:vAlign w:val="center"/>
          </w:tcPr>
          <w:p w14:paraId="152F4632" w14:textId="7B396C5F" w:rsidR="00D64302" w:rsidRPr="001F558D" w:rsidRDefault="00D64302" w:rsidP="001F558D">
            <w:pPr>
              <w:tabs>
                <w:tab w:val="decimal" w:pos="1069"/>
              </w:tabs>
              <w:spacing w:after="0"/>
              <w:rPr>
                <w:rFonts w:eastAsia="Yu Gothic Light" w:cs="Times New Roman"/>
                <w:lang w:eastAsia="en-NZ"/>
              </w:rPr>
            </w:pPr>
            <w:r w:rsidRPr="001F558D">
              <w:rPr>
                <w:rFonts w:eastAsia="Yu Gothic Light" w:cs="Times New Roman"/>
                <w:lang w:eastAsia="en-NZ"/>
              </w:rPr>
              <w:t>-</w:t>
            </w:r>
          </w:p>
        </w:tc>
      </w:tr>
      <w:tr w:rsidR="00D64302" w:rsidRPr="00B5248D" w14:paraId="03DC5E57" w14:textId="77777777" w:rsidTr="001F558D">
        <w:trPr>
          <w:trHeight w:val="255"/>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33BB262F" w14:textId="77777777" w:rsidR="00D64302" w:rsidRPr="001F558D" w:rsidRDefault="00D64302" w:rsidP="001F558D">
            <w:pPr>
              <w:spacing w:after="0"/>
              <w:rPr>
                <w:rFonts w:eastAsia="Yu Gothic Light" w:cs="Times New Roman"/>
                <w:lang w:eastAsia="en-NZ"/>
              </w:rPr>
            </w:pPr>
          </w:p>
        </w:tc>
        <w:tc>
          <w:tcPr>
            <w:tcW w:w="1169" w:type="pct"/>
            <w:vMerge/>
            <w:tcBorders>
              <w:left w:val="single" w:sz="4" w:space="0" w:color="B4C6E7" w:themeColor="accent5" w:themeTint="66"/>
              <w:bottom w:val="single" w:sz="4" w:space="0" w:color="B4C6E7" w:themeColor="accent5" w:themeTint="66"/>
              <w:right w:val="single" w:sz="4" w:space="0" w:color="B4C6E7" w:themeColor="accent5" w:themeTint="66"/>
            </w:tcBorders>
            <w:vAlign w:val="center"/>
          </w:tcPr>
          <w:p w14:paraId="2DB496E4" w14:textId="77777777" w:rsidR="00D64302" w:rsidRPr="001F558D" w:rsidRDefault="00D64302" w:rsidP="00DD1FDF">
            <w:pPr>
              <w:tabs>
                <w:tab w:val="decimal" w:pos="982"/>
              </w:tabs>
              <w:spacing w:after="0"/>
              <w:rPr>
                <w:rFonts w:eastAsia="Yu Gothic Light" w:cs="Times New Roman"/>
                <w:lang w:eastAsia="en-NZ"/>
              </w:rPr>
            </w:pP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040D7D0D" w14:textId="264E4D24" w:rsidR="00D64302" w:rsidRPr="001F558D" w:rsidRDefault="00D64302" w:rsidP="00DD1FDF">
            <w:pPr>
              <w:tabs>
                <w:tab w:val="decimal" w:pos="982"/>
              </w:tabs>
              <w:spacing w:after="0"/>
              <w:rPr>
                <w:rFonts w:eastAsia="Yu Gothic Light" w:cs="Times New Roman"/>
                <w:lang w:eastAsia="en-NZ"/>
              </w:rPr>
            </w:pPr>
            <w:r w:rsidRPr="001F558D">
              <w:rPr>
                <w:rFonts w:eastAsia="Yu Gothic Light" w:cs="Times New Roman"/>
                <w:lang w:eastAsia="en-NZ"/>
              </w:rPr>
              <w:t>(76.45)</w:t>
            </w:r>
          </w:p>
        </w:tc>
        <w:tc>
          <w:tcPr>
            <w:tcW w:w="1168" w:type="pct"/>
            <w:vMerge/>
            <w:tcBorders>
              <w:left w:val="single" w:sz="4" w:space="0" w:color="B4C6E7" w:themeColor="accent5" w:themeTint="66"/>
              <w:bottom w:val="single" w:sz="4" w:space="0" w:color="B4C6E7" w:themeColor="accent5" w:themeTint="66"/>
              <w:right w:val="single" w:sz="4" w:space="0" w:color="B4C6E7" w:themeColor="accent5" w:themeTint="66"/>
            </w:tcBorders>
            <w:vAlign w:val="center"/>
          </w:tcPr>
          <w:p w14:paraId="1483157F" w14:textId="77777777" w:rsidR="00D64302" w:rsidRPr="001F558D" w:rsidRDefault="00D64302" w:rsidP="001F558D">
            <w:pPr>
              <w:tabs>
                <w:tab w:val="decimal" w:pos="1069"/>
              </w:tabs>
              <w:spacing w:after="0"/>
              <w:rPr>
                <w:rFonts w:eastAsia="Yu Gothic Light" w:cs="Times New Roman"/>
                <w:lang w:eastAsia="en-NZ"/>
              </w:rPr>
            </w:pPr>
          </w:p>
        </w:tc>
      </w:tr>
      <w:tr w:rsidR="00D64302" w:rsidRPr="00B5248D" w14:paraId="15470134" w14:textId="77777777" w:rsidTr="001F558D">
        <w:trPr>
          <w:trHeight w:val="255"/>
        </w:trPr>
        <w:tc>
          <w:tcPr>
            <w:tcW w:w="1493" w:type="pct"/>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381BE1BC" w14:textId="4C3691B4" w:rsidR="00D64302" w:rsidRPr="001F558D" w:rsidRDefault="00D64302" w:rsidP="001F558D">
            <w:pPr>
              <w:spacing w:after="0"/>
              <w:rPr>
                <w:rFonts w:eastAsia="Yu Gothic Light" w:cs="Times New Roman"/>
                <w:lang w:eastAsia="en-NZ"/>
              </w:rPr>
            </w:pPr>
            <w:r w:rsidRPr="001F558D">
              <w:rPr>
                <w:rFonts w:cs="Calibri Light"/>
              </w:rPr>
              <w:t xml:space="preserve">Distance to </w:t>
            </w:r>
            <w:r w:rsidR="000B49B6" w:rsidRPr="001F558D">
              <w:rPr>
                <w:rFonts w:cs="Calibri Light"/>
              </w:rPr>
              <w:t>EGM 2km</w:t>
            </w:r>
          </w:p>
        </w:tc>
        <w:tc>
          <w:tcPr>
            <w:tcW w:w="1169" w:type="pct"/>
            <w:vMerge w:val="restart"/>
            <w:tcBorders>
              <w:top w:val="single" w:sz="4" w:space="0" w:color="B4C6E7" w:themeColor="accent5" w:themeTint="66"/>
              <w:left w:val="single" w:sz="4" w:space="0" w:color="B4C6E7" w:themeColor="accent5" w:themeTint="66"/>
              <w:right w:val="single" w:sz="4" w:space="0" w:color="B4C6E7" w:themeColor="accent5" w:themeTint="66"/>
            </w:tcBorders>
            <w:vAlign w:val="center"/>
          </w:tcPr>
          <w:p w14:paraId="20AFB0A1" w14:textId="64FF63F5" w:rsidR="00D64302" w:rsidRPr="001F558D" w:rsidRDefault="00D64302" w:rsidP="00DD1FDF">
            <w:pPr>
              <w:tabs>
                <w:tab w:val="decimal" w:pos="982"/>
              </w:tabs>
              <w:spacing w:after="0"/>
              <w:rPr>
                <w:rFonts w:eastAsia="Yu Gothic Light" w:cs="Times New Roman"/>
                <w:lang w:eastAsia="en-NZ"/>
              </w:rPr>
            </w:pPr>
            <w:r w:rsidRPr="001F558D">
              <w:rPr>
                <w:rFonts w:eastAsia="Yu Gothic Light" w:cs="Times New Roman"/>
                <w:lang w:eastAsia="en-NZ"/>
              </w:rPr>
              <w:t>-</w:t>
            </w:r>
          </w:p>
        </w:tc>
        <w:tc>
          <w:tcPr>
            <w:tcW w:w="1170" w:type="pct"/>
            <w:vMerge w:val="restart"/>
            <w:tcBorders>
              <w:top w:val="single" w:sz="4" w:space="0" w:color="B4C6E7" w:themeColor="accent5" w:themeTint="66"/>
              <w:left w:val="single" w:sz="4" w:space="0" w:color="B4C6E7" w:themeColor="accent5" w:themeTint="66"/>
              <w:right w:val="single" w:sz="4" w:space="0" w:color="B4C6E7" w:themeColor="accent5" w:themeTint="66"/>
            </w:tcBorders>
            <w:vAlign w:val="center"/>
          </w:tcPr>
          <w:p w14:paraId="0F17E755" w14:textId="34AA9A20" w:rsidR="00D64302" w:rsidRPr="001F558D" w:rsidRDefault="00D64302" w:rsidP="00DD1FDF">
            <w:pPr>
              <w:tabs>
                <w:tab w:val="decimal" w:pos="982"/>
              </w:tabs>
              <w:spacing w:after="0"/>
              <w:rPr>
                <w:rFonts w:eastAsia="Yu Gothic Light" w:cs="Times New Roman"/>
                <w:lang w:eastAsia="en-NZ"/>
              </w:rPr>
            </w:pPr>
            <w:r w:rsidRPr="001F558D">
              <w:rPr>
                <w:rFonts w:eastAsia="Yu Gothic Light" w:cs="Times New Roman"/>
                <w:lang w:eastAsia="en-NZ"/>
              </w:rPr>
              <w:t>-</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23126F5D" w14:textId="24F23166" w:rsidR="00D64302" w:rsidRPr="001F558D" w:rsidRDefault="00D64302" w:rsidP="00DD1FDF">
            <w:pPr>
              <w:tabs>
                <w:tab w:val="decimal" w:pos="852"/>
              </w:tabs>
              <w:spacing w:after="0"/>
              <w:rPr>
                <w:rFonts w:eastAsia="Yu Gothic Light" w:cs="Times New Roman"/>
                <w:lang w:eastAsia="en-NZ"/>
              </w:rPr>
            </w:pPr>
            <w:r w:rsidRPr="001F558D">
              <w:rPr>
                <w:rFonts w:eastAsia="Yu Gothic Light" w:cs="Times New Roman"/>
                <w:lang w:eastAsia="en-NZ"/>
              </w:rPr>
              <w:t>44.47</w:t>
            </w:r>
          </w:p>
        </w:tc>
      </w:tr>
      <w:tr w:rsidR="00D64302" w:rsidRPr="00B5248D" w14:paraId="5BC34D5F" w14:textId="77777777" w:rsidTr="001F558D">
        <w:trPr>
          <w:trHeight w:val="255"/>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6005E721" w14:textId="77777777" w:rsidR="00D64302" w:rsidRPr="001F558D" w:rsidRDefault="00D64302" w:rsidP="001F558D">
            <w:pPr>
              <w:spacing w:after="0"/>
              <w:rPr>
                <w:rFonts w:eastAsia="Yu Gothic Light" w:cs="Times New Roman"/>
                <w:lang w:eastAsia="en-NZ"/>
              </w:rPr>
            </w:pPr>
          </w:p>
        </w:tc>
        <w:tc>
          <w:tcPr>
            <w:tcW w:w="1169" w:type="pct"/>
            <w:vMerge/>
            <w:tcBorders>
              <w:left w:val="single" w:sz="4" w:space="0" w:color="B4C6E7" w:themeColor="accent5" w:themeTint="66"/>
              <w:bottom w:val="single" w:sz="4" w:space="0" w:color="B4C6E7" w:themeColor="accent5" w:themeTint="66"/>
              <w:right w:val="single" w:sz="4" w:space="0" w:color="B4C6E7" w:themeColor="accent5" w:themeTint="66"/>
            </w:tcBorders>
            <w:vAlign w:val="center"/>
          </w:tcPr>
          <w:p w14:paraId="5D80C284" w14:textId="77777777" w:rsidR="00D64302" w:rsidRPr="001F558D" w:rsidRDefault="00D64302" w:rsidP="00DD1FDF">
            <w:pPr>
              <w:tabs>
                <w:tab w:val="decimal" w:pos="982"/>
              </w:tabs>
              <w:spacing w:after="0"/>
              <w:rPr>
                <w:rFonts w:eastAsia="Yu Gothic Light" w:cs="Times New Roman"/>
                <w:lang w:eastAsia="en-NZ"/>
              </w:rPr>
            </w:pPr>
          </w:p>
        </w:tc>
        <w:tc>
          <w:tcPr>
            <w:tcW w:w="1170" w:type="pct"/>
            <w:vMerge/>
            <w:tcBorders>
              <w:left w:val="single" w:sz="4" w:space="0" w:color="B4C6E7" w:themeColor="accent5" w:themeTint="66"/>
              <w:bottom w:val="single" w:sz="4" w:space="0" w:color="B4C6E7" w:themeColor="accent5" w:themeTint="66"/>
              <w:right w:val="single" w:sz="4" w:space="0" w:color="B4C6E7" w:themeColor="accent5" w:themeTint="66"/>
            </w:tcBorders>
            <w:vAlign w:val="center"/>
          </w:tcPr>
          <w:p w14:paraId="2FB32084" w14:textId="77777777" w:rsidR="00D64302" w:rsidRPr="001F558D" w:rsidRDefault="00D64302" w:rsidP="00DD1FDF">
            <w:pPr>
              <w:tabs>
                <w:tab w:val="decimal" w:pos="982"/>
              </w:tabs>
              <w:spacing w:after="0"/>
              <w:rPr>
                <w:rFonts w:eastAsia="Yu Gothic Light" w:cs="Times New Roman"/>
                <w:lang w:eastAsia="en-NZ"/>
              </w:rPr>
            </w:pP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05F32446" w14:textId="00B1F6E7" w:rsidR="00D64302" w:rsidRPr="001F558D" w:rsidRDefault="00D64302" w:rsidP="00DD1FDF">
            <w:pPr>
              <w:tabs>
                <w:tab w:val="decimal" w:pos="852"/>
              </w:tabs>
              <w:spacing w:after="0"/>
              <w:rPr>
                <w:rFonts w:eastAsia="Yu Gothic Light" w:cs="Times New Roman"/>
                <w:lang w:eastAsia="en-NZ"/>
              </w:rPr>
            </w:pPr>
            <w:r w:rsidRPr="001F558D">
              <w:rPr>
                <w:rFonts w:eastAsia="Yu Gothic Light" w:cs="Times New Roman"/>
                <w:lang w:eastAsia="en-NZ"/>
              </w:rPr>
              <w:t>(94.73)</w:t>
            </w:r>
          </w:p>
        </w:tc>
      </w:tr>
      <w:tr w:rsidR="00847306" w:rsidRPr="00B5248D" w14:paraId="43565B9F" w14:textId="77777777" w:rsidTr="00847306">
        <w:trPr>
          <w:trHeight w:val="255"/>
        </w:trPr>
        <w:tc>
          <w:tcPr>
            <w:tcW w:w="5000" w:type="pct"/>
            <w:gridSpan w:val="4"/>
            <w:tcBorders>
              <w:top w:val="single" w:sz="4" w:space="0" w:color="B4C6E7" w:themeColor="accent5" w:themeTint="66"/>
              <w:left w:val="single" w:sz="4" w:space="0" w:color="B4C6E7" w:themeColor="accent5" w:themeTint="66"/>
              <w:bottom w:val="nil"/>
              <w:right w:val="single" w:sz="4" w:space="0" w:color="B4C6E7" w:themeColor="accent5" w:themeTint="66"/>
            </w:tcBorders>
            <w:shd w:val="clear" w:color="auto" w:fill="D9E2F3" w:themeFill="accent5" w:themeFillTint="33"/>
          </w:tcPr>
          <w:p w14:paraId="79E78E98" w14:textId="3940D791" w:rsidR="00847306" w:rsidRPr="001F558D" w:rsidRDefault="00847306" w:rsidP="00DD1FDF">
            <w:pPr>
              <w:tabs>
                <w:tab w:val="decimal" w:pos="852"/>
              </w:tabs>
              <w:spacing w:after="0"/>
              <w:rPr>
                <w:rFonts w:eastAsia="Yu Gothic Light" w:cs="Times New Roman"/>
                <w:b/>
                <w:lang w:eastAsia="en-NZ"/>
              </w:rPr>
            </w:pPr>
            <w:r w:rsidRPr="001F558D">
              <w:rPr>
                <w:rFonts w:eastAsia="Yu Gothic Light" w:cs="Times New Roman"/>
                <w:b/>
                <w:lang w:eastAsia="en-NZ"/>
              </w:rPr>
              <w:t xml:space="preserve">Economic </w:t>
            </w:r>
            <w:r w:rsidR="004D0510" w:rsidRPr="001F558D">
              <w:rPr>
                <w:rFonts w:eastAsia="Yu Gothic Light" w:cs="Times New Roman"/>
                <w:b/>
                <w:lang w:eastAsia="en-NZ"/>
              </w:rPr>
              <w:t>controls</w:t>
            </w:r>
          </w:p>
        </w:tc>
      </w:tr>
      <w:tr w:rsidR="0031209F" w:rsidRPr="00B5248D" w14:paraId="471D7BFF" w14:textId="77777777" w:rsidTr="00FF1ACA">
        <w:trPr>
          <w:trHeight w:val="255"/>
        </w:trPr>
        <w:tc>
          <w:tcPr>
            <w:tcW w:w="1493" w:type="pct"/>
            <w:vMerge w:val="restart"/>
            <w:tcBorders>
              <w:top w:val="single" w:sz="4" w:space="0" w:color="B4C6E7" w:themeColor="accent5" w:themeTint="66"/>
              <w:left w:val="single" w:sz="4" w:space="0" w:color="B4C6E7" w:themeColor="accent5" w:themeTint="66"/>
              <w:right w:val="single" w:sz="4" w:space="0" w:color="B4C6E7" w:themeColor="accent5" w:themeTint="66"/>
            </w:tcBorders>
            <w:shd w:val="clear" w:color="auto" w:fill="D9E2F3" w:themeFill="accent5" w:themeFillTint="33"/>
          </w:tcPr>
          <w:p w14:paraId="6E7C1B56" w14:textId="31508542" w:rsidR="0031209F" w:rsidRPr="001F558D" w:rsidRDefault="0031209F" w:rsidP="001F558D">
            <w:pPr>
              <w:spacing w:after="0"/>
              <w:rPr>
                <w:rFonts w:eastAsia="Yu Gothic Light" w:cs="Times New Roman"/>
                <w:lang w:eastAsia="en-NZ"/>
              </w:rPr>
            </w:pPr>
            <w:r>
              <w:rPr>
                <w:rFonts w:eastAsia="Yu Gothic Light" w:cs="Times New Roman"/>
                <w:lang w:eastAsia="en-NZ"/>
              </w:rPr>
              <w:t>Natural log of h</w:t>
            </w:r>
            <w:r w:rsidRPr="001F558D">
              <w:rPr>
                <w:rFonts w:eastAsia="Yu Gothic Light" w:cs="Times New Roman"/>
                <w:lang w:eastAsia="en-NZ"/>
              </w:rPr>
              <w:t>ouse price</w:t>
            </w:r>
            <w:r>
              <w:rPr>
                <w:rFonts w:eastAsia="Yu Gothic Light" w:cs="Times New Roman"/>
                <w:lang w:eastAsia="en-NZ"/>
              </w:rPr>
              <w:t xml:space="preserve"> index</w:t>
            </w:r>
          </w:p>
        </w:tc>
        <w:tc>
          <w:tcPr>
            <w:tcW w:w="1169"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2A31ACAD" w14:textId="61306FF2" w:rsidR="0031209F" w:rsidRPr="001F558D" w:rsidRDefault="0031209F" w:rsidP="00AA120B">
            <w:pPr>
              <w:tabs>
                <w:tab w:val="decimal" w:pos="852"/>
              </w:tabs>
              <w:spacing w:after="0"/>
              <w:rPr>
                <w:rFonts w:eastAsia="Yu Gothic Light" w:cs="Times New Roman"/>
                <w:lang w:eastAsia="en-NZ"/>
              </w:rPr>
            </w:pPr>
            <w:r w:rsidRPr="001F558D">
              <w:rPr>
                <w:rFonts w:eastAsia="Yu Gothic Light" w:cs="Times New Roman"/>
                <w:lang w:eastAsia="en-NZ"/>
              </w:rPr>
              <w:t>-12.10</w:t>
            </w:r>
          </w:p>
        </w:tc>
        <w:tc>
          <w:tcPr>
            <w:tcW w:w="1170"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4EBA3B31" w14:textId="0DA4676D" w:rsidR="0031209F" w:rsidRPr="001F558D" w:rsidRDefault="0031209F" w:rsidP="001F558D">
            <w:pPr>
              <w:tabs>
                <w:tab w:val="decimal" w:pos="982"/>
              </w:tabs>
              <w:spacing w:after="0"/>
              <w:rPr>
                <w:rFonts w:eastAsia="Yu Gothic Light" w:cs="Times New Roman"/>
                <w:lang w:eastAsia="en-NZ"/>
              </w:rPr>
            </w:pPr>
            <w:r w:rsidRPr="001F558D">
              <w:rPr>
                <w:rFonts w:eastAsia="Yu Gothic Light" w:cs="Times New Roman"/>
                <w:lang w:eastAsia="en-NZ"/>
              </w:rPr>
              <w:t>-12.09</w:t>
            </w:r>
          </w:p>
        </w:tc>
        <w:tc>
          <w:tcPr>
            <w:tcW w:w="1168" w:type="pct"/>
            <w:tcBorders>
              <w:top w:val="single" w:sz="4" w:space="0" w:color="B4C6E7" w:themeColor="accent5" w:themeTint="66"/>
              <w:left w:val="single" w:sz="4" w:space="0" w:color="B4C6E7" w:themeColor="accent5" w:themeTint="66"/>
              <w:bottom w:val="nil"/>
              <w:right w:val="single" w:sz="4" w:space="0" w:color="B4C6E7" w:themeColor="accent5" w:themeTint="66"/>
            </w:tcBorders>
            <w:vAlign w:val="center"/>
          </w:tcPr>
          <w:p w14:paraId="597DB88A" w14:textId="076DF647" w:rsidR="0031209F" w:rsidRPr="001F558D" w:rsidRDefault="0031209F" w:rsidP="00DD1FDF">
            <w:pPr>
              <w:tabs>
                <w:tab w:val="decimal" w:pos="852"/>
              </w:tabs>
              <w:spacing w:after="0"/>
              <w:rPr>
                <w:rFonts w:eastAsia="Yu Gothic Light" w:cs="Times New Roman"/>
                <w:lang w:eastAsia="en-NZ"/>
              </w:rPr>
            </w:pPr>
            <w:r w:rsidRPr="001F558D">
              <w:rPr>
                <w:rFonts w:eastAsia="Yu Gothic Light" w:cs="Times New Roman"/>
                <w:lang w:eastAsia="en-NZ"/>
              </w:rPr>
              <w:t>-11.92</w:t>
            </w:r>
          </w:p>
        </w:tc>
      </w:tr>
      <w:tr w:rsidR="0031209F" w:rsidRPr="00B5248D" w14:paraId="7FB22945" w14:textId="77777777" w:rsidTr="00FF1ACA">
        <w:trPr>
          <w:trHeight w:val="255"/>
        </w:trPr>
        <w:tc>
          <w:tcPr>
            <w:tcW w:w="1493" w:type="pct"/>
            <w:vMerge/>
            <w:tcBorders>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512AB4C3" w14:textId="77777777" w:rsidR="0031209F" w:rsidRPr="001F558D" w:rsidRDefault="0031209F" w:rsidP="001F558D">
            <w:pPr>
              <w:spacing w:after="0"/>
              <w:rPr>
                <w:rFonts w:eastAsia="Yu Gothic Light" w:cs="Times New Roman"/>
                <w:lang w:eastAsia="en-NZ"/>
              </w:rPr>
            </w:pP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6E656F7C" w14:textId="1AEA5CA0" w:rsidR="0031209F" w:rsidRPr="001F558D" w:rsidRDefault="0031209F" w:rsidP="00AA120B">
            <w:pPr>
              <w:tabs>
                <w:tab w:val="decimal" w:pos="852"/>
              </w:tabs>
              <w:spacing w:after="0"/>
              <w:rPr>
                <w:rFonts w:eastAsia="Yu Gothic Light" w:cs="Times New Roman"/>
                <w:lang w:eastAsia="en-NZ"/>
              </w:rPr>
            </w:pPr>
            <w:r w:rsidRPr="001F558D">
              <w:rPr>
                <w:rFonts w:eastAsia="Yu Gothic Light" w:cs="Times New Roman"/>
                <w:lang w:eastAsia="en-NZ"/>
              </w:rPr>
              <w:t>(9.73)</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472CF4C" w14:textId="41B3CF73" w:rsidR="0031209F" w:rsidRPr="001F558D" w:rsidRDefault="0031209F" w:rsidP="001F558D">
            <w:pPr>
              <w:tabs>
                <w:tab w:val="decimal" w:pos="982"/>
              </w:tabs>
              <w:spacing w:after="0"/>
              <w:rPr>
                <w:rFonts w:eastAsia="Yu Gothic Light" w:cs="Times New Roman"/>
                <w:lang w:eastAsia="en-NZ"/>
              </w:rPr>
            </w:pPr>
            <w:r w:rsidRPr="001F558D">
              <w:rPr>
                <w:rFonts w:eastAsia="Yu Gothic Light" w:cs="Times New Roman"/>
                <w:lang w:eastAsia="en-NZ"/>
              </w:rPr>
              <w:t>(9.46)</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03877C24" w14:textId="490135A8" w:rsidR="0031209F" w:rsidRPr="001F558D" w:rsidRDefault="0031209F" w:rsidP="00DD1FDF">
            <w:pPr>
              <w:tabs>
                <w:tab w:val="decimal" w:pos="852"/>
              </w:tabs>
              <w:spacing w:after="0"/>
              <w:rPr>
                <w:rFonts w:eastAsia="Yu Gothic Light" w:cs="Times New Roman"/>
                <w:lang w:eastAsia="en-NZ"/>
              </w:rPr>
            </w:pPr>
            <w:r w:rsidRPr="001F558D">
              <w:rPr>
                <w:rFonts w:eastAsia="Yu Gothic Light" w:cs="Times New Roman"/>
                <w:lang w:eastAsia="en-NZ"/>
              </w:rPr>
              <w:t>9.96)</w:t>
            </w:r>
          </w:p>
        </w:tc>
      </w:tr>
      <w:tr w:rsidR="003D33E8" w:rsidRPr="00B5248D" w14:paraId="23F143DE" w14:textId="77777777" w:rsidTr="001F558D">
        <w:trPr>
          <w:trHeight w:val="255"/>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41E10CD2" w14:textId="380BFDC6" w:rsidR="003D33E8" w:rsidRPr="001F558D" w:rsidRDefault="003D33E8" w:rsidP="003D33E8">
            <w:pPr>
              <w:spacing w:after="0"/>
              <w:rPr>
                <w:rFonts w:eastAsia="Yu Gothic Light" w:cs="Times New Roman"/>
                <w:lang w:eastAsia="en-NZ"/>
              </w:rPr>
            </w:pPr>
            <w:r w:rsidRPr="001F558D">
              <w:rPr>
                <w:rFonts w:eastAsia="Yu Gothic Light" w:cs="Times New Roman"/>
                <w:lang w:eastAsia="en-NZ"/>
              </w:rPr>
              <w:t>Business unit growth</w:t>
            </w: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3EF3DA10" w14:textId="62CDBEAD" w:rsidR="003D33E8" w:rsidRPr="001F558D" w:rsidRDefault="00687929" w:rsidP="003D33E8">
            <w:pPr>
              <w:tabs>
                <w:tab w:val="decimal" w:pos="852"/>
              </w:tabs>
              <w:spacing w:after="0"/>
              <w:rPr>
                <w:rFonts w:eastAsia="Yu Gothic Light" w:cs="Times New Roman"/>
                <w:lang w:eastAsia="en-NZ"/>
              </w:rPr>
            </w:pPr>
            <w:r w:rsidRPr="001F558D">
              <w:rPr>
                <w:rFonts w:eastAsia="Yu Gothic Light" w:cs="Times New Roman"/>
                <w:lang w:eastAsia="en-NZ"/>
              </w:rPr>
              <w:t>0.7</w:t>
            </w:r>
            <w:r w:rsidR="00011E31" w:rsidRPr="001F558D">
              <w:rPr>
                <w:rFonts w:eastAsia="Yu Gothic Light" w:cs="Times New Roman"/>
                <w:lang w:eastAsia="en-NZ"/>
              </w:rPr>
              <w:t>2</w:t>
            </w:r>
            <w:r w:rsidR="00BB38A9" w:rsidRPr="001F558D">
              <w:rPr>
                <w:rFonts w:eastAsia="Yu Gothic Light" w:cs="Times New Roman"/>
                <w:lang w:eastAsia="en-NZ"/>
              </w:rPr>
              <w:t>*</w:t>
            </w:r>
          </w:p>
          <w:p w14:paraId="71B5A00A" w14:textId="09E8B0D1" w:rsidR="00011E31" w:rsidRPr="001F558D" w:rsidRDefault="00011E31" w:rsidP="003D33E8">
            <w:pPr>
              <w:tabs>
                <w:tab w:val="decimal" w:pos="852"/>
              </w:tabs>
              <w:spacing w:after="0"/>
              <w:rPr>
                <w:rFonts w:eastAsia="Yu Gothic Light" w:cs="Times New Roman"/>
                <w:lang w:eastAsia="en-NZ"/>
              </w:rPr>
            </w:pPr>
            <w:r w:rsidRPr="001F558D">
              <w:rPr>
                <w:rFonts w:eastAsia="Yu Gothic Light" w:cs="Times New Roman"/>
                <w:lang w:eastAsia="en-NZ"/>
              </w:rPr>
              <w:t>(0.41)</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5AED8F45" w14:textId="26AB8A37" w:rsidR="003D33E8" w:rsidRPr="001F558D" w:rsidRDefault="00AA58F8" w:rsidP="003D33E8">
            <w:pPr>
              <w:tabs>
                <w:tab w:val="decimal" w:pos="982"/>
              </w:tabs>
              <w:spacing w:after="0"/>
              <w:rPr>
                <w:rFonts w:eastAsia="Yu Gothic Light" w:cs="Times New Roman"/>
                <w:lang w:eastAsia="en-NZ"/>
              </w:rPr>
            </w:pPr>
            <w:r w:rsidRPr="001F558D">
              <w:rPr>
                <w:rFonts w:eastAsia="Yu Gothic Light" w:cs="Times New Roman"/>
                <w:lang w:eastAsia="en-NZ"/>
              </w:rPr>
              <w:t>0.7</w:t>
            </w:r>
            <w:r w:rsidR="001A1C6A" w:rsidRPr="001F558D">
              <w:rPr>
                <w:rFonts w:eastAsia="Yu Gothic Light" w:cs="Times New Roman"/>
                <w:lang w:eastAsia="en-NZ"/>
              </w:rPr>
              <w:t>2</w:t>
            </w:r>
            <w:r w:rsidR="00B85F10" w:rsidRPr="001F558D">
              <w:rPr>
                <w:rFonts w:eastAsia="Yu Gothic Light" w:cs="Times New Roman"/>
                <w:lang w:eastAsia="en-NZ"/>
              </w:rPr>
              <w:t>*</w:t>
            </w:r>
          </w:p>
          <w:p w14:paraId="5FC991F9" w14:textId="70F7C9D2" w:rsidR="001A1C6A" w:rsidRPr="001F558D" w:rsidRDefault="001A1C6A" w:rsidP="003D33E8">
            <w:pPr>
              <w:tabs>
                <w:tab w:val="decimal" w:pos="982"/>
              </w:tabs>
              <w:spacing w:after="0"/>
              <w:rPr>
                <w:rFonts w:eastAsia="Yu Gothic Light" w:cs="Times New Roman"/>
                <w:lang w:eastAsia="en-NZ"/>
              </w:rPr>
            </w:pPr>
            <w:r w:rsidRPr="001F558D">
              <w:rPr>
                <w:rFonts w:eastAsia="Yu Gothic Light" w:cs="Times New Roman"/>
                <w:lang w:eastAsia="en-NZ"/>
              </w:rPr>
              <w:t>(</w:t>
            </w:r>
            <w:r w:rsidR="009A2E6E" w:rsidRPr="001F558D">
              <w:rPr>
                <w:rFonts w:eastAsia="Yu Gothic Light" w:cs="Times New Roman"/>
                <w:lang w:eastAsia="en-NZ"/>
              </w:rPr>
              <w:t>0.40)</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49D5967B" w14:textId="61B0A90F" w:rsidR="003D33E8" w:rsidRPr="001F558D" w:rsidRDefault="003D33E8" w:rsidP="003D33E8">
            <w:pPr>
              <w:tabs>
                <w:tab w:val="decimal" w:pos="852"/>
              </w:tabs>
              <w:spacing w:after="0"/>
              <w:rPr>
                <w:rFonts w:eastAsia="Yu Gothic Light" w:cs="Times New Roman"/>
                <w:lang w:eastAsia="en-NZ"/>
              </w:rPr>
            </w:pPr>
            <w:r w:rsidRPr="001F558D">
              <w:rPr>
                <w:rFonts w:eastAsia="Yu Gothic Light" w:cs="Times New Roman"/>
                <w:lang w:eastAsia="en-NZ"/>
              </w:rPr>
              <w:t>0.70</w:t>
            </w:r>
          </w:p>
          <w:p w14:paraId="52F1DE7D" w14:textId="0EC94F2F" w:rsidR="003D33E8" w:rsidRPr="001F558D" w:rsidDel="009F70B4" w:rsidRDefault="003D33E8" w:rsidP="00AA120B">
            <w:pPr>
              <w:tabs>
                <w:tab w:val="decimal" w:pos="852"/>
              </w:tabs>
              <w:spacing w:after="0"/>
              <w:rPr>
                <w:rFonts w:eastAsia="Yu Gothic Light" w:cs="Times New Roman"/>
                <w:lang w:eastAsia="en-NZ"/>
              </w:rPr>
            </w:pPr>
            <w:r w:rsidRPr="001F558D">
              <w:rPr>
                <w:rFonts w:eastAsia="Yu Gothic Light" w:cs="Times New Roman"/>
                <w:lang w:eastAsia="en-NZ"/>
              </w:rPr>
              <w:t>(0.38)</w:t>
            </w:r>
          </w:p>
        </w:tc>
      </w:tr>
      <w:tr w:rsidR="003D33E8" w:rsidRPr="00B5248D" w14:paraId="4D931D99" w14:textId="77777777" w:rsidTr="001F558D">
        <w:trPr>
          <w:trHeight w:val="255"/>
        </w:trPr>
        <w:tc>
          <w:tcPr>
            <w:tcW w:w="1493" w:type="pct"/>
            <w:tcBorders>
              <w:top w:val="nil"/>
              <w:left w:val="single" w:sz="4" w:space="0" w:color="B4C6E7" w:themeColor="accent5" w:themeTint="66"/>
              <w:bottom w:val="single" w:sz="4" w:space="0" w:color="B4C6E7" w:themeColor="accent5" w:themeTint="66"/>
              <w:right w:val="single" w:sz="4" w:space="0" w:color="B4C6E7" w:themeColor="accent5" w:themeTint="66"/>
            </w:tcBorders>
            <w:shd w:val="clear" w:color="auto" w:fill="D9E2F3" w:themeFill="accent5" w:themeFillTint="33"/>
          </w:tcPr>
          <w:p w14:paraId="56A2DD7F" w14:textId="07A7C996" w:rsidR="003D33E8" w:rsidRPr="001F558D" w:rsidRDefault="003D33E8" w:rsidP="003D33E8">
            <w:pPr>
              <w:spacing w:after="0"/>
              <w:rPr>
                <w:rFonts w:eastAsia="Yu Gothic Light" w:cs="Times New Roman"/>
                <w:lang w:eastAsia="en-NZ"/>
              </w:rPr>
            </w:pPr>
            <w:r w:rsidRPr="001F558D">
              <w:rPr>
                <w:rFonts w:eastAsia="Yu Gothic Light" w:cs="Times New Roman"/>
                <w:lang w:eastAsia="en-NZ"/>
              </w:rPr>
              <w:t>Employee growth</w:t>
            </w:r>
          </w:p>
        </w:tc>
        <w:tc>
          <w:tcPr>
            <w:tcW w:w="1169"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1D08F996" w14:textId="77777777" w:rsidR="003D33E8" w:rsidRPr="001F558D" w:rsidRDefault="00DC79B2" w:rsidP="003D33E8">
            <w:pPr>
              <w:tabs>
                <w:tab w:val="decimal" w:pos="852"/>
              </w:tabs>
              <w:spacing w:after="0"/>
              <w:rPr>
                <w:rFonts w:eastAsia="Yu Gothic Light" w:cs="Times New Roman"/>
                <w:lang w:eastAsia="en-NZ"/>
              </w:rPr>
            </w:pPr>
            <w:r w:rsidRPr="001F558D">
              <w:rPr>
                <w:rFonts w:eastAsia="Yu Gothic Light" w:cs="Times New Roman"/>
                <w:lang w:eastAsia="en-NZ"/>
              </w:rPr>
              <w:t>0.01</w:t>
            </w:r>
          </w:p>
          <w:p w14:paraId="41182342" w14:textId="7BE0FF16" w:rsidR="00DC79B2" w:rsidRPr="001F558D" w:rsidRDefault="00DC79B2" w:rsidP="003D33E8">
            <w:pPr>
              <w:tabs>
                <w:tab w:val="decimal" w:pos="852"/>
              </w:tabs>
              <w:spacing w:after="0"/>
              <w:rPr>
                <w:rFonts w:eastAsia="Yu Gothic Light" w:cs="Times New Roman"/>
                <w:lang w:eastAsia="en-NZ"/>
              </w:rPr>
            </w:pPr>
            <w:r w:rsidRPr="001F558D">
              <w:rPr>
                <w:rFonts w:eastAsia="Yu Gothic Light" w:cs="Times New Roman"/>
                <w:lang w:eastAsia="en-NZ"/>
              </w:rPr>
              <w:t>(0.12)</w:t>
            </w:r>
          </w:p>
        </w:tc>
        <w:tc>
          <w:tcPr>
            <w:tcW w:w="1170"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2DA2FE99" w14:textId="77777777" w:rsidR="003D33E8" w:rsidRPr="001F558D" w:rsidRDefault="009A2E6E" w:rsidP="003D33E8">
            <w:pPr>
              <w:tabs>
                <w:tab w:val="decimal" w:pos="982"/>
              </w:tabs>
              <w:spacing w:after="0"/>
              <w:rPr>
                <w:rFonts w:eastAsia="Yu Gothic Light" w:cs="Times New Roman"/>
                <w:lang w:eastAsia="en-NZ"/>
              </w:rPr>
            </w:pPr>
            <w:r w:rsidRPr="001F558D">
              <w:rPr>
                <w:rFonts w:eastAsia="Yu Gothic Light" w:cs="Times New Roman"/>
                <w:lang w:eastAsia="en-NZ"/>
              </w:rPr>
              <w:t>0.02</w:t>
            </w:r>
          </w:p>
          <w:p w14:paraId="560D77D0" w14:textId="2A29736D" w:rsidR="009A2E6E" w:rsidRPr="001F558D" w:rsidRDefault="009A2E6E" w:rsidP="003D33E8">
            <w:pPr>
              <w:tabs>
                <w:tab w:val="decimal" w:pos="982"/>
              </w:tabs>
              <w:spacing w:after="0"/>
              <w:rPr>
                <w:rFonts w:eastAsia="Yu Gothic Light" w:cs="Times New Roman"/>
                <w:lang w:eastAsia="en-NZ"/>
              </w:rPr>
            </w:pPr>
            <w:r w:rsidRPr="001F558D">
              <w:rPr>
                <w:rFonts w:eastAsia="Yu Gothic Light" w:cs="Times New Roman"/>
                <w:lang w:eastAsia="en-NZ"/>
              </w:rPr>
              <w:t>(0.11)</w:t>
            </w:r>
          </w:p>
        </w:tc>
        <w:tc>
          <w:tcPr>
            <w:tcW w:w="1168" w:type="pct"/>
            <w:tcBorders>
              <w:top w:val="nil"/>
              <w:left w:val="single" w:sz="4" w:space="0" w:color="B4C6E7" w:themeColor="accent5" w:themeTint="66"/>
              <w:bottom w:val="single" w:sz="4" w:space="0" w:color="B4C6E7" w:themeColor="accent5" w:themeTint="66"/>
              <w:right w:val="single" w:sz="4" w:space="0" w:color="B4C6E7" w:themeColor="accent5" w:themeTint="66"/>
            </w:tcBorders>
            <w:vAlign w:val="center"/>
          </w:tcPr>
          <w:p w14:paraId="697379B3" w14:textId="77777777" w:rsidR="003D33E8" w:rsidRPr="001F558D" w:rsidRDefault="003D33E8" w:rsidP="003D33E8">
            <w:pPr>
              <w:tabs>
                <w:tab w:val="decimal" w:pos="852"/>
              </w:tabs>
              <w:spacing w:after="0"/>
              <w:rPr>
                <w:rFonts w:eastAsia="Yu Gothic Light" w:cs="Times New Roman"/>
                <w:lang w:eastAsia="en-NZ"/>
              </w:rPr>
            </w:pPr>
            <w:r w:rsidRPr="001F558D">
              <w:rPr>
                <w:rFonts w:eastAsia="Yu Gothic Light" w:cs="Times New Roman"/>
                <w:lang w:eastAsia="en-NZ"/>
              </w:rPr>
              <w:t>0.03</w:t>
            </w:r>
          </w:p>
          <w:p w14:paraId="5DBA426C" w14:textId="01A6F9D7" w:rsidR="003D33E8" w:rsidRPr="001F558D" w:rsidDel="009F70B4" w:rsidRDefault="003D33E8" w:rsidP="00AA120B">
            <w:pPr>
              <w:tabs>
                <w:tab w:val="decimal" w:pos="852"/>
              </w:tabs>
              <w:spacing w:after="0"/>
              <w:rPr>
                <w:rFonts w:eastAsia="Yu Gothic Light" w:cs="Times New Roman"/>
                <w:lang w:eastAsia="en-NZ"/>
              </w:rPr>
            </w:pPr>
            <w:r w:rsidRPr="001F558D">
              <w:rPr>
                <w:rFonts w:eastAsia="Yu Gothic Light" w:cs="Times New Roman"/>
                <w:lang w:eastAsia="en-NZ"/>
              </w:rPr>
              <w:t>(0.12)</w:t>
            </w:r>
          </w:p>
        </w:tc>
      </w:tr>
      <w:tr w:rsidR="003D33E8" w:rsidRPr="00B5248D" w14:paraId="044B912A" w14:textId="77777777" w:rsidTr="001F558D">
        <w:trPr>
          <w:trHeight w:val="283"/>
        </w:trPr>
        <w:tc>
          <w:tcPr>
            <w:tcW w:w="1493" w:type="pct"/>
            <w:tcBorders>
              <w:top w:val="single" w:sz="4" w:space="0" w:color="B4C6E7" w:themeColor="accent5" w:themeTint="66"/>
            </w:tcBorders>
            <w:shd w:val="clear" w:color="auto" w:fill="D9E2F3" w:themeFill="accent5" w:themeFillTint="33"/>
          </w:tcPr>
          <w:p w14:paraId="18435BC5" w14:textId="64B65545" w:rsidR="003D33E8" w:rsidRPr="001F558D" w:rsidRDefault="00833372" w:rsidP="003D33E8">
            <w:pPr>
              <w:spacing w:after="0"/>
              <w:rPr>
                <w:rFonts w:eastAsia="Yu Gothic Light" w:cs="Times New Roman"/>
                <w:b/>
                <w:lang w:eastAsia="en-NZ"/>
              </w:rPr>
            </w:pPr>
            <w:r w:rsidRPr="001F558D">
              <w:rPr>
                <w:rFonts w:eastAsia="Yu Gothic Light" w:cs="Times New Roman"/>
                <w:b/>
                <w:lang w:eastAsia="en-NZ"/>
              </w:rPr>
              <w:t>Observations</w:t>
            </w:r>
          </w:p>
        </w:tc>
        <w:tc>
          <w:tcPr>
            <w:tcW w:w="1169" w:type="pct"/>
            <w:tcBorders>
              <w:top w:val="single" w:sz="4" w:space="0" w:color="B4C6E7" w:themeColor="accent5" w:themeTint="66"/>
            </w:tcBorders>
            <w:vAlign w:val="center"/>
          </w:tcPr>
          <w:p w14:paraId="6B244A10" w14:textId="6DF26D26" w:rsidR="003D33E8" w:rsidRPr="001F558D" w:rsidRDefault="00824D4F" w:rsidP="004F2D59">
            <w:pPr>
              <w:spacing w:after="0" w:line="240" w:lineRule="auto"/>
              <w:jc w:val="center"/>
              <w:rPr>
                <w:rFonts w:eastAsia="Yu Gothic Light" w:cs="Times New Roman"/>
                <w:lang w:eastAsia="en-NZ"/>
              </w:rPr>
            </w:pPr>
            <w:r w:rsidRPr="001F558D">
              <w:rPr>
                <w:rFonts w:eastAsiaTheme="majorEastAsia" w:cstheme="majorBidi"/>
                <w:lang w:eastAsia="en-NZ"/>
              </w:rPr>
              <w:t>5</w:t>
            </w:r>
            <w:r w:rsidR="00FA27A7" w:rsidRPr="001F558D">
              <w:rPr>
                <w:rFonts w:eastAsiaTheme="majorEastAsia" w:cstheme="majorBidi"/>
                <w:lang w:eastAsia="en-NZ"/>
              </w:rPr>
              <w:t>28</w:t>
            </w:r>
          </w:p>
        </w:tc>
        <w:tc>
          <w:tcPr>
            <w:tcW w:w="1170" w:type="pct"/>
            <w:tcBorders>
              <w:top w:val="single" w:sz="4" w:space="0" w:color="B4C6E7" w:themeColor="accent5" w:themeTint="66"/>
            </w:tcBorders>
            <w:vAlign w:val="center"/>
          </w:tcPr>
          <w:p w14:paraId="6A3A3C2D" w14:textId="08524218" w:rsidR="003D33E8" w:rsidRPr="001F558D" w:rsidRDefault="00824D4F" w:rsidP="004F2D59">
            <w:pPr>
              <w:spacing w:after="0" w:line="240" w:lineRule="auto"/>
              <w:jc w:val="center"/>
              <w:rPr>
                <w:rFonts w:eastAsia="Yu Gothic Light" w:cs="Times New Roman"/>
                <w:lang w:eastAsia="en-NZ"/>
              </w:rPr>
            </w:pPr>
            <w:r w:rsidRPr="001F558D">
              <w:rPr>
                <w:rFonts w:eastAsiaTheme="majorEastAsia" w:cstheme="majorBidi"/>
                <w:lang w:eastAsia="en-NZ"/>
              </w:rPr>
              <w:t>5</w:t>
            </w:r>
            <w:r w:rsidR="00D56096" w:rsidRPr="001F558D">
              <w:rPr>
                <w:rFonts w:eastAsiaTheme="majorEastAsia" w:cstheme="majorBidi"/>
                <w:lang w:eastAsia="en-NZ"/>
              </w:rPr>
              <w:t>28</w:t>
            </w:r>
          </w:p>
        </w:tc>
        <w:tc>
          <w:tcPr>
            <w:tcW w:w="1168" w:type="pct"/>
            <w:tcBorders>
              <w:top w:val="single" w:sz="4" w:space="0" w:color="B4C6E7" w:themeColor="accent5" w:themeTint="66"/>
            </w:tcBorders>
            <w:vAlign w:val="center"/>
          </w:tcPr>
          <w:p w14:paraId="572367A2" w14:textId="56BE4CCA" w:rsidR="003D33E8" w:rsidRPr="001F558D" w:rsidRDefault="00824D4F" w:rsidP="004F2D59">
            <w:pPr>
              <w:spacing w:after="0" w:line="240" w:lineRule="auto"/>
              <w:jc w:val="center"/>
              <w:rPr>
                <w:rFonts w:eastAsia="Yu Gothic Light" w:cs="Times New Roman"/>
                <w:lang w:eastAsia="en-NZ"/>
              </w:rPr>
            </w:pPr>
            <w:r w:rsidRPr="001F558D">
              <w:rPr>
                <w:rFonts w:eastAsiaTheme="majorEastAsia" w:cstheme="majorBidi"/>
                <w:lang w:eastAsia="en-NZ"/>
              </w:rPr>
              <w:t>5</w:t>
            </w:r>
            <w:r w:rsidR="003B4F1C" w:rsidRPr="001F558D">
              <w:rPr>
                <w:rFonts w:eastAsiaTheme="majorEastAsia" w:cstheme="majorBidi"/>
                <w:lang w:eastAsia="en-NZ"/>
              </w:rPr>
              <w:t>28</w:t>
            </w:r>
          </w:p>
        </w:tc>
      </w:tr>
      <w:tr w:rsidR="003D33E8" w:rsidRPr="00B5248D" w14:paraId="5A595809" w14:textId="77777777" w:rsidTr="001F558D">
        <w:trPr>
          <w:trHeight w:val="283"/>
        </w:trPr>
        <w:tc>
          <w:tcPr>
            <w:tcW w:w="1493" w:type="pct"/>
            <w:shd w:val="clear" w:color="auto" w:fill="D9E2F3" w:themeFill="accent5" w:themeFillTint="33"/>
          </w:tcPr>
          <w:p w14:paraId="620CAD88" w14:textId="77777777" w:rsidR="003D33E8" w:rsidRPr="001F558D" w:rsidRDefault="003D33E8" w:rsidP="003D33E8">
            <w:pPr>
              <w:spacing w:after="0"/>
              <w:rPr>
                <w:rFonts w:eastAsia="Yu Gothic Light" w:cs="Times New Roman"/>
                <w:b/>
                <w:lang w:eastAsia="en-NZ"/>
              </w:rPr>
            </w:pPr>
            <w:r w:rsidRPr="001F558D">
              <w:rPr>
                <w:rFonts w:eastAsia="Yu Gothic Light" w:cs="Times New Roman"/>
                <w:b/>
                <w:lang w:eastAsia="en-NZ"/>
              </w:rPr>
              <w:t>R-squared</w:t>
            </w:r>
          </w:p>
        </w:tc>
        <w:tc>
          <w:tcPr>
            <w:tcW w:w="1169" w:type="pct"/>
            <w:vAlign w:val="center"/>
          </w:tcPr>
          <w:p w14:paraId="1B6A19DE" w14:textId="5D94B274" w:rsidR="003D33E8" w:rsidRPr="001F558D" w:rsidRDefault="003D33E8" w:rsidP="003D33E8">
            <w:pPr>
              <w:tabs>
                <w:tab w:val="decimal" w:pos="852"/>
              </w:tabs>
              <w:spacing w:after="0"/>
              <w:rPr>
                <w:rFonts w:eastAsia="Yu Gothic Light" w:cs="Times New Roman"/>
                <w:lang w:eastAsia="en-NZ"/>
              </w:rPr>
            </w:pPr>
            <w:r w:rsidRPr="001F558D">
              <w:rPr>
                <w:rFonts w:eastAsia="Yu Gothic Light" w:cs="Times New Roman"/>
                <w:lang w:eastAsia="en-NZ"/>
              </w:rPr>
              <w:t>0.</w:t>
            </w:r>
            <w:r w:rsidR="00824D4F" w:rsidRPr="001F558D">
              <w:rPr>
                <w:rFonts w:eastAsia="Yu Gothic Light" w:cs="Times New Roman"/>
                <w:lang w:eastAsia="en-NZ"/>
              </w:rPr>
              <w:t>5</w:t>
            </w:r>
            <w:r w:rsidR="00FA27A7" w:rsidRPr="001F558D">
              <w:rPr>
                <w:rFonts w:eastAsia="Yu Gothic Light" w:cs="Times New Roman"/>
                <w:lang w:eastAsia="en-NZ"/>
              </w:rPr>
              <w:t>8</w:t>
            </w:r>
          </w:p>
        </w:tc>
        <w:tc>
          <w:tcPr>
            <w:tcW w:w="1170" w:type="pct"/>
            <w:vAlign w:val="center"/>
          </w:tcPr>
          <w:p w14:paraId="506F1CDC" w14:textId="2C8EFA83" w:rsidR="003D33E8" w:rsidRPr="001F558D" w:rsidRDefault="003D33E8" w:rsidP="003D33E8">
            <w:pPr>
              <w:tabs>
                <w:tab w:val="decimal" w:pos="982"/>
              </w:tabs>
              <w:spacing w:after="0"/>
              <w:rPr>
                <w:rFonts w:eastAsia="Yu Gothic Light" w:cs="Times New Roman"/>
                <w:lang w:eastAsia="en-NZ"/>
              </w:rPr>
            </w:pPr>
            <w:r w:rsidRPr="001F558D">
              <w:rPr>
                <w:rFonts w:eastAsia="Yu Gothic Light" w:cs="Times New Roman"/>
                <w:lang w:eastAsia="en-NZ"/>
              </w:rPr>
              <w:t>0.</w:t>
            </w:r>
            <w:r w:rsidR="00824D4F" w:rsidRPr="001F558D">
              <w:rPr>
                <w:rFonts w:eastAsia="Yu Gothic Light" w:cs="Times New Roman"/>
                <w:lang w:eastAsia="en-NZ"/>
              </w:rPr>
              <w:t>5</w:t>
            </w:r>
            <w:r w:rsidR="00D56096" w:rsidRPr="001F558D">
              <w:rPr>
                <w:rFonts w:eastAsia="Yu Gothic Light" w:cs="Times New Roman"/>
                <w:lang w:eastAsia="en-NZ"/>
              </w:rPr>
              <w:t>8</w:t>
            </w:r>
          </w:p>
        </w:tc>
        <w:tc>
          <w:tcPr>
            <w:tcW w:w="1168" w:type="pct"/>
            <w:vAlign w:val="center"/>
          </w:tcPr>
          <w:p w14:paraId="51B2FB23" w14:textId="042D3C6D" w:rsidR="003D33E8" w:rsidRPr="001F558D" w:rsidRDefault="003D33E8" w:rsidP="004F2D59">
            <w:pPr>
              <w:tabs>
                <w:tab w:val="decimal" w:pos="852"/>
              </w:tabs>
              <w:spacing w:after="0"/>
              <w:rPr>
                <w:rFonts w:eastAsia="Yu Gothic Light" w:cs="Times New Roman"/>
                <w:lang w:eastAsia="en-NZ"/>
              </w:rPr>
            </w:pPr>
            <w:r w:rsidRPr="001F558D">
              <w:rPr>
                <w:rFonts w:eastAsia="Yu Gothic Light" w:cs="Times New Roman"/>
                <w:lang w:eastAsia="en-NZ"/>
              </w:rPr>
              <w:t>0.</w:t>
            </w:r>
            <w:r w:rsidR="00824D4F" w:rsidRPr="001F558D">
              <w:rPr>
                <w:rFonts w:eastAsia="Yu Gothic Light" w:cs="Times New Roman"/>
                <w:lang w:eastAsia="en-NZ"/>
              </w:rPr>
              <w:t>5</w:t>
            </w:r>
            <w:r w:rsidR="003B4F1C" w:rsidRPr="001F558D">
              <w:rPr>
                <w:rFonts w:eastAsia="Yu Gothic Light" w:cs="Times New Roman"/>
                <w:lang w:eastAsia="en-NZ"/>
              </w:rPr>
              <w:t>8</w:t>
            </w:r>
          </w:p>
        </w:tc>
      </w:tr>
    </w:tbl>
    <w:p w14:paraId="309347CF" w14:textId="5F78CB24" w:rsidR="00824D4F" w:rsidRPr="00E75B8D" w:rsidRDefault="00824D4F" w:rsidP="003E0BE5">
      <w:pPr>
        <w:jc w:val="both"/>
        <w:rPr>
          <w:rFonts w:eastAsia="Calibri"/>
          <w:sz w:val="18"/>
          <w:szCs w:val="18"/>
        </w:rPr>
      </w:pPr>
      <w:r w:rsidRPr="00E75B8D">
        <w:rPr>
          <w:rFonts w:eastAsia="Calibri"/>
          <w:sz w:val="18"/>
          <w:szCs w:val="18"/>
        </w:rPr>
        <w:t xml:space="preserve">Notes: </w:t>
      </w:r>
      <w:r w:rsidR="00CE6F32" w:rsidRPr="00E75B8D">
        <w:rPr>
          <w:sz w:val="18"/>
          <w:szCs w:val="18"/>
        </w:rPr>
        <w:t xml:space="preserve"> The control variables described in Table 3 are included in these regressions, but not included here for the sake of brevity.</w:t>
      </w:r>
      <w:r w:rsidR="00CE6F32" w:rsidRPr="00E75B8D">
        <w:rPr>
          <w:rFonts w:eastAsia="Calibri"/>
          <w:sz w:val="18"/>
          <w:szCs w:val="18"/>
        </w:rPr>
        <w:t xml:space="preserve"> </w:t>
      </w:r>
      <w:r w:rsidRPr="00E75B8D">
        <w:rPr>
          <w:rFonts w:eastAsia="Calibri"/>
          <w:sz w:val="18"/>
          <w:szCs w:val="18"/>
        </w:rPr>
        <w:t xml:space="preserve">  </w:t>
      </w:r>
      <w:r w:rsidR="00BA47E2" w:rsidRPr="00E75B8D">
        <w:rPr>
          <w:rFonts w:eastAsia="Calibri"/>
          <w:sz w:val="18"/>
          <w:szCs w:val="18"/>
        </w:rPr>
        <w:t>TA and year fixed effects included.</w:t>
      </w:r>
      <w:r w:rsidR="00BA47E2" w:rsidRPr="00E75B8D">
        <w:rPr>
          <w:sz w:val="18"/>
          <w:szCs w:val="18"/>
        </w:rPr>
        <w:t xml:space="preserve"> Bootstrap</w:t>
      </w:r>
      <w:r w:rsidR="00D1494E" w:rsidRPr="00E75B8D">
        <w:rPr>
          <w:sz w:val="18"/>
          <w:szCs w:val="18"/>
        </w:rPr>
        <w:t>ped clustered</w:t>
      </w:r>
      <w:r w:rsidR="00BA47E2" w:rsidRPr="00E75B8D">
        <w:rPr>
          <w:sz w:val="18"/>
          <w:szCs w:val="18"/>
        </w:rPr>
        <w:t xml:space="preserve"> standard errors are shown in parentheses</w:t>
      </w:r>
      <w:r w:rsidRPr="00E75B8D">
        <w:rPr>
          <w:rFonts w:eastAsia="Calibri"/>
          <w:sz w:val="18"/>
          <w:szCs w:val="18"/>
        </w:rPr>
        <w:t>.  ***, **, and * denote statistical significance at the one, five, and ten percent-levels, respectively.</w:t>
      </w:r>
    </w:p>
    <w:bookmarkEnd w:id="236"/>
    <w:p w14:paraId="6BDC4039" w14:textId="69D0F72E" w:rsidR="00EA1306" w:rsidRDefault="00EA1306" w:rsidP="00824D4F">
      <w:pPr>
        <w:rPr>
          <w:b/>
        </w:rPr>
      </w:pPr>
    </w:p>
    <w:p w14:paraId="10A7810C" w14:textId="01458243" w:rsidR="003E0BE5" w:rsidRDefault="008A7184" w:rsidP="00D81B2B">
      <w:pPr>
        <w:spacing w:line="312" w:lineRule="auto"/>
        <w:jc w:val="both"/>
      </w:pPr>
      <w:r>
        <w:rPr>
          <w:bCs/>
        </w:rPr>
        <w:t xml:space="preserve">In terms of the distance variables employed across the three models in Table 8, </w:t>
      </w:r>
      <w:r w:rsidR="00B63097">
        <w:rPr>
          <w:bCs/>
        </w:rPr>
        <w:t xml:space="preserve">none are found to be statistically significant in explaining bankruptcies. </w:t>
      </w:r>
      <w:r w:rsidR="004611D6">
        <w:rPr>
          <w:bCs/>
        </w:rPr>
        <w:t xml:space="preserve">It should be noted that </w:t>
      </w:r>
      <w:r w:rsidR="00F6618D">
        <w:rPr>
          <w:bCs/>
        </w:rPr>
        <w:t>the</w:t>
      </w:r>
      <w:r w:rsidR="00DF7FA0">
        <w:rPr>
          <w:bCs/>
        </w:rPr>
        <w:t>se</w:t>
      </w:r>
      <w:r w:rsidR="00F6618D">
        <w:rPr>
          <w:bCs/>
        </w:rPr>
        <w:t xml:space="preserve"> estimates </w:t>
      </w:r>
      <w:r w:rsidR="00435D2A">
        <w:rPr>
          <w:bCs/>
        </w:rPr>
        <w:t>appear to be</w:t>
      </w:r>
      <w:r w:rsidR="006012AC">
        <w:rPr>
          <w:bCs/>
        </w:rPr>
        <w:t xml:space="preserve"> quite</w:t>
      </w:r>
      <w:r w:rsidR="00435D2A">
        <w:rPr>
          <w:bCs/>
        </w:rPr>
        <w:t xml:space="preserve"> noisy, given that the standard errors are </w:t>
      </w:r>
      <w:r w:rsidR="00532761">
        <w:rPr>
          <w:bCs/>
        </w:rPr>
        <w:t>much larger than the point estimates</w:t>
      </w:r>
      <w:r w:rsidR="001D5AEF">
        <w:rPr>
          <w:bCs/>
        </w:rPr>
        <w:t>, regardless of which model is viewed.</w:t>
      </w:r>
      <w:r w:rsidR="00AB1FFC">
        <w:rPr>
          <w:bCs/>
        </w:rPr>
        <w:t xml:space="preserve"> Consequently, </w:t>
      </w:r>
      <w:r w:rsidR="00323FC6">
        <w:rPr>
          <w:bCs/>
        </w:rPr>
        <w:t xml:space="preserve">these </w:t>
      </w:r>
      <w:proofErr w:type="gramStart"/>
      <w:r w:rsidR="00323FC6">
        <w:rPr>
          <w:bCs/>
        </w:rPr>
        <w:t>particular findings</w:t>
      </w:r>
      <w:proofErr w:type="gramEnd"/>
      <w:r w:rsidR="00323FC6">
        <w:rPr>
          <w:bCs/>
        </w:rPr>
        <w:t xml:space="preserve"> should be </w:t>
      </w:r>
      <w:r w:rsidR="00D81B2B">
        <w:rPr>
          <w:bCs/>
        </w:rPr>
        <w:t>viewed with that caveat in mind.</w:t>
      </w:r>
    </w:p>
    <w:p w14:paraId="49F68180" w14:textId="6C1756C4" w:rsidR="00D81B2B" w:rsidRDefault="00AA2857" w:rsidP="009032E5">
      <w:pPr>
        <w:spacing w:line="312" w:lineRule="auto"/>
        <w:jc w:val="both"/>
        <w:rPr>
          <w:bCs/>
        </w:rPr>
      </w:pPr>
      <w:r>
        <w:rPr>
          <w:bCs/>
        </w:rPr>
        <w:t>With respect to the additional economic controls in</w:t>
      </w:r>
      <w:r w:rsidR="00FC58DA">
        <w:rPr>
          <w:bCs/>
        </w:rPr>
        <w:t>cluded in these bankruptcy models</w:t>
      </w:r>
      <w:r w:rsidR="002766A4">
        <w:rPr>
          <w:bCs/>
        </w:rPr>
        <w:t xml:space="preserve">, </w:t>
      </w:r>
      <w:r w:rsidR="003D6467">
        <w:rPr>
          <w:bCs/>
        </w:rPr>
        <w:t>business growth</w:t>
      </w:r>
      <w:r w:rsidR="008034A5">
        <w:rPr>
          <w:bCs/>
        </w:rPr>
        <w:t xml:space="preserve"> </w:t>
      </w:r>
      <w:r w:rsidR="000D231E">
        <w:rPr>
          <w:bCs/>
        </w:rPr>
        <w:t xml:space="preserve">is </w:t>
      </w:r>
      <w:r w:rsidR="00575805">
        <w:rPr>
          <w:bCs/>
        </w:rPr>
        <w:t xml:space="preserve">significant </w:t>
      </w:r>
      <w:r w:rsidR="00BC5986">
        <w:rPr>
          <w:bCs/>
        </w:rPr>
        <w:t>in explaining bankrupt</w:t>
      </w:r>
      <w:r w:rsidR="003D2172">
        <w:rPr>
          <w:bCs/>
        </w:rPr>
        <w:t>cy variation</w:t>
      </w:r>
      <w:r w:rsidR="00CA2B63">
        <w:rPr>
          <w:bCs/>
        </w:rPr>
        <w:t xml:space="preserve">. </w:t>
      </w:r>
      <w:r w:rsidR="00FE5E46">
        <w:rPr>
          <w:bCs/>
        </w:rPr>
        <w:t xml:space="preserve">This </w:t>
      </w:r>
      <w:r w:rsidR="0003715A">
        <w:rPr>
          <w:bCs/>
        </w:rPr>
        <w:t xml:space="preserve">relationship is relatively weak, as </w:t>
      </w:r>
      <w:r w:rsidR="00B04B89">
        <w:rPr>
          <w:bCs/>
        </w:rPr>
        <w:t xml:space="preserve">it is found in </w:t>
      </w:r>
      <w:r w:rsidR="005020A1">
        <w:rPr>
          <w:bCs/>
        </w:rPr>
        <w:t xml:space="preserve">two of the three specifications, and </w:t>
      </w:r>
      <w:r w:rsidR="00D00BA4">
        <w:rPr>
          <w:bCs/>
        </w:rPr>
        <w:t xml:space="preserve">is only </w:t>
      </w:r>
      <w:r w:rsidR="00B04B89">
        <w:rPr>
          <w:bCs/>
        </w:rPr>
        <w:t>significant</w:t>
      </w:r>
      <w:r w:rsidR="00D00BA4">
        <w:rPr>
          <w:bCs/>
        </w:rPr>
        <w:t xml:space="preserve"> at the 10 percent level.</w:t>
      </w:r>
      <w:r w:rsidR="00B04B89">
        <w:rPr>
          <w:bCs/>
        </w:rPr>
        <w:t xml:space="preserve"> </w:t>
      </w:r>
    </w:p>
    <w:p w14:paraId="0A3C0554" w14:textId="43E0984E" w:rsidR="009032E5" w:rsidRPr="007C469D" w:rsidRDefault="003C7966" w:rsidP="009032E5">
      <w:pPr>
        <w:spacing w:line="312" w:lineRule="auto"/>
        <w:jc w:val="both"/>
      </w:pPr>
      <w:r>
        <w:t>I</w:t>
      </w:r>
      <w:r w:rsidR="00683D1D" w:rsidRPr="007C469D">
        <w:t>n terms of the policy variables of interest</w:t>
      </w:r>
      <w:r w:rsidR="00AE101D" w:rsidRPr="007C469D">
        <w:t>,</w:t>
      </w:r>
      <w:r w:rsidR="00865C2E" w:rsidRPr="007C469D">
        <w:t xml:space="preserve"> </w:t>
      </w:r>
      <w:r w:rsidR="00C76A1F" w:rsidRPr="007C469D">
        <w:t>all contemporaneous</w:t>
      </w:r>
      <w:r w:rsidR="00993EBC" w:rsidRPr="007C469D">
        <w:t xml:space="preserve"> </w:t>
      </w:r>
      <w:r w:rsidR="00C76A1F" w:rsidRPr="007C469D">
        <w:t>policy</w:t>
      </w:r>
      <w:r w:rsidR="00993EBC" w:rsidRPr="007C469D">
        <w:t xml:space="preserve"> indicators have the </w:t>
      </w:r>
      <w:r>
        <w:t>expected</w:t>
      </w:r>
      <w:r w:rsidR="00993EBC" w:rsidRPr="007C469D">
        <w:t xml:space="preserve"> sign, </w:t>
      </w:r>
      <w:proofErr w:type="gramStart"/>
      <w:r w:rsidR="00993EBC" w:rsidRPr="007C469D">
        <w:t>i.e.</w:t>
      </w:r>
      <w:proofErr w:type="gramEnd"/>
      <w:r w:rsidR="00993EBC" w:rsidRPr="007C469D">
        <w:t xml:space="preserve"> decreasing</w:t>
      </w:r>
      <w:r w:rsidR="00D628BD" w:rsidRPr="007C469D">
        <w:t xml:space="preserve"> the number of bankruptcies relative to the reference group. However, </w:t>
      </w:r>
      <w:proofErr w:type="gramStart"/>
      <w:r w:rsidR="00D628BD" w:rsidRPr="007C469D">
        <w:t>the majority of</w:t>
      </w:r>
      <w:proofErr w:type="gramEnd"/>
      <w:r w:rsidR="00D628BD" w:rsidRPr="007C469D">
        <w:t xml:space="preserve"> these indicators are statistically insignificant. </w:t>
      </w:r>
      <w:r w:rsidR="00BE68A3" w:rsidRPr="007C469D">
        <w:t xml:space="preserve">There is weak evidence </w:t>
      </w:r>
      <w:r w:rsidR="00E12FCB" w:rsidRPr="007C469D">
        <w:t xml:space="preserve">of </w:t>
      </w:r>
      <w:r w:rsidR="00E679A9" w:rsidRPr="007C469D">
        <w:t>the sinking lid reducing bankruptcies. Th</w:t>
      </w:r>
      <w:r w:rsidR="007C469D">
        <w:t>is</w:t>
      </w:r>
      <w:r w:rsidR="00E679A9" w:rsidRPr="007C469D">
        <w:t xml:space="preserve"> effect is only evident in Model 1 and is </w:t>
      </w:r>
      <w:r w:rsidR="008139A5" w:rsidRPr="007C469D">
        <w:t>significant at the 10 percent level.</w:t>
      </w:r>
    </w:p>
    <w:p w14:paraId="1463AB6B" w14:textId="2ABF083D" w:rsidR="0086399C" w:rsidRPr="00CA3B89" w:rsidRDefault="0086399C" w:rsidP="0086399C">
      <w:pPr>
        <w:pStyle w:val="Heading1"/>
        <w:numPr>
          <w:ilvl w:val="0"/>
          <w:numId w:val="0"/>
        </w:numPr>
        <w:spacing w:before="480" w:after="240"/>
        <w:rPr>
          <w:lang w:eastAsia="en-NZ"/>
        </w:rPr>
      </w:pPr>
      <w:bookmarkStart w:id="237" w:name="_Toc50033378"/>
      <w:r>
        <w:rPr>
          <w:lang w:eastAsia="en-NZ"/>
        </w:rPr>
        <w:lastRenderedPageBreak/>
        <w:t xml:space="preserve">8 </w:t>
      </w:r>
      <w:r w:rsidR="00946B76">
        <w:rPr>
          <w:lang w:eastAsia="en-NZ"/>
        </w:rPr>
        <w:tab/>
      </w:r>
      <w:r>
        <w:rPr>
          <w:lang w:eastAsia="en-NZ"/>
        </w:rPr>
        <w:t>Conclusions</w:t>
      </w:r>
      <w:bookmarkEnd w:id="237"/>
    </w:p>
    <w:p w14:paraId="73970973" w14:textId="2F0CBC64" w:rsidR="00A97AD2" w:rsidRDefault="00201B5B" w:rsidP="0024215B">
      <w:pPr>
        <w:spacing w:after="240" w:line="312" w:lineRule="auto"/>
        <w:jc w:val="both"/>
        <w:rPr>
          <w:lang w:eastAsia="en-NZ"/>
        </w:rPr>
      </w:pPr>
      <w:r>
        <w:rPr>
          <w:lang w:eastAsia="en-NZ"/>
        </w:rPr>
        <w:t xml:space="preserve">This research </w:t>
      </w:r>
      <w:r w:rsidR="00F17F9D">
        <w:rPr>
          <w:lang w:eastAsia="en-NZ"/>
        </w:rPr>
        <w:t xml:space="preserve">aim of this paper </w:t>
      </w:r>
      <w:r w:rsidR="00EA4F16">
        <w:rPr>
          <w:lang w:eastAsia="en-NZ"/>
        </w:rPr>
        <w:t>is</w:t>
      </w:r>
      <w:r>
        <w:rPr>
          <w:lang w:eastAsia="en-NZ"/>
        </w:rPr>
        <w:t xml:space="preserve"> </w:t>
      </w:r>
      <w:r w:rsidR="009C715B">
        <w:rPr>
          <w:lang w:eastAsia="en-NZ"/>
        </w:rPr>
        <w:t xml:space="preserve">to </w:t>
      </w:r>
      <w:r>
        <w:rPr>
          <w:lang w:eastAsia="en-NZ"/>
        </w:rPr>
        <w:t>understand the impact of public policy interventions on gambling.</w:t>
      </w:r>
    </w:p>
    <w:p w14:paraId="61C2DE23" w14:textId="366CBE0F" w:rsidR="00201B5B" w:rsidRDefault="00E35A55" w:rsidP="0024215B">
      <w:pPr>
        <w:spacing w:after="240" w:line="312" w:lineRule="auto"/>
        <w:jc w:val="both"/>
        <w:rPr>
          <w:lang w:eastAsia="en-NZ"/>
        </w:rPr>
      </w:pPr>
      <w:r>
        <w:rPr>
          <w:lang w:eastAsia="en-NZ"/>
        </w:rPr>
        <w:t>To conduct our empirical analysis</w:t>
      </w:r>
      <w:r w:rsidR="00106C0A">
        <w:rPr>
          <w:lang w:eastAsia="en-NZ"/>
        </w:rPr>
        <w:t xml:space="preserve">, </w:t>
      </w:r>
      <w:r w:rsidR="007F74F7">
        <w:rPr>
          <w:lang w:eastAsia="en-NZ"/>
        </w:rPr>
        <w:t xml:space="preserve">we </w:t>
      </w:r>
      <w:r w:rsidR="006B30AC">
        <w:rPr>
          <w:lang w:eastAsia="en-NZ"/>
        </w:rPr>
        <w:t xml:space="preserve">gathered </w:t>
      </w:r>
      <w:r w:rsidR="00AE412D">
        <w:rPr>
          <w:lang w:eastAsia="en-NZ"/>
        </w:rPr>
        <w:t xml:space="preserve">information </w:t>
      </w:r>
      <w:r w:rsidR="00ED1920">
        <w:rPr>
          <w:lang w:eastAsia="en-NZ"/>
        </w:rPr>
        <w:t>on Class 4 gambling policies from</w:t>
      </w:r>
      <w:r w:rsidR="000C3D26">
        <w:rPr>
          <w:lang w:eastAsia="en-NZ"/>
        </w:rPr>
        <w:t xml:space="preserve"> all 67 TAs </w:t>
      </w:r>
      <w:r w:rsidR="004E0F59">
        <w:rPr>
          <w:lang w:eastAsia="en-NZ"/>
        </w:rPr>
        <w:t xml:space="preserve">in </w:t>
      </w:r>
      <w:r w:rsidR="000C3D26">
        <w:rPr>
          <w:lang w:eastAsia="en-NZ"/>
        </w:rPr>
        <w:t>NZ</w:t>
      </w:r>
      <w:r w:rsidR="009C715B">
        <w:rPr>
          <w:lang w:eastAsia="en-NZ"/>
        </w:rPr>
        <w:t>. This</w:t>
      </w:r>
      <w:r w:rsidR="004E0F59">
        <w:rPr>
          <w:lang w:eastAsia="en-NZ"/>
        </w:rPr>
        <w:t xml:space="preserve"> allowed us to construct</w:t>
      </w:r>
      <w:r w:rsidR="00033BB8">
        <w:rPr>
          <w:lang w:eastAsia="en-NZ"/>
        </w:rPr>
        <w:t xml:space="preserve"> a novel </w:t>
      </w:r>
      <w:r w:rsidR="00BD00D8">
        <w:rPr>
          <w:lang w:eastAsia="en-NZ"/>
        </w:rPr>
        <w:t xml:space="preserve">panel </w:t>
      </w:r>
      <w:r w:rsidR="009C715B">
        <w:rPr>
          <w:lang w:eastAsia="en-NZ"/>
        </w:rPr>
        <w:t xml:space="preserve">data set </w:t>
      </w:r>
      <w:r w:rsidR="00BD00D8">
        <w:rPr>
          <w:lang w:eastAsia="en-NZ"/>
        </w:rPr>
        <w:t>of TA-level Class 4 gambling policy types</w:t>
      </w:r>
      <w:r w:rsidR="009C715B">
        <w:rPr>
          <w:lang w:eastAsia="en-NZ"/>
        </w:rPr>
        <w:t xml:space="preserve"> over time</w:t>
      </w:r>
      <w:r w:rsidR="00233B31">
        <w:rPr>
          <w:lang w:eastAsia="en-NZ"/>
        </w:rPr>
        <w:t xml:space="preserve">. </w:t>
      </w:r>
      <w:r w:rsidR="009C715B">
        <w:rPr>
          <w:lang w:eastAsia="en-NZ"/>
        </w:rPr>
        <w:t>In each year</w:t>
      </w:r>
      <w:r w:rsidR="00374929">
        <w:rPr>
          <w:lang w:eastAsia="en-NZ"/>
        </w:rPr>
        <w:t xml:space="preserve">, </w:t>
      </w:r>
      <w:r w:rsidR="00A03F2E">
        <w:rPr>
          <w:lang w:eastAsia="en-NZ"/>
        </w:rPr>
        <w:t>a TA either had the baseline policy mandated by the Gambling Act</w:t>
      </w:r>
      <w:r w:rsidR="00F86CD4">
        <w:rPr>
          <w:lang w:eastAsia="en-NZ"/>
        </w:rPr>
        <w:t xml:space="preserve"> 2003</w:t>
      </w:r>
      <w:r w:rsidR="00A03F2E">
        <w:rPr>
          <w:lang w:eastAsia="en-NZ"/>
        </w:rPr>
        <w:t xml:space="preserve"> or had </w:t>
      </w:r>
      <w:r w:rsidR="009C715B">
        <w:rPr>
          <w:lang w:eastAsia="en-NZ"/>
        </w:rPr>
        <w:t>more stringent</w:t>
      </w:r>
      <w:r w:rsidR="004535D1">
        <w:rPr>
          <w:lang w:eastAsia="en-NZ"/>
        </w:rPr>
        <w:t xml:space="preserve"> regulation in the form of either </w:t>
      </w:r>
      <w:r w:rsidR="005A3EB0">
        <w:rPr>
          <w:lang w:eastAsia="en-NZ"/>
        </w:rPr>
        <w:t xml:space="preserve">an </w:t>
      </w:r>
      <w:r w:rsidR="0030262D">
        <w:rPr>
          <w:lang w:eastAsia="en-NZ"/>
        </w:rPr>
        <w:t xml:space="preserve">absolute </w:t>
      </w:r>
      <w:r w:rsidR="002A42F2">
        <w:rPr>
          <w:lang w:eastAsia="en-NZ"/>
        </w:rPr>
        <w:t xml:space="preserve">cap on number of EGMs </w:t>
      </w:r>
      <w:r w:rsidR="009C715B">
        <w:rPr>
          <w:lang w:eastAsia="en-NZ"/>
        </w:rPr>
        <w:t xml:space="preserve">and / </w:t>
      </w:r>
      <w:r w:rsidR="002A42F2">
        <w:rPr>
          <w:lang w:eastAsia="en-NZ"/>
        </w:rPr>
        <w:t xml:space="preserve">or venues; a per capita cap on number of EGMs and / </w:t>
      </w:r>
      <w:r w:rsidR="00E779B3">
        <w:rPr>
          <w:lang w:eastAsia="en-NZ"/>
        </w:rPr>
        <w:t>or venues; or a sinking lid policy</w:t>
      </w:r>
      <w:r w:rsidR="006F168D">
        <w:rPr>
          <w:lang w:eastAsia="en-NZ"/>
        </w:rPr>
        <w:t xml:space="preserve">. </w:t>
      </w:r>
      <w:r w:rsidR="005C00A2">
        <w:rPr>
          <w:lang w:eastAsia="en-NZ"/>
        </w:rPr>
        <w:t>We combined this</w:t>
      </w:r>
      <w:r w:rsidR="00DD403D">
        <w:rPr>
          <w:lang w:eastAsia="en-NZ"/>
        </w:rPr>
        <w:t xml:space="preserve"> policy</w:t>
      </w:r>
      <w:r w:rsidR="005C00A2">
        <w:rPr>
          <w:lang w:eastAsia="en-NZ"/>
        </w:rPr>
        <w:t xml:space="preserve"> information with data on machine spending from the DIA and </w:t>
      </w:r>
      <w:r w:rsidR="00924C89">
        <w:rPr>
          <w:lang w:eastAsia="en-NZ"/>
        </w:rPr>
        <w:t xml:space="preserve">demographic </w:t>
      </w:r>
      <w:r w:rsidR="001B686E">
        <w:rPr>
          <w:lang w:eastAsia="en-NZ"/>
        </w:rPr>
        <w:t xml:space="preserve">and economic </w:t>
      </w:r>
      <w:r w:rsidR="00924C89">
        <w:rPr>
          <w:lang w:eastAsia="en-NZ"/>
        </w:rPr>
        <w:t>indicators from Stats NZ</w:t>
      </w:r>
      <w:r w:rsidR="00D50E5D">
        <w:rPr>
          <w:lang w:eastAsia="en-NZ"/>
        </w:rPr>
        <w:t xml:space="preserve"> and MBIE</w:t>
      </w:r>
      <w:r w:rsidR="009D53BE">
        <w:rPr>
          <w:lang w:eastAsia="en-NZ"/>
        </w:rPr>
        <w:t xml:space="preserve">. </w:t>
      </w:r>
      <w:r w:rsidR="009C715B">
        <w:rPr>
          <w:lang w:eastAsia="en-NZ"/>
        </w:rPr>
        <w:t xml:space="preserve">A quasi-experimental difference-in-differences </w:t>
      </w:r>
      <w:r w:rsidR="004F5439">
        <w:rPr>
          <w:lang w:eastAsia="en-NZ"/>
        </w:rPr>
        <w:t xml:space="preserve">identification </w:t>
      </w:r>
      <w:r w:rsidR="009C715B">
        <w:rPr>
          <w:lang w:eastAsia="en-NZ"/>
        </w:rPr>
        <w:t>strategy relying on</w:t>
      </w:r>
      <w:r w:rsidR="00C65743">
        <w:rPr>
          <w:lang w:eastAsia="en-NZ"/>
        </w:rPr>
        <w:t xml:space="preserve"> geographic and time variation in </w:t>
      </w:r>
      <w:r w:rsidR="00086258">
        <w:rPr>
          <w:lang w:eastAsia="en-NZ"/>
        </w:rPr>
        <w:t xml:space="preserve">gambling policy </w:t>
      </w:r>
      <w:r w:rsidR="002C06BD">
        <w:rPr>
          <w:lang w:eastAsia="en-NZ"/>
        </w:rPr>
        <w:t>i</w:t>
      </w:r>
      <w:r w:rsidR="009C715B">
        <w:rPr>
          <w:lang w:eastAsia="en-NZ"/>
        </w:rPr>
        <w:t>s used to estimate the causal impact of Class 4 gambling policies on the number of venues, EGMs, and machine spending</w:t>
      </w:r>
      <w:r w:rsidR="00F245B5">
        <w:rPr>
          <w:lang w:eastAsia="en-NZ"/>
        </w:rPr>
        <w:t>.</w:t>
      </w:r>
      <w:r w:rsidR="00F6030F">
        <w:rPr>
          <w:lang w:eastAsia="en-NZ"/>
        </w:rPr>
        <w:t xml:space="preserve"> </w:t>
      </w:r>
      <w:r w:rsidR="002C06BD">
        <w:rPr>
          <w:lang w:eastAsia="en-NZ"/>
        </w:rPr>
        <w:t>O</w:t>
      </w:r>
      <w:r w:rsidR="00F6030F">
        <w:rPr>
          <w:lang w:eastAsia="en-NZ"/>
        </w:rPr>
        <w:t xml:space="preserve">ur analysis is at the TA-level and </w:t>
      </w:r>
      <w:r w:rsidR="003D1E8C">
        <w:rPr>
          <w:lang w:eastAsia="en-NZ"/>
        </w:rPr>
        <w:t>the sample period of interest is 2010 to 2018.</w:t>
      </w:r>
    </w:p>
    <w:p w14:paraId="15FFA1BA" w14:textId="0721C2F2" w:rsidR="00AC3D3F" w:rsidRDefault="00FB550A" w:rsidP="0024215B">
      <w:pPr>
        <w:spacing w:after="240" w:line="312" w:lineRule="auto"/>
        <w:jc w:val="both"/>
        <w:rPr>
          <w:lang w:eastAsia="en-NZ"/>
        </w:rPr>
      </w:pPr>
      <w:r>
        <w:rPr>
          <w:lang w:eastAsia="en-NZ"/>
        </w:rPr>
        <w:t>We f</w:t>
      </w:r>
      <w:r w:rsidR="00DD3E28">
        <w:rPr>
          <w:lang w:eastAsia="en-NZ"/>
        </w:rPr>
        <w:t>ou</w:t>
      </w:r>
      <w:r>
        <w:rPr>
          <w:lang w:eastAsia="en-NZ"/>
        </w:rPr>
        <w:t>nd that all three forms of policy intervention prevalent in N</w:t>
      </w:r>
      <w:r w:rsidR="00743B32">
        <w:rPr>
          <w:lang w:eastAsia="en-NZ"/>
        </w:rPr>
        <w:t xml:space="preserve">Z are effective in reducing Class 4 venues and EGMs </w:t>
      </w:r>
      <w:r w:rsidR="00C845EC">
        <w:rPr>
          <w:lang w:eastAsia="en-NZ"/>
        </w:rPr>
        <w:t>relative to the reference group</w:t>
      </w:r>
      <w:r w:rsidR="00B20ECE">
        <w:rPr>
          <w:lang w:eastAsia="en-NZ"/>
        </w:rPr>
        <w:t xml:space="preserve"> (</w:t>
      </w:r>
      <w:proofErr w:type="gramStart"/>
      <w:r w:rsidR="00B20ECE">
        <w:rPr>
          <w:lang w:eastAsia="en-NZ"/>
        </w:rPr>
        <w:t>i.e.</w:t>
      </w:r>
      <w:proofErr w:type="gramEnd"/>
      <w:r w:rsidR="00B20ECE">
        <w:rPr>
          <w:lang w:eastAsia="en-NZ"/>
        </w:rPr>
        <w:t xml:space="preserve"> TAs with no restrictions beyond those in the</w:t>
      </w:r>
      <w:r w:rsidR="00F86CD4">
        <w:rPr>
          <w:lang w:eastAsia="en-NZ"/>
        </w:rPr>
        <w:t xml:space="preserve"> </w:t>
      </w:r>
      <w:r w:rsidR="00B20ECE">
        <w:rPr>
          <w:lang w:eastAsia="en-NZ"/>
        </w:rPr>
        <w:t>Gambling Act</w:t>
      </w:r>
      <w:r w:rsidR="00F86CD4">
        <w:rPr>
          <w:lang w:eastAsia="en-NZ"/>
        </w:rPr>
        <w:t xml:space="preserve"> 2003</w:t>
      </w:r>
      <w:r w:rsidR="00B20ECE">
        <w:rPr>
          <w:lang w:eastAsia="en-NZ"/>
        </w:rPr>
        <w:t>)</w:t>
      </w:r>
      <w:r w:rsidR="00C845EC">
        <w:rPr>
          <w:lang w:eastAsia="en-NZ"/>
        </w:rPr>
        <w:t>.</w:t>
      </w:r>
      <w:r w:rsidR="003D0D3A">
        <w:rPr>
          <w:lang w:eastAsia="en-NZ"/>
        </w:rPr>
        <w:t xml:space="preserve"> </w:t>
      </w:r>
      <w:r w:rsidR="00FB1062">
        <w:rPr>
          <w:lang w:eastAsia="en-NZ"/>
        </w:rPr>
        <w:t>For example</w:t>
      </w:r>
      <w:r w:rsidR="003E03F7">
        <w:rPr>
          <w:lang w:eastAsia="en-NZ"/>
        </w:rPr>
        <w:t xml:space="preserve">, </w:t>
      </w:r>
      <w:r w:rsidR="00271765">
        <w:rPr>
          <w:lang w:eastAsia="en-NZ"/>
        </w:rPr>
        <w:t xml:space="preserve">absolute caps are estimated to reduce the number of EGMs by </w:t>
      </w:r>
      <w:r w:rsidR="00845604">
        <w:rPr>
          <w:lang w:eastAsia="en-NZ"/>
        </w:rPr>
        <w:t>6</w:t>
      </w:r>
      <w:r w:rsidR="000755CE">
        <w:rPr>
          <w:lang w:eastAsia="en-NZ"/>
        </w:rPr>
        <w:t>7</w:t>
      </w:r>
      <w:r w:rsidR="00845604">
        <w:rPr>
          <w:lang w:eastAsia="en-NZ"/>
        </w:rPr>
        <w:t xml:space="preserve"> </w:t>
      </w:r>
      <w:r w:rsidR="00845604" w:rsidRPr="007E6FB9">
        <w:rPr>
          <w:lang w:eastAsia="en-NZ"/>
        </w:rPr>
        <w:t>(</w:t>
      </w:r>
      <w:r w:rsidR="00E177C5" w:rsidRPr="007E6FB9">
        <w:rPr>
          <w:lang w:eastAsia="en-NZ"/>
        </w:rPr>
        <w:t>15</w:t>
      </w:r>
      <w:r w:rsidR="00271765" w:rsidRPr="007E6FB9">
        <w:rPr>
          <w:lang w:eastAsia="en-NZ"/>
        </w:rPr>
        <w:t xml:space="preserve"> percent</w:t>
      </w:r>
      <w:r w:rsidR="00845604" w:rsidRPr="007E6FB9">
        <w:rPr>
          <w:lang w:eastAsia="en-NZ"/>
        </w:rPr>
        <w:t>)</w:t>
      </w:r>
      <w:r w:rsidR="00271765" w:rsidRPr="007E6FB9">
        <w:rPr>
          <w:lang w:eastAsia="en-NZ"/>
        </w:rPr>
        <w:t xml:space="preserve"> and the number of venues </w:t>
      </w:r>
      <w:r w:rsidR="0010177E" w:rsidRPr="007E6FB9">
        <w:rPr>
          <w:lang w:eastAsia="en-NZ"/>
        </w:rPr>
        <w:t xml:space="preserve">by </w:t>
      </w:r>
      <w:r w:rsidR="00845604" w:rsidRPr="007E6FB9">
        <w:rPr>
          <w:lang w:eastAsia="en-NZ"/>
        </w:rPr>
        <w:t>7 (</w:t>
      </w:r>
      <w:r w:rsidR="0010177E" w:rsidRPr="007E6FB9">
        <w:rPr>
          <w:lang w:eastAsia="en-NZ"/>
        </w:rPr>
        <w:t>16.</w:t>
      </w:r>
      <w:r w:rsidR="00E177C5" w:rsidRPr="007E6FB9">
        <w:rPr>
          <w:lang w:eastAsia="en-NZ"/>
        </w:rPr>
        <w:t>9</w:t>
      </w:r>
      <w:r w:rsidR="0010177E" w:rsidRPr="007E6FB9">
        <w:rPr>
          <w:lang w:eastAsia="en-NZ"/>
        </w:rPr>
        <w:t xml:space="preserve"> percent</w:t>
      </w:r>
      <w:r w:rsidR="00845604" w:rsidRPr="007E6FB9">
        <w:rPr>
          <w:lang w:eastAsia="en-NZ"/>
        </w:rPr>
        <w:t>)</w:t>
      </w:r>
      <w:r w:rsidR="000C4FA0" w:rsidRPr="007E6FB9">
        <w:rPr>
          <w:lang w:eastAsia="en-NZ"/>
        </w:rPr>
        <w:t xml:space="preserve"> on</w:t>
      </w:r>
      <w:r w:rsidR="000C4FA0">
        <w:rPr>
          <w:lang w:eastAsia="en-NZ"/>
        </w:rPr>
        <w:t xml:space="preserve"> a per 100,000 population </w:t>
      </w:r>
      <w:proofErr w:type="gramStart"/>
      <w:r w:rsidR="000C4FA0">
        <w:rPr>
          <w:lang w:eastAsia="en-NZ"/>
        </w:rPr>
        <w:t>basis</w:t>
      </w:r>
      <w:proofErr w:type="gramEnd"/>
      <w:r w:rsidR="000C4FA0">
        <w:rPr>
          <w:lang w:eastAsia="en-NZ"/>
        </w:rPr>
        <w:t xml:space="preserve"> over one year</w:t>
      </w:r>
      <w:r w:rsidR="00B85B3C">
        <w:rPr>
          <w:lang w:eastAsia="en-NZ"/>
        </w:rPr>
        <w:t xml:space="preserve">. </w:t>
      </w:r>
      <w:r w:rsidR="00AF0B28">
        <w:rPr>
          <w:lang w:eastAsia="en-NZ"/>
        </w:rPr>
        <w:t>E</w:t>
      </w:r>
      <w:r w:rsidR="00487BD5">
        <w:rPr>
          <w:lang w:eastAsia="en-NZ"/>
        </w:rPr>
        <w:t xml:space="preserve">stimated reductions </w:t>
      </w:r>
      <w:r w:rsidR="00210164">
        <w:rPr>
          <w:lang w:eastAsia="en-NZ"/>
        </w:rPr>
        <w:t xml:space="preserve">are </w:t>
      </w:r>
      <w:r w:rsidR="00E0522D">
        <w:rPr>
          <w:lang w:eastAsia="en-NZ"/>
        </w:rPr>
        <w:t xml:space="preserve">marginally larger for the per capita cap policy </w:t>
      </w:r>
      <w:r w:rsidR="00451240">
        <w:rPr>
          <w:lang w:eastAsia="en-NZ"/>
        </w:rPr>
        <w:t>and</w:t>
      </w:r>
      <w:r w:rsidR="005802C8">
        <w:rPr>
          <w:lang w:eastAsia="en-NZ"/>
        </w:rPr>
        <w:t xml:space="preserve"> lower for the sinking lid policy</w:t>
      </w:r>
      <w:r w:rsidR="009C2C49">
        <w:rPr>
          <w:lang w:eastAsia="en-NZ"/>
        </w:rPr>
        <w:t>.</w:t>
      </w:r>
      <w:r w:rsidR="00451240">
        <w:rPr>
          <w:lang w:eastAsia="en-NZ"/>
        </w:rPr>
        <w:t xml:space="preserve"> </w:t>
      </w:r>
    </w:p>
    <w:p w14:paraId="37ACEDC6" w14:textId="397662B9" w:rsidR="007139A5" w:rsidRPr="00AA175D" w:rsidRDefault="00191B41" w:rsidP="007139A5">
      <w:pPr>
        <w:spacing w:after="240" w:line="312" w:lineRule="auto"/>
        <w:jc w:val="both"/>
      </w:pPr>
      <w:r>
        <w:rPr>
          <w:lang w:eastAsia="en-NZ"/>
        </w:rPr>
        <w:t>In terms of reducing machine spending, s</w:t>
      </w:r>
      <w:r w:rsidR="00F6193C">
        <w:rPr>
          <w:lang w:eastAsia="en-NZ"/>
        </w:rPr>
        <w:t>inking lids</w:t>
      </w:r>
      <w:r w:rsidR="00862B9C">
        <w:rPr>
          <w:lang w:eastAsia="en-NZ"/>
        </w:rPr>
        <w:t xml:space="preserve"> and per capita caps appear the most effective. </w:t>
      </w:r>
      <w:r w:rsidR="00106CC6">
        <w:t xml:space="preserve">Compared to the reference group, </w:t>
      </w:r>
      <w:r w:rsidR="002A00FF">
        <w:t>these</w:t>
      </w:r>
      <w:r w:rsidR="00116FC8">
        <w:t xml:space="preserve"> policies</w:t>
      </w:r>
      <w:r w:rsidR="00AC3D3F" w:rsidRPr="00AA175D">
        <w:t xml:space="preserve"> </w:t>
      </w:r>
      <w:r w:rsidR="00116FC8">
        <w:t xml:space="preserve">are </w:t>
      </w:r>
      <w:r w:rsidR="00AC3D3F" w:rsidRPr="00AA175D">
        <w:t xml:space="preserve">associated with a cumulative reduction (sum of contemporaneous and lagged effects) </w:t>
      </w:r>
      <w:r w:rsidR="00EA15F4">
        <w:t>in machine spending of between 13 – 14 percent</w:t>
      </w:r>
      <w:r w:rsidR="00AC3D3F" w:rsidRPr="00AA175D">
        <w:t xml:space="preserve">.  </w:t>
      </w:r>
      <w:r w:rsidR="005A67B8" w:rsidRPr="00AA175D">
        <w:t>Absolute caps were shown to reduce cumulative expenditure by 10 percent</w:t>
      </w:r>
      <w:r w:rsidR="00921819">
        <w:t>, relative to the reference group</w:t>
      </w:r>
      <w:r w:rsidR="005A67B8" w:rsidRPr="00AA175D">
        <w:t>.</w:t>
      </w:r>
      <w:r w:rsidR="007139A5" w:rsidRPr="007139A5">
        <w:t xml:space="preserve"> </w:t>
      </w:r>
      <w:r w:rsidR="007139A5">
        <w:t>Furthermore, s</w:t>
      </w:r>
      <w:r w:rsidR="007139A5" w:rsidRPr="00AA175D">
        <w:t xml:space="preserve">inking lids are the only policy estimated to reduce </w:t>
      </w:r>
      <w:r w:rsidR="00182AB6">
        <w:t xml:space="preserve">gambling </w:t>
      </w:r>
      <w:r w:rsidR="007139A5" w:rsidRPr="00AA175D">
        <w:t>expenditure in both contemporaneous and lagged years</w:t>
      </w:r>
      <w:r w:rsidR="00C33FB1">
        <w:t xml:space="preserve"> (again, relative to the reference group)</w:t>
      </w:r>
      <w:r w:rsidR="007139A5" w:rsidRPr="00AA175D">
        <w:t>.</w:t>
      </w:r>
    </w:p>
    <w:p w14:paraId="79B47D15" w14:textId="55735116" w:rsidR="000479E4" w:rsidRPr="00780CC5" w:rsidRDefault="00273415" w:rsidP="000479E4">
      <w:pPr>
        <w:spacing w:after="240" w:line="312" w:lineRule="auto"/>
        <w:jc w:val="both"/>
      </w:pPr>
      <w:r>
        <w:t>One limitation worth pointing out is that we don’t</w:t>
      </w:r>
      <w:r w:rsidR="007A290E">
        <w:t xml:space="preserve"> know </w:t>
      </w:r>
      <w:r w:rsidR="009B717D">
        <w:t xml:space="preserve">the source of </w:t>
      </w:r>
      <w:r w:rsidR="00FA325A">
        <w:t>reduction in gambling expenditure</w:t>
      </w:r>
      <w:r w:rsidR="008A72E1">
        <w:t xml:space="preserve">. </w:t>
      </w:r>
      <w:r w:rsidR="00E62131">
        <w:t xml:space="preserve">More specifically, we cannot ascertain </w:t>
      </w:r>
      <w:r w:rsidR="0003074C">
        <w:t>wh</w:t>
      </w:r>
      <w:r w:rsidR="009F0872">
        <w:t>at proportion of the drop in spending is from casual gamblers compared to problem gamblers</w:t>
      </w:r>
      <w:r w:rsidR="00E423CE">
        <w:t xml:space="preserve">. </w:t>
      </w:r>
      <w:r w:rsidR="007762EE">
        <w:t xml:space="preserve">The closest insight we achieve on this front is </w:t>
      </w:r>
      <w:r w:rsidR="00812AEB">
        <w:t xml:space="preserve">by </w:t>
      </w:r>
      <w:r w:rsidR="00EC1E41">
        <w:t xml:space="preserve">examining the impact of </w:t>
      </w:r>
      <w:r w:rsidR="001A7760">
        <w:t xml:space="preserve">all three </w:t>
      </w:r>
      <w:r w:rsidR="006E2184">
        <w:t>policies on gambling intervention</w:t>
      </w:r>
      <w:r w:rsidR="00D67DFB">
        <w:t xml:space="preserve"> service use</w:t>
      </w:r>
      <w:r w:rsidR="00241F3E">
        <w:t xml:space="preserve">. For this </w:t>
      </w:r>
      <w:proofErr w:type="gramStart"/>
      <w:r w:rsidR="00241F3E">
        <w:t>purpose</w:t>
      </w:r>
      <w:proofErr w:type="gramEnd"/>
      <w:r w:rsidR="00241F3E">
        <w:t xml:space="preserve"> we utilise</w:t>
      </w:r>
      <w:r w:rsidR="00DD3E28">
        <w:t>d</w:t>
      </w:r>
      <w:r w:rsidR="00241F3E">
        <w:t xml:space="preserve"> data from the </w:t>
      </w:r>
      <w:r w:rsidR="001E19F1">
        <w:t xml:space="preserve">CLIC database provided by the </w:t>
      </w:r>
      <w:proofErr w:type="spellStart"/>
      <w:r w:rsidR="001E19F1">
        <w:t>MoH</w:t>
      </w:r>
      <w:proofErr w:type="spellEnd"/>
      <w:r w:rsidR="00590800">
        <w:t xml:space="preserve">. </w:t>
      </w:r>
      <w:r w:rsidR="00217BE8">
        <w:t xml:space="preserve">Results on this front are mixed. </w:t>
      </w:r>
      <w:r w:rsidR="00C205A2" w:rsidRPr="00430ADB">
        <w:t xml:space="preserve">For example, an increase in service use is </w:t>
      </w:r>
      <w:r w:rsidR="00C205A2" w:rsidRPr="0053222E">
        <w:t xml:space="preserve">found a year after implementation of per capita </w:t>
      </w:r>
      <w:proofErr w:type="gramStart"/>
      <w:r w:rsidR="00C205A2" w:rsidRPr="0053222E">
        <w:t>caps;</w:t>
      </w:r>
      <w:proofErr w:type="gramEnd"/>
      <w:r w:rsidR="00C205A2" w:rsidRPr="0053222E">
        <w:t xml:space="preserve"> whereas a decrease in service use is detected in the year of implementing a sinking lid policy</w:t>
      </w:r>
      <w:r w:rsidR="00F77360">
        <w:t>, relative to the reference group</w:t>
      </w:r>
      <w:r w:rsidR="00C205A2" w:rsidRPr="0053222E">
        <w:t xml:space="preserve">. </w:t>
      </w:r>
      <w:r w:rsidR="002C083F" w:rsidRPr="0053222E">
        <w:t xml:space="preserve">Given these mixed results, </w:t>
      </w:r>
      <w:r w:rsidR="0031495A" w:rsidRPr="0053222E">
        <w:t xml:space="preserve">as well as an unclear theoretical expectation regarding impact of gambling policies on intervention service use, </w:t>
      </w:r>
      <w:r w:rsidR="00780CC5" w:rsidRPr="0053222E">
        <w:t xml:space="preserve">this presents as an </w:t>
      </w:r>
      <w:r w:rsidR="000479E4" w:rsidRPr="0053222E">
        <w:t>area worthy of further investigation</w:t>
      </w:r>
      <w:r w:rsidR="00F22DF0" w:rsidRPr="00F22DF0">
        <w:t xml:space="preserve"> in future research</w:t>
      </w:r>
      <w:r w:rsidR="000479E4" w:rsidRPr="00F22DF0">
        <w:t>.</w:t>
      </w:r>
      <w:r w:rsidR="000479E4" w:rsidRPr="0053222E">
        <w:t xml:space="preserve"> </w:t>
      </w:r>
    </w:p>
    <w:p w14:paraId="4E1B8608" w14:textId="2B45A8FE" w:rsidR="00425522" w:rsidRDefault="000529DC" w:rsidP="00425522">
      <w:pPr>
        <w:spacing w:after="240" w:line="312" w:lineRule="auto"/>
        <w:jc w:val="both"/>
      </w:pPr>
      <w:r>
        <w:t>A</w:t>
      </w:r>
      <w:r w:rsidR="00076D0E">
        <w:t xml:space="preserve">nother limitation </w:t>
      </w:r>
      <w:r w:rsidR="00700DAE">
        <w:t xml:space="preserve">to note </w:t>
      </w:r>
      <w:r w:rsidR="00076D0E">
        <w:t>is</w:t>
      </w:r>
      <w:r w:rsidR="00187A2E">
        <w:t xml:space="preserve"> that </w:t>
      </w:r>
      <w:r w:rsidR="0047386E">
        <w:t xml:space="preserve">we don’t have information </w:t>
      </w:r>
      <w:r w:rsidR="00425522">
        <w:t>on other forms of gambling activity. Therefore, we don’t know if the drop in machine spending created spill</w:t>
      </w:r>
      <w:r w:rsidR="007B4A65">
        <w:t>-</w:t>
      </w:r>
      <w:r w:rsidR="00425522">
        <w:t xml:space="preserve">over effects, such as a rise in online gambling </w:t>
      </w:r>
      <w:r w:rsidR="00425522">
        <w:lastRenderedPageBreak/>
        <w:t>activity</w:t>
      </w:r>
      <w:r w:rsidR="00D8451A">
        <w:t>.</w:t>
      </w:r>
      <w:r w:rsidR="00186D0A">
        <w:rPr>
          <w:rStyle w:val="FootnoteReference"/>
        </w:rPr>
        <w:footnoteReference w:id="37"/>
      </w:r>
      <w:r w:rsidR="0050003A">
        <w:t xml:space="preserve"> We also don’t have information on additional measures </w:t>
      </w:r>
      <w:r w:rsidR="004904C9">
        <w:t xml:space="preserve">(perhaps more informal in nature) undertaken by TAs to try </w:t>
      </w:r>
      <w:r w:rsidR="00486CAA">
        <w:t xml:space="preserve">and curb problem gambling. </w:t>
      </w:r>
      <w:r w:rsidR="00CE185F">
        <w:t>Although, w</w:t>
      </w:r>
      <w:r w:rsidR="004C43BC">
        <w:t xml:space="preserve">e can potentially </w:t>
      </w:r>
      <w:r w:rsidR="00A631E7">
        <w:t>assume that the</w:t>
      </w:r>
      <w:r w:rsidR="00486CAA">
        <w:t xml:space="preserve"> policy interventio</w:t>
      </w:r>
      <w:r w:rsidR="00271150">
        <w:t xml:space="preserve">n employed (whether absolute cap, per capita cap or sinking lid) </w:t>
      </w:r>
      <w:r w:rsidR="00D7247F">
        <w:t xml:space="preserve">is </w:t>
      </w:r>
      <w:r w:rsidR="009B0181">
        <w:t xml:space="preserve">not only a signal of the level of </w:t>
      </w:r>
      <w:r w:rsidR="00AB0621">
        <w:t xml:space="preserve">commitment a TA has towards </w:t>
      </w:r>
      <w:r w:rsidR="0070410E">
        <w:t>tryin</w:t>
      </w:r>
      <w:r w:rsidR="00C22C10">
        <w:t xml:space="preserve">g to reduce problem gambling, but also </w:t>
      </w:r>
      <w:r w:rsidR="00D7247F">
        <w:t xml:space="preserve">a proxy </w:t>
      </w:r>
      <w:r w:rsidR="005D6837">
        <w:t xml:space="preserve">for the likely level of </w:t>
      </w:r>
      <w:r w:rsidR="00BC7C3F">
        <w:t>other</w:t>
      </w:r>
      <w:r w:rsidR="003F0FD5">
        <w:t xml:space="preserve"> </w:t>
      </w:r>
      <w:r w:rsidR="000856B4">
        <w:t xml:space="preserve">informal activities </w:t>
      </w:r>
      <w:r w:rsidR="008572C8">
        <w:t xml:space="preserve">aimed at </w:t>
      </w:r>
      <w:r w:rsidR="0059667F">
        <w:t>this goal.</w:t>
      </w:r>
    </w:p>
    <w:p w14:paraId="28822B3D" w14:textId="3D246B8D" w:rsidR="00D42C13" w:rsidRPr="004349CB" w:rsidRDefault="002C06BD" w:rsidP="00425522">
      <w:pPr>
        <w:spacing w:after="240" w:line="312" w:lineRule="auto"/>
        <w:jc w:val="both"/>
      </w:pPr>
      <w:r w:rsidRPr="00DA79B2">
        <w:t xml:space="preserve">Our research also explored </w:t>
      </w:r>
      <w:r w:rsidR="00A95673" w:rsidRPr="00DA79B2">
        <w:t xml:space="preserve">the impact of </w:t>
      </w:r>
      <w:r w:rsidR="004F3128" w:rsidRPr="00DA79B2">
        <w:t xml:space="preserve">Class 4 gambling policies on the prevalence of personal bankruptcies. This </w:t>
      </w:r>
      <w:r w:rsidR="00CB2950" w:rsidRPr="00DA79B2">
        <w:t xml:space="preserve">empirical endeavour employed additional controls to proxy accessibility (via distance to EGM) and </w:t>
      </w:r>
      <w:r w:rsidR="00DA79B2" w:rsidRPr="00DA79B2">
        <w:t>capture economic activity (known to be imp</w:t>
      </w:r>
      <w:r w:rsidR="00657592">
        <w:t>ortant</w:t>
      </w:r>
      <w:r w:rsidR="00DA79B2" w:rsidRPr="00DA79B2">
        <w:t xml:space="preserve"> in explaining bankruptcy patterns).</w:t>
      </w:r>
      <w:r w:rsidR="006C46AA">
        <w:t xml:space="preserve"> We constructed three distance measures which approximated the proportion of TA population within 0.5km, 1km, and 2km of an EGM. </w:t>
      </w:r>
      <w:r w:rsidR="00A87B9A">
        <w:t>None of these accessibility indicators were found to be statistically significant in explaining bankruptcy.</w:t>
      </w:r>
      <w:r w:rsidR="00E56859">
        <w:t xml:space="preserve"> </w:t>
      </w:r>
      <w:r w:rsidR="00F147B6">
        <w:t xml:space="preserve">Furthermore, there was limited evidence to link policy interventions to bankruptcies, with only one out of three models </w:t>
      </w:r>
      <w:r w:rsidR="00223D20">
        <w:t xml:space="preserve">trialled </w:t>
      </w:r>
      <w:r w:rsidR="00223D20" w:rsidRPr="004349CB">
        <w:t>signalling that the sinking lid policy reduces bankruptcy rates, relative to the reference group.</w:t>
      </w:r>
    </w:p>
    <w:p w14:paraId="6C3A90DA" w14:textId="61F8F6B2" w:rsidR="00ED4F5C" w:rsidRDefault="00621E7A" w:rsidP="009452A1">
      <w:pPr>
        <w:spacing w:after="240" w:line="312" w:lineRule="auto"/>
        <w:jc w:val="both"/>
      </w:pPr>
      <w:r w:rsidRPr="004349CB">
        <w:rPr>
          <w:lang w:eastAsia="en-NZ"/>
        </w:rPr>
        <w:t xml:space="preserve">In terms of future research, </w:t>
      </w:r>
      <w:r w:rsidR="005D2526" w:rsidRPr="004349CB">
        <w:rPr>
          <w:lang w:eastAsia="en-NZ"/>
        </w:rPr>
        <w:t xml:space="preserve">there are </w:t>
      </w:r>
      <w:proofErr w:type="gramStart"/>
      <w:r w:rsidR="005D2526" w:rsidRPr="004349CB">
        <w:rPr>
          <w:lang w:eastAsia="en-NZ"/>
        </w:rPr>
        <w:t>a number of</w:t>
      </w:r>
      <w:proofErr w:type="gramEnd"/>
      <w:r w:rsidR="005D2526" w:rsidRPr="004349CB">
        <w:rPr>
          <w:lang w:eastAsia="en-NZ"/>
        </w:rPr>
        <w:t xml:space="preserve"> potential areas</w:t>
      </w:r>
      <w:r w:rsidR="001C2F41" w:rsidRPr="004349CB">
        <w:rPr>
          <w:lang w:eastAsia="en-NZ"/>
        </w:rPr>
        <w:t xml:space="preserve">. </w:t>
      </w:r>
      <w:r w:rsidR="004E19C2" w:rsidRPr="004349CB">
        <w:t xml:space="preserve">For example, </w:t>
      </w:r>
      <w:r w:rsidR="00223D20" w:rsidRPr="004349CB">
        <w:t xml:space="preserve">to further explore patterns in the </w:t>
      </w:r>
      <w:r w:rsidR="0039273F" w:rsidRPr="004349CB">
        <w:t>use of gambling intervention services</w:t>
      </w:r>
      <w:r w:rsidR="00ED4F5C" w:rsidRPr="004349CB">
        <w:t xml:space="preserve">, </w:t>
      </w:r>
      <w:r w:rsidR="004E19C2" w:rsidRPr="004349CB">
        <w:t>future</w:t>
      </w:r>
      <w:r w:rsidR="004E19C2" w:rsidRPr="0053222E">
        <w:t xml:space="preserve"> research could undertake hazard modelling with the CLIC data. Depending on the availability of information within the database, such modelling would entail a detailed investigation of the individual characteristics of service use clients (</w:t>
      </w:r>
      <w:proofErr w:type="gramStart"/>
      <w:r w:rsidR="004E19C2" w:rsidRPr="0053222E">
        <w:t>e.g.</w:t>
      </w:r>
      <w:proofErr w:type="gramEnd"/>
      <w:r w:rsidR="004E19C2" w:rsidRPr="0053222E">
        <w:t xml:space="preserve"> demographics); what intervention services they engage in and how long they engage for; and whether there are factors that predict length of service use, as well</w:t>
      </w:r>
      <w:r w:rsidR="004E19C2">
        <w:t xml:space="preserve"> as success of service use. </w:t>
      </w:r>
    </w:p>
    <w:p w14:paraId="0438F67F" w14:textId="0D6101F9" w:rsidR="00223D20" w:rsidRDefault="00E0075F" w:rsidP="009A66D6">
      <w:pPr>
        <w:spacing w:after="240" w:line="312" w:lineRule="auto"/>
        <w:jc w:val="both"/>
        <w:rPr>
          <w:lang w:eastAsia="en-NZ"/>
        </w:rPr>
      </w:pPr>
      <w:r>
        <w:t xml:space="preserve">Additional </w:t>
      </w:r>
      <w:r w:rsidR="00FE7687">
        <w:t xml:space="preserve">research could </w:t>
      </w:r>
      <w:r w:rsidR="00AE0181">
        <w:t xml:space="preserve">also </w:t>
      </w:r>
      <w:r w:rsidR="00DE3446">
        <w:t xml:space="preserve">explore links </w:t>
      </w:r>
      <w:r w:rsidR="00854F34">
        <w:t xml:space="preserve">between spatial access to </w:t>
      </w:r>
      <w:r w:rsidR="0095259C">
        <w:t>Class 4 venues and problem gambling using individual-level unit record data.</w:t>
      </w:r>
      <w:r w:rsidR="00AE0181">
        <w:t xml:space="preserve"> </w:t>
      </w:r>
      <w:r w:rsidR="00ED4F5C">
        <w:t xml:space="preserve">Future research </w:t>
      </w:r>
      <w:r w:rsidR="004E19C2">
        <w:t xml:space="preserve">could also endeavour down the qualitative line of enquiry to </w:t>
      </w:r>
      <w:r w:rsidR="00ED4F5C">
        <w:t xml:space="preserve">complement our findings </w:t>
      </w:r>
      <w:r w:rsidR="004349CB">
        <w:t xml:space="preserve">and provide additional context regarding the mechanisms at play. This would be particularly useful </w:t>
      </w:r>
      <w:r w:rsidR="00372A6D">
        <w:t xml:space="preserve">with respect to understanding the indirect impacts of policy interventions on use of gambling intervention services, and </w:t>
      </w:r>
      <w:r w:rsidR="009A66D6">
        <w:t>personal bankruptcies.</w:t>
      </w:r>
    </w:p>
    <w:p w14:paraId="40FEA627" w14:textId="77777777" w:rsidR="00223D20" w:rsidRDefault="00223D20" w:rsidP="009452A1">
      <w:pPr>
        <w:spacing w:after="240" w:line="312" w:lineRule="auto"/>
        <w:jc w:val="both"/>
        <w:rPr>
          <w:lang w:eastAsia="en-NZ"/>
        </w:rPr>
      </w:pPr>
    </w:p>
    <w:p w14:paraId="71CCA19E" w14:textId="77777777" w:rsidR="00A97AD2" w:rsidRDefault="00A97AD2" w:rsidP="00DD03D7">
      <w:pPr>
        <w:rPr>
          <w:lang w:eastAsia="en-NZ"/>
        </w:rPr>
      </w:pPr>
    </w:p>
    <w:p w14:paraId="6040E230" w14:textId="5CFD74FE" w:rsidR="00052A99" w:rsidRPr="00B530E3" w:rsidRDefault="00052A99" w:rsidP="00583823">
      <w:pPr>
        <w:spacing w:after="240" w:line="312" w:lineRule="auto"/>
        <w:ind w:left="720" w:hanging="720"/>
        <w:jc w:val="both"/>
      </w:pPr>
      <w:bookmarkStart w:id="238" w:name="_Hlk25234740"/>
    </w:p>
    <w:bookmarkEnd w:id="238"/>
    <w:p w14:paraId="677FADA9" w14:textId="77777777" w:rsidR="00AD0CFE" w:rsidRPr="00B5248D" w:rsidRDefault="00AD0CFE" w:rsidP="004E6663">
      <w:pPr>
        <w:pStyle w:val="Referenceshanging"/>
        <w:ind w:left="426" w:firstLine="0"/>
      </w:pPr>
    </w:p>
    <w:p w14:paraId="3378D976" w14:textId="1FB53ADD" w:rsidR="00052A99" w:rsidRPr="00052A99" w:rsidRDefault="00052A99" w:rsidP="00052A99">
      <w:r w:rsidRPr="00052A99">
        <w:t> </w:t>
      </w:r>
      <w:r w:rsidRPr="00052A99">
        <w:t xml:space="preserve"> </w:t>
      </w:r>
    </w:p>
    <w:p w14:paraId="5D116ED1" w14:textId="3A973C2F" w:rsidR="00561209" w:rsidRPr="00B5248D" w:rsidRDefault="00561209" w:rsidP="0074673E">
      <w:pPr>
        <w:pStyle w:val="Heading1"/>
        <w:numPr>
          <w:ilvl w:val="0"/>
          <w:numId w:val="33"/>
        </w:numPr>
      </w:pPr>
      <w:bookmarkStart w:id="239" w:name="_Toc40436082"/>
      <w:bookmarkStart w:id="240" w:name="_Toc50033379"/>
      <w:r w:rsidRPr="00B5248D">
        <w:lastRenderedPageBreak/>
        <w:t>References</w:t>
      </w:r>
      <w:bookmarkEnd w:id="239"/>
      <w:bookmarkEnd w:id="240"/>
    </w:p>
    <w:p w14:paraId="00D5334D" w14:textId="77777777" w:rsidR="00561209" w:rsidRDefault="00561209" w:rsidP="00561209">
      <w:pPr>
        <w:spacing w:after="0" w:line="480" w:lineRule="auto"/>
        <w:ind w:left="720" w:hanging="720"/>
        <w:jc w:val="both"/>
      </w:pPr>
      <w:r w:rsidRPr="00B5248D">
        <w:t xml:space="preserve">Abbott, M.  (2006).  Do EGMs and problem gambling go together like a horse and carriage? </w:t>
      </w:r>
      <w:r w:rsidRPr="00B5248D">
        <w:rPr>
          <w:i/>
          <w:iCs/>
        </w:rPr>
        <w:t>Gambling Research: Journal of the National Association for Gambling Studies (Australia)</w:t>
      </w:r>
      <w:r w:rsidRPr="00B5248D">
        <w:t>, 18(1), 7.</w:t>
      </w:r>
    </w:p>
    <w:p w14:paraId="0E1DCF9E" w14:textId="77777777" w:rsidR="00561209" w:rsidRPr="00B5248D" w:rsidRDefault="00561209" w:rsidP="00561209">
      <w:pPr>
        <w:spacing w:after="0" w:line="480" w:lineRule="auto"/>
        <w:ind w:left="720" w:hanging="720"/>
        <w:jc w:val="both"/>
      </w:pPr>
      <w:r w:rsidRPr="00FD0F2D">
        <w:t>Abbott, M., Bellringer, M., Garrett, N., &amp; Mundy-McPherson, S. (2016). New Zealand National Gambling Study: Wave 3 (2014).  Report number 5.  Auckland: Auckland University of Technology, Gambling and Addictions Research Centre.</w:t>
      </w:r>
    </w:p>
    <w:p w14:paraId="28B28E2F" w14:textId="77777777" w:rsidR="00561209" w:rsidRPr="00B5248D" w:rsidRDefault="00561209" w:rsidP="00561209">
      <w:pPr>
        <w:spacing w:after="0" w:line="480" w:lineRule="auto"/>
        <w:ind w:left="720" w:hanging="720"/>
        <w:jc w:val="both"/>
      </w:pPr>
      <w:r w:rsidRPr="00B5248D">
        <w:t xml:space="preserve">Abbott, M.  (2017).  Gambling and gambling harm in New Zealand: a 28-year case study. </w:t>
      </w:r>
      <w:r w:rsidRPr="00B5248D">
        <w:rPr>
          <w:i/>
          <w:iCs/>
        </w:rPr>
        <w:t>International Journal of Mental Health and Addiction</w:t>
      </w:r>
      <w:r w:rsidRPr="00B5248D">
        <w:t>, 15(6), 1221-1241.</w:t>
      </w:r>
    </w:p>
    <w:p w14:paraId="65055F60" w14:textId="77777777" w:rsidR="00561209" w:rsidRDefault="00561209" w:rsidP="00561209">
      <w:pPr>
        <w:spacing w:after="0" w:line="480" w:lineRule="auto"/>
        <w:ind w:left="720" w:hanging="720"/>
        <w:jc w:val="both"/>
      </w:pPr>
      <w:r w:rsidRPr="00B5248D">
        <w:t xml:space="preserve">Abbott, M., Browne, M., Bellringer, M., Greer, N., </w:t>
      </w:r>
      <w:proofErr w:type="spellStart"/>
      <w:r w:rsidRPr="00B5248D">
        <w:t>Kolandai-Matchett</w:t>
      </w:r>
      <w:proofErr w:type="spellEnd"/>
      <w:r w:rsidRPr="00B5248D">
        <w:t xml:space="preserve">, K., Rawat, V., Langham, E., </w:t>
      </w:r>
      <w:proofErr w:type="spellStart"/>
      <w:r w:rsidRPr="00B5248D">
        <w:t>Rockloff</w:t>
      </w:r>
      <w:proofErr w:type="spellEnd"/>
      <w:r w:rsidRPr="00B5248D">
        <w:t xml:space="preserve">, M., Du </w:t>
      </w:r>
      <w:proofErr w:type="spellStart"/>
      <w:r w:rsidRPr="00B5248D">
        <w:t>Preez</w:t>
      </w:r>
      <w:proofErr w:type="spellEnd"/>
      <w:r w:rsidRPr="00B5248D">
        <w:t xml:space="preserve">, K.P. (2017) </w:t>
      </w:r>
      <w:r w:rsidRPr="00B5248D">
        <w:rPr>
          <w:i/>
          <w:iCs/>
        </w:rPr>
        <w:t>Measuring the Burden of Gambling Harm in New Zealand</w:t>
      </w:r>
      <w:r w:rsidRPr="00B5248D">
        <w:t xml:space="preserve">. </w:t>
      </w:r>
    </w:p>
    <w:p w14:paraId="1A28D436" w14:textId="77777777" w:rsidR="00561209" w:rsidRDefault="00561209" w:rsidP="00561209">
      <w:pPr>
        <w:spacing w:after="0" w:line="480" w:lineRule="auto"/>
        <w:ind w:left="720" w:hanging="720"/>
        <w:jc w:val="both"/>
      </w:pPr>
      <w:r w:rsidRPr="00B5248D">
        <w:t xml:space="preserve">Adams, P.J., Raeburn, J. &amp; De Silva, K.  (2009).  A question of balance: prioritizing public health responses to harm from gambling.  </w:t>
      </w:r>
      <w:r w:rsidRPr="00B5248D">
        <w:rPr>
          <w:i/>
          <w:iCs/>
        </w:rPr>
        <w:t>Addiction</w:t>
      </w:r>
      <w:r w:rsidRPr="00B5248D">
        <w:t>, 104, 688-691.</w:t>
      </w:r>
    </w:p>
    <w:p w14:paraId="2B61CDD2" w14:textId="77777777" w:rsidR="00561209" w:rsidRDefault="00561209" w:rsidP="00561209">
      <w:pPr>
        <w:spacing w:after="0" w:line="480" w:lineRule="auto"/>
        <w:ind w:left="720" w:hanging="720"/>
        <w:jc w:val="both"/>
      </w:pPr>
      <w:r>
        <w:t xml:space="preserve">Adams, P., </w:t>
      </w:r>
      <w:proofErr w:type="spellStart"/>
      <w:r>
        <w:t>Rossen</w:t>
      </w:r>
      <w:proofErr w:type="spellEnd"/>
      <w:r>
        <w:t xml:space="preserve">, F., </w:t>
      </w:r>
      <w:proofErr w:type="spellStart"/>
      <w:r>
        <w:t>Perese</w:t>
      </w:r>
      <w:proofErr w:type="spellEnd"/>
      <w:r>
        <w:t>, L., Townsend, S., Brown, R., Brown, P. &amp; Garland, J. (2004) Gambling Impact Assessment for Seven Auckland Territorial Authorities. Centre for Gambling Studies, University of Auckland.</w:t>
      </w:r>
    </w:p>
    <w:p w14:paraId="04E1BAF2" w14:textId="1CC79391" w:rsidR="00E80499" w:rsidRDefault="00E80499" w:rsidP="00E80499">
      <w:pPr>
        <w:spacing w:after="0" w:line="480" w:lineRule="auto"/>
        <w:ind w:left="720" w:hanging="720"/>
        <w:jc w:val="both"/>
      </w:pPr>
      <w:r w:rsidRPr="008F450D">
        <w:t xml:space="preserve">Agarwal, S., </w:t>
      </w:r>
      <w:r>
        <w:t xml:space="preserve">and C.  </w:t>
      </w:r>
      <w:r w:rsidRPr="008F450D">
        <w:t xml:space="preserve">Liu, </w:t>
      </w:r>
      <w:r>
        <w:t>(2003),</w:t>
      </w:r>
      <w:r w:rsidRPr="008F450D">
        <w:t xml:space="preserve"> Determinants of credit card delinquency and bankruptcy: Macroeconomic factors</w:t>
      </w:r>
      <w:r>
        <w:t xml:space="preserve">, </w:t>
      </w:r>
      <w:r w:rsidRPr="008F450D">
        <w:rPr>
          <w:i/>
          <w:iCs/>
        </w:rPr>
        <w:t>Journal of Economics and Finance</w:t>
      </w:r>
      <w:r>
        <w:t xml:space="preserve"> </w:t>
      </w:r>
      <w:r w:rsidRPr="008F450D">
        <w:t>27, 75–84 https://doi.org/10.1007/BF02751591</w:t>
      </w:r>
    </w:p>
    <w:p w14:paraId="11562CAD" w14:textId="77777777" w:rsidR="00EB1EB1" w:rsidRPr="008422D9" w:rsidRDefault="00EB1EB1" w:rsidP="00EB1EB1">
      <w:pPr>
        <w:spacing w:after="240" w:line="312" w:lineRule="auto"/>
        <w:ind w:left="720" w:hanging="720"/>
        <w:jc w:val="both"/>
      </w:pPr>
      <w:r w:rsidRPr="00B530E3">
        <w:t xml:space="preserve">AGLC, 2020. Liquor </w:t>
      </w:r>
      <w:proofErr w:type="spellStart"/>
      <w:r w:rsidRPr="00B530E3">
        <w:t>Licencee</w:t>
      </w:r>
      <w:proofErr w:type="spellEnd"/>
      <w:r w:rsidRPr="00B530E3">
        <w:t xml:space="preserve"> Handbook. Retrieved from: </w:t>
      </w:r>
      <w:hyperlink r:id="rId28" w:history="1">
        <w:r w:rsidRPr="008422D9">
          <w:rPr>
            <w:rStyle w:val="Heading6Char"/>
            <w:rFonts w:cstheme="majorHAnsi"/>
            <w:color w:val="262626" w:themeColor="text1" w:themeTint="D9"/>
          </w:rPr>
          <w:t>https://aglc.ca/documents/liquor-licensee-handbook</w:t>
        </w:r>
      </w:hyperlink>
      <w:r w:rsidRPr="008422D9">
        <w:t xml:space="preserve"> </w:t>
      </w:r>
    </w:p>
    <w:p w14:paraId="61DFE4BF" w14:textId="5EC5B8F6" w:rsidR="001D4EBB" w:rsidRDefault="0021178F" w:rsidP="00561209">
      <w:pPr>
        <w:spacing w:after="0" w:line="480" w:lineRule="auto"/>
        <w:ind w:left="720" w:hanging="720"/>
        <w:jc w:val="both"/>
      </w:pPr>
      <w:r w:rsidRPr="00B530E3">
        <w:t xml:space="preserve">American Gambling Association. (2020). </w:t>
      </w:r>
      <w:r w:rsidRPr="00B530E3">
        <w:rPr>
          <w:i/>
          <w:iCs/>
        </w:rPr>
        <w:t>State of the States 2020</w:t>
      </w:r>
      <w:r w:rsidRPr="00B530E3">
        <w:t xml:space="preserve">. </w:t>
      </w:r>
      <w:hyperlink r:id="rId29" w:history="1">
        <w:r w:rsidRPr="008422D9">
          <w:rPr>
            <w:rStyle w:val="Heading6Char"/>
            <w:rFonts w:cstheme="majorHAnsi"/>
            <w:color w:val="262626" w:themeColor="text1" w:themeTint="D9"/>
          </w:rPr>
          <w:t>ht</w:t>
        </w:r>
        <w:r w:rsidRPr="00B530E3">
          <w:rPr>
            <w:rStyle w:val="Heading6Char"/>
            <w:rFonts w:cstheme="majorHAnsi"/>
            <w:color w:val="262626" w:themeColor="text1" w:themeTint="D9"/>
          </w:rPr>
          <w:t>tps://www.americangaming.org/wp-content/uploads/2020/06/AGA-2020-State_of_the_States_FINAL.pdf</w:t>
        </w:r>
      </w:hyperlink>
    </w:p>
    <w:p w14:paraId="6221BF96" w14:textId="327F8A0D" w:rsidR="002C2B5C" w:rsidRPr="002C2B5C" w:rsidRDefault="00561209" w:rsidP="002C2B5C">
      <w:pPr>
        <w:spacing w:after="0" w:line="480" w:lineRule="auto"/>
        <w:ind w:left="720" w:hanging="720"/>
        <w:jc w:val="both"/>
      </w:pPr>
      <w:r w:rsidRPr="00B5248D">
        <w:t>American Psychiatric Association.  (2013).  Diagnostic and Statistical Manual of Mental Disorders, 5</w:t>
      </w:r>
      <w:r w:rsidRPr="00B5248D">
        <w:rPr>
          <w:vertAlign w:val="superscript"/>
        </w:rPr>
        <w:t>th</w:t>
      </w:r>
      <w:r w:rsidRPr="00B5248D">
        <w:t xml:space="preserve"> Edition (DSM-5).  American Psychiatric Publishing.</w:t>
      </w:r>
    </w:p>
    <w:p w14:paraId="71D6C692" w14:textId="4327BC95" w:rsidR="00EC26C1" w:rsidRDefault="006C6850" w:rsidP="00E80499">
      <w:pPr>
        <w:spacing w:after="240" w:line="312" w:lineRule="auto"/>
        <w:ind w:left="720" w:hanging="720"/>
        <w:jc w:val="both"/>
      </w:pPr>
      <w:r>
        <w:t xml:space="preserve">Atkinson, J., Salmond, C. &amp; Crampton, P. (2019) </w:t>
      </w:r>
      <w:r>
        <w:rPr>
          <w:i/>
          <w:iCs/>
        </w:rPr>
        <w:t xml:space="preserve">NZDep2018 Index of Deprivation User’s Manual. </w:t>
      </w:r>
      <w:r>
        <w:t>Wellington: University of Otago.</w:t>
      </w:r>
    </w:p>
    <w:p w14:paraId="210E0885" w14:textId="77777777" w:rsidR="00E80499" w:rsidRPr="00B530E3" w:rsidRDefault="00E80499" w:rsidP="00E80499">
      <w:pPr>
        <w:spacing w:after="240" w:line="312" w:lineRule="auto"/>
        <w:ind w:left="720" w:hanging="720"/>
        <w:jc w:val="both"/>
      </w:pPr>
      <w:r>
        <w:lastRenderedPageBreak/>
        <w:t xml:space="preserve">Australian </w:t>
      </w:r>
      <w:r w:rsidRPr="00B530E3">
        <w:t xml:space="preserve">Productivity Commission.  (1999).  Australia’s Gambling Industries.  Report No. 10, </w:t>
      </w:r>
      <w:proofErr w:type="spellStart"/>
      <w:r w:rsidRPr="00B530E3">
        <w:t>AusInfo</w:t>
      </w:r>
      <w:proofErr w:type="spellEnd"/>
      <w:r w:rsidRPr="00B530E3">
        <w:t xml:space="preserve">, Canberra. </w:t>
      </w:r>
    </w:p>
    <w:p w14:paraId="6683DCD0" w14:textId="0A087315" w:rsidR="00561209" w:rsidRPr="0063006C" w:rsidRDefault="00E80499" w:rsidP="00561209">
      <w:pPr>
        <w:spacing w:after="0" w:line="480" w:lineRule="auto"/>
        <w:ind w:left="720" w:hanging="720"/>
        <w:jc w:val="both"/>
      </w:pPr>
      <w:r>
        <w:t xml:space="preserve">Australian </w:t>
      </w:r>
      <w:r w:rsidRPr="006E4BEF">
        <w:t>Productivity Commission</w:t>
      </w:r>
      <w:r w:rsidRPr="006E4BEF">
        <w:rPr>
          <w:noProof/>
        </w:rPr>
        <w:t xml:space="preserve">. </w:t>
      </w:r>
      <w:r w:rsidRPr="006E4BEF">
        <w:t xml:space="preserve">(2010). Gambling. Report No. 50, </w:t>
      </w:r>
      <w:proofErr w:type="spellStart"/>
      <w:r w:rsidRPr="006E4BEF">
        <w:t>Canberra.</w:t>
      </w:r>
      <w:r w:rsidR="00561209" w:rsidRPr="0063006C">
        <w:t>Barron</w:t>
      </w:r>
      <w:proofErr w:type="spellEnd"/>
      <w:r w:rsidR="00561209">
        <w:t xml:space="preserve">, </w:t>
      </w:r>
      <w:r w:rsidR="00561209" w:rsidRPr="0063006C">
        <w:t>John M.</w:t>
      </w:r>
      <w:r w:rsidR="00561209">
        <w:t>,</w:t>
      </w:r>
      <w:r w:rsidR="00561209" w:rsidRPr="0063006C">
        <w:t xml:space="preserve"> Michael E. Staten </w:t>
      </w:r>
      <w:r w:rsidR="00561209">
        <w:t>and</w:t>
      </w:r>
      <w:r w:rsidR="00561209" w:rsidRPr="0063006C">
        <w:t xml:space="preserve"> Stephanie M. </w:t>
      </w:r>
      <w:proofErr w:type="spellStart"/>
      <w:r w:rsidR="00561209" w:rsidRPr="0063006C">
        <w:t>Wilshusen</w:t>
      </w:r>
      <w:proofErr w:type="spellEnd"/>
      <w:r w:rsidR="00561209" w:rsidRPr="0063006C">
        <w:t xml:space="preserve">, </w:t>
      </w:r>
      <w:r w:rsidR="00561209">
        <w:t>(</w:t>
      </w:r>
      <w:r w:rsidR="00561209" w:rsidRPr="0063006C">
        <w:t>2002</w:t>
      </w:r>
      <w:r w:rsidR="00561209">
        <w:t>), “</w:t>
      </w:r>
      <w:r w:rsidR="00561209" w:rsidRPr="0063006C">
        <w:t xml:space="preserve">The Impact </w:t>
      </w:r>
      <w:proofErr w:type="gramStart"/>
      <w:r w:rsidR="00561209" w:rsidRPr="0063006C">
        <w:t>Of</w:t>
      </w:r>
      <w:proofErr w:type="gramEnd"/>
      <w:r w:rsidR="00561209" w:rsidRPr="0063006C">
        <w:t xml:space="preserve"> Casino Gambling On Personal Bankruptcy Filing Rates,</w:t>
      </w:r>
      <w:r w:rsidR="00561209">
        <w:t>”</w:t>
      </w:r>
      <w:r w:rsidR="00561209" w:rsidRPr="0063006C">
        <w:t xml:space="preserve"> </w:t>
      </w:r>
      <w:r w:rsidR="00561209" w:rsidRPr="0063006C">
        <w:rPr>
          <w:i/>
          <w:iCs/>
        </w:rPr>
        <w:t>Contemporary Economic Policy</w:t>
      </w:r>
      <w:r w:rsidR="00561209" w:rsidRPr="0063006C">
        <w:t>, Western Economic Association International, vol. 20(4), pages 440-455, October.</w:t>
      </w:r>
    </w:p>
    <w:p w14:paraId="3E6A336D" w14:textId="09BDA18C" w:rsidR="00AA23EA" w:rsidRDefault="00C40A6A" w:rsidP="00275B90">
      <w:pPr>
        <w:spacing w:after="240" w:line="312" w:lineRule="auto"/>
        <w:ind w:left="720" w:hanging="720"/>
        <w:jc w:val="both"/>
      </w:pPr>
      <w:proofErr w:type="spellStart"/>
      <w:r w:rsidRPr="00B530E3">
        <w:t>Bondolfi</w:t>
      </w:r>
      <w:proofErr w:type="spellEnd"/>
      <w:r w:rsidRPr="00B530E3">
        <w:t xml:space="preserve">, G., </w:t>
      </w:r>
      <w:proofErr w:type="spellStart"/>
      <w:r w:rsidRPr="00B530E3">
        <w:t>Jermann</w:t>
      </w:r>
      <w:proofErr w:type="spellEnd"/>
      <w:r w:rsidRPr="00B530E3">
        <w:t xml:space="preserve">, F., Ferrero, F., </w:t>
      </w:r>
      <w:proofErr w:type="spellStart"/>
      <w:r w:rsidRPr="00B530E3">
        <w:t>Zullino</w:t>
      </w:r>
      <w:proofErr w:type="spellEnd"/>
      <w:r w:rsidRPr="00B530E3">
        <w:t xml:space="preserve">, D., &amp; </w:t>
      </w:r>
      <w:proofErr w:type="spellStart"/>
      <w:r w:rsidRPr="00B530E3">
        <w:t>Osiek</w:t>
      </w:r>
      <w:proofErr w:type="spellEnd"/>
      <w:r w:rsidRPr="00B530E3">
        <w:t xml:space="preserve">, C. H. (2008). Prevalence of Pathological Gambling in Switzerland After the Opening of Casinos and the Introduction of New Preventive Legislation. </w:t>
      </w:r>
      <w:r w:rsidRPr="00B530E3">
        <w:rPr>
          <w:i/>
          <w:iCs/>
        </w:rPr>
        <w:t xml:space="preserve">Acta </w:t>
      </w:r>
      <w:proofErr w:type="spellStart"/>
      <w:r w:rsidRPr="00B530E3">
        <w:rPr>
          <w:i/>
          <w:iCs/>
        </w:rPr>
        <w:t>Psychiatrica</w:t>
      </w:r>
      <w:proofErr w:type="spellEnd"/>
      <w:r w:rsidRPr="00B530E3">
        <w:rPr>
          <w:i/>
          <w:iCs/>
        </w:rPr>
        <w:t xml:space="preserve"> Scandinavica</w:t>
      </w:r>
      <w:r w:rsidRPr="00B530E3">
        <w:t xml:space="preserve">, 117(3), 236–239. </w:t>
      </w:r>
      <w:proofErr w:type="spellStart"/>
      <w:r w:rsidRPr="00B530E3">
        <w:t>doi</w:t>
      </w:r>
      <w:proofErr w:type="spellEnd"/>
      <w:r w:rsidRPr="00B530E3">
        <w:t>: 10.1111/j.1600-0447.</w:t>
      </w:r>
      <w:proofErr w:type="gramStart"/>
      <w:r w:rsidRPr="00B530E3">
        <w:t>2007.01149.x</w:t>
      </w:r>
      <w:proofErr w:type="gramEnd"/>
    </w:p>
    <w:p w14:paraId="51E07C0B" w14:textId="65490C50" w:rsidR="00275B90" w:rsidRPr="00B530E3" w:rsidRDefault="00275B90" w:rsidP="00275B90">
      <w:pPr>
        <w:spacing w:after="240" w:line="312" w:lineRule="auto"/>
        <w:ind w:left="720" w:hanging="720"/>
        <w:jc w:val="both"/>
      </w:pPr>
      <w:r w:rsidRPr="00B530E3">
        <w:t xml:space="preserve">Bridwell, R. R. and Quinn F. L (2002). From Mad Joy to Misfortune: The Merger of Law and Politics in the World of Gambling. </w:t>
      </w:r>
      <w:r w:rsidRPr="00534D29">
        <w:rPr>
          <w:i/>
          <w:iCs/>
        </w:rPr>
        <w:t>Mississippi Law Journal</w:t>
      </w:r>
      <w:r w:rsidRPr="008422D9">
        <w:t>, 72(</w:t>
      </w:r>
      <w:r w:rsidRPr="00B530E3">
        <w:t>2), 565-729.</w:t>
      </w:r>
    </w:p>
    <w:p w14:paraId="1E48FF43" w14:textId="77777777" w:rsidR="00561209" w:rsidRPr="00B5248D" w:rsidRDefault="00561209" w:rsidP="00561209">
      <w:pPr>
        <w:spacing w:after="0" w:line="480" w:lineRule="auto"/>
        <w:ind w:left="720" w:hanging="720"/>
        <w:jc w:val="both"/>
      </w:pPr>
      <w:r>
        <w:t>Browne,</w:t>
      </w:r>
      <w:r w:rsidRPr="00C43FAE">
        <w:t xml:space="preserve"> </w:t>
      </w:r>
      <w:r>
        <w:t xml:space="preserve">Matthew, Maria Bellringer, Nancy Greer, </w:t>
      </w:r>
      <w:proofErr w:type="spellStart"/>
      <w:r>
        <w:t>Komathi</w:t>
      </w:r>
      <w:proofErr w:type="spellEnd"/>
      <w:r>
        <w:t xml:space="preserve"> </w:t>
      </w:r>
      <w:proofErr w:type="spellStart"/>
      <w:r>
        <w:t>Kolandai-Matchett</w:t>
      </w:r>
      <w:proofErr w:type="spellEnd"/>
      <w:r>
        <w:t xml:space="preserve">, Vijay Rawat, Erika Langham, Matthew </w:t>
      </w:r>
      <w:proofErr w:type="spellStart"/>
      <w:r>
        <w:t>Rockloff</w:t>
      </w:r>
      <w:proofErr w:type="spellEnd"/>
      <w:r>
        <w:t xml:space="preserve">, Katie Palmer Du </w:t>
      </w:r>
      <w:proofErr w:type="spellStart"/>
      <w:r>
        <w:t>Preez</w:t>
      </w:r>
      <w:proofErr w:type="spellEnd"/>
      <w:r>
        <w:t xml:space="preserve"> and Max Abbott (2017), ““Measuring the Burden of Gambling Harm in New Zealand”, Report for Ministry of Health, May 2017</w:t>
      </w:r>
    </w:p>
    <w:p w14:paraId="5816D669" w14:textId="2332D57A" w:rsidR="00A47915" w:rsidRDefault="00765B51" w:rsidP="00275B90">
      <w:pPr>
        <w:spacing w:after="240" w:line="312" w:lineRule="auto"/>
        <w:ind w:left="720" w:hanging="720"/>
        <w:jc w:val="both"/>
      </w:pPr>
      <w:r w:rsidRPr="00765B51">
        <w:t xml:space="preserve">Cameron, A. C., &amp; Miller, D. L. (2015). A practitioner’s guide to cluster-robust inference. </w:t>
      </w:r>
      <w:r w:rsidRPr="00765B51">
        <w:rPr>
          <w:i/>
          <w:iCs/>
        </w:rPr>
        <w:t>Journal of Human Resources</w:t>
      </w:r>
      <w:r w:rsidRPr="00765B51">
        <w:t>, 50(2), 317-372.</w:t>
      </w:r>
    </w:p>
    <w:p w14:paraId="2ADE788D" w14:textId="6978BDD0" w:rsidR="00275B90" w:rsidRPr="00B530E3" w:rsidRDefault="00275B90" w:rsidP="00275B90">
      <w:pPr>
        <w:spacing w:after="240" w:line="312" w:lineRule="auto"/>
        <w:ind w:left="720" w:hanging="720"/>
        <w:jc w:val="both"/>
      </w:pPr>
      <w:r w:rsidRPr="00B530E3">
        <w:t xml:space="preserve">Campbell, F., &amp; Lester, D. (1999). The Impact of Gambling Opportunities on Compulsive Gambling. </w:t>
      </w:r>
      <w:r w:rsidRPr="00B530E3">
        <w:rPr>
          <w:i/>
          <w:iCs/>
        </w:rPr>
        <w:t>Journal of Social Psychology</w:t>
      </w:r>
      <w:r w:rsidRPr="00B530E3">
        <w:t xml:space="preserve">, 139(1), 126–127, </w:t>
      </w:r>
      <w:proofErr w:type="spellStart"/>
      <w:r w:rsidRPr="00B530E3">
        <w:t>doi</w:t>
      </w:r>
      <w:proofErr w:type="spellEnd"/>
      <w:r w:rsidRPr="00B530E3">
        <w:t>: 10.1080/00224549909598366</w:t>
      </w:r>
    </w:p>
    <w:p w14:paraId="59D09C9C" w14:textId="10BB7532" w:rsidR="00275B90" w:rsidRDefault="00275B90" w:rsidP="00D83171">
      <w:pPr>
        <w:spacing w:after="240" w:line="312" w:lineRule="auto"/>
        <w:ind w:left="720" w:hanging="720"/>
        <w:jc w:val="both"/>
      </w:pPr>
      <w:proofErr w:type="spellStart"/>
      <w:r w:rsidRPr="00B530E3">
        <w:t>Carr</w:t>
      </w:r>
      <w:proofErr w:type="spellEnd"/>
      <w:r w:rsidRPr="00B530E3">
        <w:t xml:space="preserve">, R. D., </w:t>
      </w:r>
      <w:proofErr w:type="spellStart"/>
      <w:r w:rsidRPr="00B530E3">
        <w:t>Buchkoski</w:t>
      </w:r>
      <w:proofErr w:type="spellEnd"/>
      <w:r w:rsidRPr="00B530E3">
        <w:t xml:space="preserve">, J. E., Kofoed, L., &amp; Morgan, T. J. (1996). “Video lottery” and Treatment for Pathological Gambling: A Natural Experiment in South Dakota. </w:t>
      </w:r>
      <w:r w:rsidRPr="00B530E3">
        <w:rPr>
          <w:i/>
          <w:iCs/>
        </w:rPr>
        <w:t>South Dakota Journal of Medicine</w:t>
      </w:r>
      <w:r w:rsidRPr="00B530E3">
        <w:t>, 49(1), 30–32.</w:t>
      </w:r>
    </w:p>
    <w:p w14:paraId="71756456" w14:textId="77777777" w:rsidR="00561209" w:rsidRPr="00B5248D" w:rsidRDefault="00561209" w:rsidP="00561209">
      <w:pPr>
        <w:spacing w:after="0" w:line="480" w:lineRule="auto"/>
        <w:ind w:left="720" w:hanging="720"/>
        <w:jc w:val="both"/>
      </w:pPr>
      <w:r w:rsidRPr="00B5248D">
        <w:t xml:space="preserve">Cox, M., and K. </w:t>
      </w:r>
      <w:proofErr w:type="spellStart"/>
      <w:r w:rsidRPr="00B5248D">
        <w:t>Hurren</w:t>
      </w:r>
      <w:proofErr w:type="spellEnd"/>
      <w:r w:rsidRPr="00B5248D">
        <w:t>.  (2017).  Research into Influences on Glass4 Gaming Machine Proceeds: Report to the Department of Internal Affairs.</w:t>
      </w:r>
    </w:p>
    <w:p w14:paraId="23544EE9" w14:textId="77777777" w:rsidR="00561209" w:rsidRDefault="00561209" w:rsidP="00C834A7">
      <w:pPr>
        <w:spacing w:after="0" w:line="480" w:lineRule="auto"/>
        <w:ind w:left="720" w:hanging="720"/>
      </w:pPr>
      <w:r>
        <w:t>Department of Internal Affairs, Gambling Fact Sheet #1: Gambling Regulation in New Zealand, retrieved from https://www.dia.govt.nz/diawebsite.nsf/Files/GamblingFactSheets-Feb2013/$file/FactSheet1-Feb2013.pdf (accessed 12 September 2019).</w:t>
      </w:r>
    </w:p>
    <w:p w14:paraId="74640114" w14:textId="77777777" w:rsidR="00561209" w:rsidRPr="00DC1734" w:rsidRDefault="00561209" w:rsidP="005F411B">
      <w:pPr>
        <w:spacing w:after="0" w:line="480" w:lineRule="auto"/>
        <w:ind w:left="720" w:hanging="720"/>
        <w:jc w:val="both"/>
      </w:pPr>
      <w:r>
        <w:lastRenderedPageBreak/>
        <w:t>Department of Internal Affairs, Classes of Gambling, retrieved from https://www.dia.govt.nz/diawebsite.nsf/wpg_URL/Services-Casino-and-Non-Casino-Gaming-Classes-of-Gambling (accessed 18 July 2019).</w:t>
      </w:r>
    </w:p>
    <w:p w14:paraId="3B8A6490" w14:textId="77777777" w:rsidR="00561209" w:rsidRPr="00B5248D" w:rsidRDefault="00561209" w:rsidP="00561209">
      <w:pPr>
        <w:spacing w:after="0" w:line="480" w:lineRule="auto"/>
        <w:ind w:left="720" w:hanging="720"/>
        <w:jc w:val="both"/>
      </w:pPr>
      <w:r w:rsidRPr="00B5248D">
        <w:t xml:space="preserve">Department of Internal Affairs (2008, </w:t>
      </w:r>
      <w:proofErr w:type="gramStart"/>
      <w:r w:rsidRPr="00B5248D">
        <w:t>October,</w:t>
      </w:r>
      <w:proofErr w:type="gramEnd"/>
      <w:r w:rsidRPr="00B5248D">
        <w:t xml:space="preserve"> 6). </w:t>
      </w:r>
      <w:r w:rsidRPr="001C3D72">
        <w:t xml:space="preserve">Problem gambling in New Zealand – </w:t>
      </w:r>
      <w:proofErr w:type="gramStart"/>
      <w:r w:rsidRPr="001C3D72">
        <w:t>a brief summary</w:t>
      </w:r>
      <w:proofErr w:type="gramEnd"/>
      <w:r w:rsidRPr="00B5248D">
        <w:t xml:space="preserve">. DIA. </w:t>
      </w:r>
      <w:r w:rsidRPr="002C5663">
        <w:t xml:space="preserve">Retrieved from </w:t>
      </w:r>
      <w:r w:rsidRPr="00DC1734">
        <w:t>https://www.dia.govt.nz/diawebsite.nsf/wpg_URL/Services-Casino-and-Non-Casino-Gaming-Problem-Gambling-in-New-Zealand-A-Brief-Summary?OpenDocument</w:t>
      </w:r>
      <w:r w:rsidRPr="001C3D72">
        <w:t>.</w:t>
      </w:r>
      <w:r w:rsidRPr="00B5248D">
        <w:t xml:space="preserve"> </w:t>
      </w:r>
    </w:p>
    <w:p w14:paraId="4740AB60" w14:textId="77777777" w:rsidR="00561209" w:rsidRPr="00B5248D" w:rsidRDefault="00561209" w:rsidP="00561209">
      <w:pPr>
        <w:spacing w:after="0" w:line="480" w:lineRule="auto"/>
        <w:ind w:left="720" w:hanging="720"/>
        <w:jc w:val="both"/>
      </w:pPr>
      <w:r w:rsidRPr="00B5248D">
        <w:t xml:space="preserve">Department of Internal Affairs.  (2017).  Gambling Expenditure Statistics. </w:t>
      </w:r>
      <w:bookmarkStart w:id="241" w:name="_Hlk39387023"/>
      <w:r w:rsidRPr="00B5248D">
        <w:t xml:space="preserve">Retrieved from </w:t>
      </w:r>
      <w:bookmarkEnd w:id="241"/>
      <w:r w:rsidRPr="00B5248D">
        <w:t>https://www.dia.govt.nz/diawebsite.nsf/wpg_URL/Resource-material-Information-WeProvide-Gambling-Expenditure-Statistics (accessed 13 September 2019).</w:t>
      </w:r>
    </w:p>
    <w:p w14:paraId="16FB4B28" w14:textId="77777777" w:rsidR="00561209" w:rsidRPr="00B5248D" w:rsidRDefault="00561209" w:rsidP="00561209">
      <w:pPr>
        <w:spacing w:after="0" w:line="480" w:lineRule="auto"/>
        <w:ind w:left="720" w:hanging="720"/>
        <w:jc w:val="both"/>
      </w:pPr>
      <w:r w:rsidRPr="00B5248D">
        <w:t xml:space="preserve">Dowling, N., Smith, D., &amp; Thomas, T.  (2005).  Electronic gaming machines: are they the ‘crack‐cocaine’ of gambling?  </w:t>
      </w:r>
      <w:r w:rsidRPr="00B5248D">
        <w:rPr>
          <w:i/>
          <w:iCs/>
        </w:rPr>
        <w:t>Addiction</w:t>
      </w:r>
      <w:r w:rsidRPr="00B5248D">
        <w:t>, 100(1), 33-45.</w:t>
      </w:r>
    </w:p>
    <w:p w14:paraId="7A882A0A" w14:textId="77777777" w:rsidR="00404B9F" w:rsidRPr="00B530E3" w:rsidRDefault="00404B9F" w:rsidP="00404B9F">
      <w:pPr>
        <w:spacing w:after="240" w:line="312" w:lineRule="auto"/>
        <w:ind w:left="720" w:hanging="720"/>
        <w:jc w:val="both"/>
      </w:pPr>
      <w:proofErr w:type="spellStart"/>
      <w:r w:rsidRPr="00B530E3">
        <w:t>Elhorst</w:t>
      </w:r>
      <w:proofErr w:type="spellEnd"/>
      <w:r w:rsidRPr="00B530E3">
        <w:t xml:space="preserve">, J. P.  (2003).  Specification and estimation of spatial panel data models.  </w:t>
      </w:r>
      <w:r w:rsidRPr="00B530E3">
        <w:rPr>
          <w:i/>
          <w:iCs/>
        </w:rPr>
        <w:t>International Regional Science Review</w:t>
      </w:r>
      <w:r w:rsidRPr="00B530E3">
        <w:t>, 26(3), 244-268.</w:t>
      </w:r>
    </w:p>
    <w:p w14:paraId="54C1AFED" w14:textId="77777777" w:rsidR="00404B9F" w:rsidRPr="008422D9" w:rsidRDefault="00404B9F" w:rsidP="00404B9F">
      <w:pPr>
        <w:spacing w:after="240" w:line="312" w:lineRule="auto"/>
        <w:ind w:left="720" w:hanging="720"/>
        <w:jc w:val="both"/>
      </w:pPr>
      <w:proofErr w:type="spellStart"/>
      <w:r w:rsidRPr="00B530E3">
        <w:t>Engebø</w:t>
      </w:r>
      <w:proofErr w:type="spellEnd"/>
      <w:r w:rsidRPr="00B530E3">
        <w:t xml:space="preserve"> J., (2010) From slot machines to gaming terminals—experiences with regulatory changes in Norway. Vienna, September 2010, viewed 10 November 2011. Retrieved from: </w:t>
      </w:r>
      <w:hyperlink r:id="rId30" w:history="1">
        <w:r w:rsidRPr="008422D9">
          <w:rPr>
            <w:rStyle w:val="Heading6Char"/>
            <w:rFonts w:cstheme="majorHAnsi"/>
            <w:color w:val="262626" w:themeColor="text1" w:themeTint="D9"/>
          </w:rPr>
          <w:t>http://www.easg.org/medi</w:t>
        </w:r>
        <w:r w:rsidRPr="00B530E3">
          <w:rPr>
            <w:rStyle w:val="Heading6Char"/>
            <w:rFonts w:cstheme="majorHAnsi"/>
            <w:color w:val="262626" w:themeColor="text1" w:themeTint="D9"/>
          </w:rPr>
          <w:t>a/file/vienna2010/presentations/Thursday/1330/P2/4_Jonny_Engebo.pdf</w:t>
        </w:r>
      </w:hyperlink>
      <w:r w:rsidRPr="008422D9">
        <w:t xml:space="preserve"> </w:t>
      </w:r>
    </w:p>
    <w:p w14:paraId="41A540B9" w14:textId="77777777" w:rsidR="00561209" w:rsidRPr="00B5248D" w:rsidRDefault="00561209" w:rsidP="00561209">
      <w:pPr>
        <w:spacing w:after="0" w:line="480" w:lineRule="auto"/>
        <w:ind w:left="720" w:hanging="720"/>
        <w:jc w:val="both"/>
      </w:pPr>
      <w:r>
        <w:t>F</w:t>
      </w:r>
      <w:r w:rsidRPr="008F450D">
        <w:t xml:space="preserve">abling, Richard </w:t>
      </w:r>
      <w:r>
        <w:t xml:space="preserve">and Arthur </w:t>
      </w:r>
      <w:r w:rsidRPr="008F450D">
        <w:t>Grimes</w:t>
      </w:r>
      <w:r>
        <w:t xml:space="preserve"> (</w:t>
      </w:r>
      <w:r w:rsidRPr="008F450D">
        <w:t>2005</w:t>
      </w:r>
      <w:r>
        <w:t>), “</w:t>
      </w:r>
      <w:hyperlink r:id="rId31" w:history="1">
        <w:r w:rsidRPr="008F450D">
          <w:t>Insolvency and economic development: Regional variation and adjustment</w:t>
        </w:r>
      </w:hyperlink>
      <w:r w:rsidRPr="008F450D">
        <w:t>,</w:t>
      </w:r>
      <w:r>
        <w:t>”</w:t>
      </w:r>
      <w:r w:rsidRPr="008F450D">
        <w:t> </w:t>
      </w:r>
      <w:hyperlink r:id="rId32" w:history="1">
        <w:r w:rsidRPr="008F450D">
          <w:rPr>
            <w:i/>
            <w:iCs/>
          </w:rPr>
          <w:t>Journal of Economics and Business</w:t>
        </w:r>
      </w:hyperlink>
      <w:r w:rsidRPr="008F450D">
        <w:t>, Elsevier, vol. 57(4), pages 339-359.</w:t>
      </w:r>
    </w:p>
    <w:p w14:paraId="7BB0C15C" w14:textId="77777777" w:rsidR="00561209" w:rsidRPr="00B5248D" w:rsidRDefault="00561209" w:rsidP="00561209">
      <w:pPr>
        <w:spacing w:after="0" w:line="480" w:lineRule="auto"/>
        <w:ind w:left="720" w:hanging="720"/>
        <w:jc w:val="both"/>
      </w:pPr>
      <w:r w:rsidRPr="00CE4D69">
        <w:t xml:space="preserve">Forsythe, G. E., Malcolm, M. A. and </w:t>
      </w:r>
      <w:proofErr w:type="spellStart"/>
      <w:r w:rsidRPr="00CE4D69">
        <w:t>Moler</w:t>
      </w:r>
      <w:proofErr w:type="spellEnd"/>
      <w:r w:rsidRPr="00CE4D69">
        <w:t xml:space="preserve">, C. B. (1977). </w:t>
      </w:r>
      <w:r w:rsidRPr="00CE4D69">
        <w:rPr>
          <w:i/>
          <w:iCs/>
        </w:rPr>
        <w:t>Computer Methods for Mathematical Computations</w:t>
      </w:r>
      <w:r w:rsidRPr="00CE4D69">
        <w:t>. Wiley.</w:t>
      </w:r>
    </w:p>
    <w:p w14:paraId="1D1F11EA" w14:textId="4BFEEDD0" w:rsidR="00792617" w:rsidRDefault="00792617" w:rsidP="00561209">
      <w:pPr>
        <w:spacing w:after="0" w:line="480" w:lineRule="auto"/>
        <w:ind w:left="720" w:hanging="720"/>
        <w:jc w:val="both"/>
      </w:pPr>
      <w:proofErr w:type="spellStart"/>
      <w:r w:rsidRPr="00B530E3">
        <w:t>Friedl</w:t>
      </w:r>
      <w:proofErr w:type="spellEnd"/>
      <w:r w:rsidRPr="00B530E3">
        <w:t xml:space="preserve">, J., (2020). Online Resource: A State-By-State Slot Machine Casino Gambling Series. </w:t>
      </w:r>
      <w:r w:rsidRPr="00B530E3">
        <w:rPr>
          <w:i/>
        </w:rPr>
        <w:t>Professor Slots</w:t>
      </w:r>
      <w:r w:rsidRPr="00B530E3">
        <w:t xml:space="preserve">. Retrieved From: </w:t>
      </w:r>
      <w:hyperlink r:id="rId33" w:history="1">
        <w:r w:rsidRPr="008422D9">
          <w:rPr>
            <w:rStyle w:val="Heading6Char"/>
            <w:rFonts w:cstheme="majorHAnsi"/>
            <w:color w:val="262626" w:themeColor="text1" w:themeTint="D9"/>
          </w:rPr>
          <w:t>https://professorslots.com/online-resource/</w:t>
        </w:r>
      </w:hyperlink>
    </w:p>
    <w:p w14:paraId="07E4D99B" w14:textId="717CD5E3" w:rsidR="00A41543" w:rsidRDefault="00A41543" w:rsidP="00561209">
      <w:pPr>
        <w:spacing w:after="0" w:line="480" w:lineRule="auto"/>
        <w:ind w:left="720" w:hanging="720"/>
        <w:jc w:val="both"/>
      </w:pPr>
      <w:r w:rsidRPr="00B530E3">
        <w:t xml:space="preserve">Gaming Policy and Enforcement Branch, (2019). Gaming Policy and Enforcement Branch Annual Report 2018/2019. Retrieved from: </w:t>
      </w:r>
      <w:hyperlink r:id="rId34" w:history="1">
        <w:r w:rsidRPr="008422D9">
          <w:rPr>
            <w:rStyle w:val="Heading6Char"/>
            <w:rFonts w:cstheme="majorHAnsi"/>
            <w:color w:val="262626" w:themeColor="text1" w:themeTint="D9"/>
          </w:rPr>
          <w:t>https://www2.gov.bc.ca/gov/content/sports-culture/gambling-fundraising/gamb</w:t>
        </w:r>
        <w:r w:rsidRPr="00B530E3">
          <w:rPr>
            <w:rStyle w:val="Heading6Char"/>
            <w:rFonts w:cstheme="majorHAnsi"/>
            <w:color w:val="262626" w:themeColor="text1" w:themeTint="D9"/>
          </w:rPr>
          <w:t>ling-in-bc/reports-publications-statistics</w:t>
        </w:r>
      </w:hyperlink>
    </w:p>
    <w:p w14:paraId="08847F41" w14:textId="2588B06C" w:rsidR="00561209" w:rsidRPr="00B5248D" w:rsidRDefault="00561209" w:rsidP="00561209">
      <w:pPr>
        <w:spacing w:after="0" w:line="480" w:lineRule="auto"/>
        <w:ind w:left="720" w:hanging="720"/>
        <w:jc w:val="both"/>
      </w:pPr>
      <w:r w:rsidRPr="00B5248D">
        <w:lastRenderedPageBreak/>
        <w:t xml:space="preserve">Korn D. A., Shaffer H. J.  (1999).  Gambling and the health of the public: Adopting a public health perspective.  </w:t>
      </w:r>
      <w:r w:rsidRPr="00B5248D">
        <w:rPr>
          <w:i/>
          <w:iCs/>
        </w:rPr>
        <w:t>Journal of Gambling Studies</w:t>
      </w:r>
      <w:r w:rsidRPr="00B5248D">
        <w:t xml:space="preserve"> 15(4): 289-365.</w:t>
      </w:r>
    </w:p>
    <w:p w14:paraId="0860B832" w14:textId="77777777" w:rsidR="00561209" w:rsidRPr="00B5248D" w:rsidRDefault="00561209" w:rsidP="00561209">
      <w:pPr>
        <w:spacing w:after="0" w:line="480" w:lineRule="auto"/>
        <w:ind w:left="720" w:hanging="720"/>
        <w:jc w:val="both"/>
      </w:pPr>
      <w:proofErr w:type="spellStart"/>
      <w:r w:rsidRPr="00B5248D">
        <w:t>Lesieur</w:t>
      </w:r>
      <w:proofErr w:type="spellEnd"/>
      <w:r w:rsidRPr="00B5248D">
        <w:t xml:space="preserve">, H. R., &amp; Rosenthal, R. J.  (1991).  Pathological gambling: A review of the literature (prepared for the American Psychiatric Association task force on DSM-IV committee on disorders of impulse control not elsewhere classified).  </w:t>
      </w:r>
      <w:r w:rsidRPr="00B5248D">
        <w:rPr>
          <w:i/>
          <w:iCs/>
        </w:rPr>
        <w:t>Journal of Gambling Studies</w:t>
      </w:r>
      <w:r w:rsidRPr="00B5248D">
        <w:t>, 7(1), 5-39.</w:t>
      </w:r>
    </w:p>
    <w:p w14:paraId="6F61FD0D" w14:textId="77777777" w:rsidR="00334172" w:rsidRPr="00B530E3" w:rsidRDefault="00334172" w:rsidP="00334172">
      <w:pPr>
        <w:spacing w:after="240" w:line="312" w:lineRule="auto"/>
        <w:ind w:left="720" w:hanging="720"/>
        <w:jc w:val="both"/>
      </w:pPr>
      <w:r w:rsidRPr="00B530E3">
        <w:t>Livingstone, C., Rintoul, A., de Lacy-</w:t>
      </w:r>
      <w:proofErr w:type="spellStart"/>
      <w:r w:rsidRPr="00B530E3">
        <w:t>Vawdon</w:t>
      </w:r>
      <w:proofErr w:type="spellEnd"/>
      <w:r w:rsidRPr="00B530E3">
        <w:t xml:space="preserve">, C., Borland, R., </w:t>
      </w:r>
      <w:proofErr w:type="spellStart"/>
      <w:r w:rsidRPr="00B530E3">
        <w:t>Dietze</w:t>
      </w:r>
      <w:proofErr w:type="spellEnd"/>
      <w:r w:rsidRPr="00B530E3">
        <w:t xml:space="preserve">, P., Jenkinson, R., Livingston, M., Room, R., Smith, B., </w:t>
      </w:r>
      <w:proofErr w:type="spellStart"/>
      <w:r w:rsidRPr="00B530E3">
        <w:t>Stoove</w:t>
      </w:r>
      <w:proofErr w:type="spellEnd"/>
      <w:r w:rsidRPr="00B530E3">
        <w:t>, M., Winter, R. &amp; Hill, P. (2019). Identifying effective policy interventions to prevent gambling-related harm, Victorian Responsible Gambling Foundation, Melbourne.</w:t>
      </w:r>
    </w:p>
    <w:p w14:paraId="1D35E18C" w14:textId="77777777" w:rsidR="00334172" w:rsidRPr="008422D9" w:rsidRDefault="00334172" w:rsidP="00334172">
      <w:pPr>
        <w:spacing w:after="240" w:line="312" w:lineRule="auto"/>
        <w:ind w:left="720" w:hanging="720"/>
        <w:jc w:val="both"/>
      </w:pPr>
      <w:r w:rsidRPr="00B530E3">
        <w:t xml:space="preserve">Lund, I. (2009). Gambling Behaviour and the Prevalence of Gambling Problems in Adult EGM Gamblers when EGMs are Banned. A Natural Experiment. </w:t>
      </w:r>
      <w:r w:rsidRPr="00B530E3">
        <w:rPr>
          <w:i/>
        </w:rPr>
        <w:t xml:space="preserve">J </w:t>
      </w:r>
      <w:proofErr w:type="spellStart"/>
      <w:r w:rsidRPr="00B530E3">
        <w:rPr>
          <w:i/>
        </w:rPr>
        <w:t>Gambl</w:t>
      </w:r>
      <w:proofErr w:type="spellEnd"/>
      <w:r w:rsidRPr="00B530E3">
        <w:rPr>
          <w:i/>
        </w:rPr>
        <w:t xml:space="preserve"> Stud</w:t>
      </w:r>
      <w:r w:rsidRPr="00B530E3">
        <w:t xml:space="preserve"> 25, 215–225. </w:t>
      </w:r>
      <w:hyperlink r:id="rId35" w:history="1">
        <w:r w:rsidRPr="008422D9">
          <w:rPr>
            <w:rStyle w:val="Heading6Char"/>
            <w:rFonts w:cstheme="majorHAnsi"/>
            <w:color w:val="262626" w:themeColor="text1" w:themeTint="D9"/>
          </w:rPr>
          <w:t>https://doi.org/10.1007/s10899-009-9127-y</w:t>
        </w:r>
      </w:hyperlink>
    </w:p>
    <w:p w14:paraId="27F20094" w14:textId="024CCAD0" w:rsidR="00765B51" w:rsidRDefault="00903001" w:rsidP="00561209">
      <w:pPr>
        <w:spacing w:after="0" w:line="480" w:lineRule="auto"/>
        <w:ind w:left="720" w:hanging="720"/>
        <w:jc w:val="both"/>
      </w:pPr>
      <w:r w:rsidRPr="00903001">
        <w:t xml:space="preserve">MacKinnon, J. G. (2019). How cluster‐robust inference is changing applied econometrics. </w:t>
      </w:r>
      <w:r w:rsidRPr="00E7477D">
        <w:rPr>
          <w:i/>
        </w:rPr>
        <w:t xml:space="preserve">Canadian Journal of Economics/Revue </w:t>
      </w:r>
      <w:proofErr w:type="spellStart"/>
      <w:r w:rsidR="00E7477D">
        <w:rPr>
          <w:i/>
          <w:iCs/>
        </w:rPr>
        <w:t>c</w:t>
      </w:r>
      <w:r w:rsidRPr="00E7477D">
        <w:rPr>
          <w:i/>
          <w:iCs/>
        </w:rPr>
        <w:t>anadienne</w:t>
      </w:r>
      <w:proofErr w:type="spellEnd"/>
      <w:r w:rsidRPr="00E7477D">
        <w:rPr>
          <w:i/>
        </w:rPr>
        <w:t xml:space="preserve"> </w:t>
      </w:r>
      <w:proofErr w:type="spellStart"/>
      <w:r w:rsidRPr="00E7477D">
        <w:rPr>
          <w:i/>
        </w:rPr>
        <w:t>d'économique</w:t>
      </w:r>
      <w:proofErr w:type="spellEnd"/>
      <w:r w:rsidRPr="00903001">
        <w:t>, 52(3), 851-881.</w:t>
      </w:r>
    </w:p>
    <w:p w14:paraId="207F2766" w14:textId="77777777" w:rsidR="00561209" w:rsidRPr="00DC1734" w:rsidRDefault="00561209" w:rsidP="00561209">
      <w:pPr>
        <w:spacing w:after="0" w:line="480" w:lineRule="auto"/>
        <w:ind w:left="720" w:hanging="720"/>
        <w:jc w:val="both"/>
      </w:pPr>
      <w:r w:rsidRPr="00DC1734">
        <w:t xml:space="preserve">Markham, F., Doran, B., &amp; Young, M.  (2016).  The relationship between electronic gaming machine accessibility and police-recorded domestic violence: A </w:t>
      </w:r>
      <w:proofErr w:type="spellStart"/>
      <w:r w:rsidRPr="00DC1734">
        <w:t>spatio</w:t>
      </w:r>
      <w:proofErr w:type="spellEnd"/>
      <w:r w:rsidRPr="00DC1734">
        <w:t xml:space="preserve">-temporal analysis of 654 postcodes in Victoria, Australia, 2005–2014.  </w:t>
      </w:r>
      <w:r w:rsidRPr="00DC1734">
        <w:rPr>
          <w:i/>
          <w:iCs/>
        </w:rPr>
        <w:t>Social Science &amp; Medicine</w:t>
      </w:r>
      <w:r w:rsidRPr="00DC1734">
        <w:t>, 162, 106-114.</w:t>
      </w:r>
    </w:p>
    <w:p w14:paraId="14876431" w14:textId="77777777" w:rsidR="00561209" w:rsidRPr="00B5248D" w:rsidRDefault="00561209" w:rsidP="00561209">
      <w:pPr>
        <w:spacing w:after="0" w:line="480" w:lineRule="auto"/>
        <w:ind w:left="720" w:hanging="720"/>
        <w:jc w:val="both"/>
      </w:pPr>
      <w:r w:rsidRPr="00B5248D">
        <w:t>McMillen, J., &amp; Doran, B.  (2006).  Problem gambling and gaming machine density: Socio-spatial analysis of three Victorian localities</w:t>
      </w:r>
      <w:r w:rsidRPr="00B5248D">
        <w:rPr>
          <w:i/>
          <w:iCs/>
        </w:rPr>
        <w:t>.  International Gambling Studies</w:t>
      </w:r>
      <w:r w:rsidRPr="00B5248D">
        <w:t>, 6(1), 5-29.</w:t>
      </w:r>
    </w:p>
    <w:p w14:paraId="1AA452A6" w14:textId="77777777" w:rsidR="00561209" w:rsidRDefault="00561209" w:rsidP="00561209">
      <w:pPr>
        <w:spacing w:after="0" w:line="480" w:lineRule="auto"/>
        <w:ind w:left="720" w:hanging="720"/>
        <w:jc w:val="both"/>
      </w:pPr>
      <w:proofErr w:type="spellStart"/>
      <w:proofErr w:type="gramStart"/>
      <w:r w:rsidRPr="00DC1734">
        <w:t>Mikhed,V</w:t>
      </w:r>
      <w:proofErr w:type="spellEnd"/>
      <w:r w:rsidRPr="00DC1734">
        <w:t>.</w:t>
      </w:r>
      <w:proofErr w:type="gramEnd"/>
      <w:r w:rsidRPr="00DC1734">
        <w:t xml:space="preserve">, </w:t>
      </w:r>
      <w:proofErr w:type="spellStart"/>
      <w:r w:rsidRPr="00DC1734">
        <w:t>Scholnick</w:t>
      </w:r>
      <w:proofErr w:type="spellEnd"/>
      <w:r w:rsidRPr="00DC1734">
        <w:t>, B., &amp; Byun, H.  (2017).  Spatial Commitment Devices and Addictive Goods: Evidence from the Removal of Slot Machines from Bars.  Working Papers 17-34, Federal Reserve Bank of Philadelphia.</w:t>
      </w:r>
    </w:p>
    <w:p w14:paraId="7614A91C" w14:textId="77777777" w:rsidR="00561209" w:rsidRPr="00B5248D" w:rsidRDefault="00561209" w:rsidP="00561209">
      <w:pPr>
        <w:spacing w:after="0" w:line="480" w:lineRule="auto"/>
        <w:ind w:left="720" w:hanging="720"/>
        <w:jc w:val="both"/>
      </w:pPr>
      <w:r w:rsidRPr="00B5248D">
        <w:t>Ministry of Health.  (2008).  Raising the Odds?  Gambling behaviour and neighbourhood access to gambling venues in New Zealand.  Wellington: Ministry of Health.</w:t>
      </w:r>
    </w:p>
    <w:p w14:paraId="11A88445" w14:textId="77777777" w:rsidR="00561209" w:rsidRDefault="00561209" w:rsidP="00561209">
      <w:pPr>
        <w:spacing w:after="0" w:line="480" w:lineRule="auto"/>
        <w:ind w:left="720" w:hanging="720"/>
        <w:jc w:val="both"/>
      </w:pPr>
      <w:r>
        <w:t>Ministry of Health. (2019). Strategy to Prevent and Minimise Gambling Harm 2019/20 to 2021/22. Wellington: Ministry of Health.</w:t>
      </w:r>
    </w:p>
    <w:p w14:paraId="7CEE00EC" w14:textId="1B1FD9EC" w:rsidR="00880B5F" w:rsidRDefault="00880B5F" w:rsidP="00561209">
      <w:pPr>
        <w:spacing w:after="0" w:line="480" w:lineRule="auto"/>
        <w:ind w:left="720" w:hanging="720"/>
        <w:jc w:val="both"/>
      </w:pPr>
      <w:r>
        <w:t xml:space="preserve">New Zealand Insolvency and Trustee Service (2018). </w:t>
      </w:r>
      <w:r w:rsidR="00581FF5">
        <w:t>Insolvency Statistics and Debtor Profile Report. Retrieved from</w:t>
      </w:r>
      <w:r w:rsidR="00402CAF">
        <w:t xml:space="preserve"> </w:t>
      </w:r>
      <w:hyperlink r:id="rId36" w:history="1">
        <w:r w:rsidR="00402CAF">
          <w:rPr>
            <w:rStyle w:val="Hyperlink"/>
          </w:rPr>
          <w:t>https://www.insolvency.govt.nz/support/about/statistics/statistical-data-reports/</w:t>
        </w:r>
      </w:hyperlink>
    </w:p>
    <w:p w14:paraId="5E39F1CB" w14:textId="77777777" w:rsidR="009A3E52" w:rsidRPr="00B530E3" w:rsidRDefault="009A3E52" w:rsidP="009A3E52">
      <w:pPr>
        <w:spacing w:after="240" w:line="312" w:lineRule="auto"/>
        <w:ind w:left="720" w:hanging="720"/>
        <w:jc w:val="both"/>
      </w:pPr>
      <w:r w:rsidRPr="00B530E3">
        <w:lastRenderedPageBreak/>
        <w:t>Nevada Gaming Commission &amp; Nevada Gaming Control Board. (2020). State of Nevada Regulations. Retrieved from: gaming.nv.gov/modules/</w:t>
      </w:r>
      <w:proofErr w:type="spellStart"/>
      <w:r w:rsidRPr="00B530E3">
        <w:t>showdocument.aspx?documentid</w:t>
      </w:r>
      <w:proofErr w:type="spellEnd"/>
      <w:r w:rsidRPr="00B530E3">
        <w:t xml:space="preserve">=16507 </w:t>
      </w:r>
    </w:p>
    <w:p w14:paraId="6FFDF067" w14:textId="77777777" w:rsidR="009A3E52" w:rsidRPr="00B530E3" w:rsidRDefault="009A3E52" w:rsidP="009A3E52">
      <w:pPr>
        <w:spacing w:after="240" w:line="312" w:lineRule="auto"/>
        <w:ind w:left="720" w:hanging="720"/>
        <w:jc w:val="both"/>
      </w:pPr>
      <w:proofErr w:type="spellStart"/>
      <w:r w:rsidRPr="00B530E3">
        <w:t>Norsk</w:t>
      </w:r>
      <w:proofErr w:type="spellEnd"/>
      <w:r w:rsidRPr="00B530E3">
        <w:t xml:space="preserve"> Tipping. (2010). Annual and social report 2010. </w:t>
      </w:r>
      <w:proofErr w:type="spellStart"/>
      <w:r w:rsidRPr="00B530E3">
        <w:t>Norsk</w:t>
      </w:r>
      <w:proofErr w:type="spellEnd"/>
      <w:r w:rsidRPr="00B530E3">
        <w:t xml:space="preserve"> Tipping. Viewed 10 November 2011. Retrieved from: https://www.norsk-tipping.no/selskapet/_binary?download=true&amp;id=48334</w:t>
      </w:r>
    </w:p>
    <w:p w14:paraId="7BFCA2B0" w14:textId="77777777" w:rsidR="009A3E52" w:rsidRPr="00B530E3" w:rsidRDefault="009A3E52" w:rsidP="009A3E52">
      <w:pPr>
        <w:spacing w:after="240" w:line="312" w:lineRule="auto"/>
        <w:ind w:left="720" w:hanging="720"/>
        <w:jc w:val="both"/>
      </w:pPr>
      <w:r w:rsidRPr="00B530E3">
        <w:t>Nova Scotia Gaming Corporation. (2005). VLT Time Change: Findings Report.</w:t>
      </w:r>
    </w:p>
    <w:p w14:paraId="08E71087" w14:textId="77777777" w:rsidR="00561209" w:rsidRDefault="00561209" w:rsidP="00561209">
      <w:pPr>
        <w:spacing w:after="0" w:line="480" w:lineRule="auto"/>
        <w:ind w:left="720" w:hanging="720"/>
        <w:jc w:val="both"/>
      </w:pPr>
      <w:r>
        <w:t xml:space="preserve">Platt, H. </w:t>
      </w:r>
      <w:proofErr w:type="gramStart"/>
      <w:r>
        <w:t>D.</w:t>
      </w:r>
      <w:proofErr w:type="gramEnd"/>
      <w:r>
        <w:t xml:space="preserve"> and M. B. Platt. (1994), “Business cycle effects on state corporate failure rates,” </w:t>
      </w:r>
      <w:r w:rsidRPr="00C511D1">
        <w:rPr>
          <w:i/>
          <w:iCs/>
        </w:rPr>
        <w:t>Journal of Economics and Business</w:t>
      </w:r>
      <w:r>
        <w:t xml:space="preserve">, 46, pp. 113–127. </w:t>
      </w:r>
    </w:p>
    <w:p w14:paraId="2AFDF3BD" w14:textId="77777777" w:rsidR="00561209" w:rsidRPr="00B5248D" w:rsidRDefault="00561209" w:rsidP="00561209">
      <w:pPr>
        <w:spacing w:after="0" w:line="480" w:lineRule="auto"/>
        <w:ind w:left="720" w:hanging="720"/>
        <w:jc w:val="both"/>
      </w:pPr>
      <w:r w:rsidRPr="00B5248D">
        <w:t xml:space="preserve">Rook, H., Rippon, R., Pauls, R., Doust, E., &amp; Prince, J.  (2018).  Gambling Harm Reduction Needs Assessment.  </w:t>
      </w:r>
      <w:proofErr w:type="spellStart"/>
      <w:r w:rsidRPr="00B5248D">
        <w:t>Sapere</w:t>
      </w:r>
      <w:proofErr w:type="spellEnd"/>
      <w:r w:rsidRPr="00B5248D">
        <w:t xml:space="preserve"> Research Group.</w:t>
      </w:r>
    </w:p>
    <w:p w14:paraId="12F502C1" w14:textId="5C776ECB" w:rsidR="00CE0A37" w:rsidRDefault="00CE0A37" w:rsidP="00E57399">
      <w:pPr>
        <w:spacing w:after="240" w:line="312" w:lineRule="auto"/>
        <w:ind w:left="720" w:hanging="720"/>
      </w:pPr>
      <w:r w:rsidRPr="00B530E3">
        <w:t xml:space="preserve">South Australian Centre for Economic Studies (2005). Study of the Impact of Caps on Electronic Gaming Machines. Retrieved from:  </w:t>
      </w:r>
      <w:hyperlink r:id="rId37" w:history="1">
        <w:r w:rsidRPr="00B530E3">
          <w:rPr>
            <w:rStyle w:val="Heading6Char"/>
            <w:rFonts w:cstheme="majorHAnsi"/>
            <w:color w:val="262626" w:themeColor="text1" w:themeTint="D9"/>
          </w:rPr>
          <w:t>https://www.adelaide.edu.au/saces/system/files/media/documents/2019-06/study-of-the-impact-of-caps-on-electronic-gaming-machines.pdf</w:t>
        </w:r>
      </w:hyperlink>
    </w:p>
    <w:p w14:paraId="582F93D7" w14:textId="048239EE" w:rsidR="00DE614D" w:rsidRPr="00B530E3" w:rsidRDefault="00DE614D" w:rsidP="00DE614D">
      <w:pPr>
        <w:spacing w:after="240" w:line="312" w:lineRule="auto"/>
        <w:ind w:left="720" w:hanging="720"/>
        <w:jc w:val="both"/>
      </w:pPr>
      <w:r w:rsidRPr="00B530E3">
        <w:t xml:space="preserve">Stevens, M., Livingstone, C. (2019). Evaluating changes in electronic gambling machine policy on user losses in an Australian jurisdiction. </w:t>
      </w:r>
      <w:r w:rsidRPr="00B530E3">
        <w:rPr>
          <w:i/>
          <w:iCs/>
        </w:rPr>
        <w:t>BMC Public Health</w:t>
      </w:r>
      <w:r w:rsidRPr="00B530E3">
        <w:t xml:space="preserve"> 19, 517. </w:t>
      </w:r>
      <w:proofErr w:type="spellStart"/>
      <w:r w:rsidRPr="00B530E3">
        <w:t>doi</w:t>
      </w:r>
      <w:proofErr w:type="spellEnd"/>
      <w:r w:rsidRPr="00B530E3">
        <w:t>: 10.1186/s12889-019-6814-1</w:t>
      </w:r>
    </w:p>
    <w:p w14:paraId="18837132" w14:textId="33402B0E" w:rsidR="00561209" w:rsidRDefault="00561209" w:rsidP="00561209">
      <w:pPr>
        <w:spacing w:after="0" w:line="480" w:lineRule="auto"/>
        <w:ind w:left="720" w:hanging="720"/>
        <w:jc w:val="both"/>
      </w:pPr>
      <w:r w:rsidRPr="00B5248D">
        <w:t xml:space="preserve">Storer, J., Abbott, M., &amp; Stubbs, J.  (2009).  Access or adaptation? A meta-analysis of surveys of problem gambling prevalence in Australia and New Zealand with respect to concentration of electronic gaming machines.  </w:t>
      </w:r>
      <w:r w:rsidRPr="00B5248D">
        <w:rPr>
          <w:i/>
          <w:iCs/>
        </w:rPr>
        <w:t>International Gambling Studies</w:t>
      </w:r>
      <w:r w:rsidRPr="00B5248D">
        <w:t>, 9(3), 225-244.</w:t>
      </w:r>
    </w:p>
    <w:p w14:paraId="059A428A" w14:textId="2C2280F7" w:rsidR="00561209" w:rsidRDefault="00561209" w:rsidP="00561209">
      <w:pPr>
        <w:spacing w:after="0" w:line="480" w:lineRule="auto"/>
        <w:ind w:left="720" w:hanging="720"/>
        <w:jc w:val="both"/>
      </w:pPr>
      <w:r>
        <w:t xml:space="preserve">Stuff (2018), “Bankrupt Auckland builder squanders $1.5 million at </w:t>
      </w:r>
      <w:proofErr w:type="spellStart"/>
      <w:r>
        <w:t>SkyCity</w:t>
      </w:r>
      <w:proofErr w:type="spellEnd"/>
      <w:r>
        <w:t xml:space="preserve"> casino”, April 10 2018, accessed 31/08/2020, </w:t>
      </w:r>
      <w:hyperlink r:id="rId38" w:history="1">
        <w:r>
          <w:rPr>
            <w:rStyle w:val="Hyperlink"/>
          </w:rPr>
          <w:t>https://www.stuff.co.nz/business/102973747/bankrupt-auckland-builder-squanders-15-million-at-skycity-casino</w:t>
        </w:r>
      </w:hyperlink>
    </w:p>
    <w:p w14:paraId="1926CAE0" w14:textId="4B7DEA93" w:rsidR="00D10DA3" w:rsidRDefault="006F057A" w:rsidP="00137BF6">
      <w:pPr>
        <w:spacing w:after="240" w:line="312" w:lineRule="auto"/>
        <w:ind w:left="720" w:hanging="720"/>
        <w:jc w:val="both"/>
      </w:pPr>
      <w:proofErr w:type="spellStart"/>
      <w:r w:rsidRPr="00B530E3">
        <w:t>Sulkunen</w:t>
      </w:r>
      <w:proofErr w:type="spellEnd"/>
      <w:r w:rsidRPr="00B530E3">
        <w:t>, P.</w:t>
      </w:r>
      <w:proofErr w:type="gramStart"/>
      <w:r w:rsidRPr="00B530E3">
        <w:t xml:space="preserve">,  </w:t>
      </w:r>
      <w:proofErr w:type="spellStart"/>
      <w:r w:rsidRPr="00B530E3">
        <w:t>Babor</w:t>
      </w:r>
      <w:proofErr w:type="spellEnd"/>
      <w:proofErr w:type="gramEnd"/>
      <w:r w:rsidRPr="00B530E3">
        <w:t xml:space="preserve">, T. F., </w:t>
      </w:r>
      <w:proofErr w:type="spellStart"/>
      <w:r w:rsidRPr="00B530E3">
        <w:t>Ornberg</w:t>
      </w:r>
      <w:proofErr w:type="spellEnd"/>
      <w:r w:rsidRPr="00B530E3">
        <w:t xml:space="preserve">, J. C., </w:t>
      </w:r>
      <w:proofErr w:type="spellStart"/>
      <w:r w:rsidRPr="00B530E3">
        <w:t>Egerer</w:t>
      </w:r>
      <w:proofErr w:type="spellEnd"/>
      <w:r w:rsidRPr="00B530E3">
        <w:t xml:space="preserve">, M., Hellman, M., Livingstone, C., </w:t>
      </w:r>
      <w:proofErr w:type="spellStart"/>
      <w:r w:rsidRPr="00B530E3">
        <w:t>Marionneau</w:t>
      </w:r>
      <w:proofErr w:type="spellEnd"/>
      <w:r w:rsidRPr="00B530E3">
        <w:t xml:space="preserve">, V., </w:t>
      </w:r>
      <w:proofErr w:type="spellStart"/>
      <w:r w:rsidRPr="00B530E3">
        <w:t>Nikkinen</w:t>
      </w:r>
      <w:proofErr w:type="spellEnd"/>
      <w:r w:rsidRPr="00B530E3">
        <w:t xml:space="preserve">, J., Orford, J., Room, R. &amp; </w:t>
      </w:r>
      <w:proofErr w:type="spellStart"/>
      <w:r w:rsidRPr="00B530E3">
        <w:t>Rossow</w:t>
      </w:r>
      <w:proofErr w:type="spellEnd"/>
      <w:r w:rsidRPr="00B530E3">
        <w:t xml:space="preserve">, I. (2018) The effects of changing availability. In </w:t>
      </w:r>
      <w:r w:rsidRPr="00B530E3">
        <w:rPr>
          <w:i/>
          <w:iCs/>
        </w:rPr>
        <w:t>Setting Limits: Gambling, Science and Public Policy</w:t>
      </w:r>
      <w:r w:rsidRPr="00B530E3">
        <w:t xml:space="preserve"> (pp. 87–106). Oxford Scholarship Online. DOI: 10.1093/</w:t>
      </w:r>
      <w:proofErr w:type="spellStart"/>
      <w:r w:rsidRPr="00B530E3">
        <w:t>oso</w:t>
      </w:r>
      <w:proofErr w:type="spellEnd"/>
      <w:r w:rsidRPr="00B530E3">
        <w:t>/9780198817321.001.0001</w:t>
      </w:r>
    </w:p>
    <w:p w14:paraId="7CBD6077" w14:textId="5C11278A" w:rsidR="00137BF6" w:rsidRPr="00B530E3" w:rsidRDefault="00137BF6" w:rsidP="00137BF6">
      <w:pPr>
        <w:spacing w:after="240" w:line="312" w:lineRule="auto"/>
        <w:ind w:left="720" w:hanging="720"/>
        <w:jc w:val="both"/>
      </w:pPr>
      <w:proofErr w:type="spellStart"/>
      <w:r w:rsidRPr="00B530E3">
        <w:t>Szczyrba</w:t>
      </w:r>
      <w:proofErr w:type="spellEnd"/>
      <w:r w:rsidRPr="00B530E3">
        <w:t xml:space="preserve">, Z., </w:t>
      </w:r>
      <w:proofErr w:type="spellStart"/>
      <w:r w:rsidRPr="00B530E3">
        <w:t>Fiedor</w:t>
      </w:r>
      <w:proofErr w:type="spellEnd"/>
      <w:r w:rsidRPr="00B530E3">
        <w:t xml:space="preserve">, D., &amp; </w:t>
      </w:r>
      <w:proofErr w:type="spellStart"/>
      <w:r w:rsidRPr="00B530E3">
        <w:t>Smolová</w:t>
      </w:r>
      <w:proofErr w:type="spellEnd"/>
      <w:r w:rsidRPr="00B530E3">
        <w:t xml:space="preserve">, I. (2016). </w:t>
      </w:r>
      <w:proofErr w:type="spellStart"/>
      <w:r w:rsidRPr="00B530E3">
        <w:t>Gamblerization</w:t>
      </w:r>
      <w:proofErr w:type="spellEnd"/>
      <w:r w:rsidRPr="00B530E3">
        <w:t xml:space="preserve"> of Post-Communist Society in Central Europe. 16th International Conference on Gambling &amp; Risk Taking, June 8, 2016, Las Vegas. Audio recording available at: http://digitalscholarship.unlv.edu/gaming_institute/2016/June8/15/</w:t>
      </w:r>
    </w:p>
    <w:p w14:paraId="1DE86D2C" w14:textId="5FC88C0E" w:rsidR="00033ACF" w:rsidRDefault="00215B57" w:rsidP="0080262A">
      <w:pPr>
        <w:spacing w:after="240" w:line="312" w:lineRule="auto"/>
        <w:ind w:left="720" w:hanging="720"/>
        <w:jc w:val="both"/>
      </w:pPr>
      <w:r w:rsidRPr="00B530E3">
        <w:lastRenderedPageBreak/>
        <w:t xml:space="preserve">Van der Maas, M.  (2016).  Problem gambling, </w:t>
      </w:r>
      <w:proofErr w:type="gramStart"/>
      <w:r w:rsidRPr="00B530E3">
        <w:t>anxiety</w:t>
      </w:r>
      <w:proofErr w:type="gramEnd"/>
      <w:r w:rsidRPr="00B530E3">
        <w:t xml:space="preserve"> and poverty: an examination of the relationship between poor mental health and gambling problems across socio-economic status. </w:t>
      </w:r>
      <w:r w:rsidRPr="00B530E3">
        <w:rPr>
          <w:i/>
          <w:iCs/>
        </w:rPr>
        <w:t>International Gambling Studies</w:t>
      </w:r>
      <w:r w:rsidRPr="00B530E3">
        <w:t>, 16(2), 281-295.</w:t>
      </w:r>
    </w:p>
    <w:p w14:paraId="5F65A6C9" w14:textId="7794AE1C" w:rsidR="0080262A" w:rsidRDefault="00561209" w:rsidP="0080262A">
      <w:pPr>
        <w:spacing w:after="240" w:line="312" w:lineRule="auto"/>
        <w:ind w:left="720" w:hanging="720"/>
        <w:jc w:val="both"/>
      </w:pPr>
      <w:proofErr w:type="spellStart"/>
      <w:r w:rsidRPr="00B5248D">
        <w:t>Volberg</w:t>
      </w:r>
      <w:proofErr w:type="spellEnd"/>
      <w:r w:rsidRPr="00B5248D">
        <w:t xml:space="preserve">, R. A.  (1994).  The prevalence and demographics of pathological gamblers: implications for public health.  </w:t>
      </w:r>
      <w:r w:rsidRPr="00B5248D">
        <w:rPr>
          <w:i/>
          <w:iCs/>
        </w:rPr>
        <w:t>American Journal of Public Health</w:t>
      </w:r>
      <w:r w:rsidRPr="00B5248D">
        <w:t>, 84(2), 237-241.</w:t>
      </w:r>
      <w:r w:rsidR="0080262A" w:rsidRPr="0080262A">
        <w:t xml:space="preserve"> </w:t>
      </w:r>
    </w:p>
    <w:p w14:paraId="5590C406" w14:textId="77777777" w:rsidR="0080262A" w:rsidRPr="00B530E3" w:rsidRDefault="0080262A" w:rsidP="0080262A">
      <w:pPr>
        <w:spacing w:after="240" w:line="312" w:lineRule="auto"/>
        <w:ind w:left="720" w:hanging="720"/>
        <w:jc w:val="both"/>
      </w:pPr>
      <w:r w:rsidRPr="00B530E3">
        <w:t xml:space="preserve">Williams, R. J., West, B. L., &amp; Simpson, R. I. (2012). </w:t>
      </w:r>
      <w:r w:rsidRPr="00B530E3">
        <w:rPr>
          <w:i/>
          <w:iCs/>
        </w:rPr>
        <w:t>Prevention of Problem Gambling: A Comprehensive Review of the Evidence and Identified Best Practices</w:t>
      </w:r>
      <w:r w:rsidRPr="00B530E3">
        <w:t xml:space="preserve">. Ontario Problem Gambling Research Centre and the Ontario Ministry of Health and </w:t>
      </w:r>
      <w:proofErr w:type="gramStart"/>
      <w:r w:rsidRPr="00B530E3">
        <w:t>Long Term</w:t>
      </w:r>
      <w:proofErr w:type="gramEnd"/>
      <w:r w:rsidRPr="00B530E3">
        <w:t xml:space="preserve"> Care.</w:t>
      </w:r>
    </w:p>
    <w:p w14:paraId="08114F3F" w14:textId="3FDAA9D4" w:rsidR="00386F89" w:rsidRDefault="00C25438" w:rsidP="000F4E56">
      <w:pPr>
        <w:spacing w:after="0" w:line="480" w:lineRule="auto"/>
        <w:ind w:left="720" w:hanging="720"/>
        <w:jc w:val="both"/>
        <w:sectPr w:rsidR="00386F89" w:rsidSect="00CF0F5C">
          <w:headerReference w:type="default" r:id="rId39"/>
          <w:footerReference w:type="default" r:id="rId40"/>
          <w:headerReference w:type="first" r:id="rId41"/>
          <w:footerReference w:type="first" r:id="rId42"/>
          <w:pgSz w:w="11906" w:h="16838"/>
          <w:pgMar w:top="1440" w:right="1440" w:bottom="1440" w:left="1134" w:header="709" w:footer="0" w:gutter="0"/>
          <w:cols w:space="708"/>
          <w:titlePg/>
          <w:docGrid w:linePitch="360"/>
        </w:sectPr>
      </w:pPr>
      <w:r w:rsidRPr="00B5248D">
        <w:br w:type="page"/>
      </w:r>
    </w:p>
    <w:p w14:paraId="35FBA567" w14:textId="195E1935" w:rsidR="00C25438" w:rsidRDefault="00DF114C" w:rsidP="00290ADC">
      <w:pPr>
        <w:pStyle w:val="Heading1"/>
        <w:spacing w:before="0"/>
      </w:pPr>
      <w:bookmarkStart w:id="242" w:name="_Toc50033380"/>
      <w:r>
        <w:lastRenderedPageBreak/>
        <w:t>Appendix</w:t>
      </w:r>
      <w:bookmarkEnd w:id="242"/>
    </w:p>
    <w:p w14:paraId="0C03B05C" w14:textId="7520D1D8" w:rsidR="00DD0C73" w:rsidRDefault="00DD0C73" w:rsidP="00E20CA8">
      <w:pPr>
        <w:pStyle w:val="Caption"/>
        <w:ind w:left="-142"/>
      </w:pPr>
      <w:r w:rsidRPr="00C378E0">
        <w:rPr>
          <w:b w:val="0"/>
          <w:bCs w:val="0"/>
          <w:noProof/>
          <w:color w:val="262626" w:themeColor="text1" w:themeTint="D9"/>
          <w:sz w:val="18"/>
          <w:szCs w:val="18"/>
        </w:rPr>
        <w:drawing>
          <wp:anchor distT="0" distB="0" distL="114300" distR="114300" simplePos="0" relativeHeight="251658242" behindDoc="0" locked="0" layoutInCell="1" allowOverlap="1" wp14:anchorId="3FA16D14" wp14:editId="5CFBFA25">
            <wp:simplePos x="0" y="0"/>
            <wp:positionH relativeFrom="column">
              <wp:posOffset>-611357</wp:posOffset>
            </wp:positionH>
            <wp:positionV relativeFrom="paragraph">
              <wp:posOffset>195875</wp:posOffset>
            </wp:positionV>
            <wp:extent cx="10102850" cy="4564380"/>
            <wp:effectExtent l="0" t="0" r="0" b="7620"/>
            <wp:wrapTopAndBottom/>
            <wp:docPr id="9" name="Chart 9">
              <a:extLst xmlns:a="http://schemas.openxmlformats.org/drawingml/2006/main">
                <a:ext uri="{FF2B5EF4-FFF2-40B4-BE49-F238E27FC236}">
                  <a16:creationId xmlns:a16="http://schemas.microsoft.com/office/drawing/2014/main" id="{FE40409E-B89B-4607-A0B7-17BD9DEFE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t xml:space="preserve">Figure A </w:t>
      </w:r>
      <w:r w:rsidR="00C11F4F">
        <w:fldChar w:fldCharType="begin"/>
      </w:r>
      <w:r w:rsidR="00C11F4F">
        <w:instrText xml:space="preserve"> SEQ Figure_A \* ARABIC </w:instrText>
      </w:r>
      <w:r w:rsidR="00C11F4F">
        <w:fldChar w:fldCharType="separate"/>
      </w:r>
      <w:r>
        <w:rPr>
          <w:noProof/>
        </w:rPr>
        <w:t>1</w:t>
      </w:r>
      <w:r w:rsidR="00C11F4F">
        <w:rPr>
          <w:noProof/>
        </w:rPr>
        <w:fldChar w:fldCharType="end"/>
      </w:r>
      <w:r>
        <w:t xml:space="preserve">. </w:t>
      </w:r>
      <w:r w:rsidRPr="003F654E">
        <w:t>Approximate proportion of the TA population within 1 km of an EGM, 2018</w:t>
      </w:r>
    </w:p>
    <w:p w14:paraId="593D07A5" w14:textId="51B20240" w:rsidR="00F9191A" w:rsidRDefault="00992B46" w:rsidP="00E20CA8">
      <w:pPr>
        <w:pStyle w:val="Caption"/>
        <w:keepNext/>
        <w:spacing w:after="0" w:line="240" w:lineRule="auto"/>
        <w:ind w:hanging="142"/>
        <w:rPr>
          <w:rFonts w:ascii="Calibri Light" w:eastAsia="Calibri" w:hAnsi="Calibri Light" w:cs="Calibri Light"/>
          <w:b w:val="0"/>
          <w:color w:val="262626" w:themeColor="text1" w:themeTint="D9"/>
          <w:sz w:val="18"/>
          <w:szCs w:val="18"/>
        </w:rPr>
      </w:pPr>
      <w:r w:rsidRPr="00E20CA8">
        <w:rPr>
          <w:b w:val="0"/>
          <w:color w:val="262626" w:themeColor="text1" w:themeTint="D9"/>
          <w:sz w:val="18"/>
          <w:szCs w:val="18"/>
        </w:rPr>
        <w:t xml:space="preserve">Notes:  </w:t>
      </w:r>
      <w:r w:rsidR="00C378E0" w:rsidRPr="00E20CA8">
        <w:rPr>
          <w:b w:val="0"/>
          <w:color w:val="262626" w:themeColor="text1" w:themeTint="D9"/>
          <w:sz w:val="18"/>
          <w:szCs w:val="18"/>
        </w:rPr>
        <w:t xml:space="preserve"> </w:t>
      </w:r>
      <w:r w:rsidR="00E2239D" w:rsidRPr="00E20CA8">
        <w:rPr>
          <w:rFonts w:ascii="Calibri Light" w:eastAsia="Calibri" w:hAnsi="Calibri Light" w:cs="Calibri Light"/>
          <w:b w:val="0"/>
          <w:color w:val="262626" w:themeColor="text1" w:themeTint="D9"/>
          <w:sz w:val="18"/>
          <w:szCs w:val="18"/>
        </w:rPr>
        <w:t>The d</w:t>
      </w:r>
      <w:r w:rsidR="00C378E0" w:rsidRPr="00E20CA8">
        <w:rPr>
          <w:rFonts w:ascii="Calibri Light" w:eastAsia="Calibri" w:hAnsi="Calibri Light" w:cs="Calibri Light"/>
          <w:b w:val="0"/>
          <w:color w:val="262626" w:themeColor="text1" w:themeTint="D9"/>
          <w:sz w:val="18"/>
          <w:szCs w:val="18"/>
        </w:rPr>
        <w:t xml:space="preserve">istance measure </w:t>
      </w:r>
      <w:r w:rsidR="00E2239D" w:rsidRPr="00E20CA8">
        <w:rPr>
          <w:rFonts w:ascii="Calibri Light" w:eastAsia="Calibri" w:hAnsi="Calibri Light" w:cs="Calibri Light"/>
          <w:b w:val="0"/>
          <w:color w:val="262626" w:themeColor="text1" w:themeTint="D9"/>
          <w:sz w:val="18"/>
          <w:szCs w:val="18"/>
        </w:rPr>
        <w:t>is</w:t>
      </w:r>
      <w:r w:rsidR="00C378E0" w:rsidRPr="00E20CA8">
        <w:rPr>
          <w:rFonts w:ascii="Calibri Light" w:eastAsia="Calibri" w:hAnsi="Calibri Light" w:cs="Calibri Light"/>
          <w:b w:val="0"/>
          <w:color w:val="262626" w:themeColor="text1" w:themeTint="D9"/>
          <w:sz w:val="18"/>
          <w:szCs w:val="18"/>
        </w:rPr>
        <w:t xml:space="preserve"> constructed using geographic boundaries and population estimates </w:t>
      </w:r>
      <w:r w:rsidR="00E2239D" w:rsidRPr="00E20CA8">
        <w:rPr>
          <w:rFonts w:ascii="Calibri Light" w:eastAsia="Calibri" w:hAnsi="Calibri Light" w:cs="Calibri Light"/>
          <w:b w:val="0"/>
          <w:color w:val="262626" w:themeColor="text1" w:themeTint="D9"/>
          <w:sz w:val="18"/>
          <w:szCs w:val="18"/>
        </w:rPr>
        <w:t xml:space="preserve">sourced </w:t>
      </w:r>
      <w:r w:rsidR="00C378E0" w:rsidRPr="00E20CA8">
        <w:rPr>
          <w:rFonts w:ascii="Calibri Light" w:eastAsia="Calibri" w:hAnsi="Calibri Light" w:cs="Calibri Light"/>
          <w:b w:val="0"/>
          <w:color w:val="262626" w:themeColor="text1" w:themeTint="D9"/>
          <w:sz w:val="18"/>
          <w:szCs w:val="18"/>
        </w:rPr>
        <w:t>from Stats NZ. Physical locations of EGMs provided by DIA.</w:t>
      </w:r>
    </w:p>
    <w:p w14:paraId="36FDE1C7" w14:textId="77777777" w:rsidR="00F9191A" w:rsidRDefault="00F9191A">
      <w:pPr>
        <w:rPr>
          <w:rFonts w:ascii="Calibri Light" w:eastAsia="Calibri" w:hAnsi="Calibri Light" w:cs="Calibri Light"/>
          <w:b/>
          <w:sz w:val="18"/>
          <w:szCs w:val="18"/>
        </w:rPr>
        <w:sectPr w:rsidR="00F9191A" w:rsidSect="00D2703C">
          <w:pgSz w:w="16838" w:h="11906" w:orient="landscape"/>
          <w:pgMar w:top="1134" w:right="1440" w:bottom="1440" w:left="1440" w:header="709" w:footer="0" w:gutter="0"/>
          <w:cols w:space="708"/>
          <w:titlePg/>
          <w:docGrid w:linePitch="360"/>
        </w:sectPr>
      </w:pPr>
      <w:r>
        <w:rPr>
          <w:rFonts w:ascii="Calibri Light" w:eastAsia="Calibri" w:hAnsi="Calibri Light" w:cs="Calibri Light"/>
          <w:b/>
          <w:sz w:val="18"/>
          <w:szCs w:val="18"/>
        </w:rPr>
        <w:br w:type="page"/>
      </w:r>
    </w:p>
    <w:p w14:paraId="2461A98B" w14:textId="2B225FDB" w:rsidR="00C25438" w:rsidRPr="00E20CA8" w:rsidRDefault="005326AB" w:rsidP="00E20CA8">
      <w:pPr>
        <w:pStyle w:val="Caption"/>
        <w:keepNext/>
        <w:spacing w:after="0" w:line="240" w:lineRule="auto"/>
        <w:ind w:hanging="142"/>
        <w:rPr>
          <w:color w:val="262626" w:themeColor="text1" w:themeTint="D9"/>
        </w:rPr>
      </w:pPr>
      <w:r>
        <w:rPr>
          <w:noProof/>
          <w:color w:val="262626" w:themeColor="text1" w:themeTint="D9"/>
        </w:rPr>
        <w:lastRenderedPageBreak/>
        <w:drawing>
          <wp:anchor distT="0" distB="0" distL="114300" distR="114300" simplePos="0" relativeHeight="251660290" behindDoc="0" locked="0" layoutInCell="1" allowOverlap="1" wp14:anchorId="60C429D3" wp14:editId="75E45B6E">
            <wp:simplePos x="0" y="0"/>
            <wp:positionH relativeFrom="page">
              <wp:posOffset>10723</wp:posOffset>
            </wp:positionH>
            <wp:positionV relativeFrom="paragraph">
              <wp:posOffset>-914400</wp:posOffset>
            </wp:positionV>
            <wp:extent cx="7540867" cy="10683433"/>
            <wp:effectExtent l="0" t="0" r="3175" b="381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540867" cy="10683433"/>
                    </a:xfrm>
                    <a:prstGeom prst="rect">
                      <a:avLst/>
                    </a:prstGeom>
                  </pic:spPr>
                </pic:pic>
              </a:graphicData>
            </a:graphic>
            <wp14:sizeRelH relativeFrom="page">
              <wp14:pctWidth>0</wp14:pctWidth>
            </wp14:sizeRelH>
            <wp14:sizeRelV relativeFrom="page">
              <wp14:pctHeight>0</wp14:pctHeight>
            </wp14:sizeRelV>
          </wp:anchor>
        </w:drawing>
      </w:r>
    </w:p>
    <w:sectPr w:rsidR="00C25438" w:rsidRPr="00E20CA8" w:rsidSect="00F9191A">
      <w:pgSz w:w="11906" w:h="16838"/>
      <w:pgMar w:top="1440" w:right="1440" w:bottom="1440"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D9792" w14:textId="77777777" w:rsidR="00682364" w:rsidRDefault="00682364" w:rsidP="007E2197">
      <w:pPr>
        <w:spacing w:after="0" w:line="240" w:lineRule="auto"/>
      </w:pPr>
      <w:r>
        <w:separator/>
      </w:r>
    </w:p>
  </w:endnote>
  <w:endnote w:type="continuationSeparator" w:id="0">
    <w:p w14:paraId="43112F02" w14:textId="77777777" w:rsidR="00682364" w:rsidRDefault="00682364" w:rsidP="007E2197">
      <w:pPr>
        <w:spacing w:after="0" w:line="240" w:lineRule="auto"/>
      </w:pPr>
      <w:r>
        <w:continuationSeparator/>
      </w:r>
    </w:p>
  </w:endnote>
  <w:endnote w:type="continuationNotice" w:id="1">
    <w:p w14:paraId="4DFA479C" w14:textId="77777777" w:rsidR="00682364" w:rsidRDefault="006823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Calibri"/>
    <w:charset w:val="00"/>
    <w:family w:val="swiss"/>
    <w:pitch w:val="variable"/>
    <w:sig w:usb0="E00002EF" w:usb1="4000205B" w:usb2="00000028" w:usb3="00000000" w:csb0="0000019F" w:csb1="00000000"/>
  </w:font>
  <w:font w:name="TimesNewRomanPSMT">
    <w:altName w:val="Yu Gothic"/>
    <w:panose1 w:val="00000000000000000000"/>
    <w:charset w:val="00"/>
    <w:family w:val="roman"/>
    <w:notTrueType/>
    <w:pitch w:val="default"/>
  </w:font>
  <w:font w:name="Gustan-Bol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871561"/>
      <w:docPartObj>
        <w:docPartGallery w:val="Page Numbers (Bottom of Page)"/>
        <w:docPartUnique/>
      </w:docPartObj>
    </w:sdtPr>
    <w:sdtEndPr>
      <w:rPr>
        <w:noProof/>
      </w:rPr>
    </w:sdtEndPr>
    <w:sdtContent>
      <w:p w14:paraId="0E1F6CE0" w14:textId="398419F3" w:rsidR="00886C05" w:rsidRDefault="00886C05">
        <w:pPr>
          <w:jc w:val="center"/>
        </w:pPr>
        <w:r>
          <w:fldChar w:fldCharType="begin"/>
        </w:r>
        <w:r>
          <w:instrText xml:space="preserve"> PAGE   \* MERGEFORMAT </w:instrText>
        </w:r>
        <w:r>
          <w:fldChar w:fldCharType="separate"/>
        </w:r>
        <w:r>
          <w:rPr>
            <w:noProof/>
          </w:rPr>
          <w:t>2</w:t>
        </w:r>
        <w:r>
          <w:rPr>
            <w:noProof/>
          </w:rPr>
          <w:fldChar w:fldCharType="end"/>
        </w:r>
      </w:p>
    </w:sdtContent>
  </w:sdt>
  <w:p w14:paraId="27D3F0E6" w14:textId="77777777" w:rsidR="00886C05" w:rsidRDefault="00886C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030713"/>
      <w:docPartObj>
        <w:docPartGallery w:val="Page Numbers (Bottom of Page)"/>
        <w:docPartUnique/>
      </w:docPartObj>
    </w:sdtPr>
    <w:sdtEndPr>
      <w:rPr>
        <w:noProof/>
      </w:rPr>
    </w:sdtEndPr>
    <w:sdtContent>
      <w:p w14:paraId="124553BA" w14:textId="7563ECB9" w:rsidR="00886C05" w:rsidRDefault="00886C05">
        <w:pPr>
          <w:jc w:val="center"/>
        </w:pPr>
        <w:r>
          <w:fldChar w:fldCharType="begin"/>
        </w:r>
        <w:r>
          <w:instrText xml:space="preserve"> PAGE   \* MERGEFORMAT </w:instrText>
        </w:r>
        <w:r>
          <w:fldChar w:fldCharType="separate"/>
        </w:r>
        <w:r>
          <w:rPr>
            <w:noProof/>
          </w:rPr>
          <w:t>2</w:t>
        </w:r>
        <w:r>
          <w:rPr>
            <w:noProof/>
          </w:rPr>
          <w:fldChar w:fldCharType="end"/>
        </w:r>
      </w:p>
    </w:sdtContent>
  </w:sdt>
  <w:p w14:paraId="387C43E4" w14:textId="77777777" w:rsidR="00886C05" w:rsidRDefault="00886C0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81082"/>
      <w:docPartObj>
        <w:docPartGallery w:val="Page Numbers (Bottom of Page)"/>
        <w:docPartUnique/>
      </w:docPartObj>
    </w:sdtPr>
    <w:sdtEndPr>
      <w:rPr>
        <w:noProof/>
      </w:rPr>
    </w:sdtEndPr>
    <w:sdtContent>
      <w:p w14:paraId="10B517AE" w14:textId="77777777" w:rsidR="00886C05" w:rsidRDefault="00886C05">
        <w:pPr>
          <w:jc w:val="center"/>
        </w:pPr>
        <w:r>
          <w:fldChar w:fldCharType="begin"/>
        </w:r>
        <w:r>
          <w:instrText xml:space="preserve"> PAGE   \* MERGEFORMAT </w:instrText>
        </w:r>
        <w:r>
          <w:fldChar w:fldCharType="separate"/>
        </w:r>
        <w:r>
          <w:rPr>
            <w:noProof/>
          </w:rPr>
          <w:t>2</w:t>
        </w:r>
        <w:r>
          <w:rPr>
            <w:noProof/>
          </w:rPr>
          <w:fldChar w:fldCharType="end"/>
        </w:r>
      </w:p>
    </w:sdtContent>
  </w:sdt>
  <w:p w14:paraId="0E5A23F0" w14:textId="77777777" w:rsidR="00886C05" w:rsidRPr="004E67B8" w:rsidRDefault="00886C05">
    <w:pP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746824"/>
      <w:docPartObj>
        <w:docPartGallery w:val="Page Numbers (Bottom of Page)"/>
        <w:docPartUnique/>
      </w:docPartObj>
    </w:sdtPr>
    <w:sdtEndPr>
      <w:rPr>
        <w:noProof/>
      </w:rPr>
    </w:sdtEndPr>
    <w:sdtContent>
      <w:p w14:paraId="7050DC74" w14:textId="77777777" w:rsidR="00886C05" w:rsidRDefault="00886C05">
        <w:pPr>
          <w:jc w:val="center"/>
        </w:pPr>
        <w:r>
          <w:fldChar w:fldCharType="begin"/>
        </w:r>
        <w:r>
          <w:instrText xml:space="preserve"> PAGE   \* MERGEFORMAT </w:instrText>
        </w:r>
        <w:r>
          <w:fldChar w:fldCharType="separate"/>
        </w:r>
        <w:r>
          <w:rPr>
            <w:noProof/>
          </w:rPr>
          <w:t>2</w:t>
        </w:r>
        <w:r>
          <w:rPr>
            <w:noProof/>
          </w:rPr>
          <w:fldChar w:fldCharType="end"/>
        </w:r>
      </w:p>
    </w:sdtContent>
  </w:sdt>
  <w:p w14:paraId="69263C35" w14:textId="77777777" w:rsidR="00886C05" w:rsidRDefault="00886C0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791078"/>
      <w:docPartObj>
        <w:docPartGallery w:val="Page Numbers (Bottom of Page)"/>
        <w:docPartUnique/>
      </w:docPartObj>
    </w:sdtPr>
    <w:sdtEndPr>
      <w:rPr>
        <w:noProof/>
      </w:rPr>
    </w:sdtEndPr>
    <w:sdtContent>
      <w:p w14:paraId="62FA7759" w14:textId="4252D079" w:rsidR="00886C05" w:rsidRDefault="00886C05">
        <w:pPr>
          <w:jc w:val="center"/>
        </w:pPr>
        <w:r>
          <w:fldChar w:fldCharType="begin"/>
        </w:r>
        <w:r>
          <w:instrText xml:space="preserve"> PAGE   \* MERGEFORMAT </w:instrText>
        </w:r>
        <w:r>
          <w:fldChar w:fldCharType="separate"/>
        </w:r>
        <w:r>
          <w:rPr>
            <w:noProof/>
          </w:rPr>
          <w:t>2</w:t>
        </w:r>
        <w:r>
          <w:rPr>
            <w:noProof/>
          </w:rPr>
          <w:fldChar w:fldCharType="end"/>
        </w:r>
      </w:p>
    </w:sdtContent>
  </w:sdt>
  <w:p w14:paraId="1DF95556" w14:textId="7F40612B" w:rsidR="00886C05" w:rsidRPr="004E67B8" w:rsidRDefault="00886C05">
    <w:pP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298874"/>
      <w:docPartObj>
        <w:docPartGallery w:val="Page Numbers (Bottom of Page)"/>
        <w:docPartUnique/>
      </w:docPartObj>
    </w:sdtPr>
    <w:sdtEndPr>
      <w:rPr>
        <w:noProof/>
      </w:rPr>
    </w:sdtEndPr>
    <w:sdtContent>
      <w:p w14:paraId="21578494" w14:textId="6BED8AB3" w:rsidR="00886C05" w:rsidRDefault="00886C05">
        <w:pPr>
          <w:jc w:val="center"/>
        </w:pPr>
        <w:r>
          <w:fldChar w:fldCharType="begin"/>
        </w:r>
        <w:r>
          <w:instrText xml:space="preserve"> PAGE   \* MERGEFORMAT </w:instrText>
        </w:r>
        <w:r>
          <w:fldChar w:fldCharType="separate"/>
        </w:r>
        <w:r>
          <w:rPr>
            <w:noProof/>
          </w:rPr>
          <w:t>2</w:t>
        </w:r>
        <w:r>
          <w:rPr>
            <w:noProof/>
          </w:rPr>
          <w:fldChar w:fldCharType="end"/>
        </w:r>
      </w:p>
    </w:sdtContent>
  </w:sdt>
  <w:p w14:paraId="68D06CAE" w14:textId="77777777" w:rsidR="00886C05" w:rsidRDefault="00886C0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476390"/>
      <w:docPartObj>
        <w:docPartGallery w:val="Page Numbers (Bottom of Page)"/>
        <w:docPartUnique/>
      </w:docPartObj>
    </w:sdtPr>
    <w:sdtEndPr>
      <w:rPr>
        <w:noProof/>
      </w:rPr>
    </w:sdtEndPr>
    <w:sdtContent>
      <w:p w14:paraId="3B193D91" w14:textId="77777777" w:rsidR="00217CEA" w:rsidRDefault="00217CEA">
        <w:pPr>
          <w:jc w:val="center"/>
        </w:pPr>
        <w:r>
          <w:fldChar w:fldCharType="begin"/>
        </w:r>
        <w:r>
          <w:instrText xml:space="preserve"> PAGE   \* MERGEFORMAT </w:instrText>
        </w:r>
        <w:r>
          <w:fldChar w:fldCharType="separate"/>
        </w:r>
        <w:r>
          <w:rPr>
            <w:noProof/>
          </w:rPr>
          <w:t>2</w:t>
        </w:r>
        <w:r>
          <w:rPr>
            <w:noProof/>
          </w:rPr>
          <w:fldChar w:fldCharType="end"/>
        </w:r>
      </w:p>
    </w:sdtContent>
  </w:sdt>
  <w:p w14:paraId="525BB13A" w14:textId="77777777" w:rsidR="00217CEA" w:rsidRPr="004E67B8" w:rsidRDefault="00217CEA">
    <w:pP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851756"/>
      <w:docPartObj>
        <w:docPartGallery w:val="Page Numbers (Bottom of Page)"/>
        <w:docPartUnique/>
      </w:docPartObj>
    </w:sdtPr>
    <w:sdtEndPr>
      <w:rPr>
        <w:noProof/>
      </w:rPr>
    </w:sdtEndPr>
    <w:sdtContent>
      <w:p w14:paraId="59F02AF2" w14:textId="77777777" w:rsidR="00217CEA" w:rsidRDefault="00217CEA">
        <w:pPr>
          <w:jc w:val="center"/>
        </w:pPr>
        <w:r>
          <w:fldChar w:fldCharType="begin"/>
        </w:r>
        <w:r>
          <w:instrText xml:space="preserve"> PAGE   \* MERGEFORMAT </w:instrText>
        </w:r>
        <w:r>
          <w:fldChar w:fldCharType="separate"/>
        </w:r>
        <w:r>
          <w:rPr>
            <w:noProof/>
          </w:rPr>
          <w:t>2</w:t>
        </w:r>
        <w:r>
          <w:rPr>
            <w:noProof/>
          </w:rPr>
          <w:fldChar w:fldCharType="end"/>
        </w:r>
      </w:p>
    </w:sdtContent>
  </w:sdt>
  <w:p w14:paraId="6DAC7B8D" w14:textId="77777777" w:rsidR="00217CEA" w:rsidRDefault="00217C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8BC2" w14:textId="77777777" w:rsidR="00682364" w:rsidRDefault="00682364" w:rsidP="007E2197">
      <w:pPr>
        <w:spacing w:after="0" w:line="240" w:lineRule="auto"/>
      </w:pPr>
      <w:r>
        <w:separator/>
      </w:r>
    </w:p>
  </w:footnote>
  <w:footnote w:type="continuationSeparator" w:id="0">
    <w:p w14:paraId="2432BE43" w14:textId="77777777" w:rsidR="00682364" w:rsidRDefault="00682364" w:rsidP="007E2197">
      <w:pPr>
        <w:spacing w:after="0" w:line="240" w:lineRule="auto"/>
      </w:pPr>
      <w:r>
        <w:continuationSeparator/>
      </w:r>
    </w:p>
  </w:footnote>
  <w:footnote w:type="continuationNotice" w:id="1">
    <w:p w14:paraId="76A57A14" w14:textId="77777777" w:rsidR="00682364" w:rsidRDefault="00682364">
      <w:pPr>
        <w:spacing w:after="0" w:line="240" w:lineRule="auto"/>
      </w:pPr>
    </w:p>
  </w:footnote>
  <w:footnote w:id="2">
    <w:p w14:paraId="4B7172F4" w14:textId="22E6D219" w:rsidR="00B0626B" w:rsidRDefault="00B0626B" w:rsidP="00E62DAB">
      <w:pPr>
        <w:pStyle w:val="Footnotes"/>
      </w:pPr>
      <w:r>
        <w:rPr>
          <w:rStyle w:val="FootnoteReference"/>
        </w:rPr>
        <w:footnoteRef/>
      </w:r>
      <w:r>
        <w:t xml:space="preserve"> </w:t>
      </w:r>
      <w:r w:rsidRPr="00B0626B">
        <w:t xml:space="preserve">Christopher Erwin, Gail </w:t>
      </w:r>
      <w:proofErr w:type="gramStart"/>
      <w:r w:rsidRPr="00B0626B">
        <w:t>Pacheco</w:t>
      </w:r>
      <w:proofErr w:type="gramEnd"/>
      <w:r w:rsidRPr="00B0626B">
        <w:t xml:space="preserve"> and Alexandra Turcu: NZ Work Research Institute, Faculty of Business, Economics, and Law,</w:t>
      </w:r>
      <w:r>
        <w:t xml:space="preserve"> </w:t>
      </w:r>
      <w:r w:rsidRPr="00B0626B">
        <w:t>Auckland University of Technology; Kirdan Lees: Sense Partners.</w:t>
      </w:r>
    </w:p>
  </w:footnote>
  <w:footnote w:id="3">
    <w:p w14:paraId="4AFFDCC7" w14:textId="77777777" w:rsidR="00866C5A" w:rsidRDefault="00866C5A" w:rsidP="00866C5A">
      <w:pPr>
        <w:pStyle w:val="FootnoteText"/>
        <w:numPr>
          <w:ilvl w:val="0"/>
          <w:numId w:val="0"/>
        </w:numPr>
        <w:ind w:left="576" w:hanging="576"/>
      </w:pPr>
      <w:r>
        <w:rPr>
          <w:rStyle w:val="FootnoteReference"/>
        </w:rPr>
        <w:footnoteRef/>
      </w:r>
      <w:r>
        <w:t xml:space="preserve"> </w:t>
      </w:r>
      <w:r w:rsidRPr="00866C5A">
        <w:t>Based on population estimates from the 2018 Census.</w:t>
      </w:r>
    </w:p>
  </w:footnote>
  <w:footnote w:id="4">
    <w:p w14:paraId="54C5A6E4" w14:textId="5CBCC08C" w:rsidR="00DB121A" w:rsidRDefault="00DB121A" w:rsidP="00DB121A">
      <w:pPr>
        <w:pStyle w:val="FootnoteText"/>
        <w:numPr>
          <w:ilvl w:val="0"/>
          <w:numId w:val="0"/>
        </w:numPr>
      </w:pPr>
      <w:r>
        <w:rPr>
          <w:rStyle w:val="FootnoteReference"/>
        </w:rPr>
        <w:footnoteRef/>
      </w:r>
      <w:r>
        <w:t xml:space="preserve"> </w:t>
      </w:r>
      <w:r w:rsidRPr="00DB121A">
        <w:t xml:space="preserve">There are four </w:t>
      </w:r>
      <w:r w:rsidR="00C04F96">
        <w:t xml:space="preserve">main </w:t>
      </w:r>
      <w:r w:rsidRPr="00DB121A">
        <w:t>types of gambling that contribute to harm in NZ: non-casino electronic gaming machines (EGMs); table games and EGMs at casinos; sports and race betting at Totalisator Agency Board (TAB) outlets; and lottery products from the NZ Lotteries Commission (Ministry of Health, 2019).</w:t>
      </w:r>
    </w:p>
  </w:footnote>
  <w:footnote w:id="5">
    <w:p w14:paraId="14D5972C" w14:textId="516683D3" w:rsidR="007E5A66" w:rsidRDefault="007E5A66" w:rsidP="00B34679">
      <w:pPr>
        <w:pStyle w:val="FootnoteText"/>
        <w:numPr>
          <w:ilvl w:val="0"/>
          <w:numId w:val="0"/>
        </w:numPr>
        <w:jc w:val="both"/>
      </w:pPr>
      <w:r>
        <w:rPr>
          <w:rStyle w:val="FootnoteReference"/>
        </w:rPr>
        <w:footnoteRef/>
      </w:r>
      <w:r>
        <w:t xml:space="preserve"> </w:t>
      </w:r>
      <w:r w:rsidRPr="00184AB4">
        <w:t>Classes of Gambling, NZ Department of Internal Affairs, online at https://www.dia.govt.nz/diawebsite.nsf/wpg_URL/Services-Casino-and-Non-Casino-Gaming-Classes-of-Gambling (accessed 18 July 2019).</w:t>
      </w:r>
      <w:r w:rsidR="0026359F">
        <w:t xml:space="preserve"> Note </w:t>
      </w:r>
      <w:r w:rsidR="00653457">
        <w:t xml:space="preserve">that although TAB outlets are regulated under </w:t>
      </w:r>
      <w:r w:rsidR="009D2062">
        <w:t xml:space="preserve">TAB policies at the TA level, </w:t>
      </w:r>
      <w:r w:rsidR="00F86124">
        <w:t>TABs that</w:t>
      </w:r>
      <w:r w:rsidR="009D2062">
        <w:t xml:space="preserve"> operate EGMs</w:t>
      </w:r>
      <w:r w:rsidR="00F86124">
        <w:t xml:space="preserve"> are considered Class 4 venues.</w:t>
      </w:r>
    </w:p>
  </w:footnote>
  <w:footnote w:id="6">
    <w:p w14:paraId="04D4ECE2" w14:textId="2A174A62" w:rsidR="00A674FB" w:rsidRDefault="00A674FB" w:rsidP="0019727A">
      <w:pPr>
        <w:pStyle w:val="FootnoteText"/>
        <w:numPr>
          <w:ilvl w:val="0"/>
          <w:numId w:val="0"/>
        </w:numPr>
        <w:jc w:val="both"/>
      </w:pPr>
      <w:r>
        <w:rPr>
          <w:rStyle w:val="FootnoteReference"/>
        </w:rPr>
        <w:footnoteRef/>
      </w:r>
      <w:r>
        <w:t xml:space="preserve"> </w:t>
      </w:r>
      <w:r w:rsidRPr="00A674FB">
        <w:t>Abbott (2006) studies EGM prevalence in Australia, noting that the positive relationship between the prevalence of EGMs and gambling participation appears to break down between six and ten EGMs per 1,000 adults.  He also finds that caps on EGMs and a reduction in EGMs have no effect on gambling participation.  Problem gambling associated with an increase in EGMs appears to be short-term in nature.</w:t>
      </w:r>
    </w:p>
  </w:footnote>
  <w:footnote w:id="7">
    <w:p w14:paraId="23720683" w14:textId="3B2E728E" w:rsidR="00F75072" w:rsidRDefault="00F75072" w:rsidP="006C10CD">
      <w:pPr>
        <w:pStyle w:val="FootnoteText"/>
        <w:numPr>
          <w:ilvl w:val="0"/>
          <w:numId w:val="0"/>
        </w:numPr>
        <w:jc w:val="both"/>
      </w:pPr>
      <w:r>
        <w:rPr>
          <w:rStyle w:val="FootnoteReference"/>
        </w:rPr>
        <w:footnoteRef/>
      </w:r>
      <w:r>
        <w:t xml:space="preserve"> </w:t>
      </w:r>
      <w:r w:rsidRPr="00F75072">
        <w:t>Strategy to Prevent and Minimise Gambling Harm 2016/17 to 2018/19, Ministry of Health, online at https://www.health.govt.nz/publication/strategy-prevent-and-minimise-gambling-harm-2016-17-2018-19 (access 24 July 2019).</w:t>
      </w:r>
    </w:p>
  </w:footnote>
  <w:footnote w:id="8">
    <w:p w14:paraId="0B87EAFA" w14:textId="77777777" w:rsidR="00676CF0" w:rsidRDefault="00676CF0" w:rsidP="000D6A90">
      <w:pPr>
        <w:pStyle w:val="FootnoteText"/>
        <w:numPr>
          <w:ilvl w:val="0"/>
          <w:numId w:val="0"/>
        </w:numPr>
        <w:jc w:val="both"/>
      </w:pPr>
      <w:r>
        <w:rPr>
          <w:rStyle w:val="FootnoteReference"/>
        </w:rPr>
        <w:footnoteRef/>
      </w:r>
      <w:r>
        <w:t xml:space="preserve"> </w:t>
      </w:r>
      <w:r w:rsidR="00CE314C">
        <w:t xml:space="preserve"> Most policies referred to in this section </w:t>
      </w:r>
      <w:r w:rsidR="009C3731">
        <w:t xml:space="preserve">are </w:t>
      </w:r>
      <w:r w:rsidR="00DA73EF">
        <w:t>with respect to</w:t>
      </w:r>
      <w:r w:rsidR="009C3731">
        <w:t xml:space="preserve"> EGMs outside of casinos</w:t>
      </w:r>
      <w:r w:rsidR="008028D8">
        <w:t xml:space="preserve">, given the </w:t>
      </w:r>
      <w:r w:rsidR="00DA73EF">
        <w:t xml:space="preserve">focus of our analysis. </w:t>
      </w:r>
      <w:r w:rsidR="00AE5E27">
        <w:t xml:space="preserve">A few relate </w:t>
      </w:r>
      <w:r w:rsidR="002402AD">
        <w:t xml:space="preserve">to </w:t>
      </w:r>
      <w:r w:rsidR="00AF5E20">
        <w:t>the combined group of casino and non-casino EGMs.</w:t>
      </w:r>
    </w:p>
  </w:footnote>
  <w:footnote w:id="9">
    <w:p w14:paraId="619BE9D0" w14:textId="1E3813A5" w:rsidR="003948FA" w:rsidRDefault="003948FA" w:rsidP="006C10CD">
      <w:pPr>
        <w:pStyle w:val="FootnoteText"/>
        <w:numPr>
          <w:ilvl w:val="0"/>
          <w:numId w:val="0"/>
        </w:numPr>
        <w:jc w:val="both"/>
      </w:pPr>
      <w:r>
        <w:rPr>
          <w:rStyle w:val="FootnoteReference"/>
        </w:rPr>
        <w:footnoteRef/>
      </w:r>
      <w:r>
        <w:t xml:space="preserve"> </w:t>
      </w:r>
      <w:r w:rsidR="00EA6268">
        <w:t>Note that</w:t>
      </w:r>
      <w:r w:rsidRPr="003948FA">
        <w:t xml:space="preserve"> not all jurisdictions use the term ‘EGM’. For </w:t>
      </w:r>
      <w:r w:rsidR="00B7063B">
        <w:t>example</w:t>
      </w:r>
      <w:r w:rsidRPr="003948FA">
        <w:t>, gaming machines are referred to as VLTs (Video Lottery Terminals) in Canada. We use the collective term of EGMs to encompass gambling machines internationally.</w:t>
      </w:r>
    </w:p>
  </w:footnote>
  <w:footnote w:id="10">
    <w:p w14:paraId="2CB6A67B" w14:textId="77777777" w:rsidR="00F2346C" w:rsidRDefault="00F2346C" w:rsidP="00F2346C">
      <w:pPr>
        <w:pStyle w:val="FootnoteText"/>
        <w:numPr>
          <w:ilvl w:val="0"/>
          <w:numId w:val="0"/>
        </w:numPr>
        <w:jc w:val="both"/>
      </w:pPr>
      <w:r>
        <w:rPr>
          <w:rStyle w:val="FootnoteReference"/>
        </w:rPr>
        <w:footnoteRef/>
      </w:r>
      <w:r>
        <w:t xml:space="preserve"> </w:t>
      </w:r>
      <w:r w:rsidRPr="00C37AD8">
        <w:t xml:space="preserve">One variant of bans is a temporal restriction </w:t>
      </w:r>
      <w:r>
        <w:t>with respect</w:t>
      </w:r>
      <w:r w:rsidRPr="00C37AD8">
        <w:t xml:space="preserve"> to access hours. For example, regulation </w:t>
      </w:r>
      <w:r>
        <w:t>restricting</w:t>
      </w:r>
      <w:r w:rsidRPr="00C37AD8">
        <w:t xml:space="preserve"> opening hours.</w:t>
      </w:r>
    </w:p>
  </w:footnote>
  <w:footnote w:id="11">
    <w:p w14:paraId="1069A01A" w14:textId="091DFD37" w:rsidR="007F19BB" w:rsidRDefault="007F19BB" w:rsidP="0079646B">
      <w:pPr>
        <w:pStyle w:val="FootnoteText"/>
        <w:numPr>
          <w:ilvl w:val="0"/>
          <w:numId w:val="0"/>
        </w:numPr>
      </w:pPr>
      <w:r>
        <w:rPr>
          <w:rStyle w:val="FootnoteReference"/>
        </w:rPr>
        <w:footnoteRef/>
      </w:r>
      <w:r>
        <w:t xml:space="preserve"> See </w:t>
      </w:r>
      <w:r w:rsidR="00F06695">
        <w:t xml:space="preserve">Australian </w:t>
      </w:r>
      <w:r>
        <w:t>Productivity Commission (2010)</w:t>
      </w:r>
      <w:r w:rsidR="00DB1B9E">
        <w:t>.</w:t>
      </w:r>
    </w:p>
  </w:footnote>
  <w:footnote w:id="12">
    <w:p w14:paraId="3F5FA4EF" w14:textId="58245322" w:rsidR="007064AA" w:rsidRDefault="007064AA" w:rsidP="00DB1B9E">
      <w:pPr>
        <w:pStyle w:val="FootnoteText"/>
        <w:numPr>
          <w:ilvl w:val="0"/>
          <w:numId w:val="0"/>
        </w:numPr>
        <w:jc w:val="both"/>
      </w:pPr>
      <w:r>
        <w:rPr>
          <w:rStyle w:val="FootnoteReference"/>
        </w:rPr>
        <w:footnoteRef/>
      </w:r>
      <w:r>
        <w:t xml:space="preserve"> </w:t>
      </w:r>
      <w:r w:rsidRPr="007064AA">
        <w:t xml:space="preserve">There are few exceptions to this age range. For example, according to section 48 of the UK Gambling Act 2005, </w:t>
      </w:r>
      <w:proofErr w:type="gramStart"/>
      <w:r w:rsidRPr="007064AA">
        <w:t>16</w:t>
      </w:r>
      <w:r w:rsidR="00515441" w:rsidRPr="007064AA">
        <w:t>-</w:t>
      </w:r>
      <w:r w:rsidRPr="007064AA">
        <w:t>year olds</w:t>
      </w:r>
      <w:proofErr w:type="gramEnd"/>
      <w:r w:rsidRPr="007064AA">
        <w:t xml:space="preserve"> can participate in the lottery, football pools, and use Category D gaming machines (UK Gambling Act, 2005).</w:t>
      </w:r>
    </w:p>
  </w:footnote>
  <w:footnote w:id="13">
    <w:p w14:paraId="7954B5BF" w14:textId="1BCE32FC" w:rsidR="007064AA" w:rsidRDefault="007064AA" w:rsidP="00DB1B9E">
      <w:pPr>
        <w:pStyle w:val="FootnoteText"/>
        <w:numPr>
          <w:ilvl w:val="0"/>
          <w:numId w:val="0"/>
        </w:numPr>
        <w:jc w:val="both"/>
      </w:pPr>
      <w:r>
        <w:rPr>
          <w:rStyle w:val="FootnoteReference"/>
        </w:rPr>
        <w:footnoteRef/>
      </w:r>
      <w:r>
        <w:t xml:space="preserve"> </w:t>
      </w:r>
      <w:r>
        <w:rPr>
          <w:szCs w:val="18"/>
        </w:rPr>
        <w:t>The penalty options for violating AGLC policies and guidelines include termination of the Video Lottery Agreement by AGLC, as well as suspension of the venue’s ability to operate the EGM equipment (AGLC, 2020).</w:t>
      </w:r>
    </w:p>
  </w:footnote>
  <w:footnote w:id="14">
    <w:p w14:paraId="06585F26" w14:textId="77777777" w:rsidR="002809E2" w:rsidRDefault="002809E2" w:rsidP="002809E2">
      <w:pPr>
        <w:pStyle w:val="FootnoteText"/>
        <w:numPr>
          <w:ilvl w:val="0"/>
          <w:numId w:val="0"/>
        </w:numPr>
        <w:ind w:left="576" w:hanging="576"/>
      </w:pPr>
      <w:r>
        <w:rPr>
          <w:rStyle w:val="FootnoteReference"/>
        </w:rPr>
        <w:footnoteRef/>
      </w:r>
      <w:r>
        <w:t xml:space="preserve"> Given the focus of this research, w</w:t>
      </w:r>
      <w:r w:rsidRPr="0093416E">
        <w:t>e do not delve into the vast literature on the impact of availability of casinos.</w:t>
      </w:r>
    </w:p>
  </w:footnote>
  <w:footnote w:id="15">
    <w:p w14:paraId="3ED041AF" w14:textId="2A8A5ED7" w:rsidR="00900A10" w:rsidRDefault="00900A10" w:rsidP="00900A10">
      <w:pPr>
        <w:pStyle w:val="FootnoteText"/>
        <w:numPr>
          <w:ilvl w:val="0"/>
          <w:numId w:val="0"/>
        </w:numPr>
      </w:pPr>
      <w:r>
        <w:rPr>
          <w:rStyle w:val="FootnoteReference"/>
        </w:rPr>
        <w:footnoteRef/>
      </w:r>
      <w:r>
        <w:t xml:space="preserve"> </w:t>
      </w:r>
      <w:r w:rsidRPr="00900A10">
        <w:t>Measured by expenditure as a percentage of total income.</w:t>
      </w:r>
    </w:p>
  </w:footnote>
  <w:footnote w:id="16">
    <w:p w14:paraId="52DC318A" w14:textId="1CB28D06" w:rsidR="00900A10" w:rsidRDefault="00900A10" w:rsidP="00BC5C2D">
      <w:pPr>
        <w:pStyle w:val="FootnoteText"/>
        <w:numPr>
          <w:ilvl w:val="0"/>
          <w:numId w:val="0"/>
        </w:numPr>
        <w:jc w:val="both"/>
      </w:pPr>
      <w:r>
        <w:rPr>
          <w:rStyle w:val="FootnoteReference"/>
        </w:rPr>
        <w:footnoteRef/>
      </w:r>
      <w:r>
        <w:t xml:space="preserve"> </w:t>
      </w:r>
      <w:r w:rsidRPr="00900A10">
        <w:t>One area had an increase in the number of machines during the study period, the hotspot in that locality also experienced a decline in relative gambling intensity.</w:t>
      </w:r>
    </w:p>
  </w:footnote>
  <w:footnote w:id="17">
    <w:p w14:paraId="5EF38E90" w14:textId="52BDC2E8" w:rsidR="00900A10" w:rsidRDefault="00900A10" w:rsidP="00900A10">
      <w:pPr>
        <w:pStyle w:val="FootnoteText"/>
        <w:numPr>
          <w:ilvl w:val="0"/>
          <w:numId w:val="0"/>
        </w:numPr>
      </w:pPr>
      <w:r>
        <w:rPr>
          <w:rStyle w:val="FootnoteReference"/>
        </w:rPr>
        <w:footnoteRef/>
      </w:r>
      <w:r>
        <w:t xml:space="preserve"> The ban lasted only 3 months.</w:t>
      </w:r>
    </w:p>
  </w:footnote>
  <w:footnote w:id="18">
    <w:p w14:paraId="391218C3" w14:textId="7770CADD" w:rsidR="00900A10" w:rsidRDefault="00900A10" w:rsidP="00900A10">
      <w:pPr>
        <w:pStyle w:val="FootnoteText"/>
        <w:numPr>
          <w:ilvl w:val="0"/>
          <w:numId w:val="0"/>
        </w:numPr>
      </w:pPr>
      <w:r>
        <w:rPr>
          <w:rStyle w:val="FootnoteReference"/>
        </w:rPr>
        <w:footnoteRef/>
      </w:r>
      <w:r>
        <w:t xml:space="preserve"> </w:t>
      </w:r>
      <w:r w:rsidRPr="00900A10">
        <w:t xml:space="preserve">It is notable that while non-casino EGM numbers decreased </w:t>
      </w:r>
      <w:proofErr w:type="gramStart"/>
      <w:r w:rsidRPr="00900A10">
        <w:t>as a result of</w:t>
      </w:r>
      <w:proofErr w:type="gramEnd"/>
      <w:r w:rsidRPr="00900A10">
        <w:t xml:space="preserve"> the ban, the number of casino licences increased by 19, possibly confounding the results.</w:t>
      </w:r>
    </w:p>
  </w:footnote>
  <w:footnote w:id="19">
    <w:p w14:paraId="278B6AB7" w14:textId="52B41294" w:rsidR="005E551C" w:rsidRPr="002551E9" w:rsidRDefault="005E551C" w:rsidP="00950569">
      <w:pPr>
        <w:spacing w:after="0" w:line="240" w:lineRule="auto"/>
        <w:jc w:val="both"/>
      </w:pPr>
      <w:r w:rsidRPr="002551E9">
        <w:rPr>
          <w:rStyle w:val="FootnoteReference"/>
          <w:sz w:val="18"/>
          <w:szCs w:val="18"/>
        </w:rPr>
        <w:footnoteRef/>
      </w:r>
      <w:r w:rsidRPr="002551E9">
        <w:rPr>
          <w:sz w:val="18"/>
          <w:szCs w:val="18"/>
        </w:rPr>
        <w:t xml:space="preserve"> </w:t>
      </w:r>
      <w:r w:rsidR="00BB0972" w:rsidRPr="002551E9">
        <w:rPr>
          <w:sz w:val="18"/>
          <w:szCs w:val="18"/>
        </w:rPr>
        <w:t xml:space="preserve">It </w:t>
      </w:r>
      <w:r w:rsidR="00FA05CF" w:rsidRPr="002551E9">
        <w:rPr>
          <w:sz w:val="18"/>
          <w:szCs w:val="18"/>
        </w:rPr>
        <w:t>is necessary</w:t>
      </w:r>
      <w:r w:rsidR="00BB0972" w:rsidRPr="002551E9">
        <w:rPr>
          <w:sz w:val="18"/>
          <w:szCs w:val="18"/>
        </w:rPr>
        <w:t xml:space="preserve"> to note the importance</w:t>
      </w:r>
      <w:r w:rsidRPr="002551E9">
        <w:rPr>
          <w:sz w:val="18"/>
          <w:szCs w:val="18"/>
        </w:rPr>
        <w:t xml:space="preserve"> of ensuring our outcomes of interest account for population size and inflation changes over time. </w:t>
      </w:r>
      <w:r w:rsidR="00715AEB" w:rsidRPr="002551E9">
        <w:rPr>
          <w:sz w:val="18"/>
          <w:szCs w:val="18"/>
        </w:rPr>
        <w:t xml:space="preserve">For example, the change in GMP over our sample timeframe would </w:t>
      </w:r>
      <w:r w:rsidR="005A5B3F" w:rsidRPr="002551E9">
        <w:rPr>
          <w:sz w:val="18"/>
          <w:szCs w:val="18"/>
        </w:rPr>
        <w:t>be an increase of 13.</w:t>
      </w:r>
      <w:r w:rsidR="00D40A92" w:rsidRPr="002551E9">
        <w:rPr>
          <w:sz w:val="18"/>
          <w:szCs w:val="18"/>
        </w:rPr>
        <w:t>2</w:t>
      </w:r>
      <w:r w:rsidR="005A5B3F" w:rsidRPr="002551E9">
        <w:rPr>
          <w:sz w:val="18"/>
          <w:szCs w:val="18"/>
        </w:rPr>
        <w:t xml:space="preserve">% if not adjusted for population and inflation; and if </w:t>
      </w:r>
      <w:r w:rsidR="00B05620" w:rsidRPr="002551E9">
        <w:rPr>
          <w:sz w:val="18"/>
          <w:szCs w:val="18"/>
        </w:rPr>
        <w:t>only adjusted for inflation</w:t>
      </w:r>
      <w:r w:rsidRPr="002551E9">
        <w:rPr>
          <w:sz w:val="18"/>
          <w:szCs w:val="18"/>
        </w:rPr>
        <w:t xml:space="preserve"> </w:t>
      </w:r>
      <w:r w:rsidR="00B05620" w:rsidRPr="002551E9">
        <w:rPr>
          <w:sz w:val="18"/>
          <w:szCs w:val="18"/>
        </w:rPr>
        <w:t>(</w:t>
      </w:r>
      <w:r w:rsidRPr="002551E9">
        <w:rPr>
          <w:sz w:val="18"/>
          <w:szCs w:val="18"/>
        </w:rPr>
        <w:t>in 201</w:t>
      </w:r>
      <w:r w:rsidR="00DE6D8D" w:rsidRPr="002551E9">
        <w:rPr>
          <w:sz w:val="18"/>
          <w:szCs w:val="18"/>
        </w:rPr>
        <w:t>9</w:t>
      </w:r>
      <w:r w:rsidRPr="002551E9">
        <w:rPr>
          <w:sz w:val="18"/>
          <w:szCs w:val="18"/>
        </w:rPr>
        <w:t xml:space="preserve"> dollars</w:t>
      </w:r>
      <w:r w:rsidR="00B05620" w:rsidRPr="002551E9">
        <w:rPr>
          <w:sz w:val="18"/>
          <w:szCs w:val="18"/>
        </w:rPr>
        <w:t xml:space="preserve">), the change would </w:t>
      </w:r>
      <w:r w:rsidR="004541FA" w:rsidRPr="002551E9">
        <w:rPr>
          <w:sz w:val="18"/>
          <w:szCs w:val="18"/>
        </w:rPr>
        <w:t xml:space="preserve">be an </w:t>
      </w:r>
      <w:r w:rsidR="002D67D0" w:rsidRPr="002551E9">
        <w:rPr>
          <w:sz w:val="18"/>
          <w:szCs w:val="18"/>
        </w:rPr>
        <w:t>increase of 0.97%</w:t>
      </w:r>
      <w:r w:rsidR="004577E2" w:rsidRPr="002551E9">
        <w:rPr>
          <w:sz w:val="18"/>
          <w:szCs w:val="18"/>
        </w:rPr>
        <w:t>.</w:t>
      </w:r>
    </w:p>
  </w:footnote>
  <w:footnote w:id="20">
    <w:p w14:paraId="021523BC" w14:textId="6139A2B0" w:rsidR="00B0653D" w:rsidRPr="00534D29" w:rsidRDefault="00B0653D">
      <w:pPr>
        <w:pStyle w:val="FootnoteText"/>
        <w:numPr>
          <w:ilvl w:val="0"/>
          <w:numId w:val="0"/>
        </w:numPr>
        <w:jc w:val="both"/>
        <w:rPr>
          <w14:textFill>
            <w14:solidFill>
              <w14:schemeClr w14:val="tx1">
                <w14:lumMod w14:val="85000"/>
                <w14:lumOff w14:val="15000"/>
                <w14:lumMod w14:val="85000"/>
                <w14:lumOff w14:val="15000"/>
                <w14:lumMod w14:val="85000"/>
              </w14:schemeClr>
            </w14:solidFill>
          </w14:textFill>
        </w:rPr>
      </w:pPr>
      <w:r w:rsidRPr="002551E9">
        <w:rPr>
          <w:rStyle w:val="FootnoteReference"/>
          <w14:textFill>
            <w14:solidFill>
              <w14:schemeClr w14:val="tx1">
                <w14:lumMod w14:val="85000"/>
                <w14:lumOff w14:val="15000"/>
                <w14:lumMod w14:val="85000"/>
                <w14:lumOff w14:val="15000"/>
                <w14:lumMod w14:val="85000"/>
              </w14:schemeClr>
            </w14:solidFill>
          </w14:textFill>
        </w:rPr>
        <w:footnoteRef/>
      </w:r>
      <w:r w:rsidRPr="002551E9">
        <w:rPr>
          <w14:textFill>
            <w14:solidFill>
              <w14:schemeClr w14:val="tx1">
                <w14:lumMod w14:val="85000"/>
                <w14:lumOff w14:val="15000"/>
                <w14:lumMod w14:val="85000"/>
                <w14:lumOff w14:val="15000"/>
                <w14:lumMod w14:val="85000"/>
              </w14:schemeClr>
            </w14:solidFill>
          </w14:textFill>
        </w:rPr>
        <w:t xml:space="preserve"> Dataset: Subnational population estimates (TA), by age and sex (using 2019 boundaries).</w:t>
      </w:r>
    </w:p>
  </w:footnote>
  <w:footnote w:id="21">
    <w:p w14:paraId="5A019775" w14:textId="6A386463" w:rsidR="00FF219D" w:rsidRPr="00C12A55" w:rsidRDefault="00FF219D" w:rsidP="002342ED">
      <w:pPr>
        <w:pStyle w:val="FootnoteText"/>
        <w:numPr>
          <w:ilvl w:val="0"/>
          <w:numId w:val="0"/>
        </w:numPr>
        <w:ind w:left="576" w:hanging="576"/>
        <w:jc w:val="both"/>
        <w:rPr>
          <w14:textFill>
            <w14:solidFill>
              <w14:schemeClr w14:val="tx1">
                <w14:lumMod w14:val="85000"/>
                <w14:lumOff w14:val="15000"/>
                <w14:lumMod w14:val="85000"/>
                <w14:lumOff w14:val="15000"/>
                <w14:lumMod w14:val="85000"/>
              </w14:schemeClr>
            </w14:solidFill>
          </w14:textFill>
        </w:rPr>
      </w:pPr>
      <w:r w:rsidRPr="00C12A55">
        <w:rPr>
          <w:rStyle w:val="FootnoteReference"/>
          <w14:textFill>
            <w14:solidFill>
              <w14:schemeClr w14:val="tx1">
                <w14:lumMod w14:val="85000"/>
                <w14:lumOff w14:val="15000"/>
                <w14:lumMod w14:val="85000"/>
                <w14:lumOff w14:val="15000"/>
                <w14:lumMod w14:val="85000"/>
              </w14:schemeClr>
            </w14:solidFill>
          </w14:textFill>
        </w:rPr>
        <w:footnoteRef/>
      </w:r>
      <w:r w:rsidRPr="00C12A55">
        <w:rPr>
          <w14:textFill>
            <w14:solidFill>
              <w14:schemeClr w14:val="tx1">
                <w14:lumMod w14:val="85000"/>
                <w14:lumOff w14:val="15000"/>
                <w14:lumMod w14:val="85000"/>
                <w14:lumOff w14:val="15000"/>
                <w14:lumMod w14:val="85000"/>
              </w14:schemeClr>
            </w14:solidFill>
          </w14:textFill>
        </w:rPr>
        <w:t xml:space="preserve"> </w:t>
      </w:r>
      <w:r w:rsidRPr="00C12A55">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 xml:space="preserve">Using </w:t>
      </w:r>
      <w:r w:rsidR="00DC47AE">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the method described in</w:t>
      </w:r>
      <w:r w:rsidRPr="00C12A55">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 xml:space="preserve"> Forsythe, Malcolm and </w:t>
      </w:r>
      <w:proofErr w:type="spellStart"/>
      <w:r w:rsidRPr="00C12A55">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Moler</w:t>
      </w:r>
      <w:proofErr w:type="spellEnd"/>
      <w:r w:rsidRPr="00C12A55">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 xml:space="preserve"> </w:t>
      </w:r>
      <w:r w:rsidR="00A40233">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w:t>
      </w:r>
      <w:r w:rsidRPr="00C12A55">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1977</w:t>
      </w:r>
      <w:r w:rsidR="00A40233">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w:t>
      </w:r>
      <w:r w:rsidRPr="00C12A55">
        <w:rPr>
          <w:rStyle w:val="gmail-normaltextrun"/>
          <w:rFonts w:ascii="Calibri Light" w:hAnsi="Calibri Light" w:cs="Calibri Light"/>
          <w14:textFill>
            <w14:solidFill>
              <w14:schemeClr w14:val="tx1">
                <w14:lumMod w14:val="85000"/>
                <w14:lumOff w14:val="15000"/>
                <w14:lumMod w14:val="85000"/>
                <w14:lumOff w14:val="15000"/>
                <w14:lumMod w14:val="85000"/>
              </w14:schemeClr>
            </w14:solidFill>
          </w14:textFill>
        </w:rPr>
        <w:t>.</w:t>
      </w:r>
    </w:p>
  </w:footnote>
  <w:footnote w:id="22">
    <w:p w14:paraId="464A59B0" w14:textId="78166761" w:rsidR="00B0653D" w:rsidRDefault="00B0653D" w:rsidP="002342ED">
      <w:pPr>
        <w:pStyle w:val="FootnoteText"/>
        <w:numPr>
          <w:ilvl w:val="0"/>
          <w:numId w:val="0"/>
        </w:numPr>
        <w:jc w:val="both"/>
      </w:pPr>
      <w:r w:rsidRPr="00534D29">
        <w:rPr>
          <w:rStyle w:val="FootnoteReference"/>
          <w14:textFill>
            <w14:solidFill>
              <w14:schemeClr w14:val="tx1">
                <w14:lumMod w14:val="85000"/>
                <w14:lumOff w14:val="15000"/>
                <w14:lumMod w14:val="85000"/>
                <w14:lumOff w14:val="15000"/>
                <w14:lumMod w14:val="85000"/>
              </w14:schemeClr>
            </w14:solidFill>
          </w14:textFill>
        </w:rPr>
        <w:footnoteRef/>
      </w:r>
      <w:r w:rsidRPr="00534D29">
        <w:rPr>
          <w14:textFill>
            <w14:solidFill>
              <w14:schemeClr w14:val="tx1">
                <w14:lumMod w14:val="85000"/>
                <w14:lumOff w14:val="15000"/>
                <w14:lumMod w14:val="85000"/>
                <w14:lumOff w14:val="15000"/>
                <w14:lumMod w14:val="85000"/>
              </w14:schemeClr>
            </w14:solidFill>
          </w14:textFill>
        </w:rPr>
        <w:t xml:space="preserve"> The annual nature of the dataset is due to our available demographic information from Stats NZ being annual. Nonetheless, when we estimate the empirical models using quarterly data and omitting demographic covariates, our findings are qualitatively similar.</w:t>
      </w:r>
    </w:p>
  </w:footnote>
  <w:footnote w:id="23">
    <w:p w14:paraId="2A6D43C5" w14:textId="5FD03EB2" w:rsidR="00F070FB" w:rsidRDefault="00F070FB" w:rsidP="00950569">
      <w:pPr>
        <w:pStyle w:val="Footnotes"/>
      </w:pPr>
      <w:r>
        <w:rPr>
          <w:rStyle w:val="FootnoteReference"/>
        </w:rPr>
        <w:footnoteRef/>
      </w:r>
      <w:r>
        <w:t xml:space="preserve"> </w:t>
      </w:r>
      <w:r w:rsidR="005953C9">
        <w:t>T</w:t>
      </w:r>
      <w:r w:rsidR="005953C9" w:rsidRPr="005953C9">
        <w:t xml:space="preserve">he means for the four </w:t>
      </w:r>
      <w:r w:rsidR="008D7ABD">
        <w:t xml:space="preserve">gambling policy </w:t>
      </w:r>
      <w:r w:rsidR="005953C9" w:rsidRPr="005953C9">
        <w:t xml:space="preserve">groups represent the proportion of </w:t>
      </w:r>
      <w:r w:rsidR="0027589C">
        <w:t xml:space="preserve">each </w:t>
      </w:r>
      <w:r w:rsidR="005953C9" w:rsidRPr="005953C9">
        <w:t>group in the sample</w:t>
      </w:r>
      <w:r w:rsidR="0040302F">
        <w:t>.</w:t>
      </w:r>
    </w:p>
  </w:footnote>
  <w:footnote w:id="24">
    <w:p w14:paraId="382B4C39" w14:textId="24210344" w:rsidR="00F95CC4" w:rsidRDefault="00F95CC4" w:rsidP="00F95CC4">
      <w:pPr>
        <w:pStyle w:val="FootnoteText"/>
        <w:numPr>
          <w:ilvl w:val="0"/>
          <w:numId w:val="0"/>
        </w:numPr>
        <w:ind w:left="576" w:hanging="576"/>
      </w:pPr>
      <w:r>
        <w:rPr>
          <w:rStyle w:val="FootnoteReference"/>
        </w:rPr>
        <w:footnoteRef/>
      </w:r>
      <w:r>
        <w:t xml:space="preserve"> We follow the aggregation </w:t>
      </w:r>
      <w:r w:rsidR="002D5D05">
        <w:t>process recommended by Atkinson et al (2019).</w:t>
      </w:r>
    </w:p>
  </w:footnote>
  <w:footnote w:id="25">
    <w:p w14:paraId="77B05866" w14:textId="107009CD" w:rsidR="009D7B1E" w:rsidRDefault="009D7B1E" w:rsidP="00F10E9A">
      <w:pPr>
        <w:pStyle w:val="FootnoteText"/>
        <w:numPr>
          <w:ilvl w:val="0"/>
          <w:numId w:val="0"/>
        </w:numPr>
        <w:jc w:val="both"/>
      </w:pPr>
      <w:r>
        <w:rPr>
          <w:rStyle w:val="FootnoteReference"/>
        </w:rPr>
        <w:footnoteRef/>
      </w:r>
      <w:r>
        <w:t xml:space="preserve"> Derived from </w:t>
      </w:r>
      <w:r w:rsidR="00C253C6">
        <w:t>modelled TA</w:t>
      </w:r>
      <w:r w:rsidR="003A08A9">
        <w:t>-level</w:t>
      </w:r>
      <w:r w:rsidR="00C253C6">
        <w:t xml:space="preserve"> </w:t>
      </w:r>
      <w:r w:rsidR="00BD4C58">
        <w:t>GDP</w:t>
      </w:r>
      <w:r w:rsidR="00BD4C58" w:rsidRPr="00F10E9A">
        <w:rPr>
          <w:szCs w:val="18"/>
        </w:rPr>
        <w:t xml:space="preserve"> estimates</w:t>
      </w:r>
      <w:r w:rsidR="00F10E9A" w:rsidRPr="00F10E9A">
        <w:rPr>
          <w:szCs w:val="18"/>
        </w:rPr>
        <w:t xml:space="preserve"> at </w:t>
      </w:r>
      <w:hyperlink r:id="rId1" w:history="1">
        <w:r w:rsidR="00F10E9A" w:rsidRPr="00F10E9A">
          <w:rPr>
            <w:color w:val="0000FF"/>
            <w:szCs w:val="18"/>
            <w:u w:val="single"/>
            <w14:textFill>
              <w14:solidFill>
                <w14:srgbClr w14:val="0000FF">
                  <w14:lumMod w14:val="85000"/>
                  <w14:lumOff w14:val="15000"/>
                  <w14:lumMod w14:val="85000"/>
                  <w14:lumOff w14:val="15000"/>
                  <w14:lumMod w14:val="75000"/>
                </w14:srgbClr>
              </w14:solidFill>
            </w14:textFill>
          </w:rPr>
          <w:t>https://www.mbie.govt.nz/business-and-employment/economic-development/regional-economic-development/modelled-territorial-authority-gross-domestic-product/</w:t>
        </w:r>
      </w:hyperlink>
    </w:p>
  </w:footnote>
  <w:footnote w:id="26">
    <w:p w14:paraId="56E1AC67" w14:textId="55875066" w:rsidR="000441D0" w:rsidRDefault="000441D0" w:rsidP="00BC5C2D">
      <w:pPr>
        <w:pStyle w:val="FootnoteText"/>
        <w:numPr>
          <w:ilvl w:val="0"/>
          <w:numId w:val="0"/>
        </w:numPr>
        <w:jc w:val="both"/>
      </w:pPr>
      <w:r>
        <w:rPr>
          <w:rStyle w:val="FootnoteReference"/>
        </w:rPr>
        <w:footnoteRef/>
      </w:r>
      <w:r>
        <w:t xml:space="preserve"> </w:t>
      </w:r>
      <w:r w:rsidRPr="000441D0">
        <w:t>According to section 101 of the Act, TAs needed to adopt a Class 4 venue policy within 6 months of the section’s commencement (3 September 2003).</w:t>
      </w:r>
    </w:p>
  </w:footnote>
  <w:footnote w:id="27">
    <w:p w14:paraId="196265EB" w14:textId="52DA3116" w:rsidR="00BB5880" w:rsidRDefault="00BB5880" w:rsidP="00A14E34">
      <w:pPr>
        <w:pStyle w:val="FootnoteText"/>
        <w:numPr>
          <w:ilvl w:val="0"/>
          <w:numId w:val="0"/>
        </w:numPr>
        <w:jc w:val="both"/>
      </w:pPr>
      <w:r>
        <w:rPr>
          <w:rStyle w:val="FootnoteReference"/>
        </w:rPr>
        <w:footnoteRef/>
      </w:r>
      <w:r>
        <w:t xml:space="preserve"> Note that a Wald test of the sum of the contemporaneous and lagged coefficients </w:t>
      </w:r>
      <w:r w:rsidR="0085587E">
        <w:t xml:space="preserve">is statistically significant </w:t>
      </w:r>
      <w:r w:rsidR="007875E6">
        <w:t>at the 1</w:t>
      </w:r>
      <w:r w:rsidR="00551D51">
        <w:t xml:space="preserve"> percent</w:t>
      </w:r>
      <w:r w:rsidR="007875E6">
        <w:t xml:space="preserve"> level, regardless of whether focussing on the impact of absolute cap, per capita cap or sinking lid</w:t>
      </w:r>
      <w:r w:rsidR="00DE2832">
        <w:t>; on machine spending.</w:t>
      </w:r>
    </w:p>
  </w:footnote>
  <w:footnote w:id="28">
    <w:p w14:paraId="4739C749" w14:textId="2527A0D9" w:rsidR="00173BA1" w:rsidRDefault="00173BA1" w:rsidP="007B497B">
      <w:pPr>
        <w:pStyle w:val="Footnotes"/>
        <w:jc w:val="both"/>
      </w:pPr>
      <w:r>
        <w:rPr>
          <w:rStyle w:val="FootnoteReference"/>
        </w:rPr>
        <w:footnoteRef/>
      </w:r>
      <w:r>
        <w:t xml:space="preserve"> </w:t>
      </w:r>
      <w:r w:rsidR="002D759C">
        <w:t>The</w:t>
      </w:r>
      <w:r w:rsidR="00B832BF">
        <w:t>re is also a</w:t>
      </w:r>
      <w:r w:rsidR="004F0D39">
        <w:t xml:space="preserve"> follow-up service offered to clients </w:t>
      </w:r>
      <w:r w:rsidR="00CF0269">
        <w:t>after they have completed a full service</w:t>
      </w:r>
      <w:r w:rsidR="00751A42">
        <w:t xml:space="preserve"> and have been</w:t>
      </w:r>
      <w:r w:rsidR="00C642F9">
        <w:t xml:space="preserve"> identified as suffering problem gambling related harm</w:t>
      </w:r>
      <w:r w:rsidR="00751A42">
        <w:t>.</w:t>
      </w:r>
    </w:p>
  </w:footnote>
  <w:footnote w:id="29">
    <w:p w14:paraId="2A1F116E" w14:textId="3534BD2A" w:rsidR="00824D4F" w:rsidRPr="00FC7C04" w:rsidRDefault="00824D4F" w:rsidP="00824D4F">
      <w:pPr>
        <w:pStyle w:val="Sensebody"/>
        <w:spacing w:after="0" w:line="240" w:lineRule="auto"/>
        <w:jc w:val="both"/>
        <w:rPr>
          <w:rFonts w:asciiTheme="majorHAnsi" w:hAnsiTheme="majorHAnsi" w:cstheme="majorHAnsi"/>
          <w:color w:val="262626" w:themeColor="text1" w:themeTint="D9"/>
        </w:rPr>
      </w:pPr>
      <w:r w:rsidRPr="00FC7C04">
        <w:rPr>
          <w:rStyle w:val="FootnoteReference"/>
          <w:rFonts w:asciiTheme="majorHAnsi" w:hAnsiTheme="majorHAnsi" w:cstheme="majorHAnsi"/>
          <w:color w:val="262626" w:themeColor="text1" w:themeTint="D9"/>
        </w:rPr>
        <w:footnoteRef/>
      </w:r>
      <w:r w:rsidRPr="00FC7C04">
        <w:rPr>
          <w:rFonts w:asciiTheme="majorHAnsi" w:hAnsiTheme="majorHAnsi" w:cstheme="majorHAnsi"/>
          <w:color w:val="262626" w:themeColor="text1" w:themeTint="D9"/>
        </w:rPr>
        <w:t xml:space="preserve"> Other poor outcomes associated with access to gaming machines and gaming density include domestic violence (Markham, Doran and Young, 2016); binge drinking by adolescents (Zu et al. 2017); poor budgeting (Australian Productivity Commission, 1999) and poor mental health (</w:t>
      </w:r>
      <w:r w:rsidR="00033ACF">
        <w:rPr>
          <w:rFonts w:asciiTheme="majorHAnsi" w:hAnsiTheme="majorHAnsi" w:cstheme="majorHAnsi"/>
          <w:color w:val="262626" w:themeColor="text1" w:themeTint="D9"/>
        </w:rPr>
        <w:t>V</w:t>
      </w:r>
      <w:r w:rsidRPr="00FC7C04">
        <w:rPr>
          <w:rFonts w:asciiTheme="majorHAnsi" w:hAnsiTheme="majorHAnsi" w:cstheme="majorHAnsi"/>
          <w:color w:val="262626" w:themeColor="text1" w:themeTint="D9"/>
        </w:rPr>
        <w:t>an der Mass, 2016).</w:t>
      </w:r>
    </w:p>
  </w:footnote>
  <w:footnote w:id="30">
    <w:p w14:paraId="04EC6DC0" w14:textId="77777777" w:rsidR="00824D4F" w:rsidRDefault="00824D4F" w:rsidP="00824D4F">
      <w:pPr>
        <w:pStyle w:val="FootnoteText"/>
        <w:numPr>
          <w:ilvl w:val="0"/>
          <w:numId w:val="0"/>
        </w:numPr>
      </w:pPr>
      <w:r w:rsidRPr="00FC7C04">
        <w:rPr>
          <w:rStyle w:val="FootnoteReference"/>
          <w14:textFill>
            <w14:solidFill>
              <w14:schemeClr w14:val="tx1">
                <w14:lumMod w14:val="85000"/>
                <w14:lumOff w14:val="15000"/>
                <w14:lumMod w14:val="85000"/>
                <w14:lumOff w14:val="15000"/>
                <w14:lumMod w14:val="85000"/>
              </w14:schemeClr>
            </w14:solidFill>
          </w14:textFill>
        </w:rPr>
        <w:footnoteRef/>
      </w:r>
      <w:r w:rsidRPr="00FC7C04">
        <w:rPr>
          <w14:textFill>
            <w14:solidFill>
              <w14:schemeClr w14:val="tx1">
                <w14:lumMod w14:val="85000"/>
                <w14:lumOff w14:val="15000"/>
                <w14:lumMod w14:val="85000"/>
                <w14:lumOff w14:val="15000"/>
                <w14:lumMod w14:val="85000"/>
              </w14:schemeClr>
            </w14:solidFill>
          </w14:textFill>
        </w:rPr>
        <w:t xml:space="preserve"> </w:t>
      </w:r>
      <w:r w:rsidRPr="00FC7C04">
        <w:rPr>
          <w:rFonts w:eastAsiaTheme="minorEastAsia"/>
          <w:szCs w:val="18"/>
          <w:lang w:val="en-AU"/>
          <w14:textFill>
            <w14:solidFill>
              <w14:schemeClr w14:val="tx1">
                <w14:lumMod w14:val="85000"/>
                <w14:lumOff w14:val="15000"/>
                <w14:lumMod w14:val="85000"/>
                <w14:lumOff w14:val="15000"/>
                <w14:lumMod w14:val="85000"/>
              </w14:schemeClr>
            </w14:solidFill>
          </w14:textFill>
        </w:rPr>
        <w:t>See Productivity Commission (1999).</w:t>
      </w:r>
    </w:p>
  </w:footnote>
  <w:footnote w:id="31">
    <w:p w14:paraId="0836A0EA" w14:textId="388CFA23" w:rsidR="00A925F0" w:rsidRDefault="00A925F0" w:rsidP="00A925F0">
      <w:pPr>
        <w:pStyle w:val="FootnoteText"/>
        <w:numPr>
          <w:ilvl w:val="0"/>
          <w:numId w:val="0"/>
        </w:numPr>
        <w:ind w:left="576" w:hanging="576"/>
      </w:pPr>
      <w:r>
        <w:rPr>
          <w:rStyle w:val="FootnoteReference"/>
        </w:rPr>
        <w:footnoteRef/>
      </w:r>
      <w:r>
        <w:t xml:space="preserve"> See</w:t>
      </w:r>
      <w:r w:rsidR="000E40B5">
        <w:t xml:space="preserve"> New Zealand Insolvency and Trustee Service (2018)</w:t>
      </w:r>
      <w:r w:rsidR="00AD0959">
        <w:t>.</w:t>
      </w:r>
    </w:p>
  </w:footnote>
  <w:footnote w:id="32">
    <w:p w14:paraId="7D4E5BE4" w14:textId="09B2C5D3" w:rsidR="005828DB" w:rsidRDefault="005828DB" w:rsidP="005828DB">
      <w:pPr>
        <w:pStyle w:val="FootnoteText"/>
        <w:numPr>
          <w:ilvl w:val="0"/>
          <w:numId w:val="0"/>
        </w:numPr>
        <w:ind w:left="576" w:hanging="576"/>
      </w:pPr>
      <w:r>
        <w:rPr>
          <w:rStyle w:val="FootnoteReference"/>
        </w:rPr>
        <w:footnoteRef/>
      </w:r>
      <w:r>
        <w:t xml:space="preserve"> See</w:t>
      </w:r>
      <w:r w:rsidR="005978E8">
        <w:t xml:space="preserve"> </w:t>
      </w:r>
      <w:r w:rsidR="00D92E8A">
        <w:t>Stuff (2018).</w:t>
      </w:r>
    </w:p>
  </w:footnote>
  <w:footnote w:id="33">
    <w:p w14:paraId="3704A48A" w14:textId="712473FD" w:rsidR="00537551" w:rsidRPr="009A3E52" w:rsidRDefault="00537551" w:rsidP="00E7760E">
      <w:pPr>
        <w:pStyle w:val="FootnoteText"/>
        <w:numPr>
          <w:ilvl w:val="0"/>
          <w:numId w:val="0"/>
        </w:numPr>
        <w:ind w:left="576" w:hanging="576"/>
        <w:rPr>
          <w:szCs w:val="18"/>
        </w:rPr>
      </w:pPr>
      <w:r w:rsidRPr="009A3E52">
        <w:rPr>
          <w:rStyle w:val="FootnoteReference"/>
          <w:szCs w:val="18"/>
        </w:rPr>
        <w:footnoteRef/>
      </w:r>
      <w:r w:rsidRPr="009A3E52">
        <w:rPr>
          <w:szCs w:val="18"/>
        </w:rPr>
        <w:t xml:space="preserve"> </w:t>
      </w:r>
      <w:r>
        <w:rPr>
          <w:szCs w:val="18"/>
          <w14:textFill>
            <w14:solidFill>
              <w14:schemeClr w14:val="tx1">
                <w14:lumMod w14:val="85000"/>
                <w14:lumOff w14:val="15000"/>
                <w14:lumMod w14:val="85000"/>
                <w14:lumOff w14:val="15000"/>
                <w14:lumMod w14:val="85000"/>
              </w14:schemeClr>
            </w14:solidFill>
          </w14:textFill>
        </w:rPr>
        <w:t>T</w:t>
      </w:r>
      <w:r w:rsidRPr="00E7760E">
        <w:rPr>
          <w:szCs w:val="18"/>
          <w14:textFill>
            <w14:solidFill>
              <w14:schemeClr w14:val="tx1">
                <w14:lumMod w14:val="85000"/>
                <w14:lumOff w14:val="15000"/>
                <w14:lumMod w14:val="85000"/>
                <w14:lumOff w14:val="15000"/>
                <w14:lumMod w14:val="85000"/>
              </w14:schemeClr>
            </w14:solidFill>
          </w14:textFill>
        </w:rPr>
        <w:t>o account for collateral effects, as in Fabling and Grimes (2005)</w:t>
      </w:r>
      <w:r>
        <w:rPr>
          <w:szCs w:val="18"/>
          <w14:textFill>
            <w14:solidFill>
              <w14:schemeClr w14:val="tx1">
                <w14:lumMod w14:val="85000"/>
                <w14:lumOff w14:val="15000"/>
                <w14:lumMod w14:val="85000"/>
                <w14:lumOff w14:val="15000"/>
                <w14:lumMod w14:val="85000"/>
              </w14:schemeClr>
            </w14:solidFill>
          </w14:textFill>
        </w:rPr>
        <w:t>.</w:t>
      </w:r>
    </w:p>
  </w:footnote>
  <w:footnote w:id="34">
    <w:p w14:paraId="5F21F003" w14:textId="4A8AC014" w:rsidR="009350D9" w:rsidRDefault="009350D9" w:rsidP="009350D9">
      <w:pPr>
        <w:pStyle w:val="FootnoteText"/>
        <w:numPr>
          <w:ilvl w:val="0"/>
          <w:numId w:val="0"/>
        </w:numPr>
        <w:ind w:left="576" w:hanging="576"/>
      </w:pPr>
      <w:r>
        <w:rPr>
          <w:rStyle w:val="FootnoteReference"/>
        </w:rPr>
        <w:footnoteRef/>
      </w:r>
      <w:r>
        <w:t xml:space="preserve"> There are approximately 30,000 SA1 units.</w:t>
      </w:r>
    </w:p>
  </w:footnote>
  <w:footnote w:id="35">
    <w:p w14:paraId="682972B4" w14:textId="2F00BDB7" w:rsidR="00851FC7" w:rsidRPr="00FD4EA4" w:rsidRDefault="00851FC7" w:rsidP="00787786">
      <w:pPr>
        <w:pStyle w:val="FootnoteText"/>
        <w:numPr>
          <w:ilvl w:val="0"/>
          <w:numId w:val="0"/>
        </w:numPr>
        <w:jc w:val="both"/>
        <w:rPr>
          <w:sz w:val="22"/>
          <w:szCs w:val="22"/>
        </w:rPr>
      </w:pPr>
      <w:r>
        <w:rPr>
          <w:rStyle w:val="FootnoteReference"/>
        </w:rPr>
        <w:footnoteRef/>
      </w:r>
      <w:r>
        <w:t xml:space="preserve"> </w:t>
      </w:r>
      <w:r w:rsidRPr="00D10070">
        <w:rPr>
          <w:szCs w:val="18"/>
        </w:rPr>
        <w:t xml:space="preserve">We tested the robustness of this method relative to allocating population by the more computationally intensive alternative of attributing access by the fraction of each </w:t>
      </w:r>
      <w:r w:rsidR="00D353A5">
        <w:rPr>
          <w:szCs w:val="18"/>
        </w:rPr>
        <w:t>SA1</w:t>
      </w:r>
      <w:r w:rsidRPr="00D10070">
        <w:rPr>
          <w:szCs w:val="18"/>
        </w:rPr>
        <w:t xml:space="preserve"> that lies within the relevant distance, on two TAs (Wellington and Christchurch). There are small differences in the mean of the ratio but the change over time is extremely </w:t>
      </w:r>
      <w:proofErr w:type="gramStart"/>
      <w:r w:rsidRPr="00D10070">
        <w:rPr>
          <w:szCs w:val="18"/>
        </w:rPr>
        <w:t>similar to</w:t>
      </w:r>
      <w:proofErr w:type="gramEnd"/>
      <w:r w:rsidRPr="00D10070">
        <w:rPr>
          <w:szCs w:val="18"/>
        </w:rPr>
        <w:t xml:space="preserve"> our preferred method.</w:t>
      </w:r>
      <w:r>
        <w:rPr>
          <w:sz w:val="22"/>
          <w:szCs w:val="22"/>
        </w:rPr>
        <w:t xml:space="preserve"> </w:t>
      </w:r>
    </w:p>
  </w:footnote>
  <w:footnote w:id="36">
    <w:p w14:paraId="49A94004" w14:textId="08CCF278" w:rsidR="00E46394" w:rsidRDefault="00E46394" w:rsidP="00E46394">
      <w:pPr>
        <w:pStyle w:val="FootnoteText"/>
        <w:numPr>
          <w:ilvl w:val="0"/>
          <w:numId w:val="0"/>
        </w:numPr>
        <w:ind w:left="576" w:hanging="576"/>
      </w:pPr>
      <w:r>
        <w:rPr>
          <w:rStyle w:val="FootnoteReference"/>
        </w:rPr>
        <w:footnoteRef/>
      </w:r>
      <w:r>
        <w:t xml:space="preserve"> </w:t>
      </w:r>
      <w:r w:rsidR="00C741DD">
        <w:t xml:space="preserve">Similar two-year </w:t>
      </w:r>
      <w:r w:rsidR="00A9215C">
        <w:t xml:space="preserve">rate utilised in </w:t>
      </w:r>
      <w:r w:rsidR="009E077F">
        <w:t>Platt and Platt (1994)</w:t>
      </w:r>
      <w:r w:rsidR="006512F1">
        <w:t xml:space="preserve"> and </w:t>
      </w:r>
      <w:r w:rsidR="006F088A">
        <w:t xml:space="preserve">Fabling and </w:t>
      </w:r>
      <w:r w:rsidR="00412F81">
        <w:t>Grimes (2005)</w:t>
      </w:r>
    </w:p>
  </w:footnote>
  <w:footnote w:id="37">
    <w:p w14:paraId="02531CDC" w14:textId="79EF3956" w:rsidR="00186D0A" w:rsidRDefault="00186D0A" w:rsidP="00831708">
      <w:pPr>
        <w:pStyle w:val="FootnoteText"/>
        <w:numPr>
          <w:ilvl w:val="0"/>
          <w:numId w:val="0"/>
        </w:numPr>
        <w:jc w:val="both"/>
      </w:pPr>
      <w:r>
        <w:rPr>
          <w:rStyle w:val="FootnoteReference"/>
        </w:rPr>
        <w:footnoteRef/>
      </w:r>
      <w:r w:rsidR="000503A5">
        <w:t xml:space="preserve"> Note that TA fixed effects will capture </w:t>
      </w:r>
      <w:r w:rsidR="00AE2EFA">
        <w:t xml:space="preserve">one of the alternative gambling opportunities – casinos, as they don’t vary </w:t>
      </w:r>
      <w:r w:rsidR="00007A09">
        <w:t>with respect to location over time.</w:t>
      </w:r>
      <w:r w:rsidR="004B5506">
        <w:t xml:space="preserve"> Also note, that while we don’t have information on other types of opportunities such as Lotto and TAB outlets</w:t>
      </w:r>
      <w:r w:rsidR="00D8451A">
        <w:t xml:space="preserve"> for our sample period</w:t>
      </w:r>
      <w:r w:rsidR="005C219C">
        <w:t>, if these numbers do not vary substantially over time, they will also be picked up by the TA fixed effects.</w:t>
      </w:r>
      <w:r w:rsidR="00007A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117005"/>
      <w:docPartObj>
        <w:docPartGallery w:val="Page Numbers (Margins)"/>
        <w:docPartUnique/>
      </w:docPartObj>
    </w:sdtPr>
    <w:sdtEndPr/>
    <w:sdtContent>
      <w:p w14:paraId="67D9D156" w14:textId="77777777" w:rsidR="00886C05" w:rsidRDefault="00C11F4F"/>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58C9" w14:textId="77777777" w:rsidR="00886C05" w:rsidRDefault="00886C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918607"/>
      <w:docPartObj>
        <w:docPartGallery w:val="Page Numbers (Margins)"/>
        <w:docPartUnique/>
      </w:docPartObj>
    </w:sdtPr>
    <w:sdtEndPr/>
    <w:sdtContent>
      <w:p w14:paraId="042C2C04" w14:textId="79BB414C" w:rsidR="00886C05" w:rsidRDefault="00C11F4F"/>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07F9" w14:textId="77777777" w:rsidR="00886C05" w:rsidRDefault="00886C0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32886"/>
      <w:docPartObj>
        <w:docPartGallery w:val="Page Numbers (Margins)"/>
        <w:docPartUnique/>
      </w:docPartObj>
    </w:sdtPr>
    <w:sdtEndPr/>
    <w:sdtContent>
      <w:p w14:paraId="2D0D9B95" w14:textId="77777777" w:rsidR="00217CEA" w:rsidRDefault="00C11F4F"/>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F773" w14:textId="77777777" w:rsidR="00217CEA" w:rsidRDefault="00217C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F77F0"/>
    <w:multiLevelType w:val="hybridMultilevel"/>
    <w:tmpl w:val="A5C01E94"/>
    <w:lvl w:ilvl="0" w:tplc="E0FCA0F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69755B6"/>
    <w:multiLevelType w:val="multilevel"/>
    <w:tmpl w:val="87820594"/>
    <w:lvl w:ilvl="0">
      <w:start w:val="1"/>
      <w:numFmt w:val="decimal"/>
      <w:pStyle w:val="Heading1"/>
      <w:lvlText w:val="%1"/>
      <w:lvlJc w:val="left"/>
      <w:pPr>
        <w:ind w:left="716" w:hanging="432"/>
      </w:pPr>
      <w:rPr>
        <w:rFonts w:hint="default"/>
      </w:rPr>
    </w:lvl>
    <w:lvl w:ilvl="1">
      <w:start w:val="1"/>
      <w:numFmt w:val="decimal"/>
      <w:pStyle w:val="Heading2"/>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D7A7590"/>
    <w:multiLevelType w:val="multilevel"/>
    <w:tmpl w:val="AFA262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A44DB2"/>
    <w:multiLevelType w:val="multilevel"/>
    <w:tmpl w:val="B8E268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F42B87"/>
    <w:multiLevelType w:val="hybridMultilevel"/>
    <w:tmpl w:val="37E837EE"/>
    <w:lvl w:ilvl="0" w:tplc="1278F9F0">
      <w:numFmt w:val="bullet"/>
      <w:lvlText w:val="-"/>
      <w:lvlJc w:val="left"/>
      <w:pPr>
        <w:ind w:left="720" w:hanging="360"/>
      </w:pPr>
      <w:rPr>
        <w:rFonts w:ascii="Calibri Light" w:eastAsiaTheme="minorHAnsi" w:hAnsi="Calibri Light" w:cs="Calibri Light"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D183C61"/>
    <w:multiLevelType w:val="hybridMultilevel"/>
    <w:tmpl w:val="2206C97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F103E72"/>
    <w:multiLevelType w:val="hybridMultilevel"/>
    <w:tmpl w:val="5BF40322"/>
    <w:lvl w:ilvl="0" w:tplc="7768312A">
      <w:start w:val="1"/>
      <w:numFmt w:val="decimal"/>
      <w:lvlText w:val="(%1)"/>
      <w:lvlJc w:val="left"/>
      <w:pPr>
        <w:ind w:left="720" w:hanging="360"/>
      </w:pPr>
      <w:rPr>
        <w:rFonts w:eastAsiaTheme="minorEastAsia" w:hint="default"/>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9C5959"/>
    <w:multiLevelType w:val="multilevel"/>
    <w:tmpl w:val="FB6E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646A9"/>
    <w:multiLevelType w:val="hybridMultilevel"/>
    <w:tmpl w:val="9858E082"/>
    <w:lvl w:ilvl="0" w:tplc="F99423E6">
      <w:start w:val="4"/>
      <w:numFmt w:val="bullet"/>
      <w:lvlText w:val="-"/>
      <w:lvlJc w:val="left"/>
      <w:pPr>
        <w:ind w:left="410" w:hanging="360"/>
      </w:pPr>
      <w:rPr>
        <w:rFonts w:ascii="Calibri Light" w:eastAsiaTheme="minorHAnsi" w:hAnsi="Calibri Light" w:cs="Calibri Light" w:hint="default"/>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abstractNum w:abstractNumId="9" w15:restartNumberingAfterBreak="0">
    <w:nsid w:val="356F113F"/>
    <w:multiLevelType w:val="multilevel"/>
    <w:tmpl w:val="1409001F"/>
    <w:lvl w:ilvl="0">
      <w:start w:val="1"/>
      <w:numFmt w:val="decimal"/>
      <w:lvlText w:val="%1."/>
      <w:lvlJc w:val="left"/>
      <w:pPr>
        <w:ind w:left="360" w:hanging="360"/>
      </w:pPr>
      <w:rPr>
        <w:rFonts w:hint="default"/>
        <w:color w:val="ED7D31"/>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F82197"/>
    <w:multiLevelType w:val="hybridMultilevel"/>
    <w:tmpl w:val="DDF457C2"/>
    <w:lvl w:ilvl="0" w:tplc="9E06E6B2">
      <w:start w:val="4"/>
      <w:numFmt w:val="bullet"/>
      <w:lvlText w:val="-"/>
      <w:lvlJc w:val="left"/>
      <w:pPr>
        <w:ind w:left="410" w:hanging="360"/>
      </w:pPr>
      <w:rPr>
        <w:rFonts w:ascii="Calibri Light" w:eastAsiaTheme="minorHAnsi" w:hAnsi="Calibri Light" w:cs="Calibri Light" w:hint="default"/>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abstractNum w:abstractNumId="11" w15:restartNumberingAfterBreak="0">
    <w:nsid w:val="394602AF"/>
    <w:multiLevelType w:val="hybridMultilevel"/>
    <w:tmpl w:val="BF6E57F6"/>
    <w:lvl w:ilvl="0" w:tplc="321A8474">
      <w:numFmt w:val="bullet"/>
      <w:lvlText w:val="-"/>
      <w:lvlJc w:val="left"/>
      <w:pPr>
        <w:ind w:left="720" w:hanging="360"/>
      </w:pPr>
      <w:rPr>
        <w:rFonts w:ascii="Calibri Light" w:eastAsiaTheme="minorHAnsi" w:hAnsi="Calibri Light" w:cs="Calibri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C3157E7"/>
    <w:multiLevelType w:val="hybridMultilevel"/>
    <w:tmpl w:val="F4749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9238B5"/>
    <w:multiLevelType w:val="hybridMultilevel"/>
    <w:tmpl w:val="0950A56A"/>
    <w:lvl w:ilvl="0" w:tplc="39B674D2">
      <w:start w:val="1"/>
      <w:numFmt w:val="decimal"/>
      <w:lvlText w:val="%1."/>
      <w:lvlJc w:val="left"/>
      <w:pPr>
        <w:ind w:left="975" w:hanging="61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F907EFA"/>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262626" w:themeColor="text1" w:themeTint="D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0C6505"/>
    <w:multiLevelType w:val="hybridMultilevel"/>
    <w:tmpl w:val="5BF40322"/>
    <w:lvl w:ilvl="0" w:tplc="7768312A">
      <w:start w:val="1"/>
      <w:numFmt w:val="decimal"/>
      <w:lvlText w:val="(%1)"/>
      <w:lvlJc w:val="left"/>
      <w:pPr>
        <w:ind w:left="720" w:hanging="360"/>
      </w:pPr>
      <w:rPr>
        <w:rFonts w:eastAsiaTheme="minorEastAsia" w:hint="default"/>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503BE5"/>
    <w:multiLevelType w:val="multilevel"/>
    <w:tmpl w:val="E2FC6C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FF7E8D"/>
    <w:multiLevelType w:val="hybridMultilevel"/>
    <w:tmpl w:val="638080F8"/>
    <w:lvl w:ilvl="0" w:tplc="B73E568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43807A1"/>
    <w:multiLevelType w:val="hybridMultilevel"/>
    <w:tmpl w:val="D64EEA94"/>
    <w:lvl w:ilvl="0" w:tplc="9A58B0D8">
      <w:numFmt w:val="bullet"/>
      <w:lvlText w:val=""/>
      <w:lvlJc w:val="left"/>
      <w:pPr>
        <w:ind w:left="720" w:hanging="360"/>
      </w:pPr>
      <w:rPr>
        <w:rFonts w:ascii="Symbol" w:eastAsiaTheme="minorHAnsi" w:hAnsi="Symbol" w:cstheme="majorHAns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46550A"/>
    <w:multiLevelType w:val="hybridMultilevel"/>
    <w:tmpl w:val="F648B3A6"/>
    <w:lvl w:ilvl="0" w:tplc="C7E423CE">
      <w:numFmt w:val="bullet"/>
      <w:lvlText w:val="-"/>
      <w:lvlJc w:val="left"/>
      <w:pPr>
        <w:ind w:left="720" w:hanging="360"/>
      </w:pPr>
      <w:rPr>
        <w:rFonts w:ascii="Calibri Light" w:eastAsiaTheme="minorHAnsi" w:hAnsi="Calibri Light" w:cs="Calibri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B8B7806"/>
    <w:multiLevelType w:val="multilevel"/>
    <w:tmpl w:val="9516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147DD5"/>
    <w:multiLevelType w:val="multilevel"/>
    <w:tmpl w:val="33D84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0357B3"/>
    <w:multiLevelType w:val="hybridMultilevel"/>
    <w:tmpl w:val="00C6F2DE"/>
    <w:lvl w:ilvl="0" w:tplc="C63A52E2">
      <w:start w:val="12"/>
      <w:numFmt w:val="bullet"/>
      <w:lvlText w:val="-"/>
      <w:lvlJc w:val="left"/>
      <w:pPr>
        <w:ind w:left="410" w:hanging="360"/>
      </w:pPr>
      <w:rPr>
        <w:rFonts w:ascii="Calibri Light" w:eastAsiaTheme="minorHAnsi" w:hAnsi="Calibri Light" w:cs="Calibri Light" w:hint="default"/>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abstractNum w:abstractNumId="23" w15:restartNumberingAfterBreak="0">
    <w:nsid w:val="7869358A"/>
    <w:multiLevelType w:val="multilevel"/>
    <w:tmpl w:val="5158212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BB63D6C"/>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F2D3402"/>
    <w:multiLevelType w:val="hybridMultilevel"/>
    <w:tmpl w:val="E112141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4"/>
    <w:lvlOverride w:ilvl="0">
      <w:startOverride w:val="3"/>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3"/>
    </w:lvlOverride>
    <w:lvlOverride w:ilvl="1">
      <w:startOverride w:val="4"/>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4"/>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num>
  <w:num w:numId="10">
    <w:abstractNumId w:val="24"/>
  </w:num>
  <w:num w:numId="11">
    <w:abstractNumId w:val="23"/>
  </w:num>
  <w:num w:numId="12">
    <w:abstractNumId w:val="1"/>
  </w:num>
  <w:num w:numId="13">
    <w:abstractNumId w:val="4"/>
  </w:num>
  <w:num w:numId="14">
    <w:abstractNumId w:val="16"/>
  </w:num>
  <w:num w:numId="15">
    <w:abstractNumId w:val="3"/>
  </w:num>
  <w:num w:numId="16">
    <w:abstractNumId w:val="21"/>
  </w:num>
  <w:num w:numId="17">
    <w:abstractNumId w:val="2"/>
  </w:num>
  <w:num w:numId="18">
    <w:abstractNumId w:val="17"/>
  </w:num>
  <w:num w:numId="19">
    <w:abstractNumId w:val="12"/>
  </w:num>
  <w:num w:numId="20">
    <w:abstractNumId w:val="25"/>
  </w:num>
  <w:num w:numId="21">
    <w:abstractNumId w:val="6"/>
  </w:num>
  <w:num w:numId="22">
    <w:abstractNumId w:val="18"/>
  </w:num>
  <w:num w:numId="23">
    <w:abstractNumId w:val="19"/>
  </w:num>
  <w:num w:numId="24">
    <w:abstractNumId w:val="11"/>
  </w:num>
  <w:num w:numId="25">
    <w:abstractNumId w:val="7"/>
  </w:num>
  <w:num w:numId="26">
    <w:abstractNumId w:val="20"/>
  </w:num>
  <w:num w:numId="27">
    <w:abstractNumId w:val="22"/>
  </w:num>
  <w:num w:numId="28">
    <w:abstractNumId w:val="5"/>
  </w:num>
  <w:num w:numId="29">
    <w:abstractNumId w:val="15"/>
  </w:num>
  <w:num w:numId="30">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0"/>
  </w:num>
  <w:num w:numId="33">
    <w:abstractNumId w:val="1"/>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197"/>
    <w:rsid w:val="0000028B"/>
    <w:rsid w:val="00000473"/>
    <w:rsid w:val="00000625"/>
    <w:rsid w:val="00000866"/>
    <w:rsid w:val="00000A50"/>
    <w:rsid w:val="00000AEA"/>
    <w:rsid w:val="00000F72"/>
    <w:rsid w:val="00000F86"/>
    <w:rsid w:val="000019AB"/>
    <w:rsid w:val="00001E9B"/>
    <w:rsid w:val="000020EB"/>
    <w:rsid w:val="00002353"/>
    <w:rsid w:val="000025E0"/>
    <w:rsid w:val="000026EA"/>
    <w:rsid w:val="0000279B"/>
    <w:rsid w:val="000027E1"/>
    <w:rsid w:val="0000286F"/>
    <w:rsid w:val="000028BD"/>
    <w:rsid w:val="0000300A"/>
    <w:rsid w:val="0000310B"/>
    <w:rsid w:val="000031D5"/>
    <w:rsid w:val="0000349E"/>
    <w:rsid w:val="0000371F"/>
    <w:rsid w:val="000039C0"/>
    <w:rsid w:val="00003C56"/>
    <w:rsid w:val="00003C99"/>
    <w:rsid w:val="00003D73"/>
    <w:rsid w:val="00003D8A"/>
    <w:rsid w:val="00003F42"/>
    <w:rsid w:val="000040F8"/>
    <w:rsid w:val="000042E7"/>
    <w:rsid w:val="00004316"/>
    <w:rsid w:val="00004326"/>
    <w:rsid w:val="000043D9"/>
    <w:rsid w:val="00004ECD"/>
    <w:rsid w:val="0000593A"/>
    <w:rsid w:val="00005DC4"/>
    <w:rsid w:val="00005F69"/>
    <w:rsid w:val="0000620C"/>
    <w:rsid w:val="00006E32"/>
    <w:rsid w:val="00006EAC"/>
    <w:rsid w:val="00007316"/>
    <w:rsid w:val="00007A09"/>
    <w:rsid w:val="00007C54"/>
    <w:rsid w:val="0001108A"/>
    <w:rsid w:val="0001114B"/>
    <w:rsid w:val="000111A5"/>
    <w:rsid w:val="00011405"/>
    <w:rsid w:val="0001144D"/>
    <w:rsid w:val="00011465"/>
    <w:rsid w:val="00011590"/>
    <w:rsid w:val="00011E31"/>
    <w:rsid w:val="00011E77"/>
    <w:rsid w:val="00011ED7"/>
    <w:rsid w:val="00012057"/>
    <w:rsid w:val="000126BE"/>
    <w:rsid w:val="000127BA"/>
    <w:rsid w:val="000128F9"/>
    <w:rsid w:val="0001299B"/>
    <w:rsid w:val="00013076"/>
    <w:rsid w:val="000135C7"/>
    <w:rsid w:val="000139DF"/>
    <w:rsid w:val="000148B6"/>
    <w:rsid w:val="000149AD"/>
    <w:rsid w:val="0001501C"/>
    <w:rsid w:val="0001505C"/>
    <w:rsid w:val="0001525F"/>
    <w:rsid w:val="00015586"/>
    <w:rsid w:val="00015682"/>
    <w:rsid w:val="00015C24"/>
    <w:rsid w:val="00015D3A"/>
    <w:rsid w:val="000166B5"/>
    <w:rsid w:val="00016775"/>
    <w:rsid w:val="00016B61"/>
    <w:rsid w:val="00016E11"/>
    <w:rsid w:val="00016E2A"/>
    <w:rsid w:val="00017104"/>
    <w:rsid w:val="00017179"/>
    <w:rsid w:val="000173CD"/>
    <w:rsid w:val="000175CE"/>
    <w:rsid w:val="00017BF0"/>
    <w:rsid w:val="00017C66"/>
    <w:rsid w:val="00017D4D"/>
    <w:rsid w:val="00020174"/>
    <w:rsid w:val="00020415"/>
    <w:rsid w:val="0002053D"/>
    <w:rsid w:val="00020848"/>
    <w:rsid w:val="00020A0C"/>
    <w:rsid w:val="00020B8C"/>
    <w:rsid w:val="00020C5A"/>
    <w:rsid w:val="00020D22"/>
    <w:rsid w:val="00020EF5"/>
    <w:rsid w:val="000214C0"/>
    <w:rsid w:val="00021886"/>
    <w:rsid w:val="000219C4"/>
    <w:rsid w:val="00021CA7"/>
    <w:rsid w:val="00021CC1"/>
    <w:rsid w:val="00021D91"/>
    <w:rsid w:val="00022590"/>
    <w:rsid w:val="00022837"/>
    <w:rsid w:val="00022CC0"/>
    <w:rsid w:val="00022DF6"/>
    <w:rsid w:val="00022E02"/>
    <w:rsid w:val="00022F66"/>
    <w:rsid w:val="0002319B"/>
    <w:rsid w:val="00023372"/>
    <w:rsid w:val="000235F3"/>
    <w:rsid w:val="00023772"/>
    <w:rsid w:val="000239A4"/>
    <w:rsid w:val="00023EC8"/>
    <w:rsid w:val="0002460F"/>
    <w:rsid w:val="00024A38"/>
    <w:rsid w:val="00024AC4"/>
    <w:rsid w:val="00024E34"/>
    <w:rsid w:val="000250A9"/>
    <w:rsid w:val="000252A3"/>
    <w:rsid w:val="00025749"/>
    <w:rsid w:val="00025AF4"/>
    <w:rsid w:val="00025BED"/>
    <w:rsid w:val="00025D98"/>
    <w:rsid w:val="000260C1"/>
    <w:rsid w:val="00026536"/>
    <w:rsid w:val="00026771"/>
    <w:rsid w:val="00026A85"/>
    <w:rsid w:val="00026BB5"/>
    <w:rsid w:val="00026E31"/>
    <w:rsid w:val="00027D9C"/>
    <w:rsid w:val="0003031C"/>
    <w:rsid w:val="00030572"/>
    <w:rsid w:val="0003074C"/>
    <w:rsid w:val="00030DF8"/>
    <w:rsid w:val="0003140E"/>
    <w:rsid w:val="00031742"/>
    <w:rsid w:val="00031A0E"/>
    <w:rsid w:val="00031BBB"/>
    <w:rsid w:val="000320FF"/>
    <w:rsid w:val="00032944"/>
    <w:rsid w:val="000329EF"/>
    <w:rsid w:val="000330D0"/>
    <w:rsid w:val="00033787"/>
    <w:rsid w:val="00033908"/>
    <w:rsid w:val="00033985"/>
    <w:rsid w:val="00033ACF"/>
    <w:rsid w:val="00033BB8"/>
    <w:rsid w:val="00033C37"/>
    <w:rsid w:val="000342FD"/>
    <w:rsid w:val="00034B83"/>
    <w:rsid w:val="00035556"/>
    <w:rsid w:val="0003599E"/>
    <w:rsid w:val="00035A17"/>
    <w:rsid w:val="00035F53"/>
    <w:rsid w:val="000360B3"/>
    <w:rsid w:val="00036142"/>
    <w:rsid w:val="0003620D"/>
    <w:rsid w:val="000366F9"/>
    <w:rsid w:val="00036880"/>
    <w:rsid w:val="0003690F"/>
    <w:rsid w:val="00036925"/>
    <w:rsid w:val="00036BF9"/>
    <w:rsid w:val="00036DE9"/>
    <w:rsid w:val="00036F70"/>
    <w:rsid w:val="00036F89"/>
    <w:rsid w:val="0003715A"/>
    <w:rsid w:val="00037209"/>
    <w:rsid w:val="0003762E"/>
    <w:rsid w:val="0003779A"/>
    <w:rsid w:val="000377AE"/>
    <w:rsid w:val="00037D1D"/>
    <w:rsid w:val="0004005B"/>
    <w:rsid w:val="00040419"/>
    <w:rsid w:val="00040777"/>
    <w:rsid w:val="00040C8D"/>
    <w:rsid w:val="00040DA0"/>
    <w:rsid w:val="00040EAB"/>
    <w:rsid w:val="0004139C"/>
    <w:rsid w:val="000415FD"/>
    <w:rsid w:val="000417EB"/>
    <w:rsid w:val="00041F0A"/>
    <w:rsid w:val="000424A8"/>
    <w:rsid w:val="00042575"/>
    <w:rsid w:val="00042660"/>
    <w:rsid w:val="00042932"/>
    <w:rsid w:val="00043738"/>
    <w:rsid w:val="0004384A"/>
    <w:rsid w:val="00043AB0"/>
    <w:rsid w:val="00043BAE"/>
    <w:rsid w:val="00043D2F"/>
    <w:rsid w:val="000441D0"/>
    <w:rsid w:val="00044273"/>
    <w:rsid w:val="000448B6"/>
    <w:rsid w:val="0004493C"/>
    <w:rsid w:val="00044A53"/>
    <w:rsid w:val="00044EB7"/>
    <w:rsid w:val="000453DA"/>
    <w:rsid w:val="00045791"/>
    <w:rsid w:val="00045AB1"/>
    <w:rsid w:val="00046382"/>
    <w:rsid w:val="0004674E"/>
    <w:rsid w:val="00046978"/>
    <w:rsid w:val="00046EAF"/>
    <w:rsid w:val="00046F1F"/>
    <w:rsid w:val="00046F9C"/>
    <w:rsid w:val="000472A8"/>
    <w:rsid w:val="00047389"/>
    <w:rsid w:val="000475DA"/>
    <w:rsid w:val="000476C3"/>
    <w:rsid w:val="00047951"/>
    <w:rsid w:val="000479E4"/>
    <w:rsid w:val="00047BB3"/>
    <w:rsid w:val="00047E9A"/>
    <w:rsid w:val="000500D0"/>
    <w:rsid w:val="000502A2"/>
    <w:rsid w:val="00050344"/>
    <w:rsid w:val="000503A5"/>
    <w:rsid w:val="00050423"/>
    <w:rsid w:val="0005079D"/>
    <w:rsid w:val="000507B9"/>
    <w:rsid w:val="00050CD5"/>
    <w:rsid w:val="00051010"/>
    <w:rsid w:val="000519B1"/>
    <w:rsid w:val="00051E82"/>
    <w:rsid w:val="00052180"/>
    <w:rsid w:val="000525F0"/>
    <w:rsid w:val="00052867"/>
    <w:rsid w:val="000529DC"/>
    <w:rsid w:val="00052A24"/>
    <w:rsid w:val="00052A50"/>
    <w:rsid w:val="00052A99"/>
    <w:rsid w:val="00052C5E"/>
    <w:rsid w:val="00052FD0"/>
    <w:rsid w:val="00053313"/>
    <w:rsid w:val="0005335A"/>
    <w:rsid w:val="000538BB"/>
    <w:rsid w:val="0005403C"/>
    <w:rsid w:val="0005406D"/>
    <w:rsid w:val="000540C7"/>
    <w:rsid w:val="0005433C"/>
    <w:rsid w:val="00054A17"/>
    <w:rsid w:val="00054BA0"/>
    <w:rsid w:val="00054D3E"/>
    <w:rsid w:val="00055008"/>
    <w:rsid w:val="000552CE"/>
    <w:rsid w:val="000553B3"/>
    <w:rsid w:val="00055423"/>
    <w:rsid w:val="00055555"/>
    <w:rsid w:val="00055686"/>
    <w:rsid w:val="00055884"/>
    <w:rsid w:val="00055A98"/>
    <w:rsid w:val="00055B34"/>
    <w:rsid w:val="00055C35"/>
    <w:rsid w:val="00056076"/>
    <w:rsid w:val="00056A18"/>
    <w:rsid w:val="00056AF1"/>
    <w:rsid w:val="00056B14"/>
    <w:rsid w:val="000572B8"/>
    <w:rsid w:val="0005735A"/>
    <w:rsid w:val="000574EC"/>
    <w:rsid w:val="00057890"/>
    <w:rsid w:val="00057E3A"/>
    <w:rsid w:val="00057F0E"/>
    <w:rsid w:val="0006009C"/>
    <w:rsid w:val="0006024C"/>
    <w:rsid w:val="000602BD"/>
    <w:rsid w:val="0006042C"/>
    <w:rsid w:val="000605CC"/>
    <w:rsid w:val="0006061E"/>
    <w:rsid w:val="00060A69"/>
    <w:rsid w:val="00060B47"/>
    <w:rsid w:val="00060B86"/>
    <w:rsid w:val="00060C87"/>
    <w:rsid w:val="00060FEF"/>
    <w:rsid w:val="0006114C"/>
    <w:rsid w:val="0006170B"/>
    <w:rsid w:val="00061836"/>
    <w:rsid w:val="000623D5"/>
    <w:rsid w:val="00062833"/>
    <w:rsid w:val="00062CE5"/>
    <w:rsid w:val="00062E3A"/>
    <w:rsid w:val="00062EDD"/>
    <w:rsid w:val="000632CF"/>
    <w:rsid w:val="00063907"/>
    <w:rsid w:val="00063AC1"/>
    <w:rsid w:val="00063BF2"/>
    <w:rsid w:val="00064772"/>
    <w:rsid w:val="0006481C"/>
    <w:rsid w:val="00064E7E"/>
    <w:rsid w:val="00065CCC"/>
    <w:rsid w:val="00065E71"/>
    <w:rsid w:val="00065FBC"/>
    <w:rsid w:val="00065FE8"/>
    <w:rsid w:val="00065FF7"/>
    <w:rsid w:val="000660FB"/>
    <w:rsid w:val="00067959"/>
    <w:rsid w:val="00067B4A"/>
    <w:rsid w:val="00070142"/>
    <w:rsid w:val="000702E5"/>
    <w:rsid w:val="0007052B"/>
    <w:rsid w:val="0007077C"/>
    <w:rsid w:val="000707B9"/>
    <w:rsid w:val="00070C43"/>
    <w:rsid w:val="00070DBE"/>
    <w:rsid w:val="000712C5"/>
    <w:rsid w:val="00071B50"/>
    <w:rsid w:val="000725D0"/>
    <w:rsid w:val="00072B6B"/>
    <w:rsid w:val="00073169"/>
    <w:rsid w:val="00074126"/>
    <w:rsid w:val="00074512"/>
    <w:rsid w:val="00074584"/>
    <w:rsid w:val="00074EDE"/>
    <w:rsid w:val="000755CE"/>
    <w:rsid w:val="00075A10"/>
    <w:rsid w:val="00075F75"/>
    <w:rsid w:val="000764D4"/>
    <w:rsid w:val="000764FB"/>
    <w:rsid w:val="00076D0E"/>
    <w:rsid w:val="00076FAE"/>
    <w:rsid w:val="000770DC"/>
    <w:rsid w:val="0007723D"/>
    <w:rsid w:val="000773C6"/>
    <w:rsid w:val="00077411"/>
    <w:rsid w:val="00077638"/>
    <w:rsid w:val="0008023E"/>
    <w:rsid w:val="000804FA"/>
    <w:rsid w:val="00080841"/>
    <w:rsid w:val="00080C85"/>
    <w:rsid w:val="00081083"/>
    <w:rsid w:val="000812DE"/>
    <w:rsid w:val="00081874"/>
    <w:rsid w:val="000818AB"/>
    <w:rsid w:val="0008196C"/>
    <w:rsid w:val="00081BA8"/>
    <w:rsid w:val="0008205A"/>
    <w:rsid w:val="00082763"/>
    <w:rsid w:val="00082956"/>
    <w:rsid w:val="00082BF1"/>
    <w:rsid w:val="00083143"/>
    <w:rsid w:val="0008341F"/>
    <w:rsid w:val="00083C63"/>
    <w:rsid w:val="0008410B"/>
    <w:rsid w:val="00084216"/>
    <w:rsid w:val="0008434C"/>
    <w:rsid w:val="0008448A"/>
    <w:rsid w:val="00084876"/>
    <w:rsid w:val="000856B4"/>
    <w:rsid w:val="000856F9"/>
    <w:rsid w:val="00085C0B"/>
    <w:rsid w:val="00085CA6"/>
    <w:rsid w:val="00086258"/>
    <w:rsid w:val="00086B42"/>
    <w:rsid w:val="00086EA4"/>
    <w:rsid w:val="00087494"/>
    <w:rsid w:val="000878BF"/>
    <w:rsid w:val="00087B35"/>
    <w:rsid w:val="00087FD2"/>
    <w:rsid w:val="00090207"/>
    <w:rsid w:val="0009020E"/>
    <w:rsid w:val="0009033A"/>
    <w:rsid w:val="00090376"/>
    <w:rsid w:val="000903CB"/>
    <w:rsid w:val="00090442"/>
    <w:rsid w:val="00090708"/>
    <w:rsid w:val="000909C8"/>
    <w:rsid w:val="000909EB"/>
    <w:rsid w:val="000909FC"/>
    <w:rsid w:val="00090A82"/>
    <w:rsid w:val="00090B20"/>
    <w:rsid w:val="00090B22"/>
    <w:rsid w:val="00090F85"/>
    <w:rsid w:val="0009158C"/>
    <w:rsid w:val="000920C7"/>
    <w:rsid w:val="00092201"/>
    <w:rsid w:val="000922C5"/>
    <w:rsid w:val="0009248F"/>
    <w:rsid w:val="000930E0"/>
    <w:rsid w:val="000933AD"/>
    <w:rsid w:val="00094130"/>
    <w:rsid w:val="0009421E"/>
    <w:rsid w:val="00094A6D"/>
    <w:rsid w:val="00094E05"/>
    <w:rsid w:val="00095381"/>
    <w:rsid w:val="000954C5"/>
    <w:rsid w:val="00095543"/>
    <w:rsid w:val="00095DAC"/>
    <w:rsid w:val="00095F88"/>
    <w:rsid w:val="00096217"/>
    <w:rsid w:val="00096B61"/>
    <w:rsid w:val="00096C41"/>
    <w:rsid w:val="00097113"/>
    <w:rsid w:val="00097214"/>
    <w:rsid w:val="00097296"/>
    <w:rsid w:val="00097ABE"/>
    <w:rsid w:val="000A0261"/>
    <w:rsid w:val="000A07F0"/>
    <w:rsid w:val="000A0C19"/>
    <w:rsid w:val="000A0CC0"/>
    <w:rsid w:val="000A0CEB"/>
    <w:rsid w:val="000A1535"/>
    <w:rsid w:val="000A15A4"/>
    <w:rsid w:val="000A18A4"/>
    <w:rsid w:val="000A2082"/>
    <w:rsid w:val="000A2134"/>
    <w:rsid w:val="000A23A3"/>
    <w:rsid w:val="000A29AA"/>
    <w:rsid w:val="000A29B5"/>
    <w:rsid w:val="000A2B6D"/>
    <w:rsid w:val="000A2CD4"/>
    <w:rsid w:val="000A2EC0"/>
    <w:rsid w:val="000A360D"/>
    <w:rsid w:val="000A3D66"/>
    <w:rsid w:val="000A3F57"/>
    <w:rsid w:val="000A4363"/>
    <w:rsid w:val="000A4509"/>
    <w:rsid w:val="000A48B8"/>
    <w:rsid w:val="000A520C"/>
    <w:rsid w:val="000A5235"/>
    <w:rsid w:val="000A582C"/>
    <w:rsid w:val="000A5B16"/>
    <w:rsid w:val="000A5B51"/>
    <w:rsid w:val="000A5FF2"/>
    <w:rsid w:val="000A607F"/>
    <w:rsid w:val="000A69CD"/>
    <w:rsid w:val="000A6B12"/>
    <w:rsid w:val="000A6C59"/>
    <w:rsid w:val="000A6D81"/>
    <w:rsid w:val="000A6D9D"/>
    <w:rsid w:val="000A6DE9"/>
    <w:rsid w:val="000A7273"/>
    <w:rsid w:val="000A77AA"/>
    <w:rsid w:val="000A7A42"/>
    <w:rsid w:val="000A7A65"/>
    <w:rsid w:val="000A7CC0"/>
    <w:rsid w:val="000B06F8"/>
    <w:rsid w:val="000B0D9F"/>
    <w:rsid w:val="000B0E35"/>
    <w:rsid w:val="000B131E"/>
    <w:rsid w:val="000B161D"/>
    <w:rsid w:val="000B199F"/>
    <w:rsid w:val="000B1A8B"/>
    <w:rsid w:val="000B1F65"/>
    <w:rsid w:val="000B201F"/>
    <w:rsid w:val="000B20A4"/>
    <w:rsid w:val="000B2135"/>
    <w:rsid w:val="000B2215"/>
    <w:rsid w:val="000B227B"/>
    <w:rsid w:val="000B234B"/>
    <w:rsid w:val="000B25BC"/>
    <w:rsid w:val="000B2BE2"/>
    <w:rsid w:val="000B2CDC"/>
    <w:rsid w:val="000B2F3B"/>
    <w:rsid w:val="000B3715"/>
    <w:rsid w:val="000B37B3"/>
    <w:rsid w:val="000B389C"/>
    <w:rsid w:val="000B4740"/>
    <w:rsid w:val="000B49B6"/>
    <w:rsid w:val="000B4D19"/>
    <w:rsid w:val="000B5022"/>
    <w:rsid w:val="000B518D"/>
    <w:rsid w:val="000B5724"/>
    <w:rsid w:val="000B5835"/>
    <w:rsid w:val="000B5991"/>
    <w:rsid w:val="000B5B7F"/>
    <w:rsid w:val="000B5D47"/>
    <w:rsid w:val="000B5ED1"/>
    <w:rsid w:val="000B6552"/>
    <w:rsid w:val="000B659E"/>
    <w:rsid w:val="000B6ABD"/>
    <w:rsid w:val="000B6BAB"/>
    <w:rsid w:val="000B7932"/>
    <w:rsid w:val="000B7C52"/>
    <w:rsid w:val="000C0150"/>
    <w:rsid w:val="000C0321"/>
    <w:rsid w:val="000C034C"/>
    <w:rsid w:val="000C073A"/>
    <w:rsid w:val="000C0987"/>
    <w:rsid w:val="000C1008"/>
    <w:rsid w:val="000C1690"/>
    <w:rsid w:val="000C1991"/>
    <w:rsid w:val="000C1B87"/>
    <w:rsid w:val="000C2080"/>
    <w:rsid w:val="000C23D2"/>
    <w:rsid w:val="000C254D"/>
    <w:rsid w:val="000C27BF"/>
    <w:rsid w:val="000C2828"/>
    <w:rsid w:val="000C2B33"/>
    <w:rsid w:val="000C2DFB"/>
    <w:rsid w:val="000C345A"/>
    <w:rsid w:val="000C351A"/>
    <w:rsid w:val="000C3793"/>
    <w:rsid w:val="000C3A86"/>
    <w:rsid w:val="000C3AF6"/>
    <w:rsid w:val="000C3D26"/>
    <w:rsid w:val="000C3F82"/>
    <w:rsid w:val="000C461C"/>
    <w:rsid w:val="000C4D9C"/>
    <w:rsid w:val="000C4EC4"/>
    <w:rsid w:val="000C4FA0"/>
    <w:rsid w:val="000C5163"/>
    <w:rsid w:val="000C5ABC"/>
    <w:rsid w:val="000C5D3E"/>
    <w:rsid w:val="000C6308"/>
    <w:rsid w:val="000C6427"/>
    <w:rsid w:val="000C6498"/>
    <w:rsid w:val="000C67A0"/>
    <w:rsid w:val="000C6A9D"/>
    <w:rsid w:val="000C6BDE"/>
    <w:rsid w:val="000C6BF6"/>
    <w:rsid w:val="000C6CF5"/>
    <w:rsid w:val="000C6D95"/>
    <w:rsid w:val="000C716E"/>
    <w:rsid w:val="000C7201"/>
    <w:rsid w:val="000C74D6"/>
    <w:rsid w:val="000C75D8"/>
    <w:rsid w:val="000C7A5D"/>
    <w:rsid w:val="000C7EB7"/>
    <w:rsid w:val="000D006C"/>
    <w:rsid w:val="000D0723"/>
    <w:rsid w:val="000D09EC"/>
    <w:rsid w:val="000D0AE9"/>
    <w:rsid w:val="000D0E26"/>
    <w:rsid w:val="000D11E4"/>
    <w:rsid w:val="000D1B5F"/>
    <w:rsid w:val="000D1F9B"/>
    <w:rsid w:val="000D2040"/>
    <w:rsid w:val="000D20F9"/>
    <w:rsid w:val="000D231E"/>
    <w:rsid w:val="000D241E"/>
    <w:rsid w:val="000D2CE2"/>
    <w:rsid w:val="000D3101"/>
    <w:rsid w:val="000D3244"/>
    <w:rsid w:val="000D3704"/>
    <w:rsid w:val="000D3E08"/>
    <w:rsid w:val="000D4016"/>
    <w:rsid w:val="000D4467"/>
    <w:rsid w:val="000D4596"/>
    <w:rsid w:val="000D4C58"/>
    <w:rsid w:val="000D4C61"/>
    <w:rsid w:val="000D4CAF"/>
    <w:rsid w:val="000D50A8"/>
    <w:rsid w:val="000D5286"/>
    <w:rsid w:val="000D558A"/>
    <w:rsid w:val="000D560D"/>
    <w:rsid w:val="000D570F"/>
    <w:rsid w:val="000D593C"/>
    <w:rsid w:val="000D5B29"/>
    <w:rsid w:val="000D5D87"/>
    <w:rsid w:val="000D61FA"/>
    <w:rsid w:val="000D6206"/>
    <w:rsid w:val="000D6231"/>
    <w:rsid w:val="000D6375"/>
    <w:rsid w:val="000D65EC"/>
    <w:rsid w:val="000D699E"/>
    <w:rsid w:val="000D6A90"/>
    <w:rsid w:val="000D6DD5"/>
    <w:rsid w:val="000D6FCE"/>
    <w:rsid w:val="000D73BA"/>
    <w:rsid w:val="000D77D7"/>
    <w:rsid w:val="000D7AEF"/>
    <w:rsid w:val="000D7B49"/>
    <w:rsid w:val="000D7CAE"/>
    <w:rsid w:val="000E00D0"/>
    <w:rsid w:val="000E025A"/>
    <w:rsid w:val="000E0538"/>
    <w:rsid w:val="000E09BC"/>
    <w:rsid w:val="000E0C02"/>
    <w:rsid w:val="000E1210"/>
    <w:rsid w:val="000E13E2"/>
    <w:rsid w:val="000E1572"/>
    <w:rsid w:val="000E16E6"/>
    <w:rsid w:val="000E17B6"/>
    <w:rsid w:val="000E1C4A"/>
    <w:rsid w:val="000E20D0"/>
    <w:rsid w:val="000E2164"/>
    <w:rsid w:val="000E228D"/>
    <w:rsid w:val="000E28BC"/>
    <w:rsid w:val="000E2D6F"/>
    <w:rsid w:val="000E2D96"/>
    <w:rsid w:val="000E3260"/>
    <w:rsid w:val="000E33D7"/>
    <w:rsid w:val="000E3418"/>
    <w:rsid w:val="000E35BC"/>
    <w:rsid w:val="000E3894"/>
    <w:rsid w:val="000E38B6"/>
    <w:rsid w:val="000E3A34"/>
    <w:rsid w:val="000E3ABD"/>
    <w:rsid w:val="000E3B08"/>
    <w:rsid w:val="000E40B5"/>
    <w:rsid w:val="000E42CF"/>
    <w:rsid w:val="000E444D"/>
    <w:rsid w:val="000E454E"/>
    <w:rsid w:val="000E4B7B"/>
    <w:rsid w:val="000E605B"/>
    <w:rsid w:val="000E64BE"/>
    <w:rsid w:val="000E65CD"/>
    <w:rsid w:val="000E687C"/>
    <w:rsid w:val="000E6A5C"/>
    <w:rsid w:val="000E6ABB"/>
    <w:rsid w:val="000E6B18"/>
    <w:rsid w:val="000E6B4E"/>
    <w:rsid w:val="000E6CBD"/>
    <w:rsid w:val="000E6F5A"/>
    <w:rsid w:val="000E7307"/>
    <w:rsid w:val="000E73DA"/>
    <w:rsid w:val="000E769B"/>
    <w:rsid w:val="000E76C2"/>
    <w:rsid w:val="000F0118"/>
    <w:rsid w:val="000F0515"/>
    <w:rsid w:val="000F0931"/>
    <w:rsid w:val="000F106A"/>
    <w:rsid w:val="000F13A1"/>
    <w:rsid w:val="000F21B6"/>
    <w:rsid w:val="000F262B"/>
    <w:rsid w:val="000F2AFE"/>
    <w:rsid w:val="000F2EC0"/>
    <w:rsid w:val="000F2F00"/>
    <w:rsid w:val="000F325C"/>
    <w:rsid w:val="000F3492"/>
    <w:rsid w:val="000F3953"/>
    <w:rsid w:val="000F3B23"/>
    <w:rsid w:val="000F3C42"/>
    <w:rsid w:val="000F4180"/>
    <w:rsid w:val="000F438A"/>
    <w:rsid w:val="000F438F"/>
    <w:rsid w:val="000F4B25"/>
    <w:rsid w:val="000F4BF0"/>
    <w:rsid w:val="000F4E2B"/>
    <w:rsid w:val="000F4E56"/>
    <w:rsid w:val="000F4E5F"/>
    <w:rsid w:val="000F5131"/>
    <w:rsid w:val="000F54B8"/>
    <w:rsid w:val="000F5841"/>
    <w:rsid w:val="000F588A"/>
    <w:rsid w:val="000F6272"/>
    <w:rsid w:val="000F667E"/>
    <w:rsid w:val="000F6E47"/>
    <w:rsid w:val="000F6EB9"/>
    <w:rsid w:val="000F6F5F"/>
    <w:rsid w:val="000F70FC"/>
    <w:rsid w:val="000F72B0"/>
    <w:rsid w:val="000F7727"/>
    <w:rsid w:val="000F7BB8"/>
    <w:rsid w:val="000F7C88"/>
    <w:rsid w:val="000F7D0D"/>
    <w:rsid w:val="000F7D32"/>
    <w:rsid w:val="00100670"/>
    <w:rsid w:val="00100692"/>
    <w:rsid w:val="0010084C"/>
    <w:rsid w:val="00100DF9"/>
    <w:rsid w:val="00100FCB"/>
    <w:rsid w:val="001012C5"/>
    <w:rsid w:val="00101408"/>
    <w:rsid w:val="001014C5"/>
    <w:rsid w:val="00101570"/>
    <w:rsid w:val="0010177E"/>
    <w:rsid w:val="001017FF"/>
    <w:rsid w:val="00101A18"/>
    <w:rsid w:val="001021F9"/>
    <w:rsid w:val="001023FB"/>
    <w:rsid w:val="001025B4"/>
    <w:rsid w:val="0010263E"/>
    <w:rsid w:val="00102971"/>
    <w:rsid w:val="00102B5A"/>
    <w:rsid w:val="00102ED5"/>
    <w:rsid w:val="0010312D"/>
    <w:rsid w:val="001039A0"/>
    <w:rsid w:val="00103EEE"/>
    <w:rsid w:val="0010467E"/>
    <w:rsid w:val="0010474E"/>
    <w:rsid w:val="001047A9"/>
    <w:rsid w:val="00104B9B"/>
    <w:rsid w:val="00104D0B"/>
    <w:rsid w:val="00104E79"/>
    <w:rsid w:val="001050E7"/>
    <w:rsid w:val="001053F1"/>
    <w:rsid w:val="00105AD5"/>
    <w:rsid w:val="00105BD3"/>
    <w:rsid w:val="0010657F"/>
    <w:rsid w:val="00106989"/>
    <w:rsid w:val="00106C0A"/>
    <w:rsid w:val="00106C54"/>
    <w:rsid w:val="00106CC6"/>
    <w:rsid w:val="00106E39"/>
    <w:rsid w:val="00106ED9"/>
    <w:rsid w:val="001076C7"/>
    <w:rsid w:val="00107B7D"/>
    <w:rsid w:val="00107C55"/>
    <w:rsid w:val="00107D71"/>
    <w:rsid w:val="00110032"/>
    <w:rsid w:val="001104BA"/>
    <w:rsid w:val="001105AB"/>
    <w:rsid w:val="001107EC"/>
    <w:rsid w:val="0011089E"/>
    <w:rsid w:val="0011094E"/>
    <w:rsid w:val="00110B76"/>
    <w:rsid w:val="00110C5A"/>
    <w:rsid w:val="00111189"/>
    <w:rsid w:val="0011179D"/>
    <w:rsid w:val="00111867"/>
    <w:rsid w:val="00111BBF"/>
    <w:rsid w:val="00111CAB"/>
    <w:rsid w:val="00111D72"/>
    <w:rsid w:val="00111E19"/>
    <w:rsid w:val="00111F69"/>
    <w:rsid w:val="00111F7E"/>
    <w:rsid w:val="00112042"/>
    <w:rsid w:val="001121AD"/>
    <w:rsid w:val="001122F8"/>
    <w:rsid w:val="00112353"/>
    <w:rsid w:val="00112C2E"/>
    <w:rsid w:val="001131E1"/>
    <w:rsid w:val="0011359F"/>
    <w:rsid w:val="001139FA"/>
    <w:rsid w:val="00113A47"/>
    <w:rsid w:val="00113D8B"/>
    <w:rsid w:val="00113D9C"/>
    <w:rsid w:val="00113E30"/>
    <w:rsid w:val="00113FC2"/>
    <w:rsid w:val="001146A5"/>
    <w:rsid w:val="0011472E"/>
    <w:rsid w:val="00114AA3"/>
    <w:rsid w:val="00114F07"/>
    <w:rsid w:val="0011502C"/>
    <w:rsid w:val="001157B5"/>
    <w:rsid w:val="001159B0"/>
    <w:rsid w:val="00115C5C"/>
    <w:rsid w:val="00115D25"/>
    <w:rsid w:val="00115DBB"/>
    <w:rsid w:val="00115F0D"/>
    <w:rsid w:val="00116408"/>
    <w:rsid w:val="001166EE"/>
    <w:rsid w:val="00116AD7"/>
    <w:rsid w:val="00116F97"/>
    <w:rsid w:val="00116FC8"/>
    <w:rsid w:val="001174EC"/>
    <w:rsid w:val="00117D67"/>
    <w:rsid w:val="00120684"/>
    <w:rsid w:val="0012094A"/>
    <w:rsid w:val="00121017"/>
    <w:rsid w:val="001210A7"/>
    <w:rsid w:val="001210D6"/>
    <w:rsid w:val="001213D6"/>
    <w:rsid w:val="001216C5"/>
    <w:rsid w:val="00121DE7"/>
    <w:rsid w:val="00121E11"/>
    <w:rsid w:val="0012218A"/>
    <w:rsid w:val="001224C9"/>
    <w:rsid w:val="00122A72"/>
    <w:rsid w:val="00122B11"/>
    <w:rsid w:val="00122B5F"/>
    <w:rsid w:val="00122DB1"/>
    <w:rsid w:val="00122F31"/>
    <w:rsid w:val="00122F37"/>
    <w:rsid w:val="00122FD5"/>
    <w:rsid w:val="001232CB"/>
    <w:rsid w:val="001232E5"/>
    <w:rsid w:val="0012338B"/>
    <w:rsid w:val="00123938"/>
    <w:rsid w:val="00123ABC"/>
    <w:rsid w:val="00123DCC"/>
    <w:rsid w:val="00123EEE"/>
    <w:rsid w:val="001248F5"/>
    <w:rsid w:val="00124BAE"/>
    <w:rsid w:val="0012500D"/>
    <w:rsid w:val="00125288"/>
    <w:rsid w:val="001254CC"/>
    <w:rsid w:val="001256D1"/>
    <w:rsid w:val="00125740"/>
    <w:rsid w:val="0012575E"/>
    <w:rsid w:val="0012583F"/>
    <w:rsid w:val="00125E03"/>
    <w:rsid w:val="001260DA"/>
    <w:rsid w:val="0012645D"/>
    <w:rsid w:val="001267E5"/>
    <w:rsid w:val="00126834"/>
    <w:rsid w:val="00126A79"/>
    <w:rsid w:val="00126A9B"/>
    <w:rsid w:val="00126DFE"/>
    <w:rsid w:val="00126F22"/>
    <w:rsid w:val="00127A38"/>
    <w:rsid w:val="00127B93"/>
    <w:rsid w:val="00130418"/>
    <w:rsid w:val="001305BF"/>
    <w:rsid w:val="001309AC"/>
    <w:rsid w:val="00131202"/>
    <w:rsid w:val="001319F7"/>
    <w:rsid w:val="00131B3D"/>
    <w:rsid w:val="00131D89"/>
    <w:rsid w:val="00131DE9"/>
    <w:rsid w:val="00132062"/>
    <w:rsid w:val="00132192"/>
    <w:rsid w:val="001324D1"/>
    <w:rsid w:val="00132DF1"/>
    <w:rsid w:val="00133102"/>
    <w:rsid w:val="001335F4"/>
    <w:rsid w:val="0013363B"/>
    <w:rsid w:val="00133658"/>
    <w:rsid w:val="0013371B"/>
    <w:rsid w:val="00133D0E"/>
    <w:rsid w:val="0013406E"/>
    <w:rsid w:val="001343D3"/>
    <w:rsid w:val="0013484B"/>
    <w:rsid w:val="00134CD3"/>
    <w:rsid w:val="00134D93"/>
    <w:rsid w:val="00134EC2"/>
    <w:rsid w:val="00135188"/>
    <w:rsid w:val="0013518B"/>
    <w:rsid w:val="00135288"/>
    <w:rsid w:val="00135422"/>
    <w:rsid w:val="001355DB"/>
    <w:rsid w:val="001355F2"/>
    <w:rsid w:val="00135656"/>
    <w:rsid w:val="00135A3F"/>
    <w:rsid w:val="00135B40"/>
    <w:rsid w:val="00135DDA"/>
    <w:rsid w:val="001364F9"/>
    <w:rsid w:val="001366EB"/>
    <w:rsid w:val="00136761"/>
    <w:rsid w:val="001369F2"/>
    <w:rsid w:val="00136D48"/>
    <w:rsid w:val="0013704E"/>
    <w:rsid w:val="00137365"/>
    <w:rsid w:val="001376E5"/>
    <w:rsid w:val="001377CC"/>
    <w:rsid w:val="00137875"/>
    <w:rsid w:val="001378EF"/>
    <w:rsid w:val="00137BEB"/>
    <w:rsid w:val="00137BF6"/>
    <w:rsid w:val="00137F46"/>
    <w:rsid w:val="001406BC"/>
    <w:rsid w:val="00140D78"/>
    <w:rsid w:val="00140E49"/>
    <w:rsid w:val="00140ED2"/>
    <w:rsid w:val="00140EE8"/>
    <w:rsid w:val="0014163D"/>
    <w:rsid w:val="0014181E"/>
    <w:rsid w:val="00141D30"/>
    <w:rsid w:val="00141E0E"/>
    <w:rsid w:val="001423C0"/>
    <w:rsid w:val="0014268E"/>
    <w:rsid w:val="00142752"/>
    <w:rsid w:val="00142966"/>
    <w:rsid w:val="00143064"/>
    <w:rsid w:val="001436B7"/>
    <w:rsid w:val="00143FB9"/>
    <w:rsid w:val="001447E8"/>
    <w:rsid w:val="0014491E"/>
    <w:rsid w:val="00144F4D"/>
    <w:rsid w:val="00145557"/>
    <w:rsid w:val="0014566B"/>
    <w:rsid w:val="00145912"/>
    <w:rsid w:val="00145CE5"/>
    <w:rsid w:val="00145DA3"/>
    <w:rsid w:val="0014602B"/>
    <w:rsid w:val="0014602F"/>
    <w:rsid w:val="001464C9"/>
    <w:rsid w:val="00146D68"/>
    <w:rsid w:val="0014747F"/>
    <w:rsid w:val="001476EA"/>
    <w:rsid w:val="0014786E"/>
    <w:rsid w:val="0014797D"/>
    <w:rsid w:val="00147AD7"/>
    <w:rsid w:val="00147D45"/>
    <w:rsid w:val="00147EB2"/>
    <w:rsid w:val="00150A40"/>
    <w:rsid w:val="00150A72"/>
    <w:rsid w:val="0015161F"/>
    <w:rsid w:val="001517F9"/>
    <w:rsid w:val="00151909"/>
    <w:rsid w:val="00151BD2"/>
    <w:rsid w:val="00151BE2"/>
    <w:rsid w:val="00151D02"/>
    <w:rsid w:val="00152259"/>
    <w:rsid w:val="001522BF"/>
    <w:rsid w:val="0015231B"/>
    <w:rsid w:val="001525CF"/>
    <w:rsid w:val="00152656"/>
    <w:rsid w:val="001526BF"/>
    <w:rsid w:val="00152737"/>
    <w:rsid w:val="001528E4"/>
    <w:rsid w:val="001529D3"/>
    <w:rsid w:val="00152ED3"/>
    <w:rsid w:val="00153121"/>
    <w:rsid w:val="0015312A"/>
    <w:rsid w:val="00153641"/>
    <w:rsid w:val="00153A45"/>
    <w:rsid w:val="00153B19"/>
    <w:rsid w:val="00153D98"/>
    <w:rsid w:val="00154312"/>
    <w:rsid w:val="00154AB4"/>
    <w:rsid w:val="00154F0E"/>
    <w:rsid w:val="00155801"/>
    <w:rsid w:val="00155871"/>
    <w:rsid w:val="0015597C"/>
    <w:rsid w:val="00155A8F"/>
    <w:rsid w:val="00155DEA"/>
    <w:rsid w:val="00156064"/>
    <w:rsid w:val="001562F4"/>
    <w:rsid w:val="001564F3"/>
    <w:rsid w:val="00156609"/>
    <w:rsid w:val="00156D2B"/>
    <w:rsid w:val="00156DD0"/>
    <w:rsid w:val="0015711C"/>
    <w:rsid w:val="00157450"/>
    <w:rsid w:val="001575D1"/>
    <w:rsid w:val="0015765E"/>
    <w:rsid w:val="001577A4"/>
    <w:rsid w:val="00157CEC"/>
    <w:rsid w:val="00160021"/>
    <w:rsid w:val="00160454"/>
    <w:rsid w:val="00160769"/>
    <w:rsid w:val="00160884"/>
    <w:rsid w:val="00160C1A"/>
    <w:rsid w:val="00161846"/>
    <w:rsid w:val="0016192D"/>
    <w:rsid w:val="001619F9"/>
    <w:rsid w:val="00161A1A"/>
    <w:rsid w:val="00161EF7"/>
    <w:rsid w:val="00161F46"/>
    <w:rsid w:val="001620EB"/>
    <w:rsid w:val="001624EC"/>
    <w:rsid w:val="00162997"/>
    <w:rsid w:val="00162A64"/>
    <w:rsid w:val="00162AFC"/>
    <w:rsid w:val="00162C79"/>
    <w:rsid w:val="00162F77"/>
    <w:rsid w:val="00162FAC"/>
    <w:rsid w:val="00163491"/>
    <w:rsid w:val="00163582"/>
    <w:rsid w:val="00163D98"/>
    <w:rsid w:val="00164430"/>
    <w:rsid w:val="0016471F"/>
    <w:rsid w:val="001647D8"/>
    <w:rsid w:val="0016487C"/>
    <w:rsid w:val="001648DC"/>
    <w:rsid w:val="00164A31"/>
    <w:rsid w:val="00164A91"/>
    <w:rsid w:val="00164D01"/>
    <w:rsid w:val="00164EAD"/>
    <w:rsid w:val="00165023"/>
    <w:rsid w:val="0016516F"/>
    <w:rsid w:val="0016547E"/>
    <w:rsid w:val="001654B2"/>
    <w:rsid w:val="00165510"/>
    <w:rsid w:val="0016590D"/>
    <w:rsid w:val="00165BAA"/>
    <w:rsid w:val="001660C2"/>
    <w:rsid w:val="001660DF"/>
    <w:rsid w:val="001661DD"/>
    <w:rsid w:val="00167C7B"/>
    <w:rsid w:val="001704BB"/>
    <w:rsid w:val="0017060B"/>
    <w:rsid w:val="0017060C"/>
    <w:rsid w:val="001709C8"/>
    <w:rsid w:val="00170CC5"/>
    <w:rsid w:val="00170D24"/>
    <w:rsid w:val="001711B3"/>
    <w:rsid w:val="0017135B"/>
    <w:rsid w:val="00171634"/>
    <w:rsid w:val="0017164F"/>
    <w:rsid w:val="001716EA"/>
    <w:rsid w:val="00171900"/>
    <w:rsid w:val="00171DBD"/>
    <w:rsid w:val="00171E11"/>
    <w:rsid w:val="00172036"/>
    <w:rsid w:val="0017212C"/>
    <w:rsid w:val="00172B70"/>
    <w:rsid w:val="00172C30"/>
    <w:rsid w:val="001730D7"/>
    <w:rsid w:val="00173612"/>
    <w:rsid w:val="0017371B"/>
    <w:rsid w:val="00173BA1"/>
    <w:rsid w:val="00173F49"/>
    <w:rsid w:val="00173FBF"/>
    <w:rsid w:val="00173FCA"/>
    <w:rsid w:val="0017419F"/>
    <w:rsid w:val="00174293"/>
    <w:rsid w:val="001743CA"/>
    <w:rsid w:val="0017443F"/>
    <w:rsid w:val="001746D6"/>
    <w:rsid w:val="00174992"/>
    <w:rsid w:val="00174BCE"/>
    <w:rsid w:val="0017555C"/>
    <w:rsid w:val="00175E09"/>
    <w:rsid w:val="00175EFD"/>
    <w:rsid w:val="00175F1C"/>
    <w:rsid w:val="00176475"/>
    <w:rsid w:val="00176518"/>
    <w:rsid w:val="001767F5"/>
    <w:rsid w:val="00176AE4"/>
    <w:rsid w:val="00176BB3"/>
    <w:rsid w:val="00176DD4"/>
    <w:rsid w:val="00177074"/>
    <w:rsid w:val="0017710C"/>
    <w:rsid w:val="00177345"/>
    <w:rsid w:val="0017749F"/>
    <w:rsid w:val="0017753B"/>
    <w:rsid w:val="001776A5"/>
    <w:rsid w:val="00177E5A"/>
    <w:rsid w:val="00180121"/>
    <w:rsid w:val="00180175"/>
    <w:rsid w:val="001802EC"/>
    <w:rsid w:val="001805DC"/>
    <w:rsid w:val="00180988"/>
    <w:rsid w:val="00180C57"/>
    <w:rsid w:val="0018121B"/>
    <w:rsid w:val="001814FF"/>
    <w:rsid w:val="0018161A"/>
    <w:rsid w:val="00181920"/>
    <w:rsid w:val="00181B84"/>
    <w:rsid w:val="0018235E"/>
    <w:rsid w:val="00182429"/>
    <w:rsid w:val="001828D0"/>
    <w:rsid w:val="0018292B"/>
    <w:rsid w:val="00182997"/>
    <w:rsid w:val="00182A19"/>
    <w:rsid w:val="00182AB6"/>
    <w:rsid w:val="00182E14"/>
    <w:rsid w:val="00182E7F"/>
    <w:rsid w:val="00183D6E"/>
    <w:rsid w:val="00183ED2"/>
    <w:rsid w:val="00183FDA"/>
    <w:rsid w:val="00184252"/>
    <w:rsid w:val="00184465"/>
    <w:rsid w:val="0018479F"/>
    <w:rsid w:val="00184AB4"/>
    <w:rsid w:val="00184DB8"/>
    <w:rsid w:val="00184EEF"/>
    <w:rsid w:val="00185372"/>
    <w:rsid w:val="0018567D"/>
    <w:rsid w:val="00185CE3"/>
    <w:rsid w:val="00185E6C"/>
    <w:rsid w:val="00185F91"/>
    <w:rsid w:val="0018604A"/>
    <w:rsid w:val="00186077"/>
    <w:rsid w:val="001860FE"/>
    <w:rsid w:val="001862BF"/>
    <w:rsid w:val="001864C3"/>
    <w:rsid w:val="0018659C"/>
    <w:rsid w:val="00186941"/>
    <w:rsid w:val="00186A38"/>
    <w:rsid w:val="00186D0A"/>
    <w:rsid w:val="00186FAE"/>
    <w:rsid w:val="001873D1"/>
    <w:rsid w:val="0018754B"/>
    <w:rsid w:val="001876A8"/>
    <w:rsid w:val="00187A2E"/>
    <w:rsid w:val="00190724"/>
    <w:rsid w:val="00190C7C"/>
    <w:rsid w:val="00190D57"/>
    <w:rsid w:val="00190D93"/>
    <w:rsid w:val="00191951"/>
    <w:rsid w:val="00191B41"/>
    <w:rsid w:val="00192648"/>
    <w:rsid w:val="001928DE"/>
    <w:rsid w:val="00192A50"/>
    <w:rsid w:val="001932A6"/>
    <w:rsid w:val="001938C0"/>
    <w:rsid w:val="00194015"/>
    <w:rsid w:val="00194057"/>
    <w:rsid w:val="001947C7"/>
    <w:rsid w:val="001947D2"/>
    <w:rsid w:val="001948C7"/>
    <w:rsid w:val="00194A2B"/>
    <w:rsid w:val="00195038"/>
    <w:rsid w:val="00195062"/>
    <w:rsid w:val="00195432"/>
    <w:rsid w:val="00195538"/>
    <w:rsid w:val="00195876"/>
    <w:rsid w:val="00195B34"/>
    <w:rsid w:val="0019612E"/>
    <w:rsid w:val="0019638D"/>
    <w:rsid w:val="001969A6"/>
    <w:rsid w:val="00196D65"/>
    <w:rsid w:val="001970D5"/>
    <w:rsid w:val="001971C0"/>
    <w:rsid w:val="0019727A"/>
    <w:rsid w:val="001974BA"/>
    <w:rsid w:val="001975B0"/>
    <w:rsid w:val="001977C5"/>
    <w:rsid w:val="00197902"/>
    <w:rsid w:val="00197E33"/>
    <w:rsid w:val="00197E6F"/>
    <w:rsid w:val="00197EA8"/>
    <w:rsid w:val="001A0002"/>
    <w:rsid w:val="001A015A"/>
    <w:rsid w:val="001A023A"/>
    <w:rsid w:val="001A0517"/>
    <w:rsid w:val="001A0577"/>
    <w:rsid w:val="001A07A0"/>
    <w:rsid w:val="001A0C80"/>
    <w:rsid w:val="001A0C98"/>
    <w:rsid w:val="001A1262"/>
    <w:rsid w:val="001A139F"/>
    <w:rsid w:val="001A13B0"/>
    <w:rsid w:val="001A1554"/>
    <w:rsid w:val="001A15AA"/>
    <w:rsid w:val="001A1854"/>
    <w:rsid w:val="001A18A0"/>
    <w:rsid w:val="001A18C1"/>
    <w:rsid w:val="001A1B31"/>
    <w:rsid w:val="001A1C6A"/>
    <w:rsid w:val="001A1E9E"/>
    <w:rsid w:val="001A218C"/>
    <w:rsid w:val="001A21C9"/>
    <w:rsid w:val="001A27AB"/>
    <w:rsid w:val="001A2F02"/>
    <w:rsid w:val="001A3500"/>
    <w:rsid w:val="001A3660"/>
    <w:rsid w:val="001A417B"/>
    <w:rsid w:val="001A4529"/>
    <w:rsid w:val="001A46B0"/>
    <w:rsid w:val="001A4720"/>
    <w:rsid w:val="001A490F"/>
    <w:rsid w:val="001A4DC2"/>
    <w:rsid w:val="001A51C3"/>
    <w:rsid w:val="001A5266"/>
    <w:rsid w:val="001A5651"/>
    <w:rsid w:val="001A5767"/>
    <w:rsid w:val="001A582A"/>
    <w:rsid w:val="001A59AC"/>
    <w:rsid w:val="001A5A96"/>
    <w:rsid w:val="001A5C41"/>
    <w:rsid w:val="001A610E"/>
    <w:rsid w:val="001A6263"/>
    <w:rsid w:val="001A674E"/>
    <w:rsid w:val="001A6783"/>
    <w:rsid w:val="001A6C5E"/>
    <w:rsid w:val="001A6F05"/>
    <w:rsid w:val="001A7223"/>
    <w:rsid w:val="001A7321"/>
    <w:rsid w:val="001A7559"/>
    <w:rsid w:val="001A7760"/>
    <w:rsid w:val="001A7A4E"/>
    <w:rsid w:val="001A7F39"/>
    <w:rsid w:val="001A7F79"/>
    <w:rsid w:val="001B05B8"/>
    <w:rsid w:val="001B08CD"/>
    <w:rsid w:val="001B0DEB"/>
    <w:rsid w:val="001B14CD"/>
    <w:rsid w:val="001B14EF"/>
    <w:rsid w:val="001B1800"/>
    <w:rsid w:val="001B1A24"/>
    <w:rsid w:val="001B2002"/>
    <w:rsid w:val="001B2234"/>
    <w:rsid w:val="001B26C0"/>
    <w:rsid w:val="001B2911"/>
    <w:rsid w:val="001B292E"/>
    <w:rsid w:val="001B29C1"/>
    <w:rsid w:val="001B2D32"/>
    <w:rsid w:val="001B2D87"/>
    <w:rsid w:val="001B3152"/>
    <w:rsid w:val="001B33C1"/>
    <w:rsid w:val="001B39F5"/>
    <w:rsid w:val="001B3B4E"/>
    <w:rsid w:val="001B3BF8"/>
    <w:rsid w:val="001B3DA3"/>
    <w:rsid w:val="001B3DD3"/>
    <w:rsid w:val="001B3F3C"/>
    <w:rsid w:val="001B4120"/>
    <w:rsid w:val="001B4DC0"/>
    <w:rsid w:val="001B4F35"/>
    <w:rsid w:val="001B507A"/>
    <w:rsid w:val="001B54F8"/>
    <w:rsid w:val="001B591B"/>
    <w:rsid w:val="001B5CED"/>
    <w:rsid w:val="001B5CF9"/>
    <w:rsid w:val="001B5F42"/>
    <w:rsid w:val="001B6401"/>
    <w:rsid w:val="001B6443"/>
    <w:rsid w:val="001B6775"/>
    <w:rsid w:val="001B686E"/>
    <w:rsid w:val="001B698B"/>
    <w:rsid w:val="001B6BD9"/>
    <w:rsid w:val="001B6EED"/>
    <w:rsid w:val="001B7031"/>
    <w:rsid w:val="001B70E3"/>
    <w:rsid w:val="001B7163"/>
    <w:rsid w:val="001B73FD"/>
    <w:rsid w:val="001B75EE"/>
    <w:rsid w:val="001B77C3"/>
    <w:rsid w:val="001B7867"/>
    <w:rsid w:val="001B7913"/>
    <w:rsid w:val="001B79AB"/>
    <w:rsid w:val="001B7AC9"/>
    <w:rsid w:val="001B7DDD"/>
    <w:rsid w:val="001C00BD"/>
    <w:rsid w:val="001C016A"/>
    <w:rsid w:val="001C03BD"/>
    <w:rsid w:val="001C04AA"/>
    <w:rsid w:val="001C0696"/>
    <w:rsid w:val="001C0846"/>
    <w:rsid w:val="001C085F"/>
    <w:rsid w:val="001C14CC"/>
    <w:rsid w:val="001C1955"/>
    <w:rsid w:val="001C1B62"/>
    <w:rsid w:val="001C1D4E"/>
    <w:rsid w:val="001C1FBF"/>
    <w:rsid w:val="001C21B8"/>
    <w:rsid w:val="001C23D6"/>
    <w:rsid w:val="001C257B"/>
    <w:rsid w:val="001C2ABC"/>
    <w:rsid w:val="001C2D3E"/>
    <w:rsid w:val="001C2F41"/>
    <w:rsid w:val="001C2F95"/>
    <w:rsid w:val="001C30DC"/>
    <w:rsid w:val="001C310F"/>
    <w:rsid w:val="001C32AE"/>
    <w:rsid w:val="001C3813"/>
    <w:rsid w:val="001C39A9"/>
    <w:rsid w:val="001C3B82"/>
    <w:rsid w:val="001C3D29"/>
    <w:rsid w:val="001C3D2D"/>
    <w:rsid w:val="001C3EB3"/>
    <w:rsid w:val="001C40EA"/>
    <w:rsid w:val="001C440B"/>
    <w:rsid w:val="001C46BF"/>
    <w:rsid w:val="001C4935"/>
    <w:rsid w:val="001C4EE2"/>
    <w:rsid w:val="001C5070"/>
    <w:rsid w:val="001C5368"/>
    <w:rsid w:val="001C5848"/>
    <w:rsid w:val="001C59A0"/>
    <w:rsid w:val="001C6076"/>
    <w:rsid w:val="001C6255"/>
    <w:rsid w:val="001C633A"/>
    <w:rsid w:val="001C6451"/>
    <w:rsid w:val="001C6535"/>
    <w:rsid w:val="001C68B7"/>
    <w:rsid w:val="001C6B48"/>
    <w:rsid w:val="001C6CF0"/>
    <w:rsid w:val="001C6CFB"/>
    <w:rsid w:val="001C6F9A"/>
    <w:rsid w:val="001C6FD8"/>
    <w:rsid w:val="001C7409"/>
    <w:rsid w:val="001C7485"/>
    <w:rsid w:val="001C79F4"/>
    <w:rsid w:val="001C7FE5"/>
    <w:rsid w:val="001D0705"/>
    <w:rsid w:val="001D0932"/>
    <w:rsid w:val="001D0AEE"/>
    <w:rsid w:val="001D0BC7"/>
    <w:rsid w:val="001D0E99"/>
    <w:rsid w:val="001D0EE0"/>
    <w:rsid w:val="001D11AB"/>
    <w:rsid w:val="001D14B0"/>
    <w:rsid w:val="001D15AF"/>
    <w:rsid w:val="001D18CD"/>
    <w:rsid w:val="001D1962"/>
    <w:rsid w:val="001D1B28"/>
    <w:rsid w:val="001D1D4A"/>
    <w:rsid w:val="001D2498"/>
    <w:rsid w:val="001D2A46"/>
    <w:rsid w:val="001D2BC4"/>
    <w:rsid w:val="001D2C30"/>
    <w:rsid w:val="001D2FD7"/>
    <w:rsid w:val="001D3701"/>
    <w:rsid w:val="001D46FF"/>
    <w:rsid w:val="001D47B1"/>
    <w:rsid w:val="001D4D31"/>
    <w:rsid w:val="001D4EBB"/>
    <w:rsid w:val="001D4EE4"/>
    <w:rsid w:val="001D50A3"/>
    <w:rsid w:val="001D52E8"/>
    <w:rsid w:val="001D56FC"/>
    <w:rsid w:val="001D5766"/>
    <w:rsid w:val="001D5AEF"/>
    <w:rsid w:val="001D5B74"/>
    <w:rsid w:val="001D63CA"/>
    <w:rsid w:val="001D6689"/>
    <w:rsid w:val="001D6C03"/>
    <w:rsid w:val="001D6C5F"/>
    <w:rsid w:val="001D70C8"/>
    <w:rsid w:val="001D7626"/>
    <w:rsid w:val="001D7CFD"/>
    <w:rsid w:val="001E06B7"/>
    <w:rsid w:val="001E0749"/>
    <w:rsid w:val="001E07F0"/>
    <w:rsid w:val="001E0849"/>
    <w:rsid w:val="001E0A3F"/>
    <w:rsid w:val="001E0BA5"/>
    <w:rsid w:val="001E0BCF"/>
    <w:rsid w:val="001E0C57"/>
    <w:rsid w:val="001E0E42"/>
    <w:rsid w:val="001E1275"/>
    <w:rsid w:val="001E13ED"/>
    <w:rsid w:val="001E14F0"/>
    <w:rsid w:val="001E19F1"/>
    <w:rsid w:val="001E1A3A"/>
    <w:rsid w:val="001E1E04"/>
    <w:rsid w:val="001E1FF2"/>
    <w:rsid w:val="001E2293"/>
    <w:rsid w:val="001E24D7"/>
    <w:rsid w:val="001E2735"/>
    <w:rsid w:val="001E2755"/>
    <w:rsid w:val="001E2958"/>
    <w:rsid w:val="001E2CF7"/>
    <w:rsid w:val="001E3017"/>
    <w:rsid w:val="001E3081"/>
    <w:rsid w:val="001E312B"/>
    <w:rsid w:val="001E3568"/>
    <w:rsid w:val="001E35AF"/>
    <w:rsid w:val="001E38E1"/>
    <w:rsid w:val="001E3C2D"/>
    <w:rsid w:val="001E3D24"/>
    <w:rsid w:val="001E3DAD"/>
    <w:rsid w:val="001E3DFD"/>
    <w:rsid w:val="001E4161"/>
    <w:rsid w:val="001E431F"/>
    <w:rsid w:val="001E43F5"/>
    <w:rsid w:val="001E440B"/>
    <w:rsid w:val="001E457B"/>
    <w:rsid w:val="001E461F"/>
    <w:rsid w:val="001E46CC"/>
    <w:rsid w:val="001E4753"/>
    <w:rsid w:val="001E4F76"/>
    <w:rsid w:val="001E505F"/>
    <w:rsid w:val="001E50F5"/>
    <w:rsid w:val="001E52CE"/>
    <w:rsid w:val="001E5D48"/>
    <w:rsid w:val="001E6488"/>
    <w:rsid w:val="001E6657"/>
    <w:rsid w:val="001E6EED"/>
    <w:rsid w:val="001E6FBC"/>
    <w:rsid w:val="001E70F6"/>
    <w:rsid w:val="001E7148"/>
    <w:rsid w:val="001E71E4"/>
    <w:rsid w:val="001E727D"/>
    <w:rsid w:val="001E77BC"/>
    <w:rsid w:val="001E7AEC"/>
    <w:rsid w:val="001E7B25"/>
    <w:rsid w:val="001E7B4C"/>
    <w:rsid w:val="001E7F08"/>
    <w:rsid w:val="001F067F"/>
    <w:rsid w:val="001F06C1"/>
    <w:rsid w:val="001F0724"/>
    <w:rsid w:val="001F0A44"/>
    <w:rsid w:val="001F11B2"/>
    <w:rsid w:val="001F1986"/>
    <w:rsid w:val="001F2038"/>
    <w:rsid w:val="001F2E62"/>
    <w:rsid w:val="001F2E6C"/>
    <w:rsid w:val="001F3446"/>
    <w:rsid w:val="001F34C9"/>
    <w:rsid w:val="001F367F"/>
    <w:rsid w:val="001F3A01"/>
    <w:rsid w:val="001F3BB2"/>
    <w:rsid w:val="001F42C0"/>
    <w:rsid w:val="001F4418"/>
    <w:rsid w:val="001F44B0"/>
    <w:rsid w:val="001F44C4"/>
    <w:rsid w:val="001F4622"/>
    <w:rsid w:val="001F47A7"/>
    <w:rsid w:val="001F4AC0"/>
    <w:rsid w:val="001F5241"/>
    <w:rsid w:val="001F53F1"/>
    <w:rsid w:val="001F540A"/>
    <w:rsid w:val="001F558D"/>
    <w:rsid w:val="001F5C2D"/>
    <w:rsid w:val="001F5DBA"/>
    <w:rsid w:val="001F5E9F"/>
    <w:rsid w:val="001F60D4"/>
    <w:rsid w:val="001F629E"/>
    <w:rsid w:val="001F63EC"/>
    <w:rsid w:val="001F645D"/>
    <w:rsid w:val="001F6837"/>
    <w:rsid w:val="001F69D0"/>
    <w:rsid w:val="001F6BAF"/>
    <w:rsid w:val="001F6BB0"/>
    <w:rsid w:val="001F6C96"/>
    <w:rsid w:val="001F72A4"/>
    <w:rsid w:val="001F732C"/>
    <w:rsid w:val="001F75BA"/>
    <w:rsid w:val="001F76A1"/>
    <w:rsid w:val="001F7C24"/>
    <w:rsid w:val="001F7C2D"/>
    <w:rsid w:val="002000E7"/>
    <w:rsid w:val="0020022A"/>
    <w:rsid w:val="0020067E"/>
    <w:rsid w:val="00201229"/>
    <w:rsid w:val="002013FB"/>
    <w:rsid w:val="002014D4"/>
    <w:rsid w:val="00201826"/>
    <w:rsid w:val="0020192A"/>
    <w:rsid w:val="00201B5B"/>
    <w:rsid w:val="00201C4F"/>
    <w:rsid w:val="002020B6"/>
    <w:rsid w:val="00202529"/>
    <w:rsid w:val="00202754"/>
    <w:rsid w:val="00202878"/>
    <w:rsid w:val="00202C10"/>
    <w:rsid w:val="002033DE"/>
    <w:rsid w:val="00203718"/>
    <w:rsid w:val="00203BAB"/>
    <w:rsid w:val="00203C3F"/>
    <w:rsid w:val="00203C56"/>
    <w:rsid w:val="00203FC1"/>
    <w:rsid w:val="002042D2"/>
    <w:rsid w:val="0020455E"/>
    <w:rsid w:val="00204599"/>
    <w:rsid w:val="0020498E"/>
    <w:rsid w:val="002051DD"/>
    <w:rsid w:val="002055BD"/>
    <w:rsid w:val="002055EB"/>
    <w:rsid w:val="002059E2"/>
    <w:rsid w:val="00205A88"/>
    <w:rsid w:val="00205ADE"/>
    <w:rsid w:val="00205B53"/>
    <w:rsid w:val="00205FCD"/>
    <w:rsid w:val="0020641E"/>
    <w:rsid w:val="00206A21"/>
    <w:rsid w:val="00206D7B"/>
    <w:rsid w:val="00206ED1"/>
    <w:rsid w:val="0020729B"/>
    <w:rsid w:val="00207354"/>
    <w:rsid w:val="00207B13"/>
    <w:rsid w:val="0021004D"/>
    <w:rsid w:val="00210050"/>
    <w:rsid w:val="0021012D"/>
    <w:rsid w:val="00210164"/>
    <w:rsid w:val="002102E6"/>
    <w:rsid w:val="00210593"/>
    <w:rsid w:val="002105FA"/>
    <w:rsid w:val="00210637"/>
    <w:rsid w:val="002107D6"/>
    <w:rsid w:val="00210C89"/>
    <w:rsid w:val="00211079"/>
    <w:rsid w:val="0021178F"/>
    <w:rsid w:val="0021182A"/>
    <w:rsid w:val="00211F4B"/>
    <w:rsid w:val="0021207E"/>
    <w:rsid w:val="002120FD"/>
    <w:rsid w:val="0021223C"/>
    <w:rsid w:val="002129B5"/>
    <w:rsid w:val="00212AB2"/>
    <w:rsid w:val="00212FD2"/>
    <w:rsid w:val="00213607"/>
    <w:rsid w:val="002137C4"/>
    <w:rsid w:val="002138D6"/>
    <w:rsid w:val="00213995"/>
    <w:rsid w:val="00213CA3"/>
    <w:rsid w:val="00213D43"/>
    <w:rsid w:val="00214053"/>
    <w:rsid w:val="00214106"/>
    <w:rsid w:val="00214ABF"/>
    <w:rsid w:val="00214E52"/>
    <w:rsid w:val="00215609"/>
    <w:rsid w:val="00215931"/>
    <w:rsid w:val="00215B57"/>
    <w:rsid w:val="00215F5A"/>
    <w:rsid w:val="00215FBC"/>
    <w:rsid w:val="00216609"/>
    <w:rsid w:val="00216851"/>
    <w:rsid w:val="00216A83"/>
    <w:rsid w:val="00216C83"/>
    <w:rsid w:val="00217407"/>
    <w:rsid w:val="00217624"/>
    <w:rsid w:val="002178DD"/>
    <w:rsid w:val="00217BE8"/>
    <w:rsid w:val="00217CEA"/>
    <w:rsid w:val="00217DC6"/>
    <w:rsid w:val="00217FB9"/>
    <w:rsid w:val="002200FA"/>
    <w:rsid w:val="00220382"/>
    <w:rsid w:val="0022051F"/>
    <w:rsid w:val="002205EE"/>
    <w:rsid w:val="00220766"/>
    <w:rsid w:val="00220C2B"/>
    <w:rsid w:val="00220CE1"/>
    <w:rsid w:val="00220E82"/>
    <w:rsid w:val="00220EBE"/>
    <w:rsid w:val="0022123D"/>
    <w:rsid w:val="0022188E"/>
    <w:rsid w:val="0022220F"/>
    <w:rsid w:val="00222511"/>
    <w:rsid w:val="002227CD"/>
    <w:rsid w:val="002228FC"/>
    <w:rsid w:val="00222A8D"/>
    <w:rsid w:val="00223A95"/>
    <w:rsid w:val="00223B38"/>
    <w:rsid w:val="00223D20"/>
    <w:rsid w:val="002240B7"/>
    <w:rsid w:val="002245BF"/>
    <w:rsid w:val="00224666"/>
    <w:rsid w:val="002246B6"/>
    <w:rsid w:val="00224905"/>
    <w:rsid w:val="00224D75"/>
    <w:rsid w:val="002257AA"/>
    <w:rsid w:val="002257FB"/>
    <w:rsid w:val="00225C89"/>
    <w:rsid w:val="00225E79"/>
    <w:rsid w:val="00226299"/>
    <w:rsid w:val="002262DD"/>
    <w:rsid w:val="00226495"/>
    <w:rsid w:val="002264DD"/>
    <w:rsid w:val="00226633"/>
    <w:rsid w:val="0022663A"/>
    <w:rsid w:val="00226EB6"/>
    <w:rsid w:val="00227400"/>
    <w:rsid w:val="00227946"/>
    <w:rsid w:val="002279B3"/>
    <w:rsid w:val="0023024E"/>
    <w:rsid w:val="00230370"/>
    <w:rsid w:val="00230B53"/>
    <w:rsid w:val="00230FC2"/>
    <w:rsid w:val="0023114B"/>
    <w:rsid w:val="002313EE"/>
    <w:rsid w:val="0023152E"/>
    <w:rsid w:val="00231787"/>
    <w:rsid w:val="00231C8B"/>
    <w:rsid w:val="0023277F"/>
    <w:rsid w:val="002328B5"/>
    <w:rsid w:val="002328E2"/>
    <w:rsid w:val="002328EE"/>
    <w:rsid w:val="002329BA"/>
    <w:rsid w:val="00232A54"/>
    <w:rsid w:val="00232D80"/>
    <w:rsid w:val="00232DBC"/>
    <w:rsid w:val="002335B9"/>
    <w:rsid w:val="00233B31"/>
    <w:rsid w:val="00233DD2"/>
    <w:rsid w:val="00233F60"/>
    <w:rsid w:val="00234024"/>
    <w:rsid w:val="002340A7"/>
    <w:rsid w:val="002342ED"/>
    <w:rsid w:val="002345FB"/>
    <w:rsid w:val="002347B8"/>
    <w:rsid w:val="00234BD5"/>
    <w:rsid w:val="0023516A"/>
    <w:rsid w:val="002351EC"/>
    <w:rsid w:val="00235557"/>
    <w:rsid w:val="002355FD"/>
    <w:rsid w:val="002357BB"/>
    <w:rsid w:val="00235C27"/>
    <w:rsid w:val="002360D1"/>
    <w:rsid w:val="002364E3"/>
    <w:rsid w:val="002365DB"/>
    <w:rsid w:val="002365E4"/>
    <w:rsid w:val="00236758"/>
    <w:rsid w:val="0023689B"/>
    <w:rsid w:val="0023694F"/>
    <w:rsid w:val="00236BF7"/>
    <w:rsid w:val="00236DA1"/>
    <w:rsid w:val="00236EAB"/>
    <w:rsid w:val="00237097"/>
    <w:rsid w:val="00237270"/>
    <w:rsid w:val="00237456"/>
    <w:rsid w:val="002400D5"/>
    <w:rsid w:val="00240290"/>
    <w:rsid w:val="002402AD"/>
    <w:rsid w:val="0024054A"/>
    <w:rsid w:val="00241A38"/>
    <w:rsid w:val="00241F3E"/>
    <w:rsid w:val="00242086"/>
    <w:rsid w:val="0024215B"/>
    <w:rsid w:val="002421C2"/>
    <w:rsid w:val="002423E1"/>
    <w:rsid w:val="0024270A"/>
    <w:rsid w:val="0024334B"/>
    <w:rsid w:val="002434C1"/>
    <w:rsid w:val="002437A5"/>
    <w:rsid w:val="00243851"/>
    <w:rsid w:val="002438D4"/>
    <w:rsid w:val="00243B5E"/>
    <w:rsid w:val="00243BD4"/>
    <w:rsid w:val="00243C4C"/>
    <w:rsid w:val="00243FE0"/>
    <w:rsid w:val="00244298"/>
    <w:rsid w:val="00244665"/>
    <w:rsid w:val="0024479D"/>
    <w:rsid w:val="00244A1B"/>
    <w:rsid w:val="00244B35"/>
    <w:rsid w:val="00244D66"/>
    <w:rsid w:val="00244FDC"/>
    <w:rsid w:val="0024512F"/>
    <w:rsid w:val="002455DF"/>
    <w:rsid w:val="0024573B"/>
    <w:rsid w:val="00245858"/>
    <w:rsid w:val="00245C00"/>
    <w:rsid w:val="00245D1B"/>
    <w:rsid w:val="0024615E"/>
    <w:rsid w:val="0024627E"/>
    <w:rsid w:val="00246839"/>
    <w:rsid w:val="00246B7D"/>
    <w:rsid w:val="00246C21"/>
    <w:rsid w:val="002471D8"/>
    <w:rsid w:val="0024754A"/>
    <w:rsid w:val="00247D26"/>
    <w:rsid w:val="002501A0"/>
    <w:rsid w:val="00250328"/>
    <w:rsid w:val="0025057D"/>
    <w:rsid w:val="0025067B"/>
    <w:rsid w:val="002506B0"/>
    <w:rsid w:val="00250804"/>
    <w:rsid w:val="002509BB"/>
    <w:rsid w:val="00250BFC"/>
    <w:rsid w:val="00250E7C"/>
    <w:rsid w:val="00250F54"/>
    <w:rsid w:val="002510C6"/>
    <w:rsid w:val="002510FF"/>
    <w:rsid w:val="002512FC"/>
    <w:rsid w:val="0025150C"/>
    <w:rsid w:val="00251574"/>
    <w:rsid w:val="002516A3"/>
    <w:rsid w:val="00251B93"/>
    <w:rsid w:val="00251F00"/>
    <w:rsid w:val="00252063"/>
    <w:rsid w:val="002526E4"/>
    <w:rsid w:val="002528E1"/>
    <w:rsid w:val="0025297D"/>
    <w:rsid w:val="00252B3A"/>
    <w:rsid w:val="00252FCE"/>
    <w:rsid w:val="00253547"/>
    <w:rsid w:val="00253E39"/>
    <w:rsid w:val="002541F4"/>
    <w:rsid w:val="002543CC"/>
    <w:rsid w:val="00254B19"/>
    <w:rsid w:val="00254C39"/>
    <w:rsid w:val="002551E9"/>
    <w:rsid w:val="002555F7"/>
    <w:rsid w:val="00255E71"/>
    <w:rsid w:val="00255FA1"/>
    <w:rsid w:val="00256966"/>
    <w:rsid w:val="00256AB8"/>
    <w:rsid w:val="00256DA2"/>
    <w:rsid w:val="00256E71"/>
    <w:rsid w:val="0025703B"/>
    <w:rsid w:val="002575BC"/>
    <w:rsid w:val="00257C50"/>
    <w:rsid w:val="00257E96"/>
    <w:rsid w:val="002602DF"/>
    <w:rsid w:val="00260705"/>
    <w:rsid w:val="00260AE6"/>
    <w:rsid w:val="00260C4E"/>
    <w:rsid w:val="00260F70"/>
    <w:rsid w:val="00260FA2"/>
    <w:rsid w:val="0026102B"/>
    <w:rsid w:val="0026142A"/>
    <w:rsid w:val="0026199C"/>
    <w:rsid w:val="00261BE4"/>
    <w:rsid w:val="00261FFB"/>
    <w:rsid w:val="0026218B"/>
    <w:rsid w:val="00262395"/>
    <w:rsid w:val="0026244B"/>
    <w:rsid w:val="002624C9"/>
    <w:rsid w:val="002626E8"/>
    <w:rsid w:val="00262B0A"/>
    <w:rsid w:val="00262E0D"/>
    <w:rsid w:val="00262E64"/>
    <w:rsid w:val="00263067"/>
    <w:rsid w:val="0026359F"/>
    <w:rsid w:val="00263664"/>
    <w:rsid w:val="002638E3"/>
    <w:rsid w:val="00263D06"/>
    <w:rsid w:val="00263E00"/>
    <w:rsid w:val="00263E07"/>
    <w:rsid w:val="00264618"/>
    <w:rsid w:val="0026487F"/>
    <w:rsid w:val="00264902"/>
    <w:rsid w:val="00264AE0"/>
    <w:rsid w:val="00264BA8"/>
    <w:rsid w:val="00264C28"/>
    <w:rsid w:val="00264FFB"/>
    <w:rsid w:val="0026503E"/>
    <w:rsid w:val="002651DC"/>
    <w:rsid w:val="0026572A"/>
    <w:rsid w:val="002657AC"/>
    <w:rsid w:val="00265888"/>
    <w:rsid w:val="00265A63"/>
    <w:rsid w:val="00265E4D"/>
    <w:rsid w:val="00265F14"/>
    <w:rsid w:val="00266144"/>
    <w:rsid w:val="0026653C"/>
    <w:rsid w:val="00266864"/>
    <w:rsid w:val="00266E64"/>
    <w:rsid w:val="002670F4"/>
    <w:rsid w:val="0026725C"/>
    <w:rsid w:val="00267366"/>
    <w:rsid w:val="00267379"/>
    <w:rsid w:val="002676D2"/>
    <w:rsid w:val="00267899"/>
    <w:rsid w:val="00267E55"/>
    <w:rsid w:val="00267F4B"/>
    <w:rsid w:val="00267FD6"/>
    <w:rsid w:val="0027001E"/>
    <w:rsid w:val="00270294"/>
    <w:rsid w:val="00270E2E"/>
    <w:rsid w:val="00270EE3"/>
    <w:rsid w:val="002710BF"/>
    <w:rsid w:val="00271150"/>
    <w:rsid w:val="00271222"/>
    <w:rsid w:val="002714E6"/>
    <w:rsid w:val="00271765"/>
    <w:rsid w:val="00271989"/>
    <w:rsid w:val="00271C13"/>
    <w:rsid w:val="00272018"/>
    <w:rsid w:val="00272974"/>
    <w:rsid w:val="00272EED"/>
    <w:rsid w:val="00273415"/>
    <w:rsid w:val="002734E2"/>
    <w:rsid w:val="00273704"/>
    <w:rsid w:val="002742DB"/>
    <w:rsid w:val="00274A2A"/>
    <w:rsid w:val="00274ACA"/>
    <w:rsid w:val="00274BFA"/>
    <w:rsid w:val="00274F15"/>
    <w:rsid w:val="00274FE5"/>
    <w:rsid w:val="0027582B"/>
    <w:rsid w:val="0027589C"/>
    <w:rsid w:val="002758E0"/>
    <w:rsid w:val="0027598A"/>
    <w:rsid w:val="00275B90"/>
    <w:rsid w:val="00275D52"/>
    <w:rsid w:val="00275D6A"/>
    <w:rsid w:val="00275EE7"/>
    <w:rsid w:val="00276378"/>
    <w:rsid w:val="00276435"/>
    <w:rsid w:val="0027657B"/>
    <w:rsid w:val="002766A4"/>
    <w:rsid w:val="00276796"/>
    <w:rsid w:val="00276940"/>
    <w:rsid w:val="0027728D"/>
    <w:rsid w:val="00277898"/>
    <w:rsid w:val="00277B05"/>
    <w:rsid w:val="00277B61"/>
    <w:rsid w:val="00277CC2"/>
    <w:rsid w:val="00277D30"/>
    <w:rsid w:val="002800E5"/>
    <w:rsid w:val="00280690"/>
    <w:rsid w:val="002809E2"/>
    <w:rsid w:val="00280E35"/>
    <w:rsid w:val="0028136B"/>
    <w:rsid w:val="0028179F"/>
    <w:rsid w:val="00281997"/>
    <w:rsid w:val="00281AC0"/>
    <w:rsid w:val="00281C56"/>
    <w:rsid w:val="002820FD"/>
    <w:rsid w:val="00282323"/>
    <w:rsid w:val="002824D0"/>
    <w:rsid w:val="002829F5"/>
    <w:rsid w:val="00282DBF"/>
    <w:rsid w:val="002831EF"/>
    <w:rsid w:val="002836FC"/>
    <w:rsid w:val="0028382E"/>
    <w:rsid w:val="00283E04"/>
    <w:rsid w:val="00283E26"/>
    <w:rsid w:val="00283F22"/>
    <w:rsid w:val="0028401B"/>
    <w:rsid w:val="00284E70"/>
    <w:rsid w:val="00284F31"/>
    <w:rsid w:val="00284F75"/>
    <w:rsid w:val="00285178"/>
    <w:rsid w:val="00285373"/>
    <w:rsid w:val="002856A6"/>
    <w:rsid w:val="002857E6"/>
    <w:rsid w:val="00285A4F"/>
    <w:rsid w:val="00285C02"/>
    <w:rsid w:val="00285CBD"/>
    <w:rsid w:val="00285DDA"/>
    <w:rsid w:val="002864AD"/>
    <w:rsid w:val="0028659B"/>
    <w:rsid w:val="00286A1C"/>
    <w:rsid w:val="00286CB8"/>
    <w:rsid w:val="00286E6E"/>
    <w:rsid w:val="002877CD"/>
    <w:rsid w:val="00287ABA"/>
    <w:rsid w:val="00287AC0"/>
    <w:rsid w:val="00287FC5"/>
    <w:rsid w:val="00290161"/>
    <w:rsid w:val="00290572"/>
    <w:rsid w:val="0029065F"/>
    <w:rsid w:val="002908D5"/>
    <w:rsid w:val="00290A90"/>
    <w:rsid w:val="00290ADC"/>
    <w:rsid w:val="002918B6"/>
    <w:rsid w:val="00291C87"/>
    <w:rsid w:val="00291F05"/>
    <w:rsid w:val="002922A2"/>
    <w:rsid w:val="00292354"/>
    <w:rsid w:val="00292488"/>
    <w:rsid w:val="00292508"/>
    <w:rsid w:val="0029262C"/>
    <w:rsid w:val="0029265C"/>
    <w:rsid w:val="00292D51"/>
    <w:rsid w:val="00292E75"/>
    <w:rsid w:val="00292F93"/>
    <w:rsid w:val="002931E4"/>
    <w:rsid w:val="002934CE"/>
    <w:rsid w:val="00293618"/>
    <w:rsid w:val="00293A61"/>
    <w:rsid w:val="00293B8D"/>
    <w:rsid w:val="00294250"/>
    <w:rsid w:val="002945C4"/>
    <w:rsid w:val="00294675"/>
    <w:rsid w:val="00294778"/>
    <w:rsid w:val="0029482A"/>
    <w:rsid w:val="00294851"/>
    <w:rsid w:val="00294E9F"/>
    <w:rsid w:val="002950D3"/>
    <w:rsid w:val="00295127"/>
    <w:rsid w:val="00295220"/>
    <w:rsid w:val="00295632"/>
    <w:rsid w:val="00295B85"/>
    <w:rsid w:val="00295E84"/>
    <w:rsid w:val="00295EFD"/>
    <w:rsid w:val="0029662A"/>
    <w:rsid w:val="0029665D"/>
    <w:rsid w:val="00296AD2"/>
    <w:rsid w:val="00296DEB"/>
    <w:rsid w:val="00296E17"/>
    <w:rsid w:val="0029736D"/>
    <w:rsid w:val="00297372"/>
    <w:rsid w:val="0029771B"/>
    <w:rsid w:val="002978CC"/>
    <w:rsid w:val="00297A3A"/>
    <w:rsid w:val="00297C16"/>
    <w:rsid w:val="002A00FF"/>
    <w:rsid w:val="002A015A"/>
    <w:rsid w:val="002A01A0"/>
    <w:rsid w:val="002A04B8"/>
    <w:rsid w:val="002A067A"/>
    <w:rsid w:val="002A06B8"/>
    <w:rsid w:val="002A083B"/>
    <w:rsid w:val="002A0AFB"/>
    <w:rsid w:val="002A0F39"/>
    <w:rsid w:val="002A0FAC"/>
    <w:rsid w:val="002A122D"/>
    <w:rsid w:val="002A17B6"/>
    <w:rsid w:val="002A1893"/>
    <w:rsid w:val="002A18AA"/>
    <w:rsid w:val="002A1C82"/>
    <w:rsid w:val="002A238A"/>
    <w:rsid w:val="002A242E"/>
    <w:rsid w:val="002A30F0"/>
    <w:rsid w:val="002A3678"/>
    <w:rsid w:val="002A37B5"/>
    <w:rsid w:val="002A3CD1"/>
    <w:rsid w:val="002A3DC7"/>
    <w:rsid w:val="002A3DE0"/>
    <w:rsid w:val="002A417F"/>
    <w:rsid w:val="002A42F2"/>
    <w:rsid w:val="002A434B"/>
    <w:rsid w:val="002A4377"/>
    <w:rsid w:val="002A4B2C"/>
    <w:rsid w:val="002A4C62"/>
    <w:rsid w:val="002A4D2F"/>
    <w:rsid w:val="002A506F"/>
    <w:rsid w:val="002A519C"/>
    <w:rsid w:val="002A53FC"/>
    <w:rsid w:val="002A5BB4"/>
    <w:rsid w:val="002A61C8"/>
    <w:rsid w:val="002A6223"/>
    <w:rsid w:val="002A6315"/>
    <w:rsid w:val="002A6883"/>
    <w:rsid w:val="002A6A33"/>
    <w:rsid w:val="002A6D75"/>
    <w:rsid w:val="002A7408"/>
    <w:rsid w:val="002A7B60"/>
    <w:rsid w:val="002B0138"/>
    <w:rsid w:val="002B0BAF"/>
    <w:rsid w:val="002B0C4C"/>
    <w:rsid w:val="002B0C7E"/>
    <w:rsid w:val="002B0F65"/>
    <w:rsid w:val="002B1145"/>
    <w:rsid w:val="002B1208"/>
    <w:rsid w:val="002B1B4A"/>
    <w:rsid w:val="002B1EB9"/>
    <w:rsid w:val="002B1FDF"/>
    <w:rsid w:val="002B2A1E"/>
    <w:rsid w:val="002B2A53"/>
    <w:rsid w:val="002B3873"/>
    <w:rsid w:val="002B3D04"/>
    <w:rsid w:val="002B3EB9"/>
    <w:rsid w:val="002B4167"/>
    <w:rsid w:val="002B480B"/>
    <w:rsid w:val="002B4A6D"/>
    <w:rsid w:val="002B4CE4"/>
    <w:rsid w:val="002B55D6"/>
    <w:rsid w:val="002B55F2"/>
    <w:rsid w:val="002B58E1"/>
    <w:rsid w:val="002B5A5F"/>
    <w:rsid w:val="002B5D2D"/>
    <w:rsid w:val="002B5EA2"/>
    <w:rsid w:val="002B607F"/>
    <w:rsid w:val="002B62BF"/>
    <w:rsid w:val="002B62DB"/>
    <w:rsid w:val="002B679D"/>
    <w:rsid w:val="002B6829"/>
    <w:rsid w:val="002B6B8A"/>
    <w:rsid w:val="002B71DC"/>
    <w:rsid w:val="002B79D4"/>
    <w:rsid w:val="002C0144"/>
    <w:rsid w:val="002C0560"/>
    <w:rsid w:val="002C06BD"/>
    <w:rsid w:val="002C083F"/>
    <w:rsid w:val="002C093C"/>
    <w:rsid w:val="002C0999"/>
    <w:rsid w:val="002C0BB2"/>
    <w:rsid w:val="002C0D11"/>
    <w:rsid w:val="002C0FCF"/>
    <w:rsid w:val="002C15AD"/>
    <w:rsid w:val="002C1996"/>
    <w:rsid w:val="002C1DE5"/>
    <w:rsid w:val="002C23F6"/>
    <w:rsid w:val="002C25A0"/>
    <w:rsid w:val="002C272D"/>
    <w:rsid w:val="002C2B5C"/>
    <w:rsid w:val="002C2DA9"/>
    <w:rsid w:val="002C2EC2"/>
    <w:rsid w:val="002C314D"/>
    <w:rsid w:val="002C3444"/>
    <w:rsid w:val="002C379B"/>
    <w:rsid w:val="002C37E7"/>
    <w:rsid w:val="002C396D"/>
    <w:rsid w:val="002C3ECB"/>
    <w:rsid w:val="002C4167"/>
    <w:rsid w:val="002C418C"/>
    <w:rsid w:val="002C422F"/>
    <w:rsid w:val="002C42DB"/>
    <w:rsid w:val="002C4313"/>
    <w:rsid w:val="002C4498"/>
    <w:rsid w:val="002C47F1"/>
    <w:rsid w:val="002C4892"/>
    <w:rsid w:val="002C496B"/>
    <w:rsid w:val="002C4973"/>
    <w:rsid w:val="002C4C77"/>
    <w:rsid w:val="002C518B"/>
    <w:rsid w:val="002C5498"/>
    <w:rsid w:val="002C5663"/>
    <w:rsid w:val="002C5875"/>
    <w:rsid w:val="002C5D4A"/>
    <w:rsid w:val="002C65C3"/>
    <w:rsid w:val="002C66D5"/>
    <w:rsid w:val="002C66DB"/>
    <w:rsid w:val="002C67A9"/>
    <w:rsid w:val="002C6D01"/>
    <w:rsid w:val="002C7903"/>
    <w:rsid w:val="002C7FE7"/>
    <w:rsid w:val="002D10B0"/>
    <w:rsid w:val="002D1219"/>
    <w:rsid w:val="002D1ED9"/>
    <w:rsid w:val="002D2074"/>
    <w:rsid w:val="002D2605"/>
    <w:rsid w:val="002D285F"/>
    <w:rsid w:val="002D2924"/>
    <w:rsid w:val="002D2C1F"/>
    <w:rsid w:val="002D2EAE"/>
    <w:rsid w:val="002D2F87"/>
    <w:rsid w:val="002D3146"/>
    <w:rsid w:val="002D3154"/>
    <w:rsid w:val="002D369B"/>
    <w:rsid w:val="002D3717"/>
    <w:rsid w:val="002D3EE0"/>
    <w:rsid w:val="002D3FC7"/>
    <w:rsid w:val="002D44DC"/>
    <w:rsid w:val="002D4518"/>
    <w:rsid w:val="002D4D4C"/>
    <w:rsid w:val="002D4D6E"/>
    <w:rsid w:val="002D54AC"/>
    <w:rsid w:val="002D56C9"/>
    <w:rsid w:val="002D5742"/>
    <w:rsid w:val="002D57D8"/>
    <w:rsid w:val="002D5834"/>
    <w:rsid w:val="002D5880"/>
    <w:rsid w:val="002D5D05"/>
    <w:rsid w:val="002D67D0"/>
    <w:rsid w:val="002D6855"/>
    <w:rsid w:val="002D6BFD"/>
    <w:rsid w:val="002D6CAF"/>
    <w:rsid w:val="002D734B"/>
    <w:rsid w:val="002D759C"/>
    <w:rsid w:val="002D7893"/>
    <w:rsid w:val="002D7A5C"/>
    <w:rsid w:val="002D7DBE"/>
    <w:rsid w:val="002E0180"/>
    <w:rsid w:val="002E04F5"/>
    <w:rsid w:val="002E0779"/>
    <w:rsid w:val="002E0B9F"/>
    <w:rsid w:val="002E0D0B"/>
    <w:rsid w:val="002E0E7D"/>
    <w:rsid w:val="002E1024"/>
    <w:rsid w:val="002E1396"/>
    <w:rsid w:val="002E13FB"/>
    <w:rsid w:val="002E188F"/>
    <w:rsid w:val="002E18B4"/>
    <w:rsid w:val="002E1AD4"/>
    <w:rsid w:val="002E1E69"/>
    <w:rsid w:val="002E213B"/>
    <w:rsid w:val="002E22F6"/>
    <w:rsid w:val="002E24A8"/>
    <w:rsid w:val="002E2CEC"/>
    <w:rsid w:val="002E2F32"/>
    <w:rsid w:val="002E34F0"/>
    <w:rsid w:val="002E3A0A"/>
    <w:rsid w:val="002E3CC8"/>
    <w:rsid w:val="002E3F40"/>
    <w:rsid w:val="002E41A6"/>
    <w:rsid w:val="002E42DB"/>
    <w:rsid w:val="002E4560"/>
    <w:rsid w:val="002E45BF"/>
    <w:rsid w:val="002E4DA8"/>
    <w:rsid w:val="002E4E41"/>
    <w:rsid w:val="002E5DA5"/>
    <w:rsid w:val="002E5FC0"/>
    <w:rsid w:val="002E61EA"/>
    <w:rsid w:val="002E6325"/>
    <w:rsid w:val="002E63A5"/>
    <w:rsid w:val="002E67AE"/>
    <w:rsid w:val="002E67B2"/>
    <w:rsid w:val="002E68AE"/>
    <w:rsid w:val="002E6912"/>
    <w:rsid w:val="002E6918"/>
    <w:rsid w:val="002E6B4C"/>
    <w:rsid w:val="002E6C5B"/>
    <w:rsid w:val="002E6E02"/>
    <w:rsid w:val="002E6E0C"/>
    <w:rsid w:val="002E6F68"/>
    <w:rsid w:val="002E707D"/>
    <w:rsid w:val="002E725E"/>
    <w:rsid w:val="002E7289"/>
    <w:rsid w:val="002E7558"/>
    <w:rsid w:val="002F02F9"/>
    <w:rsid w:val="002F04F8"/>
    <w:rsid w:val="002F08C2"/>
    <w:rsid w:val="002F0943"/>
    <w:rsid w:val="002F09AF"/>
    <w:rsid w:val="002F0C17"/>
    <w:rsid w:val="002F0CB0"/>
    <w:rsid w:val="002F0E7F"/>
    <w:rsid w:val="002F1088"/>
    <w:rsid w:val="002F1391"/>
    <w:rsid w:val="002F16B3"/>
    <w:rsid w:val="002F21C3"/>
    <w:rsid w:val="002F2416"/>
    <w:rsid w:val="002F25BB"/>
    <w:rsid w:val="002F2826"/>
    <w:rsid w:val="002F28C3"/>
    <w:rsid w:val="002F2A34"/>
    <w:rsid w:val="002F31D3"/>
    <w:rsid w:val="002F3278"/>
    <w:rsid w:val="002F3558"/>
    <w:rsid w:val="002F3635"/>
    <w:rsid w:val="002F3A4B"/>
    <w:rsid w:val="002F3B86"/>
    <w:rsid w:val="002F43C4"/>
    <w:rsid w:val="002F4762"/>
    <w:rsid w:val="002F4785"/>
    <w:rsid w:val="002F4909"/>
    <w:rsid w:val="002F4D9A"/>
    <w:rsid w:val="002F4E2F"/>
    <w:rsid w:val="002F5598"/>
    <w:rsid w:val="002F5873"/>
    <w:rsid w:val="002F59D5"/>
    <w:rsid w:val="002F5DAA"/>
    <w:rsid w:val="002F63AE"/>
    <w:rsid w:val="002F698E"/>
    <w:rsid w:val="002F6AC7"/>
    <w:rsid w:val="002F6C9C"/>
    <w:rsid w:val="002F6F82"/>
    <w:rsid w:val="002F722E"/>
    <w:rsid w:val="002F726B"/>
    <w:rsid w:val="002F7863"/>
    <w:rsid w:val="002F7C81"/>
    <w:rsid w:val="003006C0"/>
    <w:rsid w:val="00300D77"/>
    <w:rsid w:val="00301396"/>
    <w:rsid w:val="003013F9"/>
    <w:rsid w:val="00301447"/>
    <w:rsid w:val="0030147C"/>
    <w:rsid w:val="003015DB"/>
    <w:rsid w:val="003015F9"/>
    <w:rsid w:val="0030190A"/>
    <w:rsid w:val="00301B48"/>
    <w:rsid w:val="00301C03"/>
    <w:rsid w:val="00301D51"/>
    <w:rsid w:val="00301E83"/>
    <w:rsid w:val="003021F9"/>
    <w:rsid w:val="00302425"/>
    <w:rsid w:val="003024F4"/>
    <w:rsid w:val="0030256F"/>
    <w:rsid w:val="0030262D"/>
    <w:rsid w:val="00302AD2"/>
    <w:rsid w:val="00302AED"/>
    <w:rsid w:val="00302BC9"/>
    <w:rsid w:val="0030309C"/>
    <w:rsid w:val="003035C9"/>
    <w:rsid w:val="00303739"/>
    <w:rsid w:val="00303A11"/>
    <w:rsid w:val="00303BB2"/>
    <w:rsid w:val="00303DF6"/>
    <w:rsid w:val="00303F91"/>
    <w:rsid w:val="00304274"/>
    <w:rsid w:val="00304811"/>
    <w:rsid w:val="00304B57"/>
    <w:rsid w:val="00304F9E"/>
    <w:rsid w:val="003053E3"/>
    <w:rsid w:val="00305406"/>
    <w:rsid w:val="0030569C"/>
    <w:rsid w:val="00305E6F"/>
    <w:rsid w:val="003063B7"/>
    <w:rsid w:val="003067B4"/>
    <w:rsid w:val="00307A5C"/>
    <w:rsid w:val="00307BF6"/>
    <w:rsid w:val="00307CF0"/>
    <w:rsid w:val="00307D78"/>
    <w:rsid w:val="0031012E"/>
    <w:rsid w:val="0031047D"/>
    <w:rsid w:val="003106D3"/>
    <w:rsid w:val="00310CFB"/>
    <w:rsid w:val="00310D36"/>
    <w:rsid w:val="00310F96"/>
    <w:rsid w:val="00310FBC"/>
    <w:rsid w:val="00311655"/>
    <w:rsid w:val="0031192D"/>
    <w:rsid w:val="00311B79"/>
    <w:rsid w:val="00311E3C"/>
    <w:rsid w:val="00311EA8"/>
    <w:rsid w:val="00311F13"/>
    <w:rsid w:val="0031209F"/>
    <w:rsid w:val="003120E9"/>
    <w:rsid w:val="0031219C"/>
    <w:rsid w:val="003122E9"/>
    <w:rsid w:val="003123EF"/>
    <w:rsid w:val="00312C2F"/>
    <w:rsid w:val="00312E53"/>
    <w:rsid w:val="00312F48"/>
    <w:rsid w:val="0031348F"/>
    <w:rsid w:val="0031359E"/>
    <w:rsid w:val="003135D0"/>
    <w:rsid w:val="003136E6"/>
    <w:rsid w:val="003139B6"/>
    <w:rsid w:val="00313B6B"/>
    <w:rsid w:val="00313E9A"/>
    <w:rsid w:val="00313FD5"/>
    <w:rsid w:val="003140CD"/>
    <w:rsid w:val="00314866"/>
    <w:rsid w:val="0031495A"/>
    <w:rsid w:val="00314CED"/>
    <w:rsid w:val="00314D23"/>
    <w:rsid w:val="00314D79"/>
    <w:rsid w:val="00314D89"/>
    <w:rsid w:val="00314DF8"/>
    <w:rsid w:val="00315010"/>
    <w:rsid w:val="0031526A"/>
    <w:rsid w:val="00315590"/>
    <w:rsid w:val="00315E64"/>
    <w:rsid w:val="003162FF"/>
    <w:rsid w:val="00316410"/>
    <w:rsid w:val="0031648B"/>
    <w:rsid w:val="00316495"/>
    <w:rsid w:val="003165E0"/>
    <w:rsid w:val="00317144"/>
    <w:rsid w:val="0031734A"/>
    <w:rsid w:val="0031737B"/>
    <w:rsid w:val="003173D6"/>
    <w:rsid w:val="00317604"/>
    <w:rsid w:val="00317957"/>
    <w:rsid w:val="00317C1B"/>
    <w:rsid w:val="00317C57"/>
    <w:rsid w:val="00317E4A"/>
    <w:rsid w:val="00317FB5"/>
    <w:rsid w:val="0032064D"/>
    <w:rsid w:val="00320B65"/>
    <w:rsid w:val="00320C33"/>
    <w:rsid w:val="00320F08"/>
    <w:rsid w:val="00320FE1"/>
    <w:rsid w:val="0032105E"/>
    <w:rsid w:val="003215A8"/>
    <w:rsid w:val="00321B9D"/>
    <w:rsid w:val="003221DE"/>
    <w:rsid w:val="00322605"/>
    <w:rsid w:val="00322701"/>
    <w:rsid w:val="00322A0C"/>
    <w:rsid w:val="00322B06"/>
    <w:rsid w:val="00322FED"/>
    <w:rsid w:val="003230F0"/>
    <w:rsid w:val="003239F2"/>
    <w:rsid w:val="00323D55"/>
    <w:rsid w:val="00323FC6"/>
    <w:rsid w:val="00324394"/>
    <w:rsid w:val="003247F4"/>
    <w:rsid w:val="00324E8D"/>
    <w:rsid w:val="003251F5"/>
    <w:rsid w:val="003252B3"/>
    <w:rsid w:val="0032536C"/>
    <w:rsid w:val="00325677"/>
    <w:rsid w:val="003257F7"/>
    <w:rsid w:val="0032634B"/>
    <w:rsid w:val="00327A43"/>
    <w:rsid w:val="00327BF0"/>
    <w:rsid w:val="00327CA9"/>
    <w:rsid w:val="003303AF"/>
    <w:rsid w:val="00330763"/>
    <w:rsid w:val="0033096C"/>
    <w:rsid w:val="00331306"/>
    <w:rsid w:val="0033165E"/>
    <w:rsid w:val="00331B30"/>
    <w:rsid w:val="00331C45"/>
    <w:rsid w:val="00331FAF"/>
    <w:rsid w:val="00332154"/>
    <w:rsid w:val="0033220D"/>
    <w:rsid w:val="0033221F"/>
    <w:rsid w:val="00332318"/>
    <w:rsid w:val="0033238C"/>
    <w:rsid w:val="00332479"/>
    <w:rsid w:val="003327DD"/>
    <w:rsid w:val="00332A5B"/>
    <w:rsid w:val="00332BD8"/>
    <w:rsid w:val="00332EE5"/>
    <w:rsid w:val="00333000"/>
    <w:rsid w:val="0033304F"/>
    <w:rsid w:val="00333187"/>
    <w:rsid w:val="003332AB"/>
    <w:rsid w:val="003332AC"/>
    <w:rsid w:val="003333B9"/>
    <w:rsid w:val="00333646"/>
    <w:rsid w:val="003336C2"/>
    <w:rsid w:val="00333873"/>
    <w:rsid w:val="003339B4"/>
    <w:rsid w:val="003339C2"/>
    <w:rsid w:val="00333AA6"/>
    <w:rsid w:val="00333B2F"/>
    <w:rsid w:val="00334172"/>
    <w:rsid w:val="0033418E"/>
    <w:rsid w:val="0033430C"/>
    <w:rsid w:val="00334BA3"/>
    <w:rsid w:val="00334FCF"/>
    <w:rsid w:val="00335223"/>
    <w:rsid w:val="00335463"/>
    <w:rsid w:val="00335C48"/>
    <w:rsid w:val="00335F55"/>
    <w:rsid w:val="003361CE"/>
    <w:rsid w:val="003366D8"/>
    <w:rsid w:val="003366E1"/>
    <w:rsid w:val="0033676E"/>
    <w:rsid w:val="0033707F"/>
    <w:rsid w:val="003371BF"/>
    <w:rsid w:val="00337232"/>
    <w:rsid w:val="003373A1"/>
    <w:rsid w:val="00337423"/>
    <w:rsid w:val="0033751B"/>
    <w:rsid w:val="003375C7"/>
    <w:rsid w:val="003377D4"/>
    <w:rsid w:val="00337C14"/>
    <w:rsid w:val="00337E7F"/>
    <w:rsid w:val="00340165"/>
    <w:rsid w:val="00340282"/>
    <w:rsid w:val="003408A2"/>
    <w:rsid w:val="0034091D"/>
    <w:rsid w:val="00340C32"/>
    <w:rsid w:val="003418F0"/>
    <w:rsid w:val="00341D0A"/>
    <w:rsid w:val="00341D25"/>
    <w:rsid w:val="003421B0"/>
    <w:rsid w:val="0034237B"/>
    <w:rsid w:val="003423E4"/>
    <w:rsid w:val="00342455"/>
    <w:rsid w:val="0034303A"/>
    <w:rsid w:val="003431FB"/>
    <w:rsid w:val="00343CE3"/>
    <w:rsid w:val="00344373"/>
    <w:rsid w:val="00344BE0"/>
    <w:rsid w:val="00345366"/>
    <w:rsid w:val="003453F5"/>
    <w:rsid w:val="00345518"/>
    <w:rsid w:val="0034558B"/>
    <w:rsid w:val="00345595"/>
    <w:rsid w:val="003455E6"/>
    <w:rsid w:val="00345788"/>
    <w:rsid w:val="0034628F"/>
    <w:rsid w:val="00346B83"/>
    <w:rsid w:val="00346D36"/>
    <w:rsid w:val="00346E85"/>
    <w:rsid w:val="003473FE"/>
    <w:rsid w:val="0034765D"/>
    <w:rsid w:val="003477FF"/>
    <w:rsid w:val="00347C94"/>
    <w:rsid w:val="00350696"/>
    <w:rsid w:val="00350A01"/>
    <w:rsid w:val="00350A56"/>
    <w:rsid w:val="00350B35"/>
    <w:rsid w:val="00350F25"/>
    <w:rsid w:val="003510FA"/>
    <w:rsid w:val="00351201"/>
    <w:rsid w:val="0035143C"/>
    <w:rsid w:val="003514FE"/>
    <w:rsid w:val="003516B0"/>
    <w:rsid w:val="003517C0"/>
    <w:rsid w:val="003518CA"/>
    <w:rsid w:val="00351EEA"/>
    <w:rsid w:val="0035222B"/>
    <w:rsid w:val="003523B6"/>
    <w:rsid w:val="00352A68"/>
    <w:rsid w:val="00352CEC"/>
    <w:rsid w:val="00352E3A"/>
    <w:rsid w:val="00353353"/>
    <w:rsid w:val="00353395"/>
    <w:rsid w:val="003533FE"/>
    <w:rsid w:val="003537E6"/>
    <w:rsid w:val="003539DE"/>
    <w:rsid w:val="00353AEF"/>
    <w:rsid w:val="00353D2B"/>
    <w:rsid w:val="00353E28"/>
    <w:rsid w:val="00354311"/>
    <w:rsid w:val="0035455A"/>
    <w:rsid w:val="0035467E"/>
    <w:rsid w:val="003546F5"/>
    <w:rsid w:val="003547F2"/>
    <w:rsid w:val="003549F2"/>
    <w:rsid w:val="00354E83"/>
    <w:rsid w:val="00354ECD"/>
    <w:rsid w:val="00355638"/>
    <w:rsid w:val="003556EA"/>
    <w:rsid w:val="00355A1C"/>
    <w:rsid w:val="00355BFB"/>
    <w:rsid w:val="00355F3F"/>
    <w:rsid w:val="00356161"/>
    <w:rsid w:val="00356415"/>
    <w:rsid w:val="00356480"/>
    <w:rsid w:val="00356A19"/>
    <w:rsid w:val="00356D95"/>
    <w:rsid w:val="00357182"/>
    <w:rsid w:val="00357FFC"/>
    <w:rsid w:val="003605A9"/>
    <w:rsid w:val="003607A9"/>
    <w:rsid w:val="003607B3"/>
    <w:rsid w:val="00360F93"/>
    <w:rsid w:val="0036104C"/>
    <w:rsid w:val="00361E93"/>
    <w:rsid w:val="0036216E"/>
    <w:rsid w:val="00362557"/>
    <w:rsid w:val="00362A33"/>
    <w:rsid w:val="00362AE3"/>
    <w:rsid w:val="00363D17"/>
    <w:rsid w:val="00363E53"/>
    <w:rsid w:val="0036463B"/>
    <w:rsid w:val="00364725"/>
    <w:rsid w:val="00364938"/>
    <w:rsid w:val="00364C7C"/>
    <w:rsid w:val="00364CFD"/>
    <w:rsid w:val="00365285"/>
    <w:rsid w:val="00365540"/>
    <w:rsid w:val="00365692"/>
    <w:rsid w:val="003659B8"/>
    <w:rsid w:val="00365CC9"/>
    <w:rsid w:val="00365D0A"/>
    <w:rsid w:val="00365DB7"/>
    <w:rsid w:val="00365F8C"/>
    <w:rsid w:val="003660FD"/>
    <w:rsid w:val="00366361"/>
    <w:rsid w:val="0036638C"/>
    <w:rsid w:val="00366479"/>
    <w:rsid w:val="0036668C"/>
    <w:rsid w:val="00366855"/>
    <w:rsid w:val="00366DED"/>
    <w:rsid w:val="003672A8"/>
    <w:rsid w:val="003674E6"/>
    <w:rsid w:val="003679C5"/>
    <w:rsid w:val="00367C40"/>
    <w:rsid w:val="00367CA9"/>
    <w:rsid w:val="00370146"/>
    <w:rsid w:val="003707C2"/>
    <w:rsid w:val="0037098B"/>
    <w:rsid w:val="00370A14"/>
    <w:rsid w:val="00370C33"/>
    <w:rsid w:val="00370F48"/>
    <w:rsid w:val="0037112D"/>
    <w:rsid w:val="003712C1"/>
    <w:rsid w:val="0037185C"/>
    <w:rsid w:val="0037190A"/>
    <w:rsid w:val="00371D11"/>
    <w:rsid w:val="00371D38"/>
    <w:rsid w:val="00372021"/>
    <w:rsid w:val="0037254C"/>
    <w:rsid w:val="00372A6D"/>
    <w:rsid w:val="00372B46"/>
    <w:rsid w:val="00372B73"/>
    <w:rsid w:val="00372C92"/>
    <w:rsid w:val="003733B4"/>
    <w:rsid w:val="00373704"/>
    <w:rsid w:val="00373943"/>
    <w:rsid w:val="003739DA"/>
    <w:rsid w:val="00373B8A"/>
    <w:rsid w:val="00373D0B"/>
    <w:rsid w:val="00373F06"/>
    <w:rsid w:val="0037413A"/>
    <w:rsid w:val="00374143"/>
    <w:rsid w:val="003741F1"/>
    <w:rsid w:val="003743E4"/>
    <w:rsid w:val="0037443C"/>
    <w:rsid w:val="0037466C"/>
    <w:rsid w:val="003747CC"/>
    <w:rsid w:val="00374929"/>
    <w:rsid w:val="00374DCE"/>
    <w:rsid w:val="00375119"/>
    <w:rsid w:val="00376426"/>
    <w:rsid w:val="0037682F"/>
    <w:rsid w:val="00376BD7"/>
    <w:rsid w:val="00376CDB"/>
    <w:rsid w:val="00376FA0"/>
    <w:rsid w:val="003770C8"/>
    <w:rsid w:val="0037758D"/>
    <w:rsid w:val="00377712"/>
    <w:rsid w:val="0037797D"/>
    <w:rsid w:val="00377AE6"/>
    <w:rsid w:val="00377DBA"/>
    <w:rsid w:val="00380022"/>
    <w:rsid w:val="003800F6"/>
    <w:rsid w:val="0038056D"/>
    <w:rsid w:val="003806F8"/>
    <w:rsid w:val="00380C2D"/>
    <w:rsid w:val="00380DB2"/>
    <w:rsid w:val="00381293"/>
    <w:rsid w:val="00381366"/>
    <w:rsid w:val="003814B3"/>
    <w:rsid w:val="0038161A"/>
    <w:rsid w:val="0038173B"/>
    <w:rsid w:val="0038183A"/>
    <w:rsid w:val="00381ACB"/>
    <w:rsid w:val="003826D0"/>
    <w:rsid w:val="003836D6"/>
    <w:rsid w:val="00383B1E"/>
    <w:rsid w:val="00383D89"/>
    <w:rsid w:val="0038417E"/>
    <w:rsid w:val="00384191"/>
    <w:rsid w:val="00384453"/>
    <w:rsid w:val="003848D4"/>
    <w:rsid w:val="00384BC9"/>
    <w:rsid w:val="00384EB3"/>
    <w:rsid w:val="00385043"/>
    <w:rsid w:val="00385218"/>
    <w:rsid w:val="0038554B"/>
    <w:rsid w:val="00385710"/>
    <w:rsid w:val="003857F8"/>
    <w:rsid w:val="00385A17"/>
    <w:rsid w:val="00385C6A"/>
    <w:rsid w:val="00385D0A"/>
    <w:rsid w:val="0038614E"/>
    <w:rsid w:val="00386456"/>
    <w:rsid w:val="003868D1"/>
    <w:rsid w:val="003869EC"/>
    <w:rsid w:val="00386D66"/>
    <w:rsid w:val="00386DC2"/>
    <w:rsid w:val="00386EDE"/>
    <w:rsid w:val="00386F89"/>
    <w:rsid w:val="0038708C"/>
    <w:rsid w:val="003873A6"/>
    <w:rsid w:val="003874B5"/>
    <w:rsid w:val="003874CC"/>
    <w:rsid w:val="00387979"/>
    <w:rsid w:val="00387BF0"/>
    <w:rsid w:val="00387D55"/>
    <w:rsid w:val="00387DBB"/>
    <w:rsid w:val="00387FB6"/>
    <w:rsid w:val="00390118"/>
    <w:rsid w:val="003905FD"/>
    <w:rsid w:val="003907B0"/>
    <w:rsid w:val="003907B2"/>
    <w:rsid w:val="00390932"/>
    <w:rsid w:val="0039096A"/>
    <w:rsid w:val="0039108A"/>
    <w:rsid w:val="003911C0"/>
    <w:rsid w:val="00391225"/>
    <w:rsid w:val="00391710"/>
    <w:rsid w:val="00391A00"/>
    <w:rsid w:val="00391EA5"/>
    <w:rsid w:val="00391EE5"/>
    <w:rsid w:val="0039211D"/>
    <w:rsid w:val="0039229D"/>
    <w:rsid w:val="00392544"/>
    <w:rsid w:val="00392666"/>
    <w:rsid w:val="0039273F"/>
    <w:rsid w:val="003927CB"/>
    <w:rsid w:val="0039287A"/>
    <w:rsid w:val="0039288A"/>
    <w:rsid w:val="00392B01"/>
    <w:rsid w:val="00392DA2"/>
    <w:rsid w:val="003935F1"/>
    <w:rsid w:val="00393684"/>
    <w:rsid w:val="003938C7"/>
    <w:rsid w:val="00393B5B"/>
    <w:rsid w:val="00393D26"/>
    <w:rsid w:val="00393E1D"/>
    <w:rsid w:val="003948FA"/>
    <w:rsid w:val="003949D3"/>
    <w:rsid w:val="00394D8B"/>
    <w:rsid w:val="0039565D"/>
    <w:rsid w:val="00395861"/>
    <w:rsid w:val="00395B30"/>
    <w:rsid w:val="003960E2"/>
    <w:rsid w:val="003961A3"/>
    <w:rsid w:val="00396205"/>
    <w:rsid w:val="003963CE"/>
    <w:rsid w:val="0039684D"/>
    <w:rsid w:val="003969E6"/>
    <w:rsid w:val="00396B1C"/>
    <w:rsid w:val="00396BA9"/>
    <w:rsid w:val="00397116"/>
    <w:rsid w:val="003972BC"/>
    <w:rsid w:val="003974E8"/>
    <w:rsid w:val="0039791A"/>
    <w:rsid w:val="00397A46"/>
    <w:rsid w:val="00397B21"/>
    <w:rsid w:val="00397DC4"/>
    <w:rsid w:val="003A00AC"/>
    <w:rsid w:val="003A017E"/>
    <w:rsid w:val="003A01F9"/>
    <w:rsid w:val="003A0402"/>
    <w:rsid w:val="003A08A9"/>
    <w:rsid w:val="003A0C64"/>
    <w:rsid w:val="003A0E0E"/>
    <w:rsid w:val="003A1949"/>
    <w:rsid w:val="003A199E"/>
    <w:rsid w:val="003A1E2C"/>
    <w:rsid w:val="003A1EB9"/>
    <w:rsid w:val="003A2266"/>
    <w:rsid w:val="003A2688"/>
    <w:rsid w:val="003A2888"/>
    <w:rsid w:val="003A2E43"/>
    <w:rsid w:val="003A35A5"/>
    <w:rsid w:val="003A3695"/>
    <w:rsid w:val="003A3ABC"/>
    <w:rsid w:val="003A400B"/>
    <w:rsid w:val="003A4116"/>
    <w:rsid w:val="003A419A"/>
    <w:rsid w:val="003A45FD"/>
    <w:rsid w:val="003A4F17"/>
    <w:rsid w:val="003A516F"/>
    <w:rsid w:val="003A5B5F"/>
    <w:rsid w:val="003A61A4"/>
    <w:rsid w:val="003A63D0"/>
    <w:rsid w:val="003A678D"/>
    <w:rsid w:val="003A6AAF"/>
    <w:rsid w:val="003A6C8A"/>
    <w:rsid w:val="003A710B"/>
    <w:rsid w:val="003A79DF"/>
    <w:rsid w:val="003A7A58"/>
    <w:rsid w:val="003B0230"/>
    <w:rsid w:val="003B0315"/>
    <w:rsid w:val="003B031B"/>
    <w:rsid w:val="003B0324"/>
    <w:rsid w:val="003B058D"/>
    <w:rsid w:val="003B06AD"/>
    <w:rsid w:val="003B06E7"/>
    <w:rsid w:val="003B07A3"/>
    <w:rsid w:val="003B0910"/>
    <w:rsid w:val="003B0D2F"/>
    <w:rsid w:val="003B1107"/>
    <w:rsid w:val="003B115D"/>
    <w:rsid w:val="003B1411"/>
    <w:rsid w:val="003B14C0"/>
    <w:rsid w:val="003B15E1"/>
    <w:rsid w:val="003B172C"/>
    <w:rsid w:val="003B187F"/>
    <w:rsid w:val="003B198F"/>
    <w:rsid w:val="003B1A4D"/>
    <w:rsid w:val="003B225C"/>
    <w:rsid w:val="003B278C"/>
    <w:rsid w:val="003B30F1"/>
    <w:rsid w:val="003B3396"/>
    <w:rsid w:val="003B37E0"/>
    <w:rsid w:val="003B38ED"/>
    <w:rsid w:val="003B3D67"/>
    <w:rsid w:val="003B3E9A"/>
    <w:rsid w:val="003B4067"/>
    <w:rsid w:val="003B40AC"/>
    <w:rsid w:val="003B4196"/>
    <w:rsid w:val="003B4301"/>
    <w:rsid w:val="003B4BD8"/>
    <w:rsid w:val="003B4CD2"/>
    <w:rsid w:val="003B4F1C"/>
    <w:rsid w:val="003B51BE"/>
    <w:rsid w:val="003B5660"/>
    <w:rsid w:val="003B594E"/>
    <w:rsid w:val="003B5A1C"/>
    <w:rsid w:val="003B5A95"/>
    <w:rsid w:val="003B5B7C"/>
    <w:rsid w:val="003B5F45"/>
    <w:rsid w:val="003B63D8"/>
    <w:rsid w:val="003B6473"/>
    <w:rsid w:val="003B6B4E"/>
    <w:rsid w:val="003B6F4D"/>
    <w:rsid w:val="003B6FBA"/>
    <w:rsid w:val="003B7203"/>
    <w:rsid w:val="003B73CE"/>
    <w:rsid w:val="003B7424"/>
    <w:rsid w:val="003B770C"/>
    <w:rsid w:val="003B7884"/>
    <w:rsid w:val="003B7D74"/>
    <w:rsid w:val="003B7E0E"/>
    <w:rsid w:val="003C033D"/>
    <w:rsid w:val="003C0384"/>
    <w:rsid w:val="003C08F9"/>
    <w:rsid w:val="003C128F"/>
    <w:rsid w:val="003C1301"/>
    <w:rsid w:val="003C134B"/>
    <w:rsid w:val="003C1596"/>
    <w:rsid w:val="003C162B"/>
    <w:rsid w:val="003C168D"/>
    <w:rsid w:val="003C1E1D"/>
    <w:rsid w:val="003C20B0"/>
    <w:rsid w:val="003C224A"/>
    <w:rsid w:val="003C2601"/>
    <w:rsid w:val="003C2619"/>
    <w:rsid w:val="003C298B"/>
    <w:rsid w:val="003C2C1E"/>
    <w:rsid w:val="003C2E87"/>
    <w:rsid w:val="003C2E88"/>
    <w:rsid w:val="003C2F74"/>
    <w:rsid w:val="003C324C"/>
    <w:rsid w:val="003C3474"/>
    <w:rsid w:val="003C3800"/>
    <w:rsid w:val="003C3D84"/>
    <w:rsid w:val="003C4045"/>
    <w:rsid w:val="003C48B0"/>
    <w:rsid w:val="003C4A84"/>
    <w:rsid w:val="003C4B5C"/>
    <w:rsid w:val="003C4DA3"/>
    <w:rsid w:val="003C4DEB"/>
    <w:rsid w:val="003C5103"/>
    <w:rsid w:val="003C54A6"/>
    <w:rsid w:val="003C5819"/>
    <w:rsid w:val="003C5A8B"/>
    <w:rsid w:val="003C668F"/>
    <w:rsid w:val="003C66BA"/>
    <w:rsid w:val="003C676D"/>
    <w:rsid w:val="003C6865"/>
    <w:rsid w:val="003C6D60"/>
    <w:rsid w:val="003C70AD"/>
    <w:rsid w:val="003C7966"/>
    <w:rsid w:val="003C7D6B"/>
    <w:rsid w:val="003C7FC6"/>
    <w:rsid w:val="003D00DD"/>
    <w:rsid w:val="003D0562"/>
    <w:rsid w:val="003D0628"/>
    <w:rsid w:val="003D0B33"/>
    <w:rsid w:val="003D0D3A"/>
    <w:rsid w:val="003D0FB9"/>
    <w:rsid w:val="003D1686"/>
    <w:rsid w:val="003D1801"/>
    <w:rsid w:val="003D1E7D"/>
    <w:rsid w:val="003D1E8C"/>
    <w:rsid w:val="003D2172"/>
    <w:rsid w:val="003D2206"/>
    <w:rsid w:val="003D257C"/>
    <w:rsid w:val="003D2971"/>
    <w:rsid w:val="003D2B26"/>
    <w:rsid w:val="003D30EA"/>
    <w:rsid w:val="003D3188"/>
    <w:rsid w:val="003D33E8"/>
    <w:rsid w:val="003D34E9"/>
    <w:rsid w:val="003D36A8"/>
    <w:rsid w:val="003D3B1C"/>
    <w:rsid w:val="003D3B2A"/>
    <w:rsid w:val="003D4199"/>
    <w:rsid w:val="003D4879"/>
    <w:rsid w:val="003D4BFB"/>
    <w:rsid w:val="003D519D"/>
    <w:rsid w:val="003D5315"/>
    <w:rsid w:val="003D53F7"/>
    <w:rsid w:val="003D6298"/>
    <w:rsid w:val="003D6467"/>
    <w:rsid w:val="003D6F0C"/>
    <w:rsid w:val="003D7212"/>
    <w:rsid w:val="003D7406"/>
    <w:rsid w:val="003D7835"/>
    <w:rsid w:val="003D7C14"/>
    <w:rsid w:val="003D7C4C"/>
    <w:rsid w:val="003E03F7"/>
    <w:rsid w:val="003E050B"/>
    <w:rsid w:val="003E0828"/>
    <w:rsid w:val="003E083A"/>
    <w:rsid w:val="003E0B96"/>
    <w:rsid w:val="003E0BE5"/>
    <w:rsid w:val="003E0F6F"/>
    <w:rsid w:val="003E1045"/>
    <w:rsid w:val="003E18AD"/>
    <w:rsid w:val="003E18F4"/>
    <w:rsid w:val="003E1956"/>
    <w:rsid w:val="003E1A26"/>
    <w:rsid w:val="003E1BFD"/>
    <w:rsid w:val="003E21AA"/>
    <w:rsid w:val="003E2384"/>
    <w:rsid w:val="003E2D4A"/>
    <w:rsid w:val="003E2DCE"/>
    <w:rsid w:val="003E2F86"/>
    <w:rsid w:val="003E3DC5"/>
    <w:rsid w:val="003E3E50"/>
    <w:rsid w:val="003E3F00"/>
    <w:rsid w:val="003E3F3D"/>
    <w:rsid w:val="003E4062"/>
    <w:rsid w:val="003E445D"/>
    <w:rsid w:val="003E49EA"/>
    <w:rsid w:val="003E4A65"/>
    <w:rsid w:val="003E4CE5"/>
    <w:rsid w:val="003E4D25"/>
    <w:rsid w:val="003E51D9"/>
    <w:rsid w:val="003E52BE"/>
    <w:rsid w:val="003E52E1"/>
    <w:rsid w:val="003E54C5"/>
    <w:rsid w:val="003E5577"/>
    <w:rsid w:val="003E5584"/>
    <w:rsid w:val="003E5902"/>
    <w:rsid w:val="003E5F0E"/>
    <w:rsid w:val="003E6047"/>
    <w:rsid w:val="003E604F"/>
    <w:rsid w:val="003E61B5"/>
    <w:rsid w:val="003E6365"/>
    <w:rsid w:val="003E6670"/>
    <w:rsid w:val="003E6A9D"/>
    <w:rsid w:val="003E6B00"/>
    <w:rsid w:val="003E6FAC"/>
    <w:rsid w:val="003E761B"/>
    <w:rsid w:val="003E7626"/>
    <w:rsid w:val="003E775B"/>
    <w:rsid w:val="003E7ACB"/>
    <w:rsid w:val="003E7D76"/>
    <w:rsid w:val="003F0263"/>
    <w:rsid w:val="003F04F9"/>
    <w:rsid w:val="003F05F7"/>
    <w:rsid w:val="003F07EC"/>
    <w:rsid w:val="003F0972"/>
    <w:rsid w:val="003F0A17"/>
    <w:rsid w:val="003F0C9A"/>
    <w:rsid w:val="003F0DDE"/>
    <w:rsid w:val="003F0FD5"/>
    <w:rsid w:val="003F107B"/>
    <w:rsid w:val="003F1572"/>
    <w:rsid w:val="003F18FC"/>
    <w:rsid w:val="003F1995"/>
    <w:rsid w:val="003F207A"/>
    <w:rsid w:val="003F2214"/>
    <w:rsid w:val="003F249C"/>
    <w:rsid w:val="003F258F"/>
    <w:rsid w:val="003F2751"/>
    <w:rsid w:val="003F279B"/>
    <w:rsid w:val="003F27DD"/>
    <w:rsid w:val="003F2A61"/>
    <w:rsid w:val="003F361F"/>
    <w:rsid w:val="003F3BBC"/>
    <w:rsid w:val="003F43C7"/>
    <w:rsid w:val="003F43D2"/>
    <w:rsid w:val="003F4724"/>
    <w:rsid w:val="003F481C"/>
    <w:rsid w:val="003F4AEE"/>
    <w:rsid w:val="003F4CA9"/>
    <w:rsid w:val="003F4CB1"/>
    <w:rsid w:val="003F4D10"/>
    <w:rsid w:val="003F4D78"/>
    <w:rsid w:val="003F5024"/>
    <w:rsid w:val="003F5622"/>
    <w:rsid w:val="003F56C7"/>
    <w:rsid w:val="003F59FB"/>
    <w:rsid w:val="003F5C43"/>
    <w:rsid w:val="003F5D1C"/>
    <w:rsid w:val="003F618F"/>
    <w:rsid w:val="003F61E5"/>
    <w:rsid w:val="003F6491"/>
    <w:rsid w:val="003F6868"/>
    <w:rsid w:val="003F6D8C"/>
    <w:rsid w:val="003F721D"/>
    <w:rsid w:val="003F73EA"/>
    <w:rsid w:val="003F76AA"/>
    <w:rsid w:val="003F7965"/>
    <w:rsid w:val="004000B9"/>
    <w:rsid w:val="004000EE"/>
    <w:rsid w:val="004003A3"/>
    <w:rsid w:val="00400735"/>
    <w:rsid w:val="00400743"/>
    <w:rsid w:val="00400787"/>
    <w:rsid w:val="00400A75"/>
    <w:rsid w:val="00401215"/>
    <w:rsid w:val="004017D5"/>
    <w:rsid w:val="00401F8D"/>
    <w:rsid w:val="0040217E"/>
    <w:rsid w:val="004021AD"/>
    <w:rsid w:val="0040286C"/>
    <w:rsid w:val="004029D1"/>
    <w:rsid w:val="004029D3"/>
    <w:rsid w:val="00402CAF"/>
    <w:rsid w:val="00402FDF"/>
    <w:rsid w:val="0040302F"/>
    <w:rsid w:val="00403038"/>
    <w:rsid w:val="004033C2"/>
    <w:rsid w:val="0040362B"/>
    <w:rsid w:val="004036FB"/>
    <w:rsid w:val="00403889"/>
    <w:rsid w:val="00403961"/>
    <w:rsid w:val="004039CC"/>
    <w:rsid w:val="00403A4E"/>
    <w:rsid w:val="00403B56"/>
    <w:rsid w:val="00404512"/>
    <w:rsid w:val="00404534"/>
    <w:rsid w:val="00404540"/>
    <w:rsid w:val="00404680"/>
    <w:rsid w:val="004046AA"/>
    <w:rsid w:val="00404B9F"/>
    <w:rsid w:val="00404FCB"/>
    <w:rsid w:val="00405BE3"/>
    <w:rsid w:val="00405DDF"/>
    <w:rsid w:val="004060D5"/>
    <w:rsid w:val="004067F2"/>
    <w:rsid w:val="00406B76"/>
    <w:rsid w:val="00407476"/>
    <w:rsid w:val="00407521"/>
    <w:rsid w:val="00407D6E"/>
    <w:rsid w:val="00407DE7"/>
    <w:rsid w:val="00407E32"/>
    <w:rsid w:val="004103D2"/>
    <w:rsid w:val="004107B1"/>
    <w:rsid w:val="004107E2"/>
    <w:rsid w:val="00410831"/>
    <w:rsid w:val="00410A2C"/>
    <w:rsid w:val="00410E1F"/>
    <w:rsid w:val="00410E48"/>
    <w:rsid w:val="004114AF"/>
    <w:rsid w:val="004114D6"/>
    <w:rsid w:val="004114F1"/>
    <w:rsid w:val="00411555"/>
    <w:rsid w:val="0041189B"/>
    <w:rsid w:val="004119D7"/>
    <w:rsid w:val="00411E31"/>
    <w:rsid w:val="00411E3A"/>
    <w:rsid w:val="00412260"/>
    <w:rsid w:val="004122C3"/>
    <w:rsid w:val="00412379"/>
    <w:rsid w:val="00412626"/>
    <w:rsid w:val="0041276D"/>
    <w:rsid w:val="00412773"/>
    <w:rsid w:val="00412848"/>
    <w:rsid w:val="00412A1B"/>
    <w:rsid w:val="00412BE6"/>
    <w:rsid w:val="00412CBE"/>
    <w:rsid w:val="00412EDA"/>
    <w:rsid w:val="00412F81"/>
    <w:rsid w:val="00413335"/>
    <w:rsid w:val="00413390"/>
    <w:rsid w:val="00413392"/>
    <w:rsid w:val="0041350A"/>
    <w:rsid w:val="00413564"/>
    <w:rsid w:val="004138DC"/>
    <w:rsid w:val="00413B33"/>
    <w:rsid w:val="00413F4D"/>
    <w:rsid w:val="004140FE"/>
    <w:rsid w:val="00414301"/>
    <w:rsid w:val="004146EB"/>
    <w:rsid w:val="004149E2"/>
    <w:rsid w:val="00414AA2"/>
    <w:rsid w:val="00414AEB"/>
    <w:rsid w:val="00414B26"/>
    <w:rsid w:val="00414B93"/>
    <w:rsid w:val="0041510C"/>
    <w:rsid w:val="00415227"/>
    <w:rsid w:val="00415334"/>
    <w:rsid w:val="004153A3"/>
    <w:rsid w:val="00415488"/>
    <w:rsid w:val="004154D4"/>
    <w:rsid w:val="00415BB3"/>
    <w:rsid w:val="00416511"/>
    <w:rsid w:val="00416700"/>
    <w:rsid w:val="00416764"/>
    <w:rsid w:val="0041699C"/>
    <w:rsid w:val="004169CA"/>
    <w:rsid w:val="00416A90"/>
    <w:rsid w:val="00416ACF"/>
    <w:rsid w:val="00416B8C"/>
    <w:rsid w:val="00417272"/>
    <w:rsid w:val="0041756B"/>
    <w:rsid w:val="004179A8"/>
    <w:rsid w:val="00417CA6"/>
    <w:rsid w:val="00417CFC"/>
    <w:rsid w:val="00417D90"/>
    <w:rsid w:val="00417EA2"/>
    <w:rsid w:val="00420A46"/>
    <w:rsid w:val="00420AE2"/>
    <w:rsid w:val="00420B91"/>
    <w:rsid w:val="00420BD3"/>
    <w:rsid w:val="0042149D"/>
    <w:rsid w:val="0042176A"/>
    <w:rsid w:val="00421962"/>
    <w:rsid w:val="00421B5D"/>
    <w:rsid w:val="00421F33"/>
    <w:rsid w:val="00421FFE"/>
    <w:rsid w:val="0042226F"/>
    <w:rsid w:val="004222B6"/>
    <w:rsid w:val="00422888"/>
    <w:rsid w:val="00422C28"/>
    <w:rsid w:val="00422CE7"/>
    <w:rsid w:val="00422E12"/>
    <w:rsid w:val="00422FB5"/>
    <w:rsid w:val="004233B2"/>
    <w:rsid w:val="00423509"/>
    <w:rsid w:val="00423685"/>
    <w:rsid w:val="00423CAA"/>
    <w:rsid w:val="00423EE9"/>
    <w:rsid w:val="00424399"/>
    <w:rsid w:val="004247DD"/>
    <w:rsid w:val="00425147"/>
    <w:rsid w:val="00425221"/>
    <w:rsid w:val="004252F8"/>
    <w:rsid w:val="00425522"/>
    <w:rsid w:val="0042570B"/>
    <w:rsid w:val="00425B9F"/>
    <w:rsid w:val="00425D4A"/>
    <w:rsid w:val="00425EA6"/>
    <w:rsid w:val="00426150"/>
    <w:rsid w:val="004263B1"/>
    <w:rsid w:val="00426635"/>
    <w:rsid w:val="00426741"/>
    <w:rsid w:val="00426F01"/>
    <w:rsid w:val="004270DD"/>
    <w:rsid w:val="0042725F"/>
    <w:rsid w:val="00427294"/>
    <w:rsid w:val="004274A5"/>
    <w:rsid w:val="0042775F"/>
    <w:rsid w:val="004278FC"/>
    <w:rsid w:val="00427BC7"/>
    <w:rsid w:val="00427CAF"/>
    <w:rsid w:val="00427CB9"/>
    <w:rsid w:val="004304A7"/>
    <w:rsid w:val="0043061D"/>
    <w:rsid w:val="00430A29"/>
    <w:rsid w:val="00430ADB"/>
    <w:rsid w:val="00430BE4"/>
    <w:rsid w:val="00431166"/>
    <w:rsid w:val="004315C5"/>
    <w:rsid w:val="00431725"/>
    <w:rsid w:val="004317D5"/>
    <w:rsid w:val="00431A93"/>
    <w:rsid w:val="004321D2"/>
    <w:rsid w:val="00432581"/>
    <w:rsid w:val="00432A75"/>
    <w:rsid w:val="00433059"/>
    <w:rsid w:val="00433356"/>
    <w:rsid w:val="00433A98"/>
    <w:rsid w:val="00433C9B"/>
    <w:rsid w:val="00433F3F"/>
    <w:rsid w:val="004340FE"/>
    <w:rsid w:val="00434161"/>
    <w:rsid w:val="00434346"/>
    <w:rsid w:val="00434570"/>
    <w:rsid w:val="004349CB"/>
    <w:rsid w:val="00434D28"/>
    <w:rsid w:val="004351DB"/>
    <w:rsid w:val="00435288"/>
    <w:rsid w:val="004356EB"/>
    <w:rsid w:val="004357B2"/>
    <w:rsid w:val="00435968"/>
    <w:rsid w:val="00435D2A"/>
    <w:rsid w:val="004361EE"/>
    <w:rsid w:val="00436342"/>
    <w:rsid w:val="004367A0"/>
    <w:rsid w:val="00436913"/>
    <w:rsid w:val="00436958"/>
    <w:rsid w:val="00436F16"/>
    <w:rsid w:val="0043710A"/>
    <w:rsid w:val="00437121"/>
    <w:rsid w:val="00437132"/>
    <w:rsid w:val="0043727C"/>
    <w:rsid w:val="004372DB"/>
    <w:rsid w:val="00437401"/>
    <w:rsid w:val="0043763E"/>
    <w:rsid w:val="0043796A"/>
    <w:rsid w:val="00437B50"/>
    <w:rsid w:val="004407D5"/>
    <w:rsid w:val="00440B80"/>
    <w:rsid w:val="004413F6"/>
    <w:rsid w:val="004415A7"/>
    <w:rsid w:val="004418CB"/>
    <w:rsid w:val="004419D4"/>
    <w:rsid w:val="00441C06"/>
    <w:rsid w:val="00441C75"/>
    <w:rsid w:val="00441C8E"/>
    <w:rsid w:val="00441D7A"/>
    <w:rsid w:val="00442152"/>
    <w:rsid w:val="00442765"/>
    <w:rsid w:val="00444374"/>
    <w:rsid w:val="004443A8"/>
    <w:rsid w:val="0044497D"/>
    <w:rsid w:val="00444F2C"/>
    <w:rsid w:val="004450D8"/>
    <w:rsid w:val="004451B9"/>
    <w:rsid w:val="0044536D"/>
    <w:rsid w:val="004455C3"/>
    <w:rsid w:val="004456AB"/>
    <w:rsid w:val="00445A0B"/>
    <w:rsid w:val="004464AD"/>
    <w:rsid w:val="00446F1B"/>
    <w:rsid w:val="004473EC"/>
    <w:rsid w:val="0044774A"/>
    <w:rsid w:val="004506A5"/>
    <w:rsid w:val="004508B8"/>
    <w:rsid w:val="0045090B"/>
    <w:rsid w:val="00450946"/>
    <w:rsid w:val="00450CF3"/>
    <w:rsid w:val="00451240"/>
    <w:rsid w:val="00451628"/>
    <w:rsid w:val="004516BE"/>
    <w:rsid w:val="00451859"/>
    <w:rsid w:val="00451ACD"/>
    <w:rsid w:val="00452351"/>
    <w:rsid w:val="00452553"/>
    <w:rsid w:val="00452726"/>
    <w:rsid w:val="00452CF2"/>
    <w:rsid w:val="004535D1"/>
    <w:rsid w:val="004538DD"/>
    <w:rsid w:val="00453A90"/>
    <w:rsid w:val="00453AFA"/>
    <w:rsid w:val="00453B94"/>
    <w:rsid w:val="00453C93"/>
    <w:rsid w:val="00453E21"/>
    <w:rsid w:val="00453F9A"/>
    <w:rsid w:val="004541CD"/>
    <w:rsid w:val="004541FA"/>
    <w:rsid w:val="004546DF"/>
    <w:rsid w:val="00454763"/>
    <w:rsid w:val="00454766"/>
    <w:rsid w:val="004549FF"/>
    <w:rsid w:val="00454BAC"/>
    <w:rsid w:val="00455204"/>
    <w:rsid w:val="00455626"/>
    <w:rsid w:val="00455835"/>
    <w:rsid w:val="00455CAE"/>
    <w:rsid w:val="00456071"/>
    <w:rsid w:val="00456477"/>
    <w:rsid w:val="004569C3"/>
    <w:rsid w:val="00456C6F"/>
    <w:rsid w:val="00456FD0"/>
    <w:rsid w:val="00457606"/>
    <w:rsid w:val="004577E2"/>
    <w:rsid w:val="004578E0"/>
    <w:rsid w:val="004579F0"/>
    <w:rsid w:val="00457C1C"/>
    <w:rsid w:val="00457C27"/>
    <w:rsid w:val="004600CF"/>
    <w:rsid w:val="00460458"/>
    <w:rsid w:val="004605A7"/>
    <w:rsid w:val="004605CE"/>
    <w:rsid w:val="004606FC"/>
    <w:rsid w:val="0046090F"/>
    <w:rsid w:val="00460D48"/>
    <w:rsid w:val="004611D6"/>
    <w:rsid w:val="0046135F"/>
    <w:rsid w:val="0046167E"/>
    <w:rsid w:val="004616F5"/>
    <w:rsid w:val="00461D3E"/>
    <w:rsid w:val="00461D51"/>
    <w:rsid w:val="00461E1B"/>
    <w:rsid w:val="00462020"/>
    <w:rsid w:val="00462279"/>
    <w:rsid w:val="00463017"/>
    <w:rsid w:val="00463636"/>
    <w:rsid w:val="004637CC"/>
    <w:rsid w:val="00463878"/>
    <w:rsid w:val="00463A6B"/>
    <w:rsid w:val="00463ACD"/>
    <w:rsid w:val="00463DBC"/>
    <w:rsid w:val="00463EE0"/>
    <w:rsid w:val="00464254"/>
    <w:rsid w:val="00464259"/>
    <w:rsid w:val="0046447C"/>
    <w:rsid w:val="004644E0"/>
    <w:rsid w:val="00465279"/>
    <w:rsid w:val="0046556A"/>
    <w:rsid w:val="004655C5"/>
    <w:rsid w:val="00465673"/>
    <w:rsid w:val="004657C0"/>
    <w:rsid w:val="00465A72"/>
    <w:rsid w:val="00465B34"/>
    <w:rsid w:val="00465B5C"/>
    <w:rsid w:val="0046607A"/>
    <w:rsid w:val="00466367"/>
    <w:rsid w:val="004667F4"/>
    <w:rsid w:val="00466862"/>
    <w:rsid w:val="00466A52"/>
    <w:rsid w:val="00466AF6"/>
    <w:rsid w:val="00466D7A"/>
    <w:rsid w:val="00467439"/>
    <w:rsid w:val="0046758E"/>
    <w:rsid w:val="004677CC"/>
    <w:rsid w:val="004700D9"/>
    <w:rsid w:val="00470155"/>
    <w:rsid w:val="004713AC"/>
    <w:rsid w:val="0047155D"/>
    <w:rsid w:val="00471770"/>
    <w:rsid w:val="00471772"/>
    <w:rsid w:val="00471E2A"/>
    <w:rsid w:val="00472219"/>
    <w:rsid w:val="0047298E"/>
    <w:rsid w:val="00472D83"/>
    <w:rsid w:val="004733C0"/>
    <w:rsid w:val="0047350D"/>
    <w:rsid w:val="0047386E"/>
    <w:rsid w:val="00473BE7"/>
    <w:rsid w:val="00473C84"/>
    <w:rsid w:val="00473F44"/>
    <w:rsid w:val="00474455"/>
    <w:rsid w:val="004747B1"/>
    <w:rsid w:val="00474A54"/>
    <w:rsid w:val="00474CDC"/>
    <w:rsid w:val="00474DF6"/>
    <w:rsid w:val="00474F6F"/>
    <w:rsid w:val="00474FED"/>
    <w:rsid w:val="004756B6"/>
    <w:rsid w:val="0047580A"/>
    <w:rsid w:val="00475A8F"/>
    <w:rsid w:val="00475AAB"/>
    <w:rsid w:val="004760FB"/>
    <w:rsid w:val="00476109"/>
    <w:rsid w:val="00476B90"/>
    <w:rsid w:val="004775BB"/>
    <w:rsid w:val="0047769E"/>
    <w:rsid w:val="0047775F"/>
    <w:rsid w:val="0047783A"/>
    <w:rsid w:val="004779A8"/>
    <w:rsid w:val="00480601"/>
    <w:rsid w:val="00480644"/>
    <w:rsid w:val="004809DF"/>
    <w:rsid w:val="00480D1E"/>
    <w:rsid w:val="004814B8"/>
    <w:rsid w:val="004816D3"/>
    <w:rsid w:val="004819E3"/>
    <w:rsid w:val="00481A7E"/>
    <w:rsid w:val="0048228A"/>
    <w:rsid w:val="004824B6"/>
    <w:rsid w:val="004828B9"/>
    <w:rsid w:val="00482A8F"/>
    <w:rsid w:val="00482FAF"/>
    <w:rsid w:val="00483120"/>
    <w:rsid w:val="0048337A"/>
    <w:rsid w:val="0048376D"/>
    <w:rsid w:val="004839F4"/>
    <w:rsid w:val="00483D67"/>
    <w:rsid w:val="0048408D"/>
    <w:rsid w:val="00484344"/>
    <w:rsid w:val="00484361"/>
    <w:rsid w:val="00484A4D"/>
    <w:rsid w:val="004850FF"/>
    <w:rsid w:val="00485395"/>
    <w:rsid w:val="00485573"/>
    <w:rsid w:val="0048560C"/>
    <w:rsid w:val="00485F0F"/>
    <w:rsid w:val="004861AA"/>
    <w:rsid w:val="00486397"/>
    <w:rsid w:val="00486621"/>
    <w:rsid w:val="00486C27"/>
    <w:rsid w:val="00486CAA"/>
    <w:rsid w:val="0048709E"/>
    <w:rsid w:val="004871FD"/>
    <w:rsid w:val="004873A9"/>
    <w:rsid w:val="004874AA"/>
    <w:rsid w:val="00487642"/>
    <w:rsid w:val="00487771"/>
    <w:rsid w:val="004877FA"/>
    <w:rsid w:val="00487BD2"/>
    <w:rsid w:val="00487BD5"/>
    <w:rsid w:val="00487CAE"/>
    <w:rsid w:val="00487CBC"/>
    <w:rsid w:val="00487E24"/>
    <w:rsid w:val="00487E8F"/>
    <w:rsid w:val="00490391"/>
    <w:rsid w:val="00490445"/>
    <w:rsid w:val="004904C9"/>
    <w:rsid w:val="00490742"/>
    <w:rsid w:val="00490AAD"/>
    <w:rsid w:val="00490D7A"/>
    <w:rsid w:val="004910A5"/>
    <w:rsid w:val="004910B6"/>
    <w:rsid w:val="004917C3"/>
    <w:rsid w:val="00491896"/>
    <w:rsid w:val="00491AD9"/>
    <w:rsid w:val="00491BCA"/>
    <w:rsid w:val="00491D6E"/>
    <w:rsid w:val="00491E57"/>
    <w:rsid w:val="00491F9C"/>
    <w:rsid w:val="004927D0"/>
    <w:rsid w:val="004929B0"/>
    <w:rsid w:val="00492A55"/>
    <w:rsid w:val="0049324B"/>
    <w:rsid w:val="0049336C"/>
    <w:rsid w:val="004935B9"/>
    <w:rsid w:val="00493B42"/>
    <w:rsid w:val="00493D46"/>
    <w:rsid w:val="00493F1F"/>
    <w:rsid w:val="00494275"/>
    <w:rsid w:val="0049436F"/>
    <w:rsid w:val="0049487E"/>
    <w:rsid w:val="0049494E"/>
    <w:rsid w:val="00494A0A"/>
    <w:rsid w:val="00495420"/>
    <w:rsid w:val="00495883"/>
    <w:rsid w:val="0049588C"/>
    <w:rsid w:val="00495ADC"/>
    <w:rsid w:val="00495C77"/>
    <w:rsid w:val="00495F86"/>
    <w:rsid w:val="00496046"/>
    <w:rsid w:val="004962EE"/>
    <w:rsid w:val="00496534"/>
    <w:rsid w:val="004967FE"/>
    <w:rsid w:val="0049747A"/>
    <w:rsid w:val="0049771B"/>
    <w:rsid w:val="00497C0B"/>
    <w:rsid w:val="00497FFD"/>
    <w:rsid w:val="004A01E1"/>
    <w:rsid w:val="004A05E7"/>
    <w:rsid w:val="004A0A33"/>
    <w:rsid w:val="004A0B34"/>
    <w:rsid w:val="004A103A"/>
    <w:rsid w:val="004A11BF"/>
    <w:rsid w:val="004A15F2"/>
    <w:rsid w:val="004A177F"/>
    <w:rsid w:val="004A1A1B"/>
    <w:rsid w:val="004A1A5D"/>
    <w:rsid w:val="004A23FA"/>
    <w:rsid w:val="004A240E"/>
    <w:rsid w:val="004A2601"/>
    <w:rsid w:val="004A3A9A"/>
    <w:rsid w:val="004A3B5A"/>
    <w:rsid w:val="004A3DFC"/>
    <w:rsid w:val="004A45CF"/>
    <w:rsid w:val="004A4F64"/>
    <w:rsid w:val="004A4FBC"/>
    <w:rsid w:val="004A50F6"/>
    <w:rsid w:val="004A5346"/>
    <w:rsid w:val="004A57F8"/>
    <w:rsid w:val="004A5AC0"/>
    <w:rsid w:val="004A5D23"/>
    <w:rsid w:val="004A5EDD"/>
    <w:rsid w:val="004A6400"/>
    <w:rsid w:val="004A6763"/>
    <w:rsid w:val="004A6770"/>
    <w:rsid w:val="004A6B46"/>
    <w:rsid w:val="004A6B61"/>
    <w:rsid w:val="004A6D11"/>
    <w:rsid w:val="004A6D72"/>
    <w:rsid w:val="004A6EF5"/>
    <w:rsid w:val="004A705B"/>
    <w:rsid w:val="004A709E"/>
    <w:rsid w:val="004A73AE"/>
    <w:rsid w:val="004A76AD"/>
    <w:rsid w:val="004A77AF"/>
    <w:rsid w:val="004A7822"/>
    <w:rsid w:val="004B006A"/>
    <w:rsid w:val="004B1096"/>
    <w:rsid w:val="004B1129"/>
    <w:rsid w:val="004B12DF"/>
    <w:rsid w:val="004B1846"/>
    <w:rsid w:val="004B18DE"/>
    <w:rsid w:val="004B1A87"/>
    <w:rsid w:val="004B1D43"/>
    <w:rsid w:val="004B1EA0"/>
    <w:rsid w:val="004B1ECA"/>
    <w:rsid w:val="004B21B1"/>
    <w:rsid w:val="004B239D"/>
    <w:rsid w:val="004B2742"/>
    <w:rsid w:val="004B290D"/>
    <w:rsid w:val="004B2BF3"/>
    <w:rsid w:val="004B2CCF"/>
    <w:rsid w:val="004B2FF4"/>
    <w:rsid w:val="004B3B27"/>
    <w:rsid w:val="004B3C3E"/>
    <w:rsid w:val="004B44C7"/>
    <w:rsid w:val="004B45F4"/>
    <w:rsid w:val="004B4611"/>
    <w:rsid w:val="004B4755"/>
    <w:rsid w:val="004B493A"/>
    <w:rsid w:val="004B4A90"/>
    <w:rsid w:val="004B4CA9"/>
    <w:rsid w:val="004B4D79"/>
    <w:rsid w:val="004B5001"/>
    <w:rsid w:val="004B5187"/>
    <w:rsid w:val="004B52C6"/>
    <w:rsid w:val="004B53BB"/>
    <w:rsid w:val="004B54BD"/>
    <w:rsid w:val="004B54C8"/>
    <w:rsid w:val="004B5506"/>
    <w:rsid w:val="004B58EF"/>
    <w:rsid w:val="004B5F3E"/>
    <w:rsid w:val="004B5FEC"/>
    <w:rsid w:val="004B62E0"/>
    <w:rsid w:val="004B6498"/>
    <w:rsid w:val="004B6509"/>
    <w:rsid w:val="004B71DC"/>
    <w:rsid w:val="004B728D"/>
    <w:rsid w:val="004B72C2"/>
    <w:rsid w:val="004B755D"/>
    <w:rsid w:val="004B7C46"/>
    <w:rsid w:val="004B7ECA"/>
    <w:rsid w:val="004C014A"/>
    <w:rsid w:val="004C0305"/>
    <w:rsid w:val="004C0403"/>
    <w:rsid w:val="004C04FE"/>
    <w:rsid w:val="004C05A2"/>
    <w:rsid w:val="004C0BBE"/>
    <w:rsid w:val="004C0CB0"/>
    <w:rsid w:val="004C0D09"/>
    <w:rsid w:val="004C0D7A"/>
    <w:rsid w:val="004C2046"/>
    <w:rsid w:val="004C242C"/>
    <w:rsid w:val="004C243C"/>
    <w:rsid w:val="004C24A6"/>
    <w:rsid w:val="004C2875"/>
    <w:rsid w:val="004C2E2A"/>
    <w:rsid w:val="004C3706"/>
    <w:rsid w:val="004C37C0"/>
    <w:rsid w:val="004C393D"/>
    <w:rsid w:val="004C3E6D"/>
    <w:rsid w:val="004C3F68"/>
    <w:rsid w:val="004C3FD8"/>
    <w:rsid w:val="004C4279"/>
    <w:rsid w:val="004C43BC"/>
    <w:rsid w:val="004C4C68"/>
    <w:rsid w:val="004C4D33"/>
    <w:rsid w:val="004C4F3E"/>
    <w:rsid w:val="004C5187"/>
    <w:rsid w:val="004C5C36"/>
    <w:rsid w:val="004C5C5B"/>
    <w:rsid w:val="004C5D67"/>
    <w:rsid w:val="004C5DE8"/>
    <w:rsid w:val="004C5EC3"/>
    <w:rsid w:val="004C5FA8"/>
    <w:rsid w:val="004C6432"/>
    <w:rsid w:val="004C6710"/>
    <w:rsid w:val="004C68F1"/>
    <w:rsid w:val="004C6DD8"/>
    <w:rsid w:val="004C6FDA"/>
    <w:rsid w:val="004C721E"/>
    <w:rsid w:val="004C7968"/>
    <w:rsid w:val="004C7CDF"/>
    <w:rsid w:val="004C7CF2"/>
    <w:rsid w:val="004D0510"/>
    <w:rsid w:val="004D05AC"/>
    <w:rsid w:val="004D05EE"/>
    <w:rsid w:val="004D0891"/>
    <w:rsid w:val="004D0D12"/>
    <w:rsid w:val="004D12F9"/>
    <w:rsid w:val="004D1D00"/>
    <w:rsid w:val="004D203F"/>
    <w:rsid w:val="004D20F2"/>
    <w:rsid w:val="004D2151"/>
    <w:rsid w:val="004D2607"/>
    <w:rsid w:val="004D29A6"/>
    <w:rsid w:val="004D29A8"/>
    <w:rsid w:val="004D2D41"/>
    <w:rsid w:val="004D2FA1"/>
    <w:rsid w:val="004D34BB"/>
    <w:rsid w:val="004D3B16"/>
    <w:rsid w:val="004D3FAC"/>
    <w:rsid w:val="004D404D"/>
    <w:rsid w:val="004D434A"/>
    <w:rsid w:val="004D44CA"/>
    <w:rsid w:val="004D4679"/>
    <w:rsid w:val="004D4C99"/>
    <w:rsid w:val="004D4DEC"/>
    <w:rsid w:val="004D502B"/>
    <w:rsid w:val="004D5193"/>
    <w:rsid w:val="004D556A"/>
    <w:rsid w:val="004D55C2"/>
    <w:rsid w:val="004D5822"/>
    <w:rsid w:val="004D5965"/>
    <w:rsid w:val="004D5E4F"/>
    <w:rsid w:val="004D6096"/>
    <w:rsid w:val="004D65A4"/>
    <w:rsid w:val="004D6767"/>
    <w:rsid w:val="004D690E"/>
    <w:rsid w:val="004D6D02"/>
    <w:rsid w:val="004D6F4C"/>
    <w:rsid w:val="004D70C8"/>
    <w:rsid w:val="004D78F5"/>
    <w:rsid w:val="004D7B08"/>
    <w:rsid w:val="004D7F11"/>
    <w:rsid w:val="004D7FAE"/>
    <w:rsid w:val="004E0052"/>
    <w:rsid w:val="004E0339"/>
    <w:rsid w:val="004E09CE"/>
    <w:rsid w:val="004E0F59"/>
    <w:rsid w:val="004E114C"/>
    <w:rsid w:val="004E1357"/>
    <w:rsid w:val="004E15F2"/>
    <w:rsid w:val="004E1655"/>
    <w:rsid w:val="004E19C2"/>
    <w:rsid w:val="004E19C4"/>
    <w:rsid w:val="004E19EA"/>
    <w:rsid w:val="004E1C0A"/>
    <w:rsid w:val="004E241F"/>
    <w:rsid w:val="004E28D9"/>
    <w:rsid w:val="004E2DD9"/>
    <w:rsid w:val="004E2E2C"/>
    <w:rsid w:val="004E31E5"/>
    <w:rsid w:val="004E347F"/>
    <w:rsid w:val="004E3690"/>
    <w:rsid w:val="004E3A71"/>
    <w:rsid w:val="004E3B0E"/>
    <w:rsid w:val="004E3F1A"/>
    <w:rsid w:val="004E4517"/>
    <w:rsid w:val="004E4988"/>
    <w:rsid w:val="004E4A67"/>
    <w:rsid w:val="004E5182"/>
    <w:rsid w:val="004E561E"/>
    <w:rsid w:val="004E5BCB"/>
    <w:rsid w:val="004E65AF"/>
    <w:rsid w:val="004E6663"/>
    <w:rsid w:val="004E6856"/>
    <w:rsid w:val="004E6BFE"/>
    <w:rsid w:val="004E6D57"/>
    <w:rsid w:val="004E6E7F"/>
    <w:rsid w:val="004E7604"/>
    <w:rsid w:val="004F0A37"/>
    <w:rsid w:val="004F0D39"/>
    <w:rsid w:val="004F14E4"/>
    <w:rsid w:val="004F2086"/>
    <w:rsid w:val="004F2140"/>
    <w:rsid w:val="004F21A7"/>
    <w:rsid w:val="004F2857"/>
    <w:rsid w:val="004F2A26"/>
    <w:rsid w:val="004F2D59"/>
    <w:rsid w:val="004F2FA4"/>
    <w:rsid w:val="004F3128"/>
    <w:rsid w:val="004F3368"/>
    <w:rsid w:val="004F367F"/>
    <w:rsid w:val="004F3687"/>
    <w:rsid w:val="004F379F"/>
    <w:rsid w:val="004F3A0C"/>
    <w:rsid w:val="004F3AE5"/>
    <w:rsid w:val="004F42B8"/>
    <w:rsid w:val="004F47F3"/>
    <w:rsid w:val="004F48AA"/>
    <w:rsid w:val="004F4C4F"/>
    <w:rsid w:val="004F4F21"/>
    <w:rsid w:val="004F4F3F"/>
    <w:rsid w:val="004F509E"/>
    <w:rsid w:val="004F51B8"/>
    <w:rsid w:val="004F5439"/>
    <w:rsid w:val="004F553A"/>
    <w:rsid w:val="004F55C3"/>
    <w:rsid w:val="004F5C36"/>
    <w:rsid w:val="004F5CA6"/>
    <w:rsid w:val="004F5D23"/>
    <w:rsid w:val="004F5F3A"/>
    <w:rsid w:val="004F6129"/>
    <w:rsid w:val="004F6242"/>
    <w:rsid w:val="004F6568"/>
    <w:rsid w:val="004F6822"/>
    <w:rsid w:val="004F696D"/>
    <w:rsid w:val="004F6E17"/>
    <w:rsid w:val="004F72A0"/>
    <w:rsid w:val="004F78D3"/>
    <w:rsid w:val="004F7914"/>
    <w:rsid w:val="004F7A49"/>
    <w:rsid w:val="0050003A"/>
    <w:rsid w:val="005002BE"/>
    <w:rsid w:val="00500303"/>
    <w:rsid w:val="005013A5"/>
    <w:rsid w:val="00501527"/>
    <w:rsid w:val="005020A1"/>
    <w:rsid w:val="00502232"/>
    <w:rsid w:val="00502368"/>
    <w:rsid w:val="00502846"/>
    <w:rsid w:val="00502F6C"/>
    <w:rsid w:val="00503027"/>
    <w:rsid w:val="0050305C"/>
    <w:rsid w:val="005035D2"/>
    <w:rsid w:val="00503615"/>
    <w:rsid w:val="00503BA8"/>
    <w:rsid w:val="00503C23"/>
    <w:rsid w:val="00503D19"/>
    <w:rsid w:val="00504062"/>
    <w:rsid w:val="00504084"/>
    <w:rsid w:val="005051A3"/>
    <w:rsid w:val="00505601"/>
    <w:rsid w:val="00505BE8"/>
    <w:rsid w:val="00505D2B"/>
    <w:rsid w:val="00505FDC"/>
    <w:rsid w:val="005079DD"/>
    <w:rsid w:val="00507ACD"/>
    <w:rsid w:val="00510084"/>
    <w:rsid w:val="005101EC"/>
    <w:rsid w:val="00510696"/>
    <w:rsid w:val="005106A5"/>
    <w:rsid w:val="00510918"/>
    <w:rsid w:val="00511175"/>
    <w:rsid w:val="00511378"/>
    <w:rsid w:val="005113B6"/>
    <w:rsid w:val="005114D5"/>
    <w:rsid w:val="0051162D"/>
    <w:rsid w:val="005116C2"/>
    <w:rsid w:val="005116C4"/>
    <w:rsid w:val="0051175A"/>
    <w:rsid w:val="00511910"/>
    <w:rsid w:val="00511A09"/>
    <w:rsid w:val="00511D59"/>
    <w:rsid w:val="00511FB7"/>
    <w:rsid w:val="00512097"/>
    <w:rsid w:val="005120B5"/>
    <w:rsid w:val="005125FF"/>
    <w:rsid w:val="0051280B"/>
    <w:rsid w:val="00512B87"/>
    <w:rsid w:val="00512D17"/>
    <w:rsid w:val="00512F7E"/>
    <w:rsid w:val="00513C5E"/>
    <w:rsid w:val="00513E27"/>
    <w:rsid w:val="005148CA"/>
    <w:rsid w:val="00514BCA"/>
    <w:rsid w:val="00514D14"/>
    <w:rsid w:val="00514F17"/>
    <w:rsid w:val="00514F6C"/>
    <w:rsid w:val="005151E6"/>
    <w:rsid w:val="00515441"/>
    <w:rsid w:val="005154AF"/>
    <w:rsid w:val="00515A50"/>
    <w:rsid w:val="00515B39"/>
    <w:rsid w:val="00515B8D"/>
    <w:rsid w:val="00515C93"/>
    <w:rsid w:val="00515E18"/>
    <w:rsid w:val="00515EDA"/>
    <w:rsid w:val="0051645A"/>
    <w:rsid w:val="0051678E"/>
    <w:rsid w:val="00516C50"/>
    <w:rsid w:val="00516DCC"/>
    <w:rsid w:val="00517000"/>
    <w:rsid w:val="005173C2"/>
    <w:rsid w:val="005174A1"/>
    <w:rsid w:val="005176F4"/>
    <w:rsid w:val="00517A9D"/>
    <w:rsid w:val="00517CDB"/>
    <w:rsid w:val="00517E05"/>
    <w:rsid w:val="00517E2C"/>
    <w:rsid w:val="00520015"/>
    <w:rsid w:val="005201DA"/>
    <w:rsid w:val="00520482"/>
    <w:rsid w:val="005206F2"/>
    <w:rsid w:val="00520767"/>
    <w:rsid w:val="00522294"/>
    <w:rsid w:val="0052245B"/>
    <w:rsid w:val="005229BE"/>
    <w:rsid w:val="00522CA3"/>
    <w:rsid w:val="00522F18"/>
    <w:rsid w:val="0052336F"/>
    <w:rsid w:val="005233E2"/>
    <w:rsid w:val="0052374F"/>
    <w:rsid w:val="005239F6"/>
    <w:rsid w:val="00523C7F"/>
    <w:rsid w:val="00523D5C"/>
    <w:rsid w:val="005241E5"/>
    <w:rsid w:val="005246B3"/>
    <w:rsid w:val="00524720"/>
    <w:rsid w:val="00524AE8"/>
    <w:rsid w:val="00524E35"/>
    <w:rsid w:val="00524E97"/>
    <w:rsid w:val="005253B4"/>
    <w:rsid w:val="005253B7"/>
    <w:rsid w:val="005254A8"/>
    <w:rsid w:val="0052591A"/>
    <w:rsid w:val="00525AF7"/>
    <w:rsid w:val="0052620C"/>
    <w:rsid w:val="00526DBE"/>
    <w:rsid w:val="00526F1F"/>
    <w:rsid w:val="00527011"/>
    <w:rsid w:val="005272A1"/>
    <w:rsid w:val="00527530"/>
    <w:rsid w:val="005275FC"/>
    <w:rsid w:val="005279F8"/>
    <w:rsid w:val="00527A9A"/>
    <w:rsid w:val="00527B3E"/>
    <w:rsid w:val="00527B7A"/>
    <w:rsid w:val="00527E70"/>
    <w:rsid w:val="005302A2"/>
    <w:rsid w:val="00530B93"/>
    <w:rsid w:val="00530C9A"/>
    <w:rsid w:val="00530E0A"/>
    <w:rsid w:val="00532019"/>
    <w:rsid w:val="0053222E"/>
    <w:rsid w:val="005323A2"/>
    <w:rsid w:val="00532454"/>
    <w:rsid w:val="0053269B"/>
    <w:rsid w:val="005326AB"/>
    <w:rsid w:val="005326B1"/>
    <w:rsid w:val="00532761"/>
    <w:rsid w:val="005328D6"/>
    <w:rsid w:val="005329F8"/>
    <w:rsid w:val="00532A81"/>
    <w:rsid w:val="00532BE4"/>
    <w:rsid w:val="00532E08"/>
    <w:rsid w:val="00533030"/>
    <w:rsid w:val="00533199"/>
    <w:rsid w:val="005333CC"/>
    <w:rsid w:val="005335D2"/>
    <w:rsid w:val="00533F58"/>
    <w:rsid w:val="00534232"/>
    <w:rsid w:val="005343A4"/>
    <w:rsid w:val="0053471B"/>
    <w:rsid w:val="00534771"/>
    <w:rsid w:val="005348FF"/>
    <w:rsid w:val="00534A50"/>
    <w:rsid w:val="00534CBB"/>
    <w:rsid w:val="00534CF3"/>
    <w:rsid w:val="00534D29"/>
    <w:rsid w:val="00534E8A"/>
    <w:rsid w:val="0053506F"/>
    <w:rsid w:val="005350EC"/>
    <w:rsid w:val="00535127"/>
    <w:rsid w:val="005357CA"/>
    <w:rsid w:val="00535A47"/>
    <w:rsid w:val="00535AEA"/>
    <w:rsid w:val="00535C41"/>
    <w:rsid w:val="00535E22"/>
    <w:rsid w:val="00536136"/>
    <w:rsid w:val="00536BCD"/>
    <w:rsid w:val="00537022"/>
    <w:rsid w:val="005373A5"/>
    <w:rsid w:val="005373DB"/>
    <w:rsid w:val="00537537"/>
    <w:rsid w:val="00537551"/>
    <w:rsid w:val="0053772E"/>
    <w:rsid w:val="0053774E"/>
    <w:rsid w:val="00540054"/>
    <w:rsid w:val="00540227"/>
    <w:rsid w:val="005403FF"/>
    <w:rsid w:val="0054050C"/>
    <w:rsid w:val="00540667"/>
    <w:rsid w:val="00540735"/>
    <w:rsid w:val="00540856"/>
    <w:rsid w:val="00541156"/>
    <w:rsid w:val="00541410"/>
    <w:rsid w:val="005416B7"/>
    <w:rsid w:val="00541774"/>
    <w:rsid w:val="00541FC6"/>
    <w:rsid w:val="00542020"/>
    <w:rsid w:val="005423E8"/>
    <w:rsid w:val="005425E2"/>
    <w:rsid w:val="00542827"/>
    <w:rsid w:val="00542B58"/>
    <w:rsid w:val="00542FDF"/>
    <w:rsid w:val="00543302"/>
    <w:rsid w:val="00543D7D"/>
    <w:rsid w:val="0054413A"/>
    <w:rsid w:val="005448E7"/>
    <w:rsid w:val="00544960"/>
    <w:rsid w:val="00544F35"/>
    <w:rsid w:val="0054539A"/>
    <w:rsid w:val="0054569E"/>
    <w:rsid w:val="005458D5"/>
    <w:rsid w:val="00545CD2"/>
    <w:rsid w:val="00546170"/>
    <w:rsid w:val="005463FC"/>
    <w:rsid w:val="005466AA"/>
    <w:rsid w:val="00546B4A"/>
    <w:rsid w:val="00546DBA"/>
    <w:rsid w:val="0054744A"/>
    <w:rsid w:val="005474B9"/>
    <w:rsid w:val="005475F5"/>
    <w:rsid w:val="00547817"/>
    <w:rsid w:val="00547F5C"/>
    <w:rsid w:val="00550253"/>
    <w:rsid w:val="005503C0"/>
    <w:rsid w:val="005503D2"/>
    <w:rsid w:val="00550BE9"/>
    <w:rsid w:val="00550D6C"/>
    <w:rsid w:val="00550D81"/>
    <w:rsid w:val="00550DAE"/>
    <w:rsid w:val="00550F08"/>
    <w:rsid w:val="00550FAE"/>
    <w:rsid w:val="0055103F"/>
    <w:rsid w:val="00551068"/>
    <w:rsid w:val="00551280"/>
    <w:rsid w:val="005514DA"/>
    <w:rsid w:val="005514DD"/>
    <w:rsid w:val="0055175C"/>
    <w:rsid w:val="005517EA"/>
    <w:rsid w:val="005519F7"/>
    <w:rsid w:val="00551D51"/>
    <w:rsid w:val="00552067"/>
    <w:rsid w:val="0055209A"/>
    <w:rsid w:val="005521CA"/>
    <w:rsid w:val="00552880"/>
    <w:rsid w:val="00552B60"/>
    <w:rsid w:val="00552B99"/>
    <w:rsid w:val="00552BB9"/>
    <w:rsid w:val="00552DB0"/>
    <w:rsid w:val="00552DC2"/>
    <w:rsid w:val="00552FFC"/>
    <w:rsid w:val="00553280"/>
    <w:rsid w:val="0055366C"/>
    <w:rsid w:val="00553B79"/>
    <w:rsid w:val="00553F31"/>
    <w:rsid w:val="0055416A"/>
    <w:rsid w:val="0055423E"/>
    <w:rsid w:val="00554254"/>
    <w:rsid w:val="0055426B"/>
    <w:rsid w:val="005542E7"/>
    <w:rsid w:val="0055437C"/>
    <w:rsid w:val="005545FF"/>
    <w:rsid w:val="00554B77"/>
    <w:rsid w:val="00554D26"/>
    <w:rsid w:val="00554E15"/>
    <w:rsid w:val="005552A3"/>
    <w:rsid w:val="00555395"/>
    <w:rsid w:val="005557CF"/>
    <w:rsid w:val="00555833"/>
    <w:rsid w:val="00555C03"/>
    <w:rsid w:val="0055694C"/>
    <w:rsid w:val="00556CE5"/>
    <w:rsid w:val="005574A3"/>
    <w:rsid w:val="005574FE"/>
    <w:rsid w:val="00557CF4"/>
    <w:rsid w:val="00560198"/>
    <w:rsid w:val="005607B3"/>
    <w:rsid w:val="00560E11"/>
    <w:rsid w:val="00560F46"/>
    <w:rsid w:val="00560FD1"/>
    <w:rsid w:val="0056100A"/>
    <w:rsid w:val="00561209"/>
    <w:rsid w:val="0056137A"/>
    <w:rsid w:val="005613E9"/>
    <w:rsid w:val="00561462"/>
    <w:rsid w:val="0056149C"/>
    <w:rsid w:val="0056170B"/>
    <w:rsid w:val="00562158"/>
    <w:rsid w:val="005621BB"/>
    <w:rsid w:val="005623DD"/>
    <w:rsid w:val="00562523"/>
    <w:rsid w:val="0056278C"/>
    <w:rsid w:val="00563083"/>
    <w:rsid w:val="00563385"/>
    <w:rsid w:val="0056344D"/>
    <w:rsid w:val="005634A9"/>
    <w:rsid w:val="00563715"/>
    <w:rsid w:val="005643D3"/>
    <w:rsid w:val="00564F05"/>
    <w:rsid w:val="00565753"/>
    <w:rsid w:val="00565A11"/>
    <w:rsid w:val="00565C15"/>
    <w:rsid w:val="00566577"/>
    <w:rsid w:val="00566840"/>
    <w:rsid w:val="0056691D"/>
    <w:rsid w:val="005669CE"/>
    <w:rsid w:val="00566D10"/>
    <w:rsid w:val="00566D5B"/>
    <w:rsid w:val="00566F83"/>
    <w:rsid w:val="00566F9E"/>
    <w:rsid w:val="00566FB1"/>
    <w:rsid w:val="00567492"/>
    <w:rsid w:val="005677AD"/>
    <w:rsid w:val="005700AF"/>
    <w:rsid w:val="005701DF"/>
    <w:rsid w:val="005706F6"/>
    <w:rsid w:val="0057155A"/>
    <w:rsid w:val="00571A26"/>
    <w:rsid w:val="00571B53"/>
    <w:rsid w:val="00571D91"/>
    <w:rsid w:val="00572444"/>
    <w:rsid w:val="005726C6"/>
    <w:rsid w:val="005727FA"/>
    <w:rsid w:val="00572C02"/>
    <w:rsid w:val="0057312F"/>
    <w:rsid w:val="00573472"/>
    <w:rsid w:val="00573501"/>
    <w:rsid w:val="005738F2"/>
    <w:rsid w:val="005741D5"/>
    <w:rsid w:val="00574202"/>
    <w:rsid w:val="00574369"/>
    <w:rsid w:val="00574970"/>
    <w:rsid w:val="00575520"/>
    <w:rsid w:val="005755DF"/>
    <w:rsid w:val="0057561B"/>
    <w:rsid w:val="00575805"/>
    <w:rsid w:val="00575DEA"/>
    <w:rsid w:val="00575EE0"/>
    <w:rsid w:val="00575F6D"/>
    <w:rsid w:val="00576017"/>
    <w:rsid w:val="00576291"/>
    <w:rsid w:val="00576451"/>
    <w:rsid w:val="00576509"/>
    <w:rsid w:val="00576997"/>
    <w:rsid w:val="00577321"/>
    <w:rsid w:val="00577331"/>
    <w:rsid w:val="0057792E"/>
    <w:rsid w:val="005779C9"/>
    <w:rsid w:val="00577A2A"/>
    <w:rsid w:val="00577B75"/>
    <w:rsid w:val="0058012D"/>
    <w:rsid w:val="005802C8"/>
    <w:rsid w:val="005806BE"/>
    <w:rsid w:val="00580D73"/>
    <w:rsid w:val="00580E44"/>
    <w:rsid w:val="00580F9C"/>
    <w:rsid w:val="00581398"/>
    <w:rsid w:val="00581CB4"/>
    <w:rsid w:val="00581CBF"/>
    <w:rsid w:val="00581D7E"/>
    <w:rsid w:val="00581F7B"/>
    <w:rsid w:val="00581FAD"/>
    <w:rsid w:val="00581FF5"/>
    <w:rsid w:val="00582010"/>
    <w:rsid w:val="0058223D"/>
    <w:rsid w:val="005828DB"/>
    <w:rsid w:val="00582AF1"/>
    <w:rsid w:val="00582E22"/>
    <w:rsid w:val="00582E76"/>
    <w:rsid w:val="0058306A"/>
    <w:rsid w:val="005832EF"/>
    <w:rsid w:val="0058364E"/>
    <w:rsid w:val="00583699"/>
    <w:rsid w:val="00583823"/>
    <w:rsid w:val="00583B25"/>
    <w:rsid w:val="00583B5A"/>
    <w:rsid w:val="00583D62"/>
    <w:rsid w:val="005844B0"/>
    <w:rsid w:val="0058466D"/>
    <w:rsid w:val="00584777"/>
    <w:rsid w:val="00584C40"/>
    <w:rsid w:val="00585559"/>
    <w:rsid w:val="00585A46"/>
    <w:rsid w:val="005864A9"/>
    <w:rsid w:val="005864C5"/>
    <w:rsid w:val="00586556"/>
    <w:rsid w:val="00586589"/>
    <w:rsid w:val="00587313"/>
    <w:rsid w:val="00587448"/>
    <w:rsid w:val="0058751B"/>
    <w:rsid w:val="00587700"/>
    <w:rsid w:val="0058774F"/>
    <w:rsid w:val="00587DD0"/>
    <w:rsid w:val="00587DE3"/>
    <w:rsid w:val="005905A6"/>
    <w:rsid w:val="005905F6"/>
    <w:rsid w:val="00590800"/>
    <w:rsid w:val="00590A25"/>
    <w:rsid w:val="00590DAA"/>
    <w:rsid w:val="0059105A"/>
    <w:rsid w:val="00591518"/>
    <w:rsid w:val="0059174E"/>
    <w:rsid w:val="00591CF4"/>
    <w:rsid w:val="00591FA4"/>
    <w:rsid w:val="00592175"/>
    <w:rsid w:val="0059245B"/>
    <w:rsid w:val="00592579"/>
    <w:rsid w:val="0059282D"/>
    <w:rsid w:val="00592A30"/>
    <w:rsid w:val="00592B68"/>
    <w:rsid w:val="00592E5C"/>
    <w:rsid w:val="00592EF9"/>
    <w:rsid w:val="005938C2"/>
    <w:rsid w:val="005944D3"/>
    <w:rsid w:val="00594A52"/>
    <w:rsid w:val="00594C22"/>
    <w:rsid w:val="00594FB0"/>
    <w:rsid w:val="00594FB4"/>
    <w:rsid w:val="005950FB"/>
    <w:rsid w:val="005953C9"/>
    <w:rsid w:val="0059594B"/>
    <w:rsid w:val="00595B90"/>
    <w:rsid w:val="00595CA8"/>
    <w:rsid w:val="00596585"/>
    <w:rsid w:val="0059667F"/>
    <w:rsid w:val="00596956"/>
    <w:rsid w:val="00596BF6"/>
    <w:rsid w:val="00596DBE"/>
    <w:rsid w:val="005978E8"/>
    <w:rsid w:val="00597938"/>
    <w:rsid w:val="00597F58"/>
    <w:rsid w:val="005A0061"/>
    <w:rsid w:val="005A0394"/>
    <w:rsid w:val="005A0584"/>
    <w:rsid w:val="005A0675"/>
    <w:rsid w:val="005A0699"/>
    <w:rsid w:val="005A0886"/>
    <w:rsid w:val="005A0CB3"/>
    <w:rsid w:val="005A1516"/>
    <w:rsid w:val="005A17E3"/>
    <w:rsid w:val="005A1AD2"/>
    <w:rsid w:val="005A24CE"/>
    <w:rsid w:val="005A2793"/>
    <w:rsid w:val="005A2802"/>
    <w:rsid w:val="005A2877"/>
    <w:rsid w:val="005A2B17"/>
    <w:rsid w:val="005A2C91"/>
    <w:rsid w:val="005A2CD8"/>
    <w:rsid w:val="005A2DBA"/>
    <w:rsid w:val="005A35AB"/>
    <w:rsid w:val="005A36E4"/>
    <w:rsid w:val="005A3919"/>
    <w:rsid w:val="005A3DB3"/>
    <w:rsid w:val="005A3EB0"/>
    <w:rsid w:val="005A3FE7"/>
    <w:rsid w:val="005A4065"/>
    <w:rsid w:val="005A42AA"/>
    <w:rsid w:val="005A462A"/>
    <w:rsid w:val="005A4C0B"/>
    <w:rsid w:val="005A5126"/>
    <w:rsid w:val="005A544C"/>
    <w:rsid w:val="005A588A"/>
    <w:rsid w:val="005A5956"/>
    <w:rsid w:val="005A5A78"/>
    <w:rsid w:val="005A5B3F"/>
    <w:rsid w:val="005A619B"/>
    <w:rsid w:val="005A6394"/>
    <w:rsid w:val="005A65F2"/>
    <w:rsid w:val="005A6760"/>
    <w:rsid w:val="005A67B8"/>
    <w:rsid w:val="005A6E76"/>
    <w:rsid w:val="005A77CC"/>
    <w:rsid w:val="005A77E2"/>
    <w:rsid w:val="005A7853"/>
    <w:rsid w:val="005A7A2B"/>
    <w:rsid w:val="005A7BA3"/>
    <w:rsid w:val="005A7BC8"/>
    <w:rsid w:val="005A7E9F"/>
    <w:rsid w:val="005B0056"/>
    <w:rsid w:val="005B083A"/>
    <w:rsid w:val="005B098C"/>
    <w:rsid w:val="005B0A48"/>
    <w:rsid w:val="005B0C5B"/>
    <w:rsid w:val="005B0C9E"/>
    <w:rsid w:val="005B0D96"/>
    <w:rsid w:val="005B0EFE"/>
    <w:rsid w:val="005B0F2D"/>
    <w:rsid w:val="005B16D6"/>
    <w:rsid w:val="005B1775"/>
    <w:rsid w:val="005B1A89"/>
    <w:rsid w:val="005B2026"/>
    <w:rsid w:val="005B20AF"/>
    <w:rsid w:val="005B225D"/>
    <w:rsid w:val="005B233F"/>
    <w:rsid w:val="005B2A92"/>
    <w:rsid w:val="005B30D4"/>
    <w:rsid w:val="005B328E"/>
    <w:rsid w:val="005B33A5"/>
    <w:rsid w:val="005B33E4"/>
    <w:rsid w:val="005B3619"/>
    <w:rsid w:val="005B367A"/>
    <w:rsid w:val="005B3701"/>
    <w:rsid w:val="005B3EDC"/>
    <w:rsid w:val="005B40BE"/>
    <w:rsid w:val="005B4303"/>
    <w:rsid w:val="005B48D3"/>
    <w:rsid w:val="005B4E8F"/>
    <w:rsid w:val="005B4F57"/>
    <w:rsid w:val="005B51D0"/>
    <w:rsid w:val="005B5235"/>
    <w:rsid w:val="005B574F"/>
    <w:rsid w:val="005B5B7E"/>
    <w:rsid w:val="005B60EB"/>
    <w:rsid w:val="005B655F"/>
    <w:rsid w:val="005B694A"/>
    <w:rsid w:val="005B6ABF"/>
    <w:rsid w:val="005B6BC2"/>
    <w:rsid w:val="005B70CE"/>
    <w:rsid w:val="005B7252"/>
    <w:rsid w:val="005B731E"/>
    <w:rsid w:val="005B7502"/>
    <w:rsid w:val="005B77BE"/>
    <w:rsid w:val="005B7829"/>
    <w:rsid w:val="005B7A7F"/>
    <w:rsid w:val="005B7B2D"/>
    <w:rsid w:val="005B7F79"/>
    <w:rsid w:val="005C0072"/>
    <w:rsid w:val="005C0088"/>
    <w:rsid w:val="005C00A2"/>
    <w:rsid w:val="005C0E8D"/>
    <w:rsid w:val="005C1494"/>
    <w:rsid w:val="005C149B"/>
    <w:rsid w:val="005C173F"/>
    <w:rsid w:val="005C1909"/>
    <w:rsid w:val="005C219C"/>
    <w:rsid w:val="005C2274"/>
    <w:rsid w:val="005C252C"/>
    <w:rsid w:val="005C2677"/>
    <w:rsid w:val="005C27FF"/>
    <w:rsid w:val="005C28FE"/>
    <w:rsid w:val="005C3104"/>
    <w:rsid w:val="005C314B"/>
    <w:rsid w:val="005C32AC"/>
    <w:rsid w:val="005C3370"/>
    <w:rsid w:val="005C35B3"/>
    <w:rsid w:val="005C36D1"/>
    <w:rsid w:val="005C38CC"/>
    <w:rsid w:val="005C3B25"/>
    <w:rsid w:val="005C408C"/>
    <w:rsid w:val="005C4152"/>
    <w:rsid w:val="005C42A4"/>
    <w:rsid w:val="005C44FF"/>
    <w:rsid w:val="005C45ED"/>
    <w:rsid w:val="005C4AD7"/>
    <w:rsid w:val="005C5129"/>
    <w:rsid w:val="005C5635"/>
    <w:rsid w:val="005C5BBA"/>
    <w:rsid w:val="005C5F59"/>
    <w:rsid w:val="005C635B"/>
    <w:rsid w:val="005C6579"/>
    <w:rsid w:val="005C71FE"/>
    <w:rsid w:val="005C7434"/>
    <w:rsid w:val="005C74FB"/>
    <w:rsid w:val="005C7760"/>
    <w:rsid w:val="005C77FB"/>
    <w:rsid w:val="005C7E81"/>
    <w:rsid w:val="005C7F0F"/>
    <w:rsid w:val="005D0521"/>
    <w:rsid w:val="005D0831"/>
    <w:rsid w:val="005D0B65"/>
    <w:rsid w:val="005D0BA5"/>
    <w:rsid w:val="005D0C4E"/>
    <w:rsid w:val="005D0E13"/>
    <w:rsid w:val="005D0E7A"/>
    <w:rsid w:val="005D0EF6"/>
    <w:rsid w:val="005D0F5F"/>
    <w:rsid w:val="005D1733"/>
    <w:rsid w:val="005D1AD1"/>
    <w:rsid w:val="005D21F9"/>
    <w:rsid w:val="005D251F"/>
    <w:rsid w:val="005D2526"/>
    <w:rsid w:val="005D2741"/>
    <w:rsid w:val="005D2861"/>
    <w:rsid w:val="005D2917"/>
    <w:rsid w:val="005D2F82"/>
    <w:rsid w:val="005D3157"/>
    <w:rsid w:val="005D316C"/>
    <w:rsid w:val="005D34FD"/>
    <w:rsid w:val="005D36DA"/>
    <w:rsid w:val="005D3B61"/>
    <w:rsid w:val="005D3C53"/>
    <w:rsid w:val="005D3E11"/>
    <w:rsid w:val="005D3FA6"/>
    <w:rsid w:val="005D4330"/>
    <w:rsid w:val="005D4349"/>
    <w:rsid w:val="005D4464"/>
    <w:rsid w:val="005D44EA"/>
    <w:rsid w:val="005D44FD"/>
    <w:rsid w:val="005D476E"/>
    <w:rsid w:val="005D52FD"/>
    <w:rsid w:val="005D5766"/>
    <w:rsid w:val="005D6055"/>
    <w:rsid w:val="005D6290"/>
    <w:rsid w:val="005D6525"/>
    <w:rsid w:val="005D6837"/>
    <w:rsid w:val="005D695A"/>
    <w:rsid w:val="005D6D61"/>
    <w:rsid w:val="005D6F34"/>
    <w:rsid w:val="005D7021"/>
    <w:rsid w:val="005D7032"/>
    <w:rsid w:val="005D7067"/>
    <w:rsid w:val="005D75F0"/>
    <w:rsid w:val="005D7820"/>
    <w:rsid w:val="005D7CC5"/>
    <w:rsid w:val="005D7E8A"/>
    <w:rsid w:val="005E0067"/>
    <w:rsid w:val="005E0205"/>
    <w:rsid w:val="005E09DF"/>
    <w:rsid w:val="005E0A85"/>
    <w:rsid w:val="005E10C8"/>
    <w:rsid w:val="005E1292"/>
    <w:rsid w:val="005E172F"/>
    <w:rsid w:val="005E18E6"/>
    <w:rsid w:val="005E1E6B"/>
    <w:rsid w:val="005E2375"/>
    <w:rsid w:val="005E2960"/>
    <w:rsid w:val="005E2D01"/>
    <w:rsid w:val="005E2EFD"/>
    <w:rsid w:val="005E3094"/>
    <w:rsid w:val="005E3365"/>
    <w:rsid w:val="005E3A14"/>
    <w:rsid w:val="005E4305"/>
    <w:rsid w:val="005E46A7"/>
    <w:rsid w:val="005E46EB"/>
    <w:rsid w:val="005E47EA"/>
    <w:rsid w:val="005E54D1"/>
    <w:rsid w:val="005E551C"/>
    <w:rsid w:val="005E5626"/>
    <w:rsid w:val="005E56CB"/>
    <w:rsid w:val="005E5906"/>
    <w:rsid w:val="005E686D"/>
    <w:rsid w:val="005E6A3E"/>
    <w:rsid w:val="005E6E1C"/>
    <w:rsid w:val="005E72AB"/>
    <w:rsid w:val="005E7401"/>
    <w:rsid w:val="005E7536"/>
    <w:rsid w:val="005E7976"/>
    <w:rsid w:val="005E7B6F"/>
    <w:rsid w:val="005E7DF2"/>
    <w:rsid w:val="005E7EE4"/>
    <w:rsid w:val="005F04A3"/>
    <w:rsid w:val="005F14E7"/>
    <w:rsid w:val="005F1775"/>
    <w:rsid w:val="005F18D4"/>
    <w:rsid w:val="005F1C05"/>
    <w:rsid w:val="005F201C"/>
    <w:rsid w:val="005F22A2"/>
    <w:rsid w:val="005F2E49"/>
    <w:rsid w:val="005F2E60"/>
    <w:rsid w:val="005F30DC"/>
    <w:rsid w:val="005F32E2"/>
    <w:rsid w:val="005F359A"/>
    <w:rsid w:val="005F3719"/>
    <w:rsid w:val="005F3D68"/>
    <w:rsid w:val="005F411B"/>
    <w:rsid w:val="005F4146"/>
    <w:rsid w:val="005F43BC"/>
    <w:rsid w:val="005F449D"/>
    <w:rsid w:val="005F45C2"/>
    <w:rsid w:val="005F5773"/>
    <w:rsid w:val="005F59F4"/>
    <w:rsid w:val="005F5A64"/>
    <w:rsid w:val="005F6388"/>
    <w:rsid w:val="005F63AB"/>
    <w:rsid w:val="005F67E1"/>
    <w:rsid w:val="005F68CD"/>
    <w:rsid w:val="005F6ACD"/>
    <w:rsid w:val="005F6B11"/>
    <w:rsid w:val="005F6B45"/>
    <w:rsid w:val="005F6C16"/>
    <w:rsid w:val="005F6D70"/>
    <w:rsid w:val="005F70B8"/>
    <w:rsid w:val="005F7282"/>
    <w:rsid w:val="005F74B3"/>
    <w:rsid w:val="005F7572"/>
    <w:rsid w:val="005F7900"/>
    <w:rsid w:val="005F7D47"/>
    <w:rsid w:val="005F7E2F"/>
    <w:rsid w:val="005F7F74"/>
    <w:rsid w:val="006004BE"/>
    <w:rsid w:val="006004DE"/>
    <w:rsid w:val="00600632"/>
    <w:rsid w:val="006006B0"/>
    <w:rsid w:val="00600770"/>
    <w:rsid w:val="00600BFD"/>
    <w:rsid w:val="00600C7E"/>
    <w:rsid w:val="00600CBD"/>
    <w:rsid w:val="00600D51"/>
    <w:rsid w:val="006010FD"/>
    <w:rsid w:val="006012AC"/>
    <w:rsid w:val="006012FD"/>
    <w:rsid w:val="0060138B"/>
    <w:rsid w:val="00601556"/>
    <w:rsid w:val="006016CF"/>
    <w:rsid w:val="006019B4"/>
    <w:rsid w:val="00601B01"/>
    <w:rsid w:val="00601BD3"/>
    <w:rsid w:val="00601E9F"/>
    <w:rsid w:val="00602BAD"/>
    <w:rsid w:val="0060321A"/>
    <w:rsid w:val="00603558"/>
    <w:rsid w:val="00603A2E"/>
    <w:rsid w:val="00603DD8"/>
    <w:rsid w:val="00603EB4"/>
    <w:rsid w:val="00604037"/>
    <w:rsid w:val="0060460E"/>
    <w:rsid w:val="00604612"/>
    <w:rsid w:val="00604A90"/>
    <w:rsid w:val="00604F1C"/>
    <w:rsid w:val="00604FF6"/>
    <w:rsid w:val="00605024"/>
    <w:rsid w:val="00605389"/>
    <w:rsid w:val="00605641"/>
    <w:rsid w:val="0060592B"/>
    <w:rsid w:val="00605978"/>
    <w:rsid w:val="006059FD"/>
    <w:rsid w:val="00605AE6"/>
    <w:rsid w:val="00606361"/>
    <w:rsid w:val="00606425"/>
    <w:rsid w:val="006064F3"/>
    <w:rsid w:val="00606B0E"/>
    <w:rsid w:val="00606FE6"/>
    <w:rsid w:val="00607091"/>
    <w:rsid w:val="0060742C"/>
    <w:rsid w:val="00607517"/>
    <w:rsid w:val="00607630"/>
    <w:rsid w:val="00607709"/>
    <w:rsid w:val="00607811"/>
    <w:rsid w:val="006078BB"/>
    <w:rsid w:val="00607A8F"/>
    <w:rsid w:val="00607C3B"/>
    <w:rsid w:val="00607F7B"/>
    <w:rsid w:val="006104C3"/>
    <w:rsid w:val="00610679"/>
    <w:rsid w:val="006106B9"/>
    <w:rsid w:val="006111D8"/>
    <w:rsid w:val="00611644"/>
    <w:rsid w:val="00611D9D"/>
    <w:rsid w:val="00612440"/>
    <w:rsid w:val="0061247B"/>
    <w:rsid w:val="006125FB"/>
    <w:rsid w:val="006126EF"/>
    <w:rsid w:val="00612874"/>
    <w:rsid w:val="00612DCF"/>
    <w:rsid w:val="00612F42"/>
    <w:rsid w:val="006130A5"/>
    <w:rsid w:val="0061328D"/>
    <w:rsid w:val="0061347F"/>
    <w:rsid w:val="006136AF"/>
    <w:rsid w:val="006137C4"/>
    <w:rsid w:val="00613A64"/>
    <w:rsid w:val="00613B79"/>
    <w:rsid w:val="00613CE9"/>
    <w:rsid w:val="00613FE1"/>
    <w:rsid w:val="006149D9"/>
    <w:rsid w:val="00614BA1"/>
    <w:rsid w:val="00614BDD"/>
    <w:rsid w:val="00614BE0"/>
    <w:rsid w:val="00614C11"/>
    <w:rsid w:val="00614CBF"/>
    <w:rsid w:val="00614E64"/>
    <w:rsid w:val="00614E6F"/>
    <w:rsid w:val="00614F6D"/>
    <w:rsid w:val="006156DE"/>
    <w:rsid w:val="00615744"/>
    <w:rsid w:val="00615B5A"/>
    <w:rsid w:val="0061664F"/>
    <w:rsid w:val="006167E7"/>
    <w:rsid w:val="0061738F"/>
    <w:rsid w:val="00617590"/>
    <w:rsid w:val="006176AC"/>
    <w:rsid w:val="00617749"/>
    <w:rsid w:val="00617A84"/>
    <w:rsid w:val="00617DBF"/>
    <w:rsid w:val="006200D8"/>
    <w:rsid w:val="0062010E"/>
    <w:rsid w:val="00620362"/>
    <w:rsid w:val="00620BDC"/>
    <w:rsid w:val="00620D16"/>
    <w:rsid w:val="00620DD7"/>
    <w:rsid w:val="0062101A"/>
    <w:rsid w:val="006217A5"/>
    <w:rsid w:val="006217E1"/>
    <w:rsid w:val="00621E7A"/>
    <w:rsid w:val="0062257F"/>
    <w:rsid w:val="00622826"/>
    <w:rsid w:val="006229CC"/>
    <w:rsid w:val="00622A7F"/>
    <w:rsid w:val="00622C51"/>
    <w:rsid w:val="00623C97"/>
    <w:rsid w:val="00624099"/>
    <w:rsid w:val="0062410B"/>
    <w:rsid w:val="00624534"/>
    <w:rsid w:val="006247A1"/>
    <w:rsid w:val="006248A4"/>
    <w:rsid w:val="00624C3B"/>
    <w:rsid w:val="00625170"/>
    <w:rsid w:val="00625736"/>
    <w:rsid w:val="0062580E"/>
    <w:rsid w:val="00625813"/>
    <w:rsid w:val="00625EF9"/>
    <w:rsid w:val="00625FC5"/>
    <w:rsid w:val="0062645E"/>
    <w:rsid w:val="00626686"/>
    <w:rsid w:val="006266D1"/>
    <w:rsid w:val="00626886"/>
    <w:rsid w:val="006277C2"/>
    <w:rsid w:val="00627905"/>
    <w:rsid w:val="00627F6B"/>
    <w:rsid w:val="00627FF3"/>
    <w:rsid w:val="00630079"/>
    <w:rsid w:val="006301B7"/>
    <w:rsid w:val="0063023D"/>
    <w:rsid w:val="00630328"/>
    <w:rsid w:val="0063079F"/>
    <w:rsid w:val="00630F42"/>
    <w:rsid w:val="006314A3"/>
    <w:rsid w:val="00631847"/>
    <w:rsid w:val="00631966"/>
    <w:rsid w:val="00631B0E"/>
    <w:rsid w:val="00631DE6"/>
    <w:rsid w:val="00631FBE"/>
    <w:rsid w:val="006323A9"/>
    <w:rsid w:val="0063250D"/>
    <w:rsid w:val="00632BA0"/>
    <w:rsid w:val="0063335F"/>
    <w:rsid w:val="00633742"/>
    <w:rsid w:val="00633A28"/>
    <w:rsid w:val="00633EB7"/>
    <w:rsid w:val="00634210"/>
    <w:rsid w:val="006342A5"/>
    <w:rsid w:val="006344AD"/>
    <w:rsid w:val="00634613"/>
    <w:rsid w:val="00634673"/>
    <w:rsid w:val="0063471C"/>
    <w:rsid w:val="00634C19"/>
    <w:rsid w:val="00634E18"/>
    <w:rsid w:val="00634E48"/>
    <w:rsid w:val="00634F96"/>
    <w:rsid w:val="00634FBC"/>
    <w:rsid w:val="00634FC7"/>
    <w:rsid w:val="006353DE"/>
    <w:rsid w:val="00635755"/>
    <w:rsid w:val="00635E13"/>
    <w:rsid w:val="00635E80"/>
    <w:rsid w:val="00636139"/>
    <w:rsid w:val="006361CA"/>
    <w:rsid w:val="00636FA8"/>
    <w:rsid w:val="0063715D"/>
    <w:rsid w:val="00637386"/>
    <w:rsid w:val="0063745C"/>
    <w:rsid w:val="0063752A"/>
    <w:rsid w:val="006375BB"/>
    <w:rsid w:val="006379A1"/>
    <w:rsid w:val="00637AE6"/>
    <w:rsid w:val="00640443"/>
    <w:rsid w:val="00640519"/>
    <w:rsid w:val="006408C8"/>
    <w:rsid w:val="0064098E"/>
    <w:rsid w:val="00640EA4"/>
    <w:rsid w:val="00640F60"/>
    <w:rsid w:val="0064101B"/>
    <w:rsid w:val="006410F1"/>
    <w:rsid w:val="00641447"/>
    <w:rsid w:val="006416F1"/>
    <w:rsid w:val="00641D1F"/>
    <w:rsid w:val="00641ED9"/>
    <w:rsid w:val="0064289D"/>
    <w:rsid w:val="006428F2"/>
    <w:rsid w:val="006429C8"/>
    <w:rsid w:val="00643424"/>
    <w:rsid w:val="006436C8"/>
    <w:rsid w:val="006437B7"/>
    <w:rsid w:val="00643AA9"/>
    <w:rsid w:val="00643AEC"/>
    <w:rsid w:val="00643C47"/>
    <w:rsid w:val="00643DD7"/>
    <w:rsid w:val="00644064"/>
    <w:rsid w:val="006447C1"/>
    <w:rsid w:val="00644C49"/>
    <w:rsid w:val="00644DAE"/>
    <w:rsid w:val="00644EB2"/>
    <w:rsid w:val="00645D37"/>
    <w:rsid w:val="00645DC3"/>
    <w:rsid w:val="00646120"/>
    <w:rsid w:val="006464ED"/>
    <w:rsid w:val="006465B7"/>
    <w:rsid w:val="006468B3"/>
    <w:rsid w:val="006469D3"/>
    <w:rsid w:val="00646A09"/>
    <w:rsid w:val="00646ABC"/>
    <w:rsid w:val="00646D74"/>
    <w:rsid w:val="006472B3"/>
    <w:rsid w:val="0064746A"/>
    <w:rsid w:val="006478C7"/>
    <w:rsid w:val="0064792D"/>
    <w:rsid w:val="006479EC"/>
    <w:rsid w:val="00647BC8"/>
    <w:rsid w:val="00650147"/>
    <w:rsid w:val="0065043B"/>
    <w:rsid w:val="006505B5"/>
    <w:rsid w:val="006508B7"/>
    <w:rsid w:val="00650E18"/>
    <w:rsid w:val="00651234"/>
    <w:rsid w:val="006512F1"/>
    <w:rsid w:val="00651314"/>
    <w:rsid w:val="0065140B"/>
    <w:rsid w:val="00651668"/>
    <w:rsid w:val="00651F6B"/>
    <w:rsid w:val="0065210D"/>
    <w:rsid w:val="006521EA"/>
    <w:rsid w:val="006528BF"/>
    <w:rsid w:val="00652936"/>
    <w:rsid w:val="006530D6"/>
    <w:rsid w:val="006532F3"/>
    <w:rsid w:val="00653457"/>
    <w:rsid w:val="0065384B"/>
    <w:rsid w:val="00654060"/>
    <w:rsid w:val="006543A0"/>
    <w:rsid w:val="0065473A"/>
    <w:rsid w:val="0065474F"/>
    <w:rsid w:val="00654956"/>
    <w:rsid w:val="00654FDC"/>
    <w:rsid w:val="00654FEB"/>
    <w:rsid w:val="0065507F"/>
    <w:rsid w:val="0065542C"/>
    <w:rsid w:val="0065570C"/>
    <w:rsid w:val="006566B4"/>
    <w:rsid w:val="00656760"/>
    <w:rsid w:val="006568CA"/>
    <w:rsid w:val="00656D97"/>
    <w:rsid w:val="0065703E"/>
    <w:rsid w:val="006572D6"/>
    <w:rsid w:val="00657592"/>
    <w:rsid w:val="00657C2C"/>
    <w:rsid w:val="00657D66"/>
    <w:rsid w:val="006603DA"/>
    <w:rsid w:val="00660D2C"/>
    <w:rsid w:val="00660DAA"/>
    <w:rsid w:val="00661134"/>
    <w:rsid w:val="0066121A"/>
    <w:rsid w:val="006619CD"/>
    <w:rsid w:val="00661B6D"/>
    <w:rsid w:val="00662135"/>
    <w:rsid w:val="0066229E"/>
    <w:rsid w:val="006623EB"/>
    <w:rsid w:val="00662515"/>
    <w:rsid w:val="00662677"/>
    <w:rsid w:val="0066287C"/>
    <w:rsid w:val="00662A05"/>
    <w:rsid w:val="00662A49"/>
    <w:rsid w:val="00662B28"/>
    <w:rsid w:val="00662D95"/>
    <w:rsid w:val="00663555"/>
    <w:rsid w:val="0066368E"/>
    <w:rsid w:val="00663741"/>
    <w:rsid w:val="0066388A"/>
    <w:rsid w:val="0066389B"/>
    <w:rsid w:val="00663F76"/>
    <w:rsid w:val="00663FC4"/>
    <w:rsid w:val="00664020"/>
    <w:rsid w:val="00664131"/>
    <w:rsid w:val="00664276"/>
    <w:rsid w:val="006644C4"/>
    <w:rsid w:val="00664771"/>
    <w:rsid w:val="006648BD"/>
    <w:rsid w:val="00664CE1"/>
    <w:rsid w:val="00664D3C"/>
    <w:rsid w:val="00664EF6"/>
    <w:rsid w:val="0066577D"/>
    <w:rsid w:val="00665A09"/>
    <w:rsid w:val="00665C90"/>
    <w:rsid w:val="0066603F"/>
    <w:rsid w:val="0066614F"/>
    <w:rsid w:val="00666373"/>
    <w:rsid w:val="006663EA"/>
    <w:rsid w:val="006667FE"/>
    <w:rsid w:val="00666A72"/>
    <w:rsid w:val="00666CB0"/>
    <w:rsid w:val="006672D1"/>
    <w:rsid w:val="00667410"/>
    <w:rsid w:val="00667460"/>
    <w:rsid w:val="00670ED2"/>
    <w:rsid w:val="006710EC"/>
    <w:rsid w:val="006712F9"/>
    <w:rsid w:val="00671457"/>
    <w:rsid w:val="0067163F"/>
    <w:rsid w:val="00671C59"/>
    <w:rsid w:val="00671F37"/>
    <w:rsid w:val="0067260B"/>
    <w:rsid w:val="00672652"/>
    <w:rsid w:val="006730B3"/>
    <w:rsid w:val="006730D4"/>
    <w:rsid w:val="00673173"/>
    <w:rsid w:val="006735EB"/>
    <w:rsid w:val="006737E4"/>
    <w:rsid w:val="00673FC6"/>
    <w:rsid w:val="00674102"/>
    <w:rsid w:val="00674198"/>
    <w:rsid w:val="0067438E"/>
    <w:rsid w:val="00675592"/>
    <w:rsid w:val="00675988"/>
    <w:rsid w:val="00675A96"/>
    <w:rsid w:val="00675DAD"/>
    <w:rsid w:val="00676522"/>
    <w:rsid w:val="00676B62"/>
    <w:rsid w:val="00676CF0"/>
    <w:rsid w:val="006771AD"/>
    <w:rsid w:val="006778AB"/>
    <w:rsid w:val="00677E9D"/>
    <w:rsid w:val="00677F17"/>
    <w:rsid w:val="00677FF9"/>
    <w:rsid w:val="006800E8"/>
    <w:rsid w:val="0068013C"/>
    <w:rsid w:val="00680523"/>
    <w:rsid w:val="00680A01"/>
    <w:rsid w:val="00680A46"/>
    <w:rsid w:val="00680C5B"/>
    <w:rsid w:val="00681224"/>
    <w:rsid w:val="00681843"/>
    <w:rsid w:val="00681885"/>
    <w:rsid w:val="00681913"/>
    <w:rsid w:val="006819CD"/>
    <w:rsid w:val="00682189"/>
    <w:rsid w:val="0068218C"/>
    <w:rsid w:val="00682250"/>
    <w:rsid w:val="00682364"/>
    <w:rsid w:val="006825D4"/>
    <w:rsid w:val="00682B33"/>
    <w:rsid w:val="00683074"/>
    <w:rsid w:val="0068358A"/>
    <w:rsid w:val="006837F3"/>
    <w:rsid w:val="006839D2"/>
    <w:rsid w:val="00683BFB"/>
    <w:rsid w:val="00683C12"/>
    <w:rsid w:val="00683D1D"/>
    <w:rsid w:val="00683FD6"/>
    <w:rsid w:val="0068406A"/>
    <w:rsid w:val="006840AC"/>
    <w:rsid w:val="006842E6"/>
    <w:rsid w:val="00684556"/>
    <w:rsid w:val="0068463C"/>
    <w:rsid w:val="00684B6B"/>
    <w:rsid w:val="00684BDA"/>
    <w:rsid w:val="00684CDC"/>
    <w:rsid w:val="00685A3C"/>
    <w:rsid w:val="00685C4B"/>
    <w:rsid w:val="00685CA0"/>
    <w:rsid w:val="00685E23"/>
    <w:rsid w:val="00686527"/>
    <w:rsid w:val="00686AE7"/>
    <w:rsid w:val="00686DC6"/>
    <w:rsid w:val="00687758"/>
    <w:rsid w:val="0068782A"/>
    <w:rsid w:val="006878B2"/>
    <w:rsid w:val="00687929"/>
    <w:rsid w:val="00687B6F"/>
    <w:rsid w:val="00687C5C"/>
    <w:rsid w:val="00690521"/>
    <w:rsid w:val="0069070E"/>
    <w:rsid w:val="00691691"/>
    <w:rsid w:val="00691732"/>
    <w:rsid w:val="0069199D"/>
    <w:rsid w:val="00691E85"/>
    <w:rsid w:val="00691EED"/>
    <w:rsid w:val="00691F20"/>
    <w:rsid w:val="00692161"/>
    <w:rsid w:val="006922FD"/>
    <w:rsid w:val="006928E9"/>
    <w:rsid w:val="00692992"/>
    <w:rsid w:val="00692A34"/>
    <w:rsid w:val="00692BE6"/>
    <w:rsid w:val="00693303"/>
    <w:rsid w:val="0069331A"/>
    <w:rsid w:val="00693516"/>
    <w:rsid w:val="006935C7"/>
    <w:rsid w:val="0069361A"/>
    <w:rsid w:val="006937F7"/>
    <w:rsid w:val="00693A85"/>
    <w:rsid w:val="00693F9A"/>
    <w:rsid w:val="00694128"/>
    <w:rsid w:val="00694283"/>
    <w:rsid w:val="00694A22"/>
    <w:rsid w:val="00694AA1"/>
    <w:rsid w:val="00694AA8"/>
    <w:rsid w:val="00695195"/>
    <w:rsid w:val="00695314"/>
    <w:rsid w:val="0069531F"/>
    <w:rsid w:val="00695345"/>
    <w:rsid w:val="00695485"/>
    <w:rsid w:val="0069555F"/>
    <w:rsid w:val="00695890"/>
    <w:rsid w:val="006959EB"/>
    <w:rsid w:val="00695ACD"/>
    <w:rsid w:val="00695F0A"/>
    <w:rsid w:val="00695F5F"/>
    <w:rsid w:val="006961A2"/>
    <w:rsid w:val="006961B7"/>
    <w:rsid w:val="006961C8"/>
    <w:rsid w:val="00696344"/>
    <w:rsid w:val="0069683A"/>
    <w:rsid w:val="00696864"/>
    <w:rsid w:val="00696D05"/>
    <w:rsid w:val="00696F19"/>
    <w:rsid w:val="0069718E"/>
    <w:rsid w:val="00697386"/>
    <w:rsid w:val="006973FB"/>
    <w:rsid w:val="00697DCE"/>
    <w:rsid w:val="00697F66"/>
    <w:rsid w:val="006A0085"/>
    <w:rsid w:val="006A02F1"/>
    <w:rsid w:val="006A0433"/>
    <w:rsid w:val="006A092A"/>
    <w:rsid w:val="006A11BD"/>
    <w:rsid w:val="006A1264"/>
    <w:rsid w:val="006A128B"/>
    <w:rsid w:val="006A129F"/>
    <w:rsid w:val="006A1348"/>
    <w:rsid w:val="006A1526"/>
    <w:rsid w:val="006A15FF"/>
    <w:rsid w:val="006A1691"/>
    <w:rsid w:val="006A2108"/>
    <w:rsid w:val="006A21C8"/>
    <w:rsid w:val="006A2631"/>
    <w:rsid w:val="006A2DC5"/>
    <w:rsid w:val="006A2F04"/>
    <w:rsid w:val="006A35FA"/>
    <w:rsid w:val="006A3968"/>
    <w:rsid w:val="006A3A91"/>
    <w:rsid w:val="006A3B17"/>
    <w:rsid w:val="006A3DE5"/>
    <w:rsid w:val="006A429C"/>
    <w:rsid w:val="006A4960"/>
    <w:rsid w:val="006A4B9B"/>
    <w:rsid w:val="006A4F31"/>
    <w:rsid w:val="006A4F99"/>
    <w:rsid w:val="006A5296"/>
    <w:rsid w:val="006A538E"/>
    <w:rsid w:val="006A5A4A"/>
    <w:rsid w:val="006A5E6E"/>
    <w:rsid w:val="006A60A3"/>
    <w:rsid w:val="006A6538"/>
    <w:rsid w:val="006A65C1"/>
    <w:rsid w:val="006A77EF"/>
    <w:rsid w:val="006A7A46"/>
    <w:rsid w:val="006A7D04"/>
    <w:rsid w:val="006A7F9B"/>
    <w:rsid w:val="006B0158"/>
    <w:rsid w:val="006B03CA"/>
    <w:rsid w:val="006B03FC"/>
    <w:rsid w:val="006B04FE"/>
    <w:rsid w:val="006B05ED"/>
    <w:rsid w:val="006B05FD"/>
    <w:rsid w:val="006B079A"/>
    <w:rsid w:val="006B081D"/>
    <w:rsid w:val="006B091A"/>
    <w:rsid w:val="006B09A6"/>
    <w:rsid w:val="006B0D4E"/>
    <w:rsid w:val="006B1150"/>
    <w:rsid w:val="006B14B9"/>
    <w:rsid w:val="006B1825"/>
    <w:rsid w:val="006B1853"/>
    <w:rsid w:val="006B1EA9"/>
    <w:rsid w:val="006B1F82"/>
    <w:rsid w:val="006B2418"/>
    <w:rsid w:val="006B2448"/>
    <w:rsid w:val="006B26DB"/>
    <w:rsid w:val="006B2773"/>
    <w:rsid w:val="006B2850"/>
    <w:rsid w:val="006B29F3"/>
    <w:rsid w:val="006B2A82"/>
    <w:rsid w:val="006B2E30"/>
    <w:rsid w:val="006B2F17"/>
    <w:rsid w:val="006B2F4D"/>
    <w:rsid w:val="006B30AC"/>
    <w:rsid w:val="006B331D"/>
    <w:rsid w:val="006B372B"/>
    <w:rsid w:val="006B3B84"/>
    <w:rsid w:val="006B3C52"/>
    <w:rsid w:val="006B3E92"/>
    <w:rsid w:val="006B3EBA"/>
    <w:rsid w:val="006B417D"/>
    <w:rsid w:val="006B4345"/>
    <w:rsid w:val="006B43BC"/>
    <w:rsid w:val="006B509F"/>
    <w:rsid w:val="006B51C7"/>
    <w:rsid w:val="006B52AD"/>
    <w:rsid w:val="006B5747"/>
    <w:rsid w:val="006B578E"/>
    <w:rsid w:val="006B5AD5"/>
    <w:rsid w:val="006B5D5C"/>
    <w:rsid w:val="006B5EB5"/>
    <w:rsid w:val="006B5F52"/>
    <w:rsid w:val="006B6343"/>
    <w:rsid w:val="006B6463"/>
    <w:rsid w:val="006B65C4"/>
    <w:rsid w:val="006B65D6"/>
    <w:rsid w:val="006B664A"/>
    <w:rsid w:val="006B6BA1"/>
    <w:rsid w:val="006B72E4"/>
    <w:rsid w:val="006B7AB1"/>
    <w:rsid w:val="006B7AFF"/>
    <w:rsid w:val="006B7DCF"/>
    <w:rsid w:val="006B7FA7"/>
    <w:rsid w:val="006C0919"/>
    <w:rsid w:val="006C0B26"/>
    <w:rsid w:val="006C0ED7"/>
    <w:rsid w:val="006C109D"/>
    <w:rsid w:val="006C10CD"/>
    <w:rsid w:val="006C1185"/>
    <w:rsid w:val="006C1272"/>
    <w:rsid w:val="006C1473"/>
    <w:rsid w:val="006C1890"/>
    <w:rsid w:val="006C1A9D"/>
    <w:rsid w:val="006C217D"/>
    <w:rsid w:val="006C21A8"/>
    <w:rsid w:val="006C27F9"/>
    <w:rsid w:val="006C281F"/>
    <w:rsid w:val="006C28BC"/>
    <w:rsid w:val="006C28E4"/>
    <w:rsid w:val="006C2BAA"/>
    <w:rsid w:val="006C2F61"/>
    <w:rsid w:val="006C3062"/>
    <w:rsid w:val="006C31B2"/>
    <w:rsid w:val="006C33C6"/>
    <w:rsid w:val="006C3526"/>
    <w:rsid w:val="006C3A8A"/>
    <w:rsid w:val="006C40C9"/>
    <w:rsid w:val="006C419C"/>
    <w:rsid w:val="006C4458"/>
    <w:rsid w:val="006C46AA"/>
    <w:rsid w:val="006C4725"/>
    <w:rsid w:val="006C47C2"/>
    <w:rsid w:val="006C4A35"/>
    <w:rsid w:val="006C4B85"/>
    <w:rsid w:val="006C4C4D"/>
    <w:rsid w:val="006C5127"/>
    <w:rsid w:val="006C514D"/>
    <w:rsid w:val="006C517D"/>
    <w:rsid w:val="006C53E9"/>
    <w:rsid w:val="006C6103"/>
    <w:rsid w:val="006C67E6"/>
    <w:rsid w:val="006C6850"/>
    <w:rsid w:val="006C6F9F"/>
    <w:rsid w:val="006C7008"/>
    <w:rsid w:val="006C7463"/>
    <w:rsid w:val="006D07B4"/>
    <w:rsid w:val="006D09C2"/>
    <w:rsid w:val="006D0B1D"/>
    <w:rsid w:val="006D0B60"/>
    <w:rsid w:val="006D0C34"/>
    <w:rsid w:val="006D0E7F"/>
    <w:rsid w:val="006D1159"/>
    <w:rsid w:val="006D161F"/>
    <w:rsid w:val="006D164C"/>
    <w:rsid w:val="006D1783"/>
    <w:rsid w:val="006D17B7"/>
    <w:rsid w:val="006D25B8"/>
    <w:rsid w:val="006D261F"/>
    <w:rsid w:val="006D28DE"/>
    <w:rsid w:val="006D2B69"/>
    <w:rsid w:val="006D3221"/>
    <w:rsid w:val="006D33A5"/>
    <w:rsid w:val="006D368E"/>
    <w:rsid w:val="006D444E"/>
    <w:rsid w:val="006D4C80"/>
    <w:rsid w:val="006D5038"/>
    <w:rsid w:val="006D519D"/>
    <w:rsid w:val="006D549E"/>
    <w:rsid w:val="006D54D2"/>
    <w:rsid w:val="006D54DB"/>
    <w:rsid w:val="006D54FF"/>
    <w:rsid w:val="006D5BF2"/>
    <w:rsid w:val="006D5FE8"/>
    <w:rsid w:val="006D60C8"/>
    <w:rsid w:val="006D6375"/>
    <w:rsid w:val="006D66E9"/>
    <w:rsid w:val="006D6761"/>
    <w:rsid w:val="006D680D"/>
    <w:rsid w:val="006D6CDF"/>
    <w:rsid w:val="006D6D04"/>
    <w:rsid w:val="006D6F28"/>
    <w:rsid w:val="006D70C5"/>
    <w:rsid w:val="006D7355"/>
    <w:rsid w:val="006D74EA"/>
    <w:rsid w:val="006D757C"/>
    <w:rsid w:val="006D76A2"/>
    <w:rsid w:val="006D7726"/>
    <w:rsid w:val="006D7DAD"/>
    <w:rsid w:val="006E04F1"/>
    <w:rsid w:val="006E07F6"/>
    <w:rsid w:val="006E0896"/>
    <w:rsid w:val="006E0B16"/>
    <w:rsid w:val="006E0B66"/>
    <w:rsid w:val="006E10F2"/>
    <w:rsid w:val="006E192D"/>
    <w:rsid w:val="006E19A8"/>
    <w:rsid w:val="006E1A86"/>
    <w:rsid w:val="006E1B9A"/>
    <w:rsid w:val="006E1E33"/>
    <w:rsid w:val="006E2059"/>
    <w:rsid w:val="006E2184"/>
    <w:rsid w:val="006E29EB"/>
    <w:rsid w:val="006E2C96"/>
    <w:rsid w:val="006E2CDA"/>
    <w:rsid w:val="006E309C"/>
    <w:rsid w:val="006E325A"/>
    <w:rsid w:val="006E338E"/>
    <w:rsid w:val="006E37A3"/>
    <w:rsid w:val="006E38FC"/>
    <w:rsid w:val="006E3967"/>
    <w:rsid w:val="006E3A9D"/>
    <w:rsid w:val="006E3B76"/>
    <w:rsid w:val="006E3E31"/>
    <w:rsid w:val="006E3E43"/>
    <w:rsid w:val="006E3FF5"/>
    <w:rsid w:val="006E496A"/>
    <w:rsid w:val="006E4BEF"/>
    <w:rsid w:val="006E4CB8"/>
    <w:rsid w:val="006E4D1A"/>
    <w:rsid w:val="006E4EA0"/>
    <w:rsid w:val="006E4EE2"/>
    <w:rsid w:val="006E4FF6"/>
    <w:rsid w:val="006E55EF"/>
    <w:rsid w:val="006E5C88"/>
    <w:rsid w:val="006E5E5A"/>
    <w:rsid w:val="006E5FD0"/>
    <w:rsid w:val="006E6379"/>
    <w:rsid w:val="006E6479"/>
    <w:rsid w:val="006E64D9"/>
    <w:rsid w:val="006E6540"/>
    <w:rsid w:val="006E6745"/>
    <w:rsid w:val="006E6795"/>
    <w:rsid w:val="006E67A1"/>
    <w:rsid w:val="006E6C60"/>
    <w:rsid w:val="006E6C89"/>
    <w:rsid w:val="006E6E42"/>
    <w:rsid w:val="006E6F5B"/>
    <w:rsid w:val="006E73B1"/>
    <w:rsid w:val="006E78C3"/>
    <w:rsid w:val="006E7967"/>
    <w:rsid w:val="006E7999"/>
    <w:rsid w:val="006E7C91"/>
    <w:rsid w:val="006E7CA9"/>
    <w:rsid w:val="006F021C"/>
    <w:rsid w:val="006F057A"/>
    <w:rsid w:val="006F088A"/>
    <w:rsid w:val="006F0C7D"/>
    <w:rsid w:val="006F1096"/>
    <w:rsid w:val="006F110D"/>
    <w:rsid w:val="006F14C6"/>
    <w:rsid w:val="006F14D6"/>
    <w:rsid w:val="006F1556"/>
    <w:rsid w:val="006F168D"/>
    <w:rsid w:val="006F195F"/>
    <w:rsid w:val="006F1B13"/>
    <w:rsid w:val="006F1B36"/>
    <w:rsid w:val="006F1D8A"/>
    <w:rsid w:val="006F2112"/>
    <w:rsid w:val="006F22C0"/>
    <w:rsid w:val="006F2388"/>
    <w:rsid w:val="006F26AA"/>
    <w:rsid w:val="006F303C"/>
    <w:rsid w:val="006F3436"/>
    <w:rsid w:val="006F3AED"/>
    <w:rsid w:val="006F3B76"/>
    <w:rsid w:val="006F40F4"/>
    <w:rsid w:val="006F4269"/>
    <w:rsid w:val="006F47F7"/>
    <w:rsid w:val="006F4AF5"/>
    <w:rsid w:val="006F4B90"/>
    <w:rsid w:val="006F4CA7"/>
    <w:rsid w:val="006F51CC"/>
    <w:rsid w:val="006F54AC"/>
    <w:rsid w:val="006F55F2"/>
    <w:rsid w:val="006F58ED"/>
    <w:rsid w:val="006F606E"/>
    <w:rsid w:val="006F6115"/>
    <w:rsid w:val="006F64A3"/>
    <w:rsid w:val="006F6999"/>
    <w:rsid w:val="006F6A3C"/>
    <w:rsid w:val="006F6D64"/>
    <w:rsid w:val="006F734E"/>
    <w:rsid w:val="006F7C42"/>
    <w:rsid w:val="0070002A"/>
    <w:rsid w:val="00700571"/>
    <w:rsid w:val="0070067A"/>
    <w:rsid w:val="00700AF9"/>
    <w:rsid w:val="00700B94"/>
    <w:rsid w:val="00700DAE"/>
    <w:rsid w:val="00700E4E"/>
    <w:rsid w:val="00700E81"/>
    <w:rsid w:val="00701C94"/>
    <w:rsid w:val="00701E6B"/>
    <w:rsid w:val="00702077"/>
    <w:rsid w:val="0070222A"/>
    <w:rsid w:val="0070225D"/>
    <w:rsid w:val="007023D2"/>
    <w:rsid w:val="00702649"/>
    <w:rsid w:val="007026B8"/>
    <w:rsid w:val="00702DBD"/>
    <w:rsid w:val="00702DC2"/>
    <w:rsid w:val="0070320B"/>
    <w:rsid w:val="007033BF"/>
    <w:rsid w:val="007034AA"/>
    <w:rsid w:val="00703649"/>
    <w:rsid w:val="00703915"/>
    <w:rsid w:val="00703BE2"/>
    <w:rsid w:val="00703EDE"/>
    <w:rsid w:val="0070410E"/>
    <w:rsid w:val="0070447C"/>
    <w:rsid w:val="0070464D"/>
    <w:rsid w:val="007047B1"/>
    <w:rsid w:val="007051FC"/>
    <w:rsid w:val="007052D5"/>
    <w:rsid w:val="00705340"/>
    <w:rsid w:val="007057E0"/>
    <w:rsid w:val="007061B6"/>
    <w:rsid w:val="007064AA"/>
    <w:rsid w:val="007064CA"/>
    <w:rsid w:val="00706598"/>
    <w:rsid w:val="00706910"/>
    <w:rsid w:val="00706950"/>
    <w:rsid w:val="00706B94"/>
    <w:rsid w:val="00706C85"/>
    <w:rsid w:val="00706E3B"/>
    <w:rsid w:val="0070704C"/>
    <w:rsid w:val="0070706F"/>
    <w:rsid w:val="007073BC"/>
    <w:rsid w:val="0070750E"/>
    <w:rsid w:val="00707540"/>
    <w:rsid w:val="007076DE"/>
    <w:rsid w:val="00707BD6"/>
    <w:rsid w:val="00707BFD"/>
    <w:rsid w:val="007104C5"/>
    <w:rsid w:val="007109CF"/>
    <w:rsid w:val="00710F45"/>
    <w:rsid w:val="007110F4"/>
    <w:rsid w:val="0071162C"/>
    <w:rsid w:val="00711886"/>
    <w:rsid w:val="00711B09"/>
    <w:rsid w:val="00712033"/>
    <w:rsid w:val="007122F9"/>
    <w:rsid w:val="0071236B"/>
    <w:rsid w:val="0071242A"/>
    <w:rsid w:val="007126CA"/>
    <w:rsid w:val="00712808"/>
    <w:rsid w:val="00712D14"/>
    <w:rsid w:val="00713456"/>
    <w:rsid w:val="007139A5"/>
    <w:rsid w:val="007139B5"/>
    <w:rsid w:val="00713B50"/>
    <w:rsid w:val="00713C75"/>
    <w:rsid w:val="00714095"/>
    <w:rsid w:val="007147AF"/>
    <w:rsid w:val="007148AE"/>
    <w:rsid w:val="0071490D"/>
    <w:rsid w:val="00714983"/>
    <w:rsid w:val="00714B66"/>
    <w:rsid w:val="00714F95"/>
    <w:rsid w:val="00715059"/>
    <w:rsid w:val="00715703"/>
    <w:rsid w:val="00715A90"/>
    <w:rsid w:val="00715AEB"/>
    <w:rsid w:val="00716022"/>
    <w:rsid w:val="00716750"/>
    <w:rsid w:val="00716924"/>
    <w:rsid w:val="00716E79"/>
    <w:rsid w:val="007173D8"/>
    <w:rsid w:val="007173E4"/>
    <w:rsid w:val="00717860"/>
    <w:rsid w:val="0071788C"/>
    <w:rsid w:val="00717A77"/>
    <w:rsid w:val="00717E29"/>
    <w:rsid w:val="007204AA"/>
    <w:rsid w:val="007205BC"/>
    <w:rsid w:val="007208C4"/>
    <w:rsid w:val="00720CE6"/>
    <w:rsid w:val="007211A0"/>
    <w:rsid w:val="007213A0"/>
    <w:rsid w:val="00721659"/>
    <w:rsid w:val="007217B5"/>
    <w:rsid w:val="00721967"/>
    <w:rsid w:val="00721AAC"/>
    <w:rsid w:val="00721CD2"/>
    <w:rsid w:val="00722195"/>
    <w:rsid w:val="007223E5"/>
    <w:rsid w:val="007225D3"/>
    <w:rsid w:val="007230DD"/>
    <w:rsid w:val="007230FE"/>
    <w:rsid w:val="0072334C"/>
    <w:rsid w:val="00723706"/>
    <w:rsid w:val="00723B43"/>
    <w:rsid w:val="00723D2F"/>
    <w:rsid w:val="0072400D"/>
    <w:rsid w:val="00724A3C"/>
    <w:rsid w:val="00724E32"/>
    <w:rsid w:val="00724E7F"/>
    <w:rsid w:val="00725EF1"/>
    <w:rsid w:val="00725F8F"/>
    <w:rsid w:val="00726070"/>
    <w:rsid w:val="00726126"/>
    <w:rsid w:val="00726183"/>
    <w:rsid w:val="007261D6"/>
    <w:rsid w:val="007265D3"/>
    <w:rsid w:val="00726943"/>
    <w:rsid w:val="00726AAE"/>
    <w:rsid w:val="007270E6"/>
    <w:rsid w:val="007273EB"/>
    <w:rsid w:val="00727B64"/>
    <w:rsid w:val="00727B7F"/>
    <w:rsid w:val="00727F25"/>
    <w:rsid w:val="007301CD"/>
    <w:rsid w:val="007301FF"/>
    <w:rsid w:val="00730DE9"/>
    <w:rsid w:val="00730E35"/>
    <w:rsid w:val="00730EFC"/>
    <w:rsid w:val="00731289"/>
    <w:rsid w:val="007312F9"/>
    <w:rsid w:val="0073139F"/>
    <w:rsid w:val="00731DC0"/>
    <w:rsid w:val="007323EF"/>
    <w:rsid w:val="00732490"/>
    <w:rsid w:val="007325BD"/>
    <w:rsid w:val="00732740"/>
    <w:rsid w:val="007327C8"/>
    <w:rsid w:val="0073281E"/>
    <w:rsid w:val="007328A9"/>
    <w:rsid w:val="007328C7"/>
    <w:rsid w:val="0073291B"/>
    <w:rsid w:val="00732F1F"/>
    <w:rsid w:val="00733448"/>
    <w:rsid w:val="007336F8"/>
    <w:rsid w:val="0073371F"/>
    <w:rsid w:val="0073377B"/>
    <w:rsid w:val="00733812"/>
    <w:rsid w:val="00733A31"/>
    <w:rsid w:val="00733C35"/>
    <w:rsid w:val="0073401E"/>
    <w:rsid w:val="00734727"/>
    <w:rsid w:val="007351BB"/>
    <w:rsid w:val="00735748"/>
    <w:rsid w:val="0073575F"/>
    <w:rsid w:val="00735947"/>
    <w:rsid w:val="00735D6B"/>
    <w:rsid w:val="00735E42"/>
    <w:rsid w:val="00735EC0"/>
    <w:rsid w:val="0073618E"/>
    <w:rsid w:val="007363DC"/>
    <w:rsid w:val="007366D4"/>
    <w:rsid w:val="0073684B"/>
    <w:rsid w:val="00736893"/>
    <w:rsid w:val="007369ED"/>
    <w:rsid w:val="00736AC0"/>
    <w:rsid w:val="007370B1"/>
    <w:rsid w:val="007372DB"/>
    <w:rsid w:val="0073798A"/>
    <w:rsid w:val="00737E32"/>
    <w:rsid w:val="00737FB4"/>
    <w:rsid w:val="0074004A"/>
    <w:rsid w:val="00740103"/>
    <w:rsid w:val="00740454"/>
    <w:rsid w:val="007404A2"/>
    <w:rsid w:val="00740625"/>
    <w:rsid w:val="00740870"/>
    <w:rsid w:val="00740C69"/>
    <w:rsid w:val="00740CBC"/>
    <w:rsid w:val="007412B4"/>
    <w:rsid w:val="0074138F"/>
    <w:rsid w:val="0074150F"/>
    <w:rsid w:val="007415E5"/>
    <w:rsid w:val="007416FA"/>
    <w:rsid w:val="00741B8F"/>
    <w:rsid w:val="00741BE9"/>
    <w:rsid w:val="007425A3"/>
    <w:rsid w:val="00742611"/>
    <w:rsid w:val="007426FD"/>
    <w:rsid w:val="007428B6"/>
    <w:rsid w:val="00742DA1"/>
    <w:rsid w:val="00742E3A"/>
    <w:rsid w:val="007431A8"/>
    <w:rsid w:val="007438C9"/>
    <w:rsid w:val="00743944"/>
    <w:rsid w:val="00743B32"/>
    <w:rsid w:val="00743F2D"/>
    <w:rsid w:val="0074441C"/>
    <w:rsid w:val="007445E6"/>
    <w:rsid w:val="0074462C"/>
    <w:rsid w:val="007449BD"/>
    <w:rsid w:val="00744C65"/>
    <w:rsid w:val="00744F1F"/>
    <w:rsid w:val="00745169"/>
    <w:rsid w:val="0074571E"/>
    <w:rsid w:val="00745F44"/>
    <w:rsid w:val="00745F68"/>
    <w:rsid w:val="00746223"/>
    <w:rsid w:val="007464E0"/>
    <w:rsid w:val="0074673E"/>
    <w:rsid w:val="00746855"/>
    <w:rsid w:val="00746969"/>
    <w:rsid w:val="007470C0"/>
    <w:rsid w:val="007473AF"/>
    <w:rsid w:val="007475B3"/>
    <w:rsid w:val="00747B52"/>
    <w:rsid w:val="00747C1F"/>
    <w:rsid w:val="00747D41"/>
    <w:rsid w:val="007500EC"/>
    <w:rsid w:val="00750161"/>
    <w:rsid w:val="0075039B"/>
    <w:rsid w:val="00750816"/>
    <w:rsid w:val="007509AA"/>
    <w:rsid w:val="007509CB"/>
    <w:rsid w:val="007509D1"/>
    <w:rsid w:val="00750CB7"/>
    <w:rsid w:val="00750DF3"/>
    <w:rsid w:val="00750F82"/>
    <w:rsid w:val="00751313"/>
    <w:rsid w:val="00751A42"/>
    <w:rsid w:val="00751E9B"/>
    <w:rsid w:val="00751FBE"/>
    <w:rsid w:val="007521ED"/>
    <w:rsid w:val="00752214"/>
    <w:rsid w:val="0075278F"/>
    <w:rsid w:val="007537A9"/>
    <w:rsid w:val="00753AE2"/>
    <w:rsid w:val="00753D33"/>
    <w:rsid w:val="00753DC1"/>
    <w:rsid w:val="00754354"/>
    <w:rsid w:val="007543AC"/>
    <w:rsid w:val="007546DB"/>
    <w:rsid w:val="0075470E"/>
    <w:rsid w:val="007549CB"/>
    <w:rsid w:val="00754A1C"/>
    <w:rsid w:val="00754A9B"/>
    <w:rsid w:val="00754B84"/>
    <w:rsid w:val="00754D44"/>
    <w:rsid w:val="007559E2"/>
    <w:rsid w:val="00755CA4"/>
    <w:rsid w:val="00756223"/>
    <w:rsid w:val="00756357"/>
    <w:rsid w:val="007565F6"/>
    <w:rsid w:val="00756734"/>
    <w:rsid w:val="00756A90"/>
    <w:rsid w:val="00756C51"/>
    <w:rsid w:val="007572ED"/>
    <w:rsid w:val="007576BF"/>
    <w:rsid w:val="007577F8"/>
    <w:rsid w:val="00757862"/>
    <w:rsid w:val="00757C7F"/>
    <w:rsid w:val="00757D67"/>
    <w:rsid w:val="00757FEF"/>
    <w:rsid w:val="007607DD"/>
    <w:rsid w:val="00760B0C"/>
    <w:rsid w:val="00760FD6"/>
    <w:rsid w:val="007613F7"/>
    <w:rsid w:val="00761AF6"/>
    <w:rsid w:val="00761B20"/>
    <w:rsid w:val="00761C5C"/>
    <w:rsid w:val="00762746"/>
    <w:rsid w:val="00762958"/>
    <w:rsid w:val="00762A40"/>
    <w:rsid w:val="00763515"/>
    <w:rsid w:val="00763832"/>
    <w:rsid w:val="00763C71"/>
    <w:rsid w:val="00763DF6"/>
    <w:rsid w:val="007643B2"/>
    <w:rsid w:val="007647D6"/>
    <w:rsid w:val="00764A4E"/>
    <w:rsid w:val="00764AA9"/>
    <w:rsid w:val="00764CF2"/>
    <w:rsid w:val="00764E53"/>
    <w:rsid w:val="00764EC0"/>
    <w:rsid w:val="0076578A"/>
    <w:rsid w:val="00765A6D"/>
    <w:rsid w:val="00765AC1"/>
    <w:rsid w:val="00765AC7"/>
    <w:rsid w:val="00765B27"/>
    <w:rsid w:val="00765B51"/>
    <w:rsid w:val="00765F5B"/>
    <w:rsid w:val="00766518"/>
    <w:rsid w:val="00766705"/>
    <w:rsid w:val="007667C1"/>
    <w:rsid w:val="00766A4A"/>
    <w:rsid w:val="00766C06"/>
    <w:rsid w:val="00766CB0"/>
    <w:rsid w:val="007678DD"/>
    <w:rsid w:val="00767D8D"/>
    <w:rsid w:val="00767E8F"/>
    <w:rsid w:val="0077026A"/>
    <w:rsid w:val="007704A4"/>
    <w:rsid w:val="00770579"/>
    <w:rsid w:val="007707B4"/>
    <w:rsid w:val="00770D72"/>
    <w:rsid w:val="00771212"/>
    <w:rsid w:val="00771586"/>
    <w:rsid w:val="00771A1B"/>
    <w:rsid w:val="00771BEC"/>
    <w:rsid w:val="00771C4C"/>
    <w:rsid w:val="00771C56"/>
    <w:rsid w:val="00771CE0"/>
    <w:rsid w:val="00771DDD"/>
    <w:rsid w:val="007724EB"/>
    <w:rsid w:val="007726C5"/>
    <w:rsid w:val="00772CAA"/>
    <w:rsid w:val="007733BF"/>
    <w:rsid w:val="0077376E"/>
    <w:rsid w:val="00773F85"/>
    <w:rsid w:val="007742DD"/>
    <w:rsid w:val="00774385"/>
    <w:rsid w:val="00775185"/>
    <w:rsid w:val="00775463"/>
    <w:rsid w:val="00775879"/>
    <w:rsid w:val="007759A8"/>
    <w:rsid w:val="00775C57"/>
    <w:rsid w:val="00775F5A"/>
    <w:rsid w:val="007762EE"/>
    <w:rsid w:val="007762F7"/>
    <w:rsid w:val="0077640F"/>
    <w:rsid w:val="00776C45"/>
    <w:rsid w:val="007772C0"/>
    <w:rsid w:val="00777360"/>
    <w:rsid w:val="0077765E"/>
    <w:rsid w:val="0077768D"/>
    <w:rsid w:val="00777D65"/>
    <w:rsid w:val="00777DBC"/>
    <w:rsid w:val="00777E77"/>
    <w:rsid w:val="00780032"/>
    <w:rsid w:val="00780219"/>
    <w:rsid w:val="007803E8"/>
    <w:rsid w:val="007805D8"/>
    <w:rsid w:val="0078060A"/>
    <w:rsid w:val="007809AC"/>
    <w:rsid w:val="00780AA9"/>
    <w:rsid w:val="00780B9E"/>
    <w:rsid w:val="00780CC5"/>
    <w:rsid w:val="00780F20"/>
    <w:rsid w:val="0078134C"/>
    <w:rsid w:val="00781541"/>
    <w:rsid w:val="007816F3"/>
    <w:rsid w:val="00781777"/>
    <w:rsid w:val="00781C1E"/>
    <w:rsid w:val="00781C9A"/>
    <w:rsid w:val="00781DED"/>
    <w:rsid w:val="00781E2D"/>
    <w:rsid w:val="00781FFA"/>
    <w:rsid w:val="00782758"/>
    <w:rsid w:val="00782A13"/>
    <w:rsid w:val="00782ACF"/>
    <w:rsid w:val="007832D5"/>
    <w:rsid w:val="007833DA"/>
    <w:rsid w:val="007837F1"/>
    <w:rsid w:val="00783A80"/>
    <w:rsid w:val="00783BCA"/>
    <w:rsid w:val="00783FDC"/>
    <w:rsid w:val="007848C8"/>
    <w:rsid w:val="00784CBB"/>
    <w:rsid w:val="00784D58"/>
    <w:rsid w:val="00785246"/>
    <w:rsid w:val="007852D4"/>
    <w:rsid w:val="00785473"/>
    <w:rsid w:val="00785E8C"/>
    <w:rsid w:val="0078682C"/>
    <w:rsid w:val="00786AAF"/>
    <w:rsid w:val="007870A2"/>
    <w:rsid w:val="007875E6"/>
    <w:rsid w:val="0078773B"/>
    <w:rsid w:val="00787786"/>
    <w:rsid w:val="007879FE"/>
    <w:rsid w:val="00787ED7"/>
    <w:rsid w:val="00790277"/>
    <w:rsid w:val="007902B1"/>
    <w:rsid w:val="00790459"/>
    <w:rsid w:val="007907A2"/>
    <w:rsid w:val="00790BC6"/>
    <w:rsid w:val="0079110D"/>
    <w:rsid w:val="00791648"/>
    <w:rsid w:val="007919BD"/>
    <w:rsid w:val="00791A01"/>
    <w:rsid w:val="00791F51"/>
    <w:rsid w:val="007921C5"/>
    <w:rsid w:val="00792617"/>
    <w:rsid w:val="007926DE"/>
    <w:rsid w:val="00792776"/>
    <w:rsid w:val="00792F1E"/>
    <w:rsid w:val="00793157"/>
    <w:rsid w:val="00793497"/>
    <w:rsid w:val="00793600"/>
    <w:rsid w:val="0079367C"/>
    <w:rsid w:val="00793771"/>
    <w:rsid w:val="007938B8"/>
    <w:rsid w:val="00793BF9"/>
    <w:rsid w:val="007950B3"/>
    <w:rsid w:val="0079519B"/>
    <w:rsid w:val="007959D0"/>
    <w:rsid w:val="00795AB3"/>
    <w:rsid w:val="00795B5B"/>
    <w:rsid w:val="0079611C"/>
    <w:rsid w:val="0079646B"/>
    <w:rsid w:val="00796784"/>
    <w:rsid w:val="00796A47"/>
    <w:rsid w:val="00797100"/>
    <w:rsid w:val="00797374"/>
    <w:rsid w:val="007973EF"/>
    <w:rsid w:val="0079774C"/>
    <w:rsid w:val="00797821"/>
    <w:rsid w:val="00797981"/>
    <w:rsid w:val="00797B00"/>
    <w:rsid w:val="007A04F1"/>
    <w:rsid w:val="007A066A"/>
    <w:rsid w:val="007A0ABD"/>
    <w:rsid w:val="007A0AC2"/>
    <w:rsid w:val="007A0C65"/>
    <w:rsid w:val="007A0D1A"/>
    <w:rsid w:val="007A0EB0"/>
    <w:rsid w:val="007A135E"/>
    <w:rsid w:val="007A1427"/>
    <w:rsid w:val="007A1CCE"/>
    <w:rsid w:val="007A1D55"/>
    <w:rsid w:val="007A2047"/>
    <w:rsid w:val="007A263C"/>
    <w:rsid w:val="007A2844"/>
    <w:rsid w:val="007A290E"/>
    <w:rsid w:val="007A2B03"/>
    <w:rsid w:val="007A2B86"/>
    <w:rsid w:val="007A2F08"/>
    <w:rsid w:val="007A3281"/>
    <w:rsid w:val="007A33E4"/>
    <w:rsid w:val="007A3469"/>
    <w:rsid w:val="007A34AF"/>
    <w:rsid w:val="007A3BA6"/>
    <w:rsid w:val="007A3ED5"/>
    <w:rsid w:val="007A44CE"/>
    <w:rsid w:val="007A465A"/>
    <w:rsid w:val="007A4CF8"/>
    <w:rsid w:val="007A4F10"/>
    <w:rsid w:val="007A50E2"/>
    <w:rsid w:val="007A5427"/>
    <w:rsid w:val="007A556D"/>
    <w:rsid w:val="007A576E"/>
    <w:rsid w:val="007A59DB"/>
    <w:rsid w:val="007A5A3E"/>
    <w:rsid w:val="007A5B8B"/>
    <w:rsid w:val="007A5CC0"/>
    <w:rsid w:val="007A61DE"/>
    <w:rsid w:val="007A640A"/>
    <w:rsid w:val="007A6B35"/>
    <w:rsid w:val="007A6EE4"/>
    <w:rsid w:val="007A7017"/>
    <w:rsid w:val="007A7166"/>
    <w:rsid w:val="007A752F"/>
    <w:rsid w:val="007A754C"/>
    <w:rsid w:val="007A7915"/>
    <w:rsid w:val="007B0251"/>
    <w:rsid w:val="007B08EC"/>
    <w:rsid w:val="007B0C13"/>
    <w:rsid w:val="007B0C70"/>
    <w:rsid w:val="007B0E8C"/>
    <w:rsid w:val="007B0F3D"/>
    <w:rsid w:val="007B109D"/>
    <w:rsid w:val="007B1631"/>
    <w:rsid w:val="007B18DA"/>
    <w:rsid w:val="007B194A"/>
    <w:rsid w:val="007B19BE"/>
    <w:rsid w:val="007B1FCC"/>
    <w:rsid w:val="007B209A"/>
    <w:rsid w:val="007B265B"/>
    <w:rsid w:val="007B2862"/>
    <w:rsid w:val="007B31B9"/>
    <w:rsid w:val="007B33CB"/>
    <w:rsid w:val="007B3853"/>
    <w:rsid w:val="007B3A19"/>
    <w:rsid w:val="007B3AE4"/>
    <w:rsid w:val="007B3D1A"/>
    <w:rsid w:val="007B43BD"/>
    <w:rsid w:val="007B4472"/>
    <w:rsid w:val="007B4599"/>
    <w:rsid w:val="007B45CA"/>
    <w:rsid w:val="007B497B"/>
    <w:rsid w:val="007B4A65"/>
    <w:rsid w:val="007B4C8F"/>
    <w:rsid w:val="007B5703"/>
    <w:rsid w:val="007B66F4"/>
    <w:rsid w:val="007B6B49"/>
    <w:rsid w:val="007B6C51"/>
    <w:rsid w:val="007B6CF9"/>
    <w:rsid w:val="007B70D2"/>
    <w:rsid w:val="007B74C6"/>
    <w:rsid w:val="007B7665"/>
    <w:rsid w:val="007B7B92"/>
    <w:rsid w:val="007C0175"/>
    <w:rsid w:val="007C071D"/>
    <w:rsid w:val="007C099F"/>
    <w:rsid w:val="007C0BAE"/>
    <w:rsid w:val="007C0E62"/>
    <w:rsid w:val="007C12F7"/>
    <w:rsid w:val="007C14B0"/>
    <w:rsid w:val="007C185D"/>
    <w:rsid w:val="007C1A09"/>
    <w:rsid w:val="007C22D0"/>
    <w:rsid w:val="007C2322"/>
    <w:rsid w:val="007C23A4"/>
    <w:rsid w:val="007C2497"/>
    <w:rsid w:val="007C261E"/>
    <w:rsid w:val="007C267C"/>
    <w:rsid w:val="007C26A3"/>
    <w:rsid w:val="007C2B6A"/>
    <w:rsid w:val="007C2C84"/>
    <w:rsid w:val="007C2D57"/>
    <w:rsid w:val="007C2E96"/>
    <w:rsid w:val="007C2EC8"/>
    <w:rsid w:val="007C35E3"/>
    <w:rsid w:val="007C38CA"/>
    <w:rsid w:val="007C3AD6"/>
    <w:rsid w:val="007C425D"/>
    <w:rsid w:val="007C4646"/>
    <w:rsid w:val="007C469D"/>
    <w:rsid w:val="007C49BA"/>
    <w:rsid w:val="007C4A86"/>
    <w:rsid w:val="007C4B3A"/>
    <w:rsid w:val="007C519F"/>
    <w:rsid w:val="007C537A"/>
    <w:rsid w:val="007C53B8"/>
    <w:rsid w:val="007C53E1"/>
    <w:rsid w:val="007C59FD"/>
    <w:rsid w:val="007C5A2C"/>
    <w:rsid w:val="007C5C64"/>
    <w:rsid w:val="007C5DBF"/>
    <w:rsid w:val="007C6015"/>
    <w:rsid w:val="007C603A"/>
    <w:rsid w:val="007C6046"/>
    <w:rsid w:val="007C606C"/>
    <w:rsid w:val="007C65C7"/>
    <w:rsid w:val="007C6924"/>
    <w:rsid w:val="007C6BC9"/>
    <w:rsid w:val="007C7087"/>
    <w:rsid w:val="007C7699"/>
    <w:rsid w:val="007C7765"/>
    <w:rsid w:val="007C77CE"/>
    <w:rsid w:val="007C7960"/>
    <w:rsid w:val="007C7CEE"/>
    <w:rsid w:val="007C7D94"/>
    <w:rsid w:val="007C7ED5"/>
    <w:rsid w:val="007D02AF"/>
    <w:rsid w:val="007D0339"/>
    <w:rsid w:val="007D0599"/>
    <w:rsid w:val="007D097B"/>
    <w:rsid w:val="007D0981"/>
    <w:rsid w:val="007D0B38"/>
    <w:rsid w:val="007D0BAF"/>
    <w:rsid w:val="007D1A35"/>
    <w:rsid w:val="007D2036"/>
    <w:rsid w:val="007D25EA"/>
    <w:rsid w:val="007D2794"/>
    <w:rsid w:val="007D27BD"/>
    <w:rsid w:val="007D2BDD"/>
    <w:rsid w:val="007D2F14"/>
    <w:rsid w:val="007D2F34"/>
    <w:rsid w:val="007D3296"/>
    <w:rsid w:val="007D3406"/>
    <w:rsid w:val="007D341B"/>
    <w:rsid w:val="007D363C"/>
    <w:rsid w:val="007D39E9"/>
    <w:rsid w:val="007D4487"/>
    <w:rsid w:val="007D451B"/>
    <w:rsid w:val="007D454F"/>
    <w:rsid w:val="007D480B"/>
    <w:rsid w:val="007D4E76"/>
    <w:rsid w:val="007D4F6B"/>
    <w:rsid w:val="007D5771"/>
    <w:rsid w:val="007D5FFA"/>
    <w:rsid w:val="007D6614"/>
    <w:rsid w:val="007D66E8"/>
    <w:rsid w:val="007D69BF"/>
    <w:rsid w:val="007D6A1F"/>
    <w:rsid w:val="007D6B2D"/>
    <w:rsid w:val="007D6D8A"/>
    <w:rsid w:val="007D6E23"/>
    <w:rsid w:val="007D741F"/>
    <w:rsid w:val="007D74C4"/>
    <w:rsid w:val="007D7E0B"/>
    <w:rsid w:val="007D7E77"/>
    <w:rsid w:val="007E041F"/>
    <w:rsid w:val="007E044F"/>
    <w:rsid w:val="007E05BA"/>
    <w:rsid w:val="007E0A1C"/>
    <w:rsid w:val="007E0B26"/>
    <w:rsid w:val="007E0D80"/>
    <w:rsid w:val="007E0ECE"/>
    <w:rsid w:val="007E0ED9"/>
    <w:rsid w:val="007E1210"/>
    <w:rsid w:val="007E14DC"/>
    <w:rsid w:val="007E1868"/>
    <w:rsid w:val="007E1CF9"/>
    <w:rsid w:val="007E1E0A"/>
    <w:rsid w:val="007E2197"/>
    <w:rsid w:val="007E220C"/>
    <w:rsid w:val="007E2475"/>
    <w:rsid w:val="007E26DE"/>
    <w:rsid w:val="007E271D"/>
    <w:rsid w:val="007E276E"/>
    <w:rsid w:val="007E289F"/>
    <w:rsid w:val="007E2DC8"/>
    <w:rsid w:val="007E2E37"/>
    <w:rsid w:val="007E3178"/>
    <w:rsid w:val="007E32CB"/>
    <w:rsid w:val="007E3847"/>
    <w:rsid w:val="007E3926"/>
    <w:rsid w:val="007E3E72"/>
    <w:rsid w:val="007E419E"/>
    <w:rsid w:val="007E4201"/>
    <w:rsid w:val="007E420B"/>
    <w:rsid w:val="007E4517"/>
    <w:rsid w:val="007E45ED"/>
    <w:rsid w:val="007E4EDD"/>
    <w:rsid w:val="007E51D3"/>
    <w:rsid w:val="007E5687"/>
    <w:rsid w:val="007E5780"/>
    <w:rsid w:val="007E5A66"/>
    <w:rsid w:val="007E5BD2"/>
    <w:rsid w:val="007E5C58"/>
    <w:rsid w:val="007E5E51"/>
    <w:rsid w:val="007E6117"/>
    <w:rsid w:val="007E6309"/>
    <w:rsid w:val="007E63D1"/>
    <w:rsid w:val="007E662D"/>
    <w:rsid w:val="007E6723"/>
    <w:rsid w:val="007E6B7A"/>
    <w:rsid w:val="007E6C54"/>
    <w:rsid w:val="007E6FB9"/>
    <w:rsid w:val="007E7B16"/>
    <w:rsid w:val="007E7DC8"/>
    <w:rsid w:val="007E7ECB"/>
    <w:rsid w:val="007F00D7"/>
    <w:rsid w:val="007F00F4"/>
    <w:rsid w:val="007F01C6"/>
    <w:rsid w:val="007F067A"/>
    <w:rsid w:val="007F09F1"/>
    <w:rsid w:val="007F0A6C"/>
    <w:rsid w:val="007F0D54"/>
    <w:rsid w:val="007F0DA0"/>
    <w:rsid w:val="007F0F7D"/>
    <w:rsid w:val="007F15E4"/>
    <w:rsid w:val="007F19BB"/>
    <w:rsid w:val="007F1C74"/>
    <w:rsid w:val="007F1E69"/>
    <w:rsid w:val="007F2490"/>
    <w:rsid w:val="007F2636"/>
    <w:rsid w:val="007F26EC"/>
    <w:rsid w:val="007F31EC"/>
    <w:rsid w:val="007F329E"/>
    <w:rsid w:val="007F34A6"/>
    <w:rsid w:val="007F37A4"/>
    <w:rsid w:val="007F381F"/>
    <w:rsid w:val="007F3877"/>
    <w:rsid w:val="007F3BA3"/>
    <w:rsid w:val="007F3D17"/>
    <w:rsid w:val="007F4584"/>
    <w:rsid w:val="007F460D"/>
    <w:rsid w:val="007F4722"/>
    <w:rsid w:val="007F4E5D"/>
    <w:rsid w:val="007F4F5F"/>
    <w:rsid w:val="007F4FCD"/>
    <w:rsid w:val="007F50AE"/>
    <w:rsid w:val="007F5173"/>
    <w:rsid w:val="007F5318"/>
    <w:rsid w:val="007F56DD"/>
    <w:rsid w:val="007F5957"/>
    <w:rsid w:val="007F59FB"/>
    <w:rsid w:val="007F5BE7"/>
    <w:rsid w:val="007F5D71"/>
    <w:rsid w:val="007F5E1C"/>
    <w:rsid w:val="007F5F81"/>
    <w:rsid w:val="007F63C6"/>
    <w:rsid w:val="007F67F4"/>
    <w:rsid w:val="007F6A01"/>
    <w:rsid w:val="007F6A99"/>
    <w:rsid w:val="007F6BC7"/>
    <w:rsid w:val="007F6C08"/>
    <w:rsid w:val="007F6D4B"/>
    <w:rsid w:val="007F73ED"/>
    <w:rsid w:val="007F74F7"/>
    <w:rsid w:val="007F780D"/>
    <w:rsid w:val="007F7A6B"/>
    <w:rsid w:val="007F7ADE"/>
    <w:rsid w:val="008002C9"/>
    <w:rsid w:val="008002FF"/>
    <w:rsid w:val="0080078A"/>
    <w:rsid w:val="00800D6D"/>
    <w:rsid w:val="008016C1"/>
    <w:rsid w:val="00801838"/>
    <w:rsid w:val="00801887"/>
    <w:rsid w:val="00801B28"/>
    <w:rsid w:val="00801B87"/>
    <w:rsid w:val="00801D7D"/>
    <w:rsid w:val="0080262A"/>
    <w:rsid w:val="008028D8"/>
    <w:rsid w:val="008029B9"/>
    <w:rsid w:val="00802CCF"/>
    <w:rsid w:val="00802E6F"/>
    <w:rsid w:val="00802F19"/>
    <w:rsid w:val="008034A5"/>
    <w:rsid w:val="00803578"/>
    <w:rsid w:val="0080358A"/>
    <w:rsid w:val="0080365D"/>
    <w:rsid w:val="008037E2"/>
    <w:rsid w:val="00803B98"/>
    <w:rsid w:val="00803C20"/>
    <w:rsid w:val="00804078"/>
    <w:rsid w:val="00804338"/>
    <w:rsid w:val="008045E9"/>
    <w:rsid w:val="00804872"/>
    <w:rsid w:val="008048E7"/>
    <w:rsid w:val="00804B04"/>
    <w:rsid w:val="00804C43"/>
    <w:rsid w:val="00805005"/>
    <w:rsid w:val="0080507B"/>
    <w:rsid w:val="0080520E"/>
    <w:rsid w:val="00805534"/>
    <w:rsid w:val="008057C2"/>
    <w:rsid w:val="008058DF"/>
    <w:rsid w:val="0080628B"/>
    <w:rsid w:val="00806356"/>
    <w:rsid w:val="0080651A"/>
    <w:rsid w:val="008066B8"/>
    <w:rsid w:val="00806747"/>
    <w:rsid w:val="008067AE"/>
    <w:rsid w:val="00807B53"/>
    <w:rsid w:val="00807BCE"/>
    <w:rsid w:val="00807FAE"/>
    <w:rsid w:val="00810048"/>
    <w:rsid w:val="00810126"/>
    <w:rsid w:val="008106C4"/>
    <w:rsid w:val="0081092B"/>
    <w:rsid w:val="00810932"/>
    <w:rsid w:val="008109CE"/>
    <w:rsid w:val="00810ECC"/>
    <w:rsid w:val="00811A8A"/>
    <w:rsid w:val="00811D01"/>
    <w:rsid w:val="00811D4A"/>
    <w:rsid w:val="00811E50"/>
    <w:rsid w:val="0081223A"/>
    <w:rsid w:val="008122B6"/>
    <w:rsid w:val="00812320"/>
    <w:rsid w:val="008123D2"/>
    <w:rsid w:val="0081280C"/>
    <w:rsid w:val="00812A51"/>
    <w:rsid w:val="00812AEB"/>
    <w:rsid w:val="00812D3E"/>
    <w:rsid w:val="00813292"/>
    <w:rsid w:val="008132DE"/>
    <w:rsid w:val="00813448"/>
    <w:rsid w:val="008136E3"/>
    <w:rsid w:val="008137CB"/>
    <w:rsid w:val="008139A5"/>
    <w:rsid w:val="00813AA8"/>
    <w:rsid w:val="00813AC7"/>
    <w:rsid w:val="00813C86"/>
    <w:rsid w:val="00813CFF"/>
    <w:rsid w:val="00814149"/>
    <w:rsid w:val="008141D6"/>
    <w:rsid w:val="008142AD"/>
    <w:rsid w:val="008145EE"/>
    <w:rsid w:val="008146DE"/>
    <w:rsid w:val="008147AE"/>
    <w:rsid w:val="00814B78"/>
    <w:rsid w:val="00814BE8"/>
    <w:rsid w:val="00814FCE"/>
    <w:rsid w:val="00814FF7"/>
    <w:rsid w:val="00815549"/>
    <w:rsid w:val="00815DAC"/>
    <w:rsid w:val="00816042"/>
    <w:rsid w:val="008162D4"/>
    <w:rsid w:val="0081691C"/>
    <w:rsid w:val="00816C1E"/>
    <w:rsid w:val="0081701D"/>
    <w:rsid w:val="00817DC0"/>
    <w:rsid w:val="00817F56"/>
    <w:rsid w:val="008202D1"/>
    <w:rsid w:val="00820748"/>
    <w:rsid w:val="00820A18"/>
    <w:rsid w:val="00820A49"/>
    <w:rsid w:val="00820A8E"/>
    <w:rsid w:val="00820E9A"/>
    <w:rsid w:val="00821571"/>
    <w:rsid w:val="00821613"/>
    <w:rsid w:val="008218B0"/>
    <w:rsid w:val="00821C5A"/>
    <w:rsid w:val="00821D8C"/>
    <w:rsid w:val="00821E64"/>
    <w:rsid w:val="00821F55"/>
    <w:rsid w:val="00822223"/>
    <w:rsid w:val="008227AC"/>
    <w:rsid w:val="008228C9"/>
    <w:rsid w:val="00822A0C"/>
    <w:rsid w:val="0082330D"/>
    <w:rsid w:val="00823520"/>
    <w:rsid w:val="00823795"/>
    <w:rsid w:val="008237F2"/>
    <w:rsid w:val="00823B19"/>
    <w:rsid w:val="00823C03"/>
    <w:rsid w:val="0082419B"/>
    <w:rsid w:val="008243FD"/>
    <w:rsid w:val="00824585"/>
    <w:rsid w:val="00824A8C"/>
    <w:rsid w:val="00824D4F"/>
    <w:rsid w:val="00824D5A"/>
    <w:rsid w:val="008254F4"/>
    <w:rsid w:val="008257A4"/>
    <w:rsid w:val="00825DFC"/>
    <w:rsid w:val="00825F1A"/>
    <w:rsid w:val="00825FBD"/>
    <w:rsid w:val="00826114"/>
    <w:rsid w:val="00826328"/>
    <w:rsid w:val="00826426"/>
    <w:rsid w:val="008265B9"/>
    <w:rsid w:val="0082666F"/>
    <w:rsid w:val="008266CD"/>
    <w:rsid w:val="00826E24"/>
    <w:rsid w:val="008273BF"/>
    <w:rsid w:val="00827A46"/>
    <w:rsid w:val="00827AD1"/>
    <w:rsid w:val="00827C34"/>
    <w:rsid w:val="00827CD8"/>
    <w:rsid w:val="008303CA"/>
    <w:rsid w:val="0083067B"/>
    <w:rsid w:val="008307F6"/>
    <w:rsid w:val="00830C39"/>
    <w:rsid w:val="00830FB3"/>
    <w:rsid w:val="008312E5"/>
    <w:rsid w:val="0083162A"/>
    <w:rsid w:val="00831708"/>
    <w:rsid w:val="00831A05"/>
    <w:rsid w:val="00831A90"/>
    <w:rsid w:val="00831BA0"/>
    <w:rsid w:val="00831C69"/>
    <w:rsid w:val="00831D2B"/>
    <w:rsid w:val="00831D87"/>
    <w:rsid w:val="00831E80"/>
    <w:rsid w:val="00831F5E"/>
    <w:rsid w:val="00831FF7"/>
    <w:rsid w:val="008320FD"/>
    <w:rsid w:val="008322FA"/>
    <w:rsid w:val="00832AA2"/>
    <w:rsid w:val="00832C1C"/>
    <w:rsid w:val="00832DC6"/>
    <w:rsid w:val="0083318D"/>
    <w:rsid w:val="00833372"/>
    <w:rsid w:val="008338FF"/>
    <w:rsid w:val="00833AA9"/>
    <w:rsid w:val="00833C1D"/>
    <w:rsid w:val="00833DBD"/>
    <w:rsid w:val="00833EC3"/>
    <w:rsid w:val="008342BD"/>
    <w:rsid w:val="008342BE"/>
    <w:rsid w:val="00834A5C"/>
    <w:rsid w:val="00834BA8"/>
    <w:rsid w:val="00834BC3"/>
    <w:rsid w:val="00834DBC"/>
    <w:rsid w:val="008351C9"/>
    <w:rsid w:val="00835585"/>
    <w:rsid w:val="00835615"/>
    <w:rsid w:val="00835747"/>
    <w:rsid w:val="008359A9"/>
    <w:rsid w:val="00835A8F"/>
    <w:rsid w:val="00836230"/>
    <w:rsid w:val="00836A03"/>
    <w:rsid w:val="00836A5A"/>
    <w:rsid w:val="00837183"/>
    <w:rsid w:val="008378E5"/>
    <w:rsid w:val="00840081"/>
    <w:rsid w:val="008402DA"/>
    <w:rsid w:val="0084046E"/>
    <w:rsid w:val="008412D3"/>
    <w:rsid w:val="008414A3"/>
    <w:rsid w:val="008414E7"/>
    <w:rsid w:val="00841524"/>
    <w:rsid w:val="0084161A"/>
    <w:rsid w:val="008416D6"/>
    <w:rsid w:val="008422D9"/>
    <w:rsid w:val="0084261A"/>
    <w:rsid w:val="00843114"/>
    <w:rsid w:val="00843352"/>
    <w:rsid w:val="008437B9"/>
    <w:rsid w:val="00843B5B"/>
    <w:rsid w:val="00843B66"/>
    <w:rsid w:val="00843EC2"/>
    <w:rsid w:val="00844130"/>
    <w:rsid w:val="0084445B"/>
    <w:rsid w:val="008446AF"/>
    <w:rsid w:val="00844868"/>
    <w:rsid w:val="008448AF"/>
    <w:rsid w:val="00845074"/>
    <w:rsid w:val="0084514D"/>
    <w:rsid w:val="008451A2"/>
    <w:rsid w:val="00845498"/>
    <w:rsid w:val="00845604"/>
    <w:rsid w:val="0084561D"/>
    <w:rsid w:val="00845849"/>
    <w:rsid w:val="00845895"/>
    <w:rsid w:val="00845A76"/>
    <w:rsid w:val="00845E0D"/>
    <w:rsid w:val="00846432"/>
    <w:rsid w:val="00846C5E"/>
    <w:rsid w:val="00846E1E"/>
    <w:rsid w:val="00847306"/>
    <w:rsid w:val="0084733D"/>
    <w:rsid w:val="008474CF"/>
    <w:rsid w:val="008478A5"/>
    <w:rsid w:val="00847C5C"/>
    <w:rsid w:val="00847CA9"/>
    <w:rsid w:val="00847CC5"/>
    <w:rsid w:val="00847E5E"/>
    <w:rsid w:val="00847FC4"/>
    <w:rsid w:val="0085002C"/>
    <w:rsid w:val="00850438"/>
    <w:rsid w:val="0085053F"/>
    <w:rsid w:val="0085055B"/>
    <w:rsid w:val="00850726"/>
    <w:rsid w:val="00850A8B"/>
    <w:rsid w:val="00851042"/>
    <w:rsid w:val="0085127A"/>
    <w:rsid w:val="0085128F"/>
    <w:rsid w:val="0085143F"/>
    <w:rsid w:val="008514B3"/>
    <w:rsid w:val="00851E0E"/>
    <w:rsid w:val="00851E10"/>
    <w:rsid w:val="00851FC7"/>
    <w:rsid w:val="00852B92"/>
    <w:rsid w:val="00852DF9"/>
    <w:rsid w:val="00852F36"/>
    <w:rsid w:val="0085308D"/>
    <w:rsid w:val="008534CF"/>
    <w:rsid w:val="008538B7"/>
    <w:rsid w:val="00853FA9"/>
    <w:rsid w:val="008542D1"/>
    <w:rsid w:val="00854789"/>
    <w:rsid w:val="008549FC"/>
    <w:rsid w:val="00854A08"/>
    <w:rsid w:val="00854CA3"/>
    <w:rsid w:val="00854D43"/>
    <w:rsid w:val="00854F34"/>
    <w:rsid w:val="008550CA"/>
    <w:rsid w:val="00855276"/>
    <w:rsid w:val="008553D3"/>
    <w:rsid w:val="0085583A"/>
    <w:rsid w:val="0085587E"/>
    <w:rsid w:val="00855949"/>
    <w:rsid w:val="00855A62"/>
    <w:rsid w:val="00855DFE"/>
    <w:rsid w:val="00855F9B"/>
    <w:rsid w:val="00855FAE"/>
    <w:rsid w:val="0085646B"/>
    <w:rsid w:val="00856520"/>
    <w:rsid w:val="00856829"/>
    <w:rsid w:val="00856989"/>
    <w:rsid w:val="00856991"/>
    <w:rsid w:val="008572C8"/>
    <w:rsid w:val="008576C3"/>
    <w:rsid w:val="00857773"/>
    <w:rsid w:val="00857933"/>
    <w:rsid w:val="00857952"/>
    <w:rsid w:val="00857BE6"/>
    <w:rsid w:val="00857C01"/>
    <w:rsid w:val="00857C9E"/>
    <w:rsid w:val="00860447"/>
    <w:rsid w:val="0086048E"/>
    <w:rsid w:val="00860501"/>
    <w:rsid w:val="00860A4D"/>
    <w:rsid w:val="00860DD7"/>
    <w:rsid w:val="00860F58"/>
    <w:rsid w:val="0086118E"/>
    <w:rsid w:val="00861AFF"/>
    <w:rsid w:val="00861C40"/>
    <w:rsid w:val="0086225B"/>
    <w:rsid w:val="008623DB"/>
    <w:rsid w:val="00862B9C"/>
    <w:rsid w:val="00862D75"/>
    <w:rsid w:val="008630E3"/>
    <w:rsid w:val="008634F5"/>
    <w:rsid w:val="00863740"/>
    <w:rsid w:val="0086376A"/>
    <w:rsid w:val="00863896"/>
    <w:rsid w:val="0086399C"/>
    <w:rsid w:val="00863B7F"/>
    <w:rsid w:val="00863DF5"/>
    <w:rsid w:val="00864559"/>
    <w:rsid w:val="0086489F"/>
    <w:rsid w:val="00864A59"/>
    <w:rsid w:val="00864B89"/>
    <w:rsid w:val="00864FA6"/>
    <w:rsid w:val="008650F1"/>
    <w:rsid w:val="008650F2"/>
    <w:rsid w:val="0086511F"/>
    <w:rsid w:val="00865785"/>
    <w:rsid w:val="00865A9F"/>
    <w:rsid w:val="00865C2E"/>
    <w:rsid w:val="00865EC9"/>
    <w:rsid w:val="00865EE7"/>
    <w:rsid w:val="00866096"/>
    <w:rsid w:val="008662FE"/>
    <w:rsid w:val="00866790"/>
    <w:rsid w:val="00866868"/>
    <w:rsid w:val="008668B3"/>
    <w:rsid w:val="008668B8"/>
    <w:rsid w:val="00866C5A"/>
    <w:rsid w:val="00866C8B"/>
    <w:rsid w:val="00866E56"/>
    <w:rsid w:val="008671BD"/>
    <w:rsid w:val="0086766C"/>
    <w:rsid w:val="00867F8B"/>
    <w:rsid w:val="008709A5"/>
    <w:rsid w:val="00870B88"/>
    <w:rsid w:val="00870CB4"/>
    <w:rsid w:val="00870E80"/>
    <w:rsid w:val="00871825"/>
    <w:rsid w:val="00871A5E"/>
    <w:rsid w:val="00871B91"/>
    <w:rsid w:val="00871DDF"/>
    <w:rsid w:val="00872176"/>
    <w:rsid w:val="008722A9"/>
    <w:rsid w:val="008725A4"/>
    <w:rsid w:val="008725F2"/>
    <w:rsid w:val="0087273C"/>
    <w:rsid w:val="00872FBC"/>
    <w:rsid w:val="00873156"/>
    <w:rsid w:val="0087328D"/>
    <w:rsid w:val="0087351A"/>
    <w:rsid w:val="00873697"/>
    <w:rsid w:val="00873992"/>
    <w:rsid w:val="00873B94"/>
    <w:rsid w:val="00873BDF"/>
    <w:rsid w:val="00873C97"/>
    <w:rsid w:val="00873E54"/>
    <w:rsid w:val="0087421F"/>
    <w:rsid w:val="00874255"/>
    <w:rsid w:val="008743BC"/>
    <w:rsid w:val="0087484B"/>
    <w:rsid w:val="00874851"/>
    <w:rsid w:val="00874A76"/>
    <w:rsid w:val="00874B76"/>
    <w:rsid w:val="00874EC9"/>
    <w:rsid w:val="008750B7"/>
    <w:rsid w:val="008750EF"/>
    <w:rsid w:val="00875241"/>
    <w:rsid w:val="0087545D"/>
    <w:rsid w:val="00875AEE"/>
    <w:rsid w:val="00875BBB"/>
    <w:rsid w:val="00876131"/>
    <w:rsid w:val="00876217"/>
    <w:rsid w:val="008763B9"/>
    <w:rsid w:val="008766B1"/>
    <w:rsid w:val="00876CC8"/>
    <w:rsid w:val="008771CE"/>
    <w:rsid w:val="00877469"/>
    <w:rsid w:val="00877637"/>
    <w:rsid w:val="00877D88"/>
    <w:rsid w:val="00877E57"/>
    <w:rsid w:val="00877F48"/>
    <w:rsid w:val="008800C1"/>
    <w:rsid w:val="008806C1"/>
    <w:rsid w:val="0088076A"/>
    <w:rsid w:val="0088085B"/>
    <w:rsid w:val="00880B5F"/>
    <w:rsid w:val="0088108F"/>
    <w:rsid w:val="00881201"/>
    <w:rsid w:val="008814E9"/>
    <w:rsid w:val="00881B38"/>
    <w:rsid w:val="00881D29"/>
    <w:rsid w:val="008821FE"/>
    <w:rsid w:val="008824E0"/>
    <w:rsid w:val="0088262D"/>
    <w:rsid w:val="00882D9D"/>
    <w:rsid w:val="008831EA"/>
    <w:rsid w:val="00883443"/>
    <w:rsid w:val="0088407B"/>
    <w:rsid w:val="0088415A"/>
    <w:rsid w:val="00884378"/>
    <w:rsid w:val="0088466C"/>
    <w:rsid w:val="008849F6"/>
    <w:rsid w:val="0088566E"/>
    <w:rsid w:val="0088584D"/>
    <w:rsid w:val="008858D3"/>
    <w:rsid w:val="00885AB3"/>
    <w:rsid w:val="00885B90"/>
    <w:rsid w:val="00885F35"/>
    <w:rsid w:val="008862DA"/>
    <w:rsid w:val="008863B2"/>
    <w:rsid w:val="0088686A"/>
    <w:rsid w:val="0088688F"/>
    <w:rsid w:val="008868FA"/>
    <w:rsid w:val="008869BC"/>
    <w:rsid w:val="00886A43"/>
    <w:rsid w:val="00886C05"/>
    <w:rsid w:val="008870F2"/>
    <w:rsid w:val="00887D75"/>
    <w:rsid w:val="00887E15"/>
    <w:rsid w:val="00887EB7"/>
    <w:rsid w:val="00887EDB"/>
    <w:rsid w:val="008901FF"/>
    <w:rsid w:val="008906AC"/>
    <w:rsid w:val="00890816"/>
    <w:rsid w:val="00890B7F"/>
    <w:rsid w:val="008911F6"/>
    <w:rsid w:val="008919EA"/>
    <w:rsid w:val="00891D55"/>
    <w:rsid w:val="00892029"/>
    <w:rsid w:val="00892456"/>
    <w:rsid w:val="008925C0"/>
    <w:rsid w:val="00892634"/>
    <w:rsid w:val="0089278C"/>
    <w:rsid w:val="008927BE"/>
    <w:rsid w:val="008927D0"/>
    <w:rsid w:val="008929F7"/>
    <w:rsid w:val="00892BCE"/>
    <w:rsid w:val="008930D7"/>
    <w:rsid w:val="008932A7"/>
    <w:rsid w:val="00893493"/>
    <w:rsid w:val="008937CD"/>
    <w:rsid w:val="00893AD5"/>
    <w:rsid w:val="00894030"/>
    <w:rsid w:val="0089470D"/>
    <w:rsid w:val="00894AF4"/>
    <w:rsid w:val="00894BE1"/>
    <w:rsid w:val="00894D4F"/>
    <w:rsid w:val="00894D5E"/>
    <w:rsid w:val="00894DF0"/>
    <w:rsid w:val="0089566D"/>
    <w:rsid w:val="00895900"/>
    <w:rsid w:val="00895CF7"/>
    <w:rsid w:val="00896733"/>
    <w:rsid w:val="0089769C"/>
    <w:rsid w:val="008977BE"/>
    <w:rsid w:val="00897B3E"/>
    <w:rsid w:val="00897DA1"/>
    <w:rsid w:val="008A0122"/>
    <w:rsid w:val="008A087C"/>
    <w:rsid w:val="008A0CDB"/>
    <w:rsid w:val="008A10FA"/>
    <w:rsid w:val="008A11A2"/>
    <w:rsid w:val="008A134F"/>
    <w:rsid w:val="008A1600"/>
    <w:rsid w:val="008A16D3"/>
    <w:rsid w:val="008A1809"/>
    <w:rsid w:val="008A185A"/>
    <w:rsid w:val="008A2126"/>
    <w:rsid w:val="008A230C"/>
    <w:rsid w:val="008A2338"/>
    <w:rsid w:val="008A26A3"/>
    <w:rsid w:val="008A3082"/>
    <w:rsid w:val="008A3360"/>
    <w:rsid w:val="008A35C7"/>
    <w:rsid w:val="008A3EDB"/>
    <w:rsid w:val="008A3EF3"/>
    <w:rsid w:val="008A40B3"/>
    <w:rsid w:val="008A49C5"/>
    <w:rsid w:val="008A50A4"/>
    <w:rsid w:val="008A531A"/>
    <w:rsid w:val="008A54B8"/>
    <w:rsid w:val="008A54B9"/>
    <w:rsid w:val="008A60B6"/>
    <w:rsid w:val="008A682D"/>
    <w:rsid w:val="008A695A"/>
    <w:rsid w:val="008A6B22"/>
    <w:rsid w:val="008A6E84"/>
    <w:rsid w:val="008A6EFA"/>
    <w:rsid w:val="008A7184"/>
    <w:rsid w:val="008A72E1"/>
    <w:rsid w:val="008A7664"/>
    <w:rsid w:val="008A7965"/>
    <w:rsid w:val="008A7A3D"/>
    <w:rsid w:val="008A7D3B"/>
    <w:rsid w:val="008A7E08"/>
    <w:rsid w:val="008A7FBB"/>
    <w:rsid w:val="008B012C"/>
    <w:rsid w:val="008B066C"/>
    <w:rsid w:val="008B0813"/>
    <w:rsid w:val="008B0BAA"/>
    <w:rsid w:val="008B0C9B"/>
    <w:rsid w:val="008B1135"/>
    <w:rsid w:val="008B1493"/>
    <w:rsid w:val="008B1722"/>
    <w:rsid w:val="008B19E4"/>
    <w:rsid w:val="008B1A33"/>
    <w:rsid w:val="008B1EFA"/>
    <w:rsid w:val="008B2039"/>
    <w:rsid w:val="008B20F8"/>
    <w:rsid w:val="008B218E"/>
    <w:rsid w:val="008B2192"/>
    <w:rsid w:val="008B24CF"/>
    <w:rsid w:val="008B2902"/>
    <w:rsid w:val="008B2A3C"/>
    <w:rsid w:val="008B2AAC"/>
    <w:rsid w:val="008B2CDD"/>
    <w:rsid w:val="008B2E35"/>
    <w:rsid w:val="008B3293"/>
    <w:rsid w:val="008B440F"/>
    <w:rsid w:val="008B4483"/>
    <w:rsid w:val="008B4557"/>
    <w:rsid w:val="008B459E"/>
    <w:rsid w:val="008B46CE"/>
    <w:rsid w:val="008B4F6D"/>
    <w:rsid w:val="008B5152"/>
    <w:rsid w:val="008B528E"/>
    <w:rsid w:val="008B5645"/>
    <w:rsid w:val="008B5B2F"/>
    <w:rsid w:val="008B609B"/>
    <w:rsid w:val="008B6230"/>
    <w:rsid w:val="008B62E4"/>
    <w:rsid w:val="008B636D"/>
    <w:rsid w:val="008B6390"/>
    <w:rsid w:val="008B63AE"/>
    <w:rsid w:val="008B6B7C"/>
    <w:rsid w:val="008B6E26"/>
    <w:rsid w:val="008B78A7"/>
    <w:rsid w:val="008B7BFB"/>
    <w:rsid w:val="008B7D9B"/>
    <w:rsid w:val="008B7E1F"/>
    <w:rsid w:val="008C019F"/>
    <w:rsid w:val="008C01DA"/>
    <w:rsid w:val="008C01ED"/>
    <w:rsid w:val="008C029D"/>
    <w:rsid w:val="008C0C25"/>
    <w:rsid w:val="008C0C48"/>
    <w:rsid w:val="008C0D86"/>
    <w:rsid w:val="008C0DCA"/>
    <w:rsid w:val="008C0E7D"/>
    <w:rsid w:val="008C10F8"/>
    <w:rsid w:val="008C134B"/>
    <w:rsid w:val="008C1445"/>
    <w:rsid w:val="008C147D"/>
    <w:rsid w:val="008C1A13"/>
    <w:rsid w:val="008C1AAB"/>
    <w:rsid w:val="008C1B70"/>
    <w:rsid w:val="008C1D1E"/>
    <w:rsid w:val="008C1E65"/>
    <w:rsid w:val="008C20F7"/>
    <w:rsid w:val="008C23B8"/>
    <w:rsid w:val="008C2B4D"/>
    <w:rsid w:val="008C2CAB"/>
    <w:rsid w:val="008C2EF2"/>
    <w:rsid w:val="008C2F83"/>
    <w:rsid w:val="008C3A1E"/>
    <w:rsid w:val="008C40DF"/>
    <w:rsid w:val="008C43AB"/>
    <w:rsid w:val="008C4469"/>
    <w:rsid w:val="008C45BA"/>
    <w:rsid w:val="008C4D8D"/>
    <w:rsid w:val="008C4E7A"/>
    <w:rsid w:val="008C4FD3"/>
    <w:rsid w:val="008C52CA"/>
    <w:rsid w:val="008C52DB"/>
    <w:rsid w:val="008C54D6"/>
    <w:rsid w:val="008C5625"/>
    <w:rsid w:val="008C57C2"/>
    <w:rsid w:val="008C598A"/>
    <w:rsid w:val="008C5A31"/>
    <w:rsid w:val="008C5B69"/>
    <w:rsid w:val="008C5E04"/>
    <w:rsid w:val="008C5EAA"/>
    <w:rsid w:val="008C6782"/>
    <w:rsid w:val="008C678D"/>
    <w:rsid w:val="008C690B"/>
    <w:rsid w:val="008C6A22"/>
    <w:rsid w:val="008C6AB6"/>
    <w:rsid w:val="008C6B5B"/>
    <w:rsid w:val="008C6D4A"/>
    <w:rsid w:val="008C6E72"/>
    <w:rsid w:val="008C6F65"/>
    <w:rsid w:val="008C7043"/>
    <w:rsid w:val="008C7212"/>
    <w:rsid w:val="008C7CD8"/>
    <w:rsid w:val="008C7DFA"/>
    <w:rsid w:val="008C7FCD"/>
    <w:rsid w:val="008D060A"/>
    <w:rsid w:val="008D0968"/>
    <w:rsid w:val="008D1108"/>
    <w:rsid w:val="008D17FB"/>
    <w:rsid w:val="008D1A86"/>
    <w:rsid w:val="008D1B5A"/>
    <w:rsid w:val="008D1FC8"/>
    <w:rsid w:val="008D2329"/>
    <w:rsid w:val="008D242F"/>
    <w:rsid w:val="008D24DE"/>
    <w:rsid w:val="008D271C"/>
    <w:rsid w:val="008D273F"/>
    <w:rsid w:val="008D27F9"/>
    <w:rsid w:val="008D2E67"/>
    <w:rsid w:val="008D2E8A"/>
    <w:rsid w:val="008D3098"/>
    <w:rsid w:val="008D30C0"/>
    <w:rsid w:val="008D33BF"/>
    <w:rsid w:val="008D38E3"/>
    <w:rsid w:val="008D3C49"/>
    <w:rsid w:val="008D3C68"/>
    <w:rsid w:val="008D3D50"/>
    <w:rsid w:val="008D408D"/>
    <w:rsid w:val="008D4120"/>
    <w:rsid w:val="008D44EC"/>
    <w:rsid w:val="008D49DB"/>
    <w:rsid w:val="008D4A66"/>
    <w:rsid w:val="008D4B41"/>
    <w:rsid w:val="008D4FDE"/>
    <w:rsid w:val="008D5514"/>
    <w:rsid w:val="008D5B77"/>
    <w:rsid w:val="008D5CB3"/>
    <w:rsid w:val="008D5FB5"/>
    <w:rsid w:val="008D602C"/>
    <w:rsid w:val="008D6048"/>
    <w:rsid w:val="008D61D2"/>
    <w:rsid w:val="008D6240"/>
    <w:rsid w:val="008D6641"/>
    <w:rsid w:val="008D6795"/>
    <w:rsid w:val="008D67DC"/>
    <w:rsid w:val="008D6A80"/>
    <w:rsid w:val="008D6EFB"/>
    <w:rsid w:val="008D735E"/>
    <w:rsid w:val="008D741E"/>
    <w:rsid w:val="008D767E"/>
    <w:rsid w:val="008D780D"/>
    <w:rsid w:val="008D7ABD"/>
    <w:rsid w:val="008D7C7D"/>
    <w:rsid w:val="008D7CD2"/>
    <w:rsid w:val="008E0264"/>
    <w:rsid w:val="008E026A"/>
    <w:rsid w:val="008E032D"/>
    <w:rsid w:val="008E03C2"/>
    <w:rsid w:val="008E0535"/>
    <w:rsid w:val="008E079F"/>
    <w:rsid w:val="008E0A01"/>
    <w:rsid w:val="008E0CA5"/>
    <w:rsid w:val="008E1258"/>
    <w:rsid w:val="008E14A4"/>
    <w:rsid w:val="008E18C7"/>
    <w:rsid w:val="008E1BC7"/>
    <w:rsid w:val="008E1BE7"/>
    <w:rsid w:val="008E2118"/>
    <w:rsid w:val="008E231E"/>
    <w:rsid w:val="008E2481"/>
    <w:rsid w:val="008E285D"/>
    <w:rsid w:val="008E2927"/>
    <w:rsid w:val="008E2AA7"/>
    <w:rsid w:val="008E2D56"/>
    <w:rsid w:val="008E2F0B"/>
    <w:rsid w:val="008E30BD"/>
    <w:rsid w:val="008E367F"/>
    <w:rsid w:val="008E36BE"/>
    <w:rsid w:val="008E3A8A"/>
    <w:rsid w:val="008E3B75"/>
    <w:rsid w:val="008E3BEC"/>
    <w:rsid w:val="008E3E98"/>
    <w:rsid w:val="008E4123"/>
    <w:rsid w:val="008E4138"/>
    <w:rsid w:val="008E4283"/>
    <w:rsid w:val="008E47ED"/>
    <w:rsid w:val="008E4947"/>
    <w:rsid w:val="008E5381"/>
    <w:rsid w:val="008E54E9"/>
    <w:rsid w:val="008E6613"/>
    <w:rsid w:val="008E6D46"/>
    <w:rsid w:val="008E6DCA"/>
    <w:rsid w:val="008E6E90"/>
    <w:rsid w:val="008E7018"/>
    <w:rsid w:val="008E71A7"/>
    <w:rsid w:val="008E751E"/>
    <w:rsid w:val="008E7925"/>
    <w:rsid w:val="008E79B3"/>
    <w:rsid w:val="008E7B78"/>
    <w:rsid w:val="008E7D0B"/>
    <w:rsid w:val="008E7EF8"/>
    <w:rsid w:val="008E7F4E"/>
    <w:rsid w:val="008E7FDC"/>
    <w:rsid w:val="008F07DF"/>
    <w:rsid w:val="008F0F72"/>
    <w:rsid w:val="008F1475"/>
    <w:rsid w:val="008F162C"/>
    <w:rsid w:val="008F1641"/>
    <w:rsid w:val="008F16C2"/>
    <w:rsid w:val="008F17AC"/>
    <w:rsid w:val="008F1856"/>
    <w:rsid w:val="008F1B14"/>
    <w:rsid w:val="008F1B9B"/>
    <w:rsid w:val="008F2051"/>
    <w:rsid w:val="008F2424"/>
    <w:rsid w:val="008F24B5"/>
    <w:rsid w:val="008F27A9"/>
    <w:rsid w:val="008F2827"/>
    <w:rsid w:val="008F29B2"/>
    <w:rsid w:val="008F2E05"/>
    <w:rsid w:val="008F2F0A"/>
    <w:rsid w:val="008F31F4"/>
    <w:rsid w:val="008F3202"/>
    <w:rsid w:val="008F32B3"/>
    <w:rsid w:val="008F3363"/>
    <w:rsid w:val="008F372C"/>
    <w:rsid w:val="008F3797"/>
    <w:rsid w:val="008F3AA3"/>
    <w:rsid w:val="008F3B44"/>
    <w:rsid w:val="008F420F"/>
    <w:rsid w:val="008F472C"/>
    <w:rsid w:val="008F4731"/>
    <w:rsid w:val="008F476A"/>
    <w:rsid w:val="008F4C81"/>
    <w:rsid w:val="008F4C92"/>
    <w:rsid w:val="008F4CB1"/>
    <w:rsid w:val="008F5035"/>
    <w:rsid w:val="008F5455"/>
    <w:rsid w:val="008F5690"/>
    <w:rsid w:val="008F5B61"/>
    <w:rsid w:val="008F602D"/>
    <w:rsid w:val="008F6166"/>
    <w:rsid w:val="008F623D"/>
    <w:rsid w:val="008F6260"/>
    <w:rsid w:val="008F698D"/>
    <w:rsid w:val="008F720C"/>
    <w:rsid w:val="008F7A4D"/>
    <w:rsid w:val="008F7ED3"/>
    <w:rsid w:val="009000A7"/>
    <w:rsid w:val="00900437"/>
    <w:rsid w:val="00900596"/>
    <w:rsid w:val="00900685"/>
    <w:rsid w:val="00900891"/>
    <w:rsid w:val="00900A10"/>
    <w:rsid w:val="00900A63"/>
    <w:rsid w:val="00900C13"/>
    <w:rsid w:val="009016D6"/>
    <w:rsid w:val="00901F5C"/>
    <w:rsid w:val="0090235E"/>
    <w:rsid w:val="00902371"/>
    <w:rsid w:val="00902741"/>
    <w:rsid w:val="009028C1"/>
    <w:rsid w:val="00902E07"/>
    <w:rsid w:val="00903001"/>
    <w:rsid w:val="0090319C"/>
    <w:rsid w:val="009032E5"/>
    <w:rsid w:val="00903714"/>
    <w:rsid w:val="009037AE"/>
    <w:rsid w:val="009037FA"/>
    <w:rsid w:val="009038A3"/>
    <w:rsid w:val="009038F8"/>
    <w:rsid w:val="00903B1A"/>
    <w:rsid w:val="00903E5F"/>
    <w:rsid w:val="00904029"/>
    <w:rsid w:val="009046F4"/>
    <w:rsid w:val="00904931"/>
    <w:rsid w:val="00904F17"/>
    <w:rsid w:val="00905126"/>
    <w:rsid w:val="009051C0"/>
    <w:rsid w:val="00905498"/>
    <w:rsid w:val="009061DD"/>
    <w:rsid w:val="0090621A"/>
    <w:rsid w:val="00906534"/>
    <w:rsid w:val="00906660"/>
    <w:rsid w:val="00906AAB"/>
    <w:rsid w:val="00906B44"/>
    <w:rsid w:val="00906D74"/>
    <w:rsid w:val="0090771B"/>
    <w:rsid w:val="0091000F"/>
    <w:rsid w:val="00910093"/>
    <w:rsid w:val="00910687"/>
    <w:rsid w:val="00910AAA"/>
    <w:rsid w:val="00910B69"/>
    <w:rsid w:val="00910C47"/>
    <w:rsid w:val="00910D09"/>
    <w:rsid w:val="00910DBA"/>
    <w:rsid w:val="009112CF"/>
    <w:rsid w:val="00912104"/>
    <w:rsid w:val="00912876"/>
    <w:rsid w:val="00912C44"/>
    <w:rsid w:val="00912DC6"/>
    <w:rsid w:val="009134EC"/>
    <w:rsid w:val="009136D4"/>
    <w:rsid w:val="00914191"/>
    <w:rsid w:val="0091492F"/>
    <w:rsid w:val="00914936"/>
    <w:rsid w:val="00915AA5"/>
    <w:rsid w:val="00915BEA"/>
    <w:rsid w:val="00915F08"/>
    <w:rsid w:val="00916049"/>
    <w:rsid w:val="009160F0"/>
    <w:rsid w:val="009164B1"/>
    <w:rsid w:val="00916A76"/>
    <w:rsid w:val="00916BCA"/>
    <w:rsid w:val="00916F46"/>
    <w:rsid w:val="009170F9"/>
    <w:rsid w:val="00917EEC"/>
    <w:rsid w:val="00917F4F"/>
    <w:rsid w:val="009204C3"/>
    <w:rsid w:val="009206C9"/>
    <w:rsid w:val="00920809"/>
    <w:rsid w:val="009209FE"/>
    <w:rsid w:val="00920EE0"/>
    <w:rsid w:val="00921102"/>
    <w:rsid w:val="009217A0"/>
    <w:rsid w:val="00921819"/>
    <w:rsid w:val="00921977"/>
    <w:rsid w:val="00921BBF"/>
    <w:rsid w:val="00921C30"/>
    <w:rsid w:val="00921EE2"/>
    <w:rsid w:val="00921F5F"/>
    <w:rsid w:val="00921FA6"/>
    <w:rsid w:val="009221A6"/>
    <w:rsid w:val="009223A5"/>
    <w:rsid w:val="0092328D"/>
    <w:rsid w:val="0092336B"/>
    <w:rsid w:val="00923596"/>
    <w:rsid w:val="00923891"/>
    <w:rsid w:val="00923C50"/>
    <w:rsid w:val="00923EFF"/>
    <w:rsid w:val="00923FB3"/>
    <w:rsid w:val="009243B7"/>
    <w:rsid w:val="0092447B"/>
    <w:rsid w:val="0092489C"/>
    <w:rsid w:val="00924C89"/>
    <w:rsid w:val="00924EA0"/>
    <w:rsid w:val="00924ED8"/>
    <w:rsid w:val="00924F23"/>
    <w:rsid w:val="00925117"/>
    <w:rsid w:val="00925752"/>
    <w:rsid w:val="00925B6F"/>
    <w:rsid w:val="00925BE8"/>
    <w:rsid w:val="00925EC1"/>
    <w:rsid w:val="00926519"/>
    <w:rsid w:val="00926674"/>
    <w:rsid w:val="00926C9D"/>
    <w:rsid w:val="009274C9"/>
    <w:rsid w:val="00927679"/>
    <w:rsid w:val="009278F5"/>
    <w:rsid w:val="00927928"/>
    <w:rsid w:val="00927F96"/>
    <w:rsid w:val="009316FC"/>
    <w:rsid w:val="0093183E"/>
    <w:rsid w:val="00931BE8"/>
    <w:rsid w:val="009323D3"/>
    <w:rsid w:val="009325EC"/>
    <w:rsid w:val="00932673"/>
    <w:rsid w:val="00933130"/>
    <w:rsid w:val="0093314C"/>
    <w:rsid w:val="009338F1"/>
    <w:rsid w:val="00934146"/>
    <w:rsid w:val="0093416E"/>
    <w:rsid w:val="00934554"/>
    <w:rsid w:val="009345CE"/>
    <w:rsid w:val="009346D8"/>
    <w:rsid w:val="00934D95"/>
    <w:rsid w:val="00934F5C"/>
    <w:rsid w:val="009350D9"/>
    <w:rsid w:val="00935251"/>
    <w:rsid w:val="009352FE"/>
    <w:rsid w:val="00935404"/>
    <w:rsid w:val="00935832"/>
    <w:rsid w:val="0093592A"/>
    <w:rsid w:val="00935B1E"/>
    <w:rsid w:val="00935D8D"/>
    <w:rsid w:val="00935E61"/>
    <w:rsid w:val="00935F2B"/>
    <w:rsid w:val="00935FB2"/>
    <w:rsid w:val="009360C1"/>
    <w:rsid w:val="00936231"/>
    <w:rsid w:val="009362B1"/>
    <w:rsid w:val="009362D6"/>
    <w:rsid w:val="009365BE"/>
    <w:rsid w:val="0093664B"/>
    <w:rsid w:val="00936873"/>
    <w:rsid w:val="00936F45"/>
    <w:rsid w:val="009377EC"/>
    <w:rsid w:val="00937C7E"/>
    <w:rsid w:val="00940726"/>
    <w:rsid w:val="00940AC9"/>
    <w:rsid w:val="00941179"/>
    <w:rsid w:val="0094146B"/>
    <w:rsid w:val="009416F3"/>
    <w:rsid w:val="00941747"/>
    <w:rsid w:val="009420F8"/>
    <w:rsid w:val="009426EC"/>
    <w:rsid w:val="00942A10"/>
    <w:rsid w:val="00942D3B"/>
    <w:rsid w:val="00942FA1"/>
    <w:rsid w:val="009432EC"/>
    <w:rsid w:val="00943415"/>
    <w:rsid w:val="00943656"/>
    <w:rsid w:val="00944494"/>
    <w:rsid w:val="0094490F"/>
    <w:rsid w:val="00944BB7"/>
    <w:rsid w:val="00944C4D"/>
    <w:rsid w:val="00944D1E"/>
    <w:rsid w:val="00944F88"/>
    <w:rsid w:val="0094503D"/>
    <w:rsid w:val="009452A1"/>
    <w:rsid w:val="009452BA"/>
    <w:rsid w:val="009458D0"/>
    <w:rsid w:val="00945BB1"/>
    <w:rsid w:val="00946188"/>
    <w:rsid w:val="00946191"/>
    <w:rsid w:val="00946800"/>
    <w:rsid w:val="00946885"/>
    <w:rsid w:val="00946A94"/>
    <w:rsid w:val="00946B76"/>
    <w:rsid w:val="00946FCF"/>
    <w:rsid w:val="0094759D"/>
    <w:rsid w:val="00947653"/>
    <w:rsid w:val="00947903"/>
    <w:rsid w:val="00947986"/>
    <w:rsid w:val="00947BBF"/>
    <w:rsid w:val="00947DC0"/>
    <w:rsid w:val="00950208"/>
    <w:rsid w:val="0095027A"/>
    <w:rsid w:val="00950385"/>
    <w:rsid w:val="00950569"/>
    <w:rsid w:val="0095065A"/>
    <w:rsid w:val="00950683"/>
    <w:rsid w:val="00950722"/>
    <w:rsid w:val="00950DB2"/>
    <w:rsid w:val="00950E59"/>
    <w:rsid w:val="00950F04"/>
    <w:rsid w:val="00951084"/>
    <w:rsid w:val="0095157B"/>
    <w:rsid w:val="0095191E"/>
    <w:rsid w:val="00951E60"/>
    <w:rsid w:val="00951EF9"/>
    <w:rsid w:val="00952121"/>
    <w:rsid w:val="0095259C"/>
    <w:rsid w:val="00952617"/>
    <w:rsid w:val="00952831"/>
    <w:rsid w:val="00952852"/>
    <w:rsid w:val="00952BE9"/>
    <w:rsid w:val="00952CB6"/>
    <w:rsid w:val="009531C6"/>
    <w:rsid w:val="00953247"/>
    <w:rsid w:val="0095342B"/>
    <w:rsid w:val="00953B9D"/>
    <w:rsid w:val="00953CC3"/>
    <w:rsid w:val="00953F30"/>
    <w:rsid w:val="009542F7"/>
    <w:rsid w:val="00954E0D"/>
    <w:rsid w:val="009553A1"/>
    <w:rsid w:val="009555EE"/>
    <w:rsid w:val="009557E2"/>
    <w:rsid w:val="00955A05"/>
    <w:rsid w:val="00955B90"/>
    <w:rsid w:val="00955C6C"/>
    <w:rsid w:val="00955F99"/>
    <w:rsid w:val="00956734"/>
    <w:rsid w:val="00956BCB"/>
    <w:rsid w:val="00956F4E"/>
    <w:rsid w:val="00956F7F"/>
    <w:rsid w:val="00957663"/>
    <w:rsid w:val="00957B57"/>
    <w:rsid w:val="00957F1A"/>
    <w:rsid w:val="00960139"/>
    <w:rsid w:val="00960176"/>
    <w:rsid w:val="009604A5"/>
    <w:rsid w:val="0096076B"/>
    <w:rsid w:val="00960A6E"/>
    <w:rsid w:val="00960D6D"/>
    <w:rsid w:val="00960E08"/>
    <w:rsid w:val="00961AE6"/>
    <w:rsid w:val="00961EA9"/>
    <w:rsid w:val="00961FE0"/>
    <w:rsid w:val="009621C4"/>
    <w:rsid w:val="009624E0"/>
    <w:rsid w:val="00962534"/>
    <w:rsid w:val="0096276F"/>
    <w:rsid w:val="009629E4"/>
    <w:rsid w:val="00962C17"/>
    <w:rsid w:val="00962C8F"/>
    <w:rsid w:val="00963348"/>
    <w:rsid w:val="00963931"/>
    <w:rsid w:val="00963A92"/>
    <w:rsid w:val="00964506"/>
    <w:rsid w:val="0096476D"/>
    <w:rsid w:val="009647FE"/>
    <w:rsid w:val="009656BF"/>
    <w:rsid w:val="0096576B"/>
    <w:rsid w:val="009657E4"/>
    <w:rsid w:val="009658F7"/>
    <w:rsid w:val="00965FAB"/>
    <w:rsid w:val="00966107"/>
    <w:rsid w:val="00966238"/>
    <w:rsid w:val="0096677A"/>
    <w:rsid w:val="00966E04"/>
    <w:rsid w:val="00967072"/>
    <w:rsid w:val="00967604"/>
    <w:rsid w:val="0096777F"/>
    <w:rsid w:val="009678E5"/>
    <w:rsid w:val="009679D3"/>
    <w:rsid w:val="00967D67"/>
    <w:rsid w:val="00967FA6"/>
    <w:rsid w:val="009704B4"/>
    <w:rsid w:val="00970526"/>
    <w:rsid w:val="00970700"/>
    <w:rsid w:val="0097082E"/>
    <w:rsid w:val="009708F4"/>
    <w:rsid w:val="00970D4F"/>
    <w:rsid w:val="009710DE"/>
    <w:rsid w:val="00971686"/>
    <w:rsid w:val="009717A8"/>
    <w:rsid w:val="00971A38"/>
    <w:rsid w:val="00971A7D"/>
    <w:rsid w:val="00972D10"/>
    <w:rsid w:val="00972D64"/>
    <w:rsid w:val="00972DC8"/>
    <w:rsid w:val="00972E8C"/>
    <w:rsid w:val="00973360"/>
    <w:rsid w:val="00973614"/>
    <w:rsid w:val="00973748"/>
    <w:rsid w:val="00973758"/>
    <w:rsid w:val="00973B09"/>
    <w:rsid w:val="00973B6B"/>
    <w:rsid w:val="00973C4D"/>
    <w:rsid w:val="00973C53"/>
    <w:rsid w:val="00973CE0"/>
    <w:rsid w:val="00973DBF"/>
    <w:rsid w:val="0097437D"/>
    <w:rsid w:val="009743D0"/>
    <w:rsid w:val="009744FA"/>
    <w:rsid w:val="009745B4"/>
    <w:rsid w:val="0097463B"/>
    <w:rsid w:val="0097486C"/>
    <w:rsid w:val="0097490D"/>
    <w:rsid w:val="00974A89"/>
    <w:rsid w:val="00974DAC"/>
    <w:rsid w:val="00975672"/>
    <w:rsid w:val="00975A3A"/>
    <w:rsid w:val="00975FD0"/>
    <w:rsid w:val="00976226"/>
    <w:rsid w:val="009765FD"/>
    <w:rsid w:val="009769DC"/>
    <w:rsid w:val="00976BBB"/>
    <w:rsid w:val="00976C38"/>
    <w:rsid w:val="00977490"/>
    <w:rsid w:val="00977672"/>
    <w:rsid w:val="00977828"/>
    <w:rsid w:val="009778F4"/>
    <w:rsid w:val="00977D57"/>
    <w:rsid w:val="0098009F"/>
    <w:rsid w:val="009800B2"/>
    <w:rsid w:val="009802DE"/>
    <w:rsid w:val="00980314"/>
    <w:rsid w:val="00980804"/>
    <w:rsid w:val="0098091B"/>
    <w:rsid w:val="00980DD5"/>
    <w:rsid w:val="00981228"/>
    <w:rsid w:val="009812F9"/>
    <w:rsid w:val="009812FB"/>
    <w:rsid w:val="00981380"/>
    <w:rsid w:val="0098164E"/>
    <w:rsid w:val="00981726"/>
    <w:rsid w:val="00981895"/>
    <w:rsid w:val="00981B53"/>
    <w:rsid w:val="00981DC5"/>
    <w:rsid w:val="00981EBE"/>
    <w:rsid w:val="00982020"/>
    <w:rsid w:val="00982077"/>
    <w:rsid w:val="009826BD"/>
    <w:rsid w:val="00982993"/>
    <w:rsid w:val="00982C8F"/>
    <w:rsid w:val="00983246"/>
    <w:rsid w:val="009837F4"/>
    <w:rsid w:val="00983CC8"/>
    <w:rsid w:val="00984377"/>
    <w:rsid w:val="009849EA"/>
    <w:rsid w:val="00984A62"/>
    <w:rsid w:val="00984B1D"/>
    <w:rsid w:val="00984B74"/>
    <w:rsid w:val="0098505C"/>
    <w:rsid w:val="009857AB"/>
    <w:rsid w:val="009857FF"/>
    <w:rsid w:val="00985812"/>
    <w:rsid w:val="00985B4E"/>
    <w:rsid w:val="0098676F"/>
    <w:rsid w:val="00986894"/>
    <w:rsid w:val="00986CB8"/>
    <w:rsid w:val="00986FA5"/>
    <w:rsid w:val="0098732D"/>
    <w:rsid w:val="00987476"/>
    <w:rsid w:val="0098749F"/>
    <w:rsid w:val="009876B6"/>
    <w:rsid w:val="00987AF1"/>
    <w:rsid w:val="00987BBB"/>
    <w:rsid w:val="009901DC"/>
    <w:rsid w:val="009901E1"/>
    <w:rsid w:val="0099061C"/>
    <w:rsid w:val="009906E6"/>
    <w:rsid w:val="00990939"/>
    <w:rsid w:val="00990C08"/>
    <w:rsid w:val="00991362"/>
    <w:rsid w:val="0099214E"/>
    <w:rsid w:val="0099246D"/>
    <w:rsid w:val="009925D9"/>
    <w:rsid w:val="00992736"/>
    <w:rsid w:val="0099292E"/>
    <w:rsid w:val="00992B46"/>
    <w:rsid w:val="00992F87"/>
    <w:rsid w:val="00992FD0"/>
    <w:rsid w:val="00993045"/>
    <w:rsid w:val="0099393E"/>
    <w:rsid w:val="00993BF8"/>
    <w:rsid w:val="00993EBC"/>
    <w:rsid w:val="00994160"/>
    <w:rsid w:val="009947BF"/>
    <w:rsid w:val="00994976"/>
    <w:rsid w:val="00994BC4"/>
    <w:rsid w:val="00994F90"/>
    <w:rsid w:val="0099525B"/>
    <w:rsid w:val="0099531B"/>
    <w:rsid w:val="00995820"/>
    <w:rsid w:val="00995AAF"/>
    <w:rsid w:val="00995C12"/>
    <w:rsid w:val="00995EAF"/>
    <w:rsid w:val="00996172"/>
    <w:rsid w:val="0099620B"/>
    <w:rsid w:val="009962FA"/>
    <w:rsid w:val="0099639B"/>
    <w:rsid w:val="00996576"/>
    <w:rsid w:val="009968F0"/>
    <w:rsid w:val="00996973"/>
    <w:rsid w:val="009969D6"/>
    <w:rsid w:val="00996AE3"/>
    <w:rsid w:val="00996B6C"/>
    <w:rsid w:val="0099742C"/>
    <w:rsid w:val="0099766B"/>
    <w:rsid w:val="009976BF"/>
    <w:rsid w:val="009978A1"/>
    <w:rsid w:val="0099794A"/>
    <w:rsid w:val="00997AEB"/>
    <w:rsid w:val="00997BFF"/>
    <w:rsid w:val="00997C87"/>
    <w:rsid w:val="009A00D3"/>
    <w:rsid w:val="009A00ED"/>
    <w:rsid w:val="009A0513"/>
    <w:rsid w:val="009A0868"/>
    <w:rsid w:val="009A0AB4"/>
    <w:rsid w:val="009A0B44"/>
    <w:rsid w:val="009A0D0C"/>
    <w:rsid w:val="009A0E1C"/>
    <w:rsid w:val="009A0E36"/>
    <w:rsid w:val="009A0EC9"/>
    <w:rsid w:val="009A0F42"/>
    <w:rsid w:val="009A1420"/>
    <w:rsid w:val="009A1853"/>
    <w:rsid w:val="009A1893"/>
    <w:rsid w:val="009A1AB9"/>
    <w:rsid w:val="009A1FDF"/>
    <w:rsid w:val="009A2419"/>
    <w:rsid w:val="009A2B18"/>
    <w:rsid w:val="009A2D7F"/>
    <w:rsid w:val="009A2E1F"/>
    <w:rsid w:val="009A2E2E"/>
    <w:rsid w:val="009A2E6E"/>
    <w:rsid w:val="009A2E91"/>
    <w:rsid w:val="009A2EA9"/>
    <w:rsid w:val="009A3047"/>
    <w:rsid w:val="009A3608"/>
    <w:rsid w:val="009A36A2"/>
    <w:rsid w:val="009A3BF5"/>
    <w:rsid w:val="009A3E52"/>
    <w:rsid w:val="009A41EB"/>
    <w:rsid w:val="009A4205"/>
    <w:rsid w:val="009A4B87"/>
    <w:rsid w:val="009A4CF8"/>
    <w:rsid w:val="009A4DD7"/>
    <w:rsid w:val="009A4E35"/>
    <w:rsid w:val="009A4F12"/>
    <w:rsid w:val="009A4F27"/>
    <w:rsid w:val="009A5359"/>
    <w:rsid w:val="009A6219"/>
    <w:rsid w:val="009A66BF"/>
    <w:rsid w:val="009A66D6"/>
    <w:rsid w:val="009A6C7C"/>
    <w:rsid w:val="009A6C8F"/>
    <w:rsid w:val="009A6DAB"/>
    <w:rsid w:val="009A6E91"/>
    <w:rsid w:val="009A6FA2"/>
    <w:rsid w:val="009A6FCC"/>
    <w:rsid w:val="009A7271"/>
    <w:rsid w:val="009A7353"/>
    <w:rsid w:val="009A73EB"/>
    <w:rsid w:val="009A7A60"/>
    <w:rsid w:val="009B0138"/>
    <w:rsid w:val="009B0181"/>
    <w:rsid w:val="009B032B"/>
    <w:rsid w:val="009B035D"/>
    <w:rsid w:val="009B0428"/>
    <w:rsid w:val="009B0434"/>
    <w:rsid w:val="009B0CBB"/>
    <w:rsid w:val="009B13C4"/>
    <w:rsid w:val="009B177D"/>
    <w:rsid w:val="009B17CD"/>
    <w:rsid w:val="009B1965"/>
    <w:rsid w:val="009B1DB0"/>
    <w:rsid w:val="009B2379"/>
    <w:rsid w:val="009B2912"/>
    <w:rsid w:val="009B2B5B"/>
    <w:rsid w:val="009B3207"/>
    <w:rsid w:val="009B32B2"/>
    <w:rsid w:val="009B3461"/>
    <w:rsid w:val="009B36C1"/>
    <w:rsid w:val="009B36E1"/>
    <w:rsid w:val="009B41D2"/>
    <w:rsid w:val="009B43BB"/>
    <w:rsid w:val="009B45D2"/>
    <w:rsid w:val="009B4802"/>
    <w:rsid w:val="009B48CC"/>
    <w:rsid w:val="009B49B4"/>
    <w:rsid w:val="009B4B95"/>
    <w:rsid w:val="009B4C04"/>
    <w:rsid w:val="009B4E6A"/>
    <w:rsid w:val="009B4FBB"/>
    <w:rsid w:val="009B525F"/>
    <w:rsid w:val="009B5A4E"/>
    <w:rsid w:val="009B5EB9"/>
    <w:rsid w:val="009B622D"/>
    <w:rsid w:val="009B6532"/>
    <w:rsid w:val="009B674F"/>
    <w:rsid w:val="009B6810"/>
    <w:rsid w:val="009B683F"/>
    <w:rsid w:val="009B6902"/>
    <w:rsid w:val="009B695F"/>
    <w:rsid w:val="009B6F9D"/>
    <w:rsid w:val="009B7135"/>
    <w:rsid w:val="009B717D"/>
    <w:rsid w:val="009B771C"/>
    <w:rsid w:val="009B77DC"/>
    <w:rsid w:val="009B7C98"/>
    <w:rsid w:val="009C0005"/>
    <w:rsid w:val="009C03CF"/>
    <w:rsid w:val="009C068A"/>
    <w:rsid w:val="009C0A3C"/>
    <w:rsid w:val="009C0A53"/>
    <w:rsid w:val="009C0F3B"/>
    <w:rsid w:val="009C11CF"/>
    <w:rsid w:val="009C12AD"/>
    <w:rsid w:val="009C1328"/>
    <w:rsid w:val="009C1836"/>
    <w:rsid w:val="009C18D4"/>
    <w:rsid w:val="009C19B8"/>
    <w:rsid w:val="009C1DF3"/>
    <w:rsid w:val="009C225A"/>
    <w:rsid w:val="009C272A"/>
    <w:rsid w:val="009C2767"/>
    <w:rsid w:val="009C2A08"/>
    <w:rsid w:val="009C2A86"/>
    <w:rsid w:val="009C2B41"/>
    <w:rsid w:val="009C2C49"/>
    <w:rsid w:val="009C2D72"/>
    <w:rsid w:val="009C3441"/>
    <w:rsid w:val="009C355C"/>
    <w:rsid w:val="009C35C2"/>
    <w:rsid w:val="009C3731"/>
    <w:rsid w:val="009C37E4"/>
    <w:rsid w:val="009C39BB"/>
    <w:rsid w:val="009C3DC2"/>
    <w:rsid w:val="009C3E67"/>
    <w:rsid w:val="009C3F18"/>
    <w:rsid w:val="009C4A5E"/>
    <w:rsid w:val="009C4AF0"/>
    <w:rsid w:val="009C51AC"/>
    <w:rsid w:val="009C51BE"/>
    <w:rsid w:val="009C5220"/>
    <w:rsid w:val="009C52F4"/>
    <w:rsid w:val="009C5A6B"/>
    <w:rsid w:val="009C5D12"/>
    <w:rsid w:val="009C5EBF"/>
    <w:rsid w:val="009C5F9A"/>
    <w:rsid w:val="009C614C"/>
    <w:rsid w:val="009C61EB"/>
    <w:rsid w:val="009C68C6"/>
    <w:rsid w:val="009C6A58"/>
    <w:rsid w:val="009C709B"/>
    <w:rsid w:val="009C715B"/>
    <w:rsid w:val="009C7715"/>
    <w:rsid w:val="009C7730"/>
    <w:rsid w:val="009C78DC"/>
    <w:rsid w:val="009C7B47"/>
    <w:rsid w:val="009D0409"/>
    <w:rsid w:val="009D04EF"/>
    <w:rsid w:val="009D07CB"/>
    <w:rsid w:val="009D0D09"/>
    <w:rsid w:val="009D0ED5"/>
    <w:rsid w:val="009D0F2F"/>
    <w:rsid w:val="009D0F79"/>
    <w:rsid w:val="009D11A0"/>
    <w:rsid w:val="009D19F5"/>
    <w:rsid w:val="009D1A35"/>
    <w:rsid w:val="009D1D65"/>
    <w:rsid w:val="009D2062"/>
    <w:rsid w:val="009D222E"/>
    <w:rsid w:val="009D25C9"/>
    <w:rsid w:val="009D29E6"/>
    <w:rsid w:val="009D2C3F"/>
    <w:rsid w:val="009D2F44"/>
    <w:rsid w:val="009D3070"/>
    <w:rsid w:val="009D344B"/>
    <w:rsid w:val="009D40AA"/>
    <w:rsid w:val="009D40B8"/>
    <w:rsid w:val="009D45C4"/>
    <w:rsid w:val="009D4ABD"/>
    <w:rsid w:val="009D4D5E"/>
    <w:rsid w:val="009D5349"/>
    <w:rsid w:val="009D5351"/>
    <w:rsid w:val="009D53BE"/>
    <w:rsid w:val="009D5664"/>
    <w:rsid w:val="009D5C2D"/>
    <w:rsid w:val="009D64E2"/>
    <w:rsid w:val="009D6986"/>
    <w:rsid w:val="009D6C9F"/>
    <w:rsid w:val="009D6DF0"/>
    <w:rsid w:val="009D6EA8"/>
    <w:rsid w:val="009D6EFF"/>
    <w:rsid w:val="009D719D"/>
    <w:rsid w:val="009D71B2"/>
    <w:rsid w:val="009D7B1E"/>
    <w:rsid w:val="009E02CF"/>
    <w:rsid w:val="009E065D"/>
    <w:rsid w:val="009E0719"/>
    <w:rsid w:val="009E077F"/>
    <w:rsid w:val="009E0F46"/>
    <w:rsid w:val="009E1AA9"/>
    <w:rsid w:val="009E1BF6"/>
    <w:rsid w:val="009E1F49"/>
    <w:rsid w:val="009E222D"/>
    <w:rsid w:val="009E22BE"/>
    <w:rsid w:val="009E264D"/>
    <w:rsid w:val="009E2BEE"/>
    <w:rsid w:val="009E2DC9"/>
    <w:rsid w:val="009E2E39"/>
    <w:rsid w:val="009E325B"/>
    <w:rsid w:val="009E3427"/>
    <w:rsid w:val="009E385F"/>
    <w:rsid w:val="009E38A9"/>
    <w:rsid w:val="009E3C08"/>
    <w:rsid w:val="009E3E95"/>
    <w:rsid w:val="009E3FBB"/>
    <w:rsid w:val="009E43EF"/>
    <w:rsid w:val="009E48CC"/>
    <w:rsid w:val="009E49E4"/>
    <w:rsid w:val="009E52B1"/>
    <w:rsid w:val="009E54FA"/>
    <w:rsid w:val="009E57AD"/>
    <w:rsid w:val="009E5812"/>
    <w:rsid w:val="009E58B9"/>
    <w:rsid w:val="009E5D45"/>
    <w:rsid w:val="009E5ECE"/>
    <w:rsid w:val="009E6B83"/>
    <w:rsid w:val="009E6C02"/>
    <w:rsid w:val="009E73C6"/>
    <w:rsid w:val="009E79DB"/>
    <w:rsid w:val="009E7A86"/>
    <w:rsid w:val="009E7B17"/>
    <w:rsid w:val="009E7FC9"/>
    <w:rsid w:val="009F03C0"/>
    <w:rsid w:val="009F0872"/>
    <w:rsid w:val="009F0D93"/>
    <w:rsid w:val="009F12D9"/>
    <w:rsid w:val="009F163A"/>
    <w:rsid w:val="009F186F"/>
    <w:rsid w:val="009F1F59"/>
    <w:rsid w:val="009F1FF2"/>
    <w:rsid w:val="009F23B0"/>
    <w:rsid w:val="009F257B"/>
    <w:rsid w:val="009F2836"/>
    <w:rsid w:val="009F2F4C"/>
    <w:rsid w:val="009F310E"/>
    <w:rsid w:val="009F34F5"/>
    <w:rsid w:val="009F3CD8"/>
    <w:rsid w:val="009F3DF5"/>
    <w:rsid w:val="009F42F4"/>
    <w:rsid w:val="009F448F"/>
    <w:rsid w:val="009F449B"/>
    <w:rsid w:val="009F4511"/>
    <w:rsid w:val="009F4B04"/>
    <w:rsid w:val="009F4BCA"/>
    <w:rsid w:val="009F4E30"/>
    <w:rsid w:val="009F4E53"/>
    <w:rsid w:val="009F5290"/>
    <w:rsid w:val="009F53D6"/>
    <w:rsid w:val="009F5675"/>
    <w:rsid w:val="009F59FC"/>
    <w:rsid w:val="009F5E15"/>
    <w:rsid w:val="009F630F"/>
    <w:rsid w:val="009F688C"/>
    <w:rsid w:val="009F6A6C"/>
    <w:rsid w:val="009F6DD7"/>
    <w:rsid w:val="009F70B4"/>
    <w:rsid w:val="009F72A6"/>
    <w:rsid w:val="009F7814"/>
    <w:rsid w:val="009F7D86"/>
    <w:rsid w:val="009F7EDF"/>
    <w:rsid w:val="00A002E9"/>
    <w:rsid w:val="00A00621"/>
    <w:rsid w:val="00A006B7"/>
    <w:rsid w:val="00A00CF4"/>
    <w:rsid w:val="00A018E8"/>
    <w:rsid w:val="00A01981"/>
    <w:rsid w:val="00A019F2"/>
    <w:rsid w:val="00A01A59"/>
    <w:rsid w:val="00A01B1F"/>
    <w:rsid w:val="00A01CCC"/>
    <w:rsid w:val="00A01D0E"/>
    <w:rsid w:val="00A01F9A"/>
    <w:rsid w:val="00A0219F"/>
    <w:rsid w:val="00A02719"/>
    <w:rsid w:val="00A032DB"/>
    <w:rsid w:val="00A035EA"/>
    <w:rsid w:val="00A035F4"/>
    <w:rsid w:val="00A03676"/>
    <w:rsid w:val="00A037B1"/>
    <w:rsid w:val="00A03A33"/>
    <w:rsid w:val="00A03F2E"/>
    <w:rsid w:val="00A04103"/>
    <w:rsid w:val="00A0413A"/>
    <w:rsid w:val="00A0458A"/>
    <w:rsid w:val="00A04B70"/>
    <w:rsid w:val="00A04DD3"/>
    <w:rsid w:val="00A05BFB"/>
    <w:rsid w:val="00A05F82"/>
    <w:rsid w:val="00A0613A"/>
    <w:rsid w:val="00A061F8"/>
    <w:rsid w:val="00A06444"/>
    <w:rsid w:val="00A0656A"/>
    <w:rsid w:val="00A0668A"/>
    <w:rsid w:val="00A06708"/>
    <w:rsid w:val="00A0688B"/>
    <w:rsid w:val="00A06C43"/>
    <w:rsid w:val="00A06DF6"/>
    <w:rsid w:val="00A06F1E"/>
    <w:rsid w:val="00A06F96"/>
    <w:rsid w:val="00A074F9"/>
    <w:rsid w:val="00A07650"/>
    <w:rsid w:val="00A07ADA"/>
    <w:rsid w:val="00A07BA8"/>
    <w:rsid w:val="00A07D68"/>
    <w:rsid w:val="00A07E43"/>
    <w:rsid w:val="00A10494"/>
    <w:rsid w:val="00A10540"/>
    <w:rsid w:val="00A10944"/>
    <w:rsid w:val="00A10973"/>
    <w:rsid w:val="00A10A00"/>
    <w:rsid w:val="00A10DCB"/>
    <w:rsid w:val="00A11272"/>
    <w:rsid w:val="00A117E5"/>
    <w:rsid w:val="00A120CD"/>
    <w:rsid w:val="00A12444"/>
    <w:rsid w:val="00A12741"/>
    <w:rsid w:val="00A12772"/>
    <w:rsid w:val="00A12803"/>
    <w:rsid w:val="00A12813"/>
    <w:rsid w:val="00A12C8D"/>
    <w:rsid w:val="00A13686"/>
    <w:rsid w:val="00A1398E"/>
    <w:rsid w:val="00A13B1B"/>
    <w:rsid w:val="00A144D2"/>
    <w:rsid w:val="00A14747"/>
    <w:rsid w:val="00A14BD0"/>
    <w:rsid w:val="00A14E34"/>
    <w:rsid w:val="00A14F71"/>
    <w:rsid w:val="00A1526E"/>
    <w:rsid w:val="00A15414"/>
    <w:rsid w:val="00A156E7"/>
    <w:rsid w:val="00A158A5"/>
    <w:rsid w:val="00A15B60"/>
    <w:rsid w:val="00A15D36"/>
    <w:rsid w:val="00A15DA2"/>
    <w:rsid w:val="00A15E7C"/>
    <w:rsid w:val="00A15EE6"/>
    <w:rsid w:val="00A160A7"/>
    <w:rsid w:val="00A162A7"/>
    <w:rsid w:val="00A16391"/>
    <w:rsid w:val="00A16782"/>
    <w:rsid w:val="00A16C7F"/>
    <w:rsid w:val="00A17442"/>
    <w:rsid w:val="00A17624"/>
    <w:rsid w:val="00A1766E"/>
    <w:rsid w:val="00A176CE"/>
    <w:rsid w:val="00A17AE7"/>
    <w:rsid w:val="00A17CF3"/>
    <w:rsid w:val="00A2043F"/>
    <w:rsid w:val="00A205BC"/>
    <w:rsid w:val="00A20770"/>
    <w:rsid w:val="00A20868"/>
    <w:rsid w:val="00A20A2A"/>
    <w:rsid w:val="00A21237"/>
    <w:rsid w:val="00A2141A"/>
    <w:rsid w:val="00A215BB"/>
    <w:rsid w:val="00A21879"/>
    <w:rsid w:val="00A21959"/>
    <w:rsid w:val="00A21DFF"/>
    <w:rsid w:val="00A22269"/>
    <w:rsid w:val="00A2292E"/>
    <w:rsid w:val="00A22A13"/>
    <w:rsid w:val="00A22A8C"/>
    <w:rsid w:val="00A22B58"/>
    <w:rsid w:val="00A22D1B"/>
    <w:rsid w:val="00A2303E"/>
    <w:rsid w:val="00A23619"/>
    <w:rsid w:val="00A237C5"/>
    <w:rsid w:val="00A237CC"/>
    <w:rsid w:val="00A23CAD"/>
    <w:rsid w:val="00A24341"/>
    <w:rsid w:val="00A24C46"/>
    <w:rsid w:val="00A24DD2"/>
    <w:rsid w:val="00A2511E"/>
    <w:rsid w:val="00A253B8"/>
    <w:rsid w:val="00A2553F"/>
    <w:rsid w:val="00A256DD"/>
    <w:rsid w:val="00A25BAF"/>
    <w:rsid w:val="00A25D6F"/>
    <w:rsid w:val="00A25D9D"/>
    <w:rsid w:val="00A26345"/>
    <w:rsid w:val="00A2657C"/>
    <w:rsid w:val="00A27118"/>
    <w:rsid w:val="00A27186"/>
    <w:rsid w:val="00A27EDA"/>
    <w:rsid w:val="00A27F6A"/>
    <w:rsid w:val="00A30738"/>
    <w:rsid w:val="00A308C9"/>
    <w:rsid w:val="00A30BAA"/>
    <w:rsid w:val="00A30DAE"/>
    <w:rsid w:val="00A30F74"/>
    <w:rsid w:val="00A31914"/>
    <w:rsid w:val="00A319D8"/>
    <w:rsid w:val="00A31D7F"/>
    <w:rsid w:val="00A31EF3"/>
    <w:rsid w:val="00A328C6"/>
    <w:rsid w:val="00A3296F"/>
    <w:rsid w:val="00A329E2"/>
    <w:rsid w:val="00A32AD3"/>
    <w:rsid w:val="00A32D08"/>
    <w:rsid w:val="00A32D40"/>
    <w:rsid w:val="00A330BE"/>
    <w:rsid w:val="00A33406"/>
    <w:rsid w:val="00A3374E"/>
    <w:rsid w:val="00A33887"/>
    <w:rsid w:val="00A34283"/>
    <w:rsid w:val="00A349B5"/>
    <w:rsid w:val="00A34B30"/>
    <w:rsid w:val="00A34D4A"/>
    <w:rsid w:val="00A35065"/>
    <w:rsid w:val="00A354D4"/>
    <w:rsid w:val="00A35527"/>
    <w:rsid w:val="00A3570A"/>
    <w:rsid w:val="00A35762"/>
    <w:rsid w:val="00A357B8"/>
    <w:rsid w:val="00A35DDE"/>
    <w:rsid w:val="00A35FBA"/>
    <w:rsid w:val="00A367A0"/>
    <w:rsid w:val="00A36AE7"/>
    <w:rsid w:val="00A36B93"/>
    <w:rsid w:val="00A377DB"/>
    <w:rsid w:val="00A37DCE"/>
    <w:rsid w:val="00A37E4A"/>
    <w:rsid w:val="00A400EE"/>
    <w:rsid w:val="00A40206"/>
    <w:rsid w:val="00A40233"/>
    <w:rsid w:val="00A404D8"/>
    <w:rsid w:val="00A40811"/>
    <w:rsid w:val="00A41182"/>
    <w:rsid w:val="00A41543"/>
    <w:rsid w:val="00A41A86"/>
    <w:rsid w:val="00A42052"/>
    <w:rsid w:val="00A42115"/>
    <w:rsid w:val="00A42145"/>
    <w:rsid w:val="00A424F1"/>
    <w:rsid w:val="00A42AAE"/>
    <w:rsid w:val="00A42D22"/>
    <w:rsid w:val="00A43022"/>
    <w:rsid w:val="00A43526"/>
    <w:rsid w:val="00A4383C"/>
    <w:rsid w:val="00A43862"/>
    <w:rsid w:val="00A43AFC"/>
    <w:rsid w:val="00A43D32"/>
    <w:rsid w:val="00A43E58"/>
    <w:rsid w:val="00A43E68"/>
    <w:rsid w:val="00A43EE8"/>
    <w:rsid w:val="00A446E9"/>
    <w:rsid w:val="00A4473A"/>
    <w:rsid w:val="00A44BF1"/>
    <w:rsid w:val="00A4503F"/>
    <w:rsid w:val="00A450CE"/>
    <w:rsid w:val="00A4519E"/>
    <w:rsid w:val="00A4593D"/>
    <w:rsid w:val="00A45C53"/>
    <w:rsid w:val="00A45F79"/>
    <w:rsid w:val="00A464C0"/>
    <w:rsid w:val="00A464C3"/>
    <w:rsid w:val="00A469D1"/>
    <w:rsid w:val="00A46B61"/>
    <w:rsid w:val="00A46F36"/>
    <w:rsid w:val="00A47370"/>
    <w:rsid w:val="00A4764C"/>
    <w:rsid w:val="00A47842"/>
    <w:rsid w:val="00A47915"/>
    <w:rsid w:val="00A47F42"/>
    <w:rsid w:val="00A47FE1"/>
    <w:rsid w:val="00A500A9"/>
    <w:rsid w:val="00A5078A"/>
    <w:rsid w:val="00A508AE"/>
    <w:rsid w:val="00A50ACF"/>
    <w:rsid w:val="00A50C2C"/>
    <w:rsid w:val="00A512AE"/>
    <w:rsid w:val="00A514A9"/>
    <w:rsid w:val="00A514E8"/>
    <w:rsid w:val="00A51543"/>
    <w:rsid w:val="00A51A8B"/>
    <w:rsid w:val="00A51B6D"/>
    <w:rsid w:val="00A51D19"/>
    <w:rsid w:val="00A51DE1"/>
    <w:rsid w:val="00A527F0"/>
    <w:rsid w:val="00A527FB"/>
    <w:rsid w:val="00A52941"/>
    <w:rsid w:val="00A52CC7"/>
    <w:rsid w:val="00A53787"/>
    <w:rsid w:val="00A540B4"/>
    <w:rsid w:val="00A54113"/>
    <w:rsid w:val="00A54114"/>
    <w:rsid w:val="00A541D8"/>
    <w:rsid w:val="00A54455"/>
    <w:rsid w:val="00A545DB"/>
    <w:rsid w:val="00A54602"/>
    <w:rsid w:val="00A54618"/>
    <w:rsid w:val="00A54EAE"/>
    <w:rsid w:val="00A550F9"/>
    <w:rsid w:val="00A5555C"/>
    <w:rsid w:val="00A5567B"/>
    <w:rsid w:val="00A5578D"/>
    <w:rsid w:val="00A558D1"/>
    <w:rsid w:val="00A55B22"/>
    <w:rsid w:val="00A55CCF"/>
    <w:rsid w:val="00A55E40"/>
    <w:rsid w:val="00A56008"/>
    <w:rsid w:val="00A5658B"/>
    <w:rsid w:val="00A5659F"/>
    <w:rsid w:val="00A56915"/>
    <w:rsid w:val="00A569FB"/>
    <w:rsid w:val="00A56EB1"/>
    <w:rsid w:val="00A570B1"/>
    <w:rsid w:val="00A577BA"/>
    <w:rsid w:val="00A57A48"/>
    <w:rsid w:val="00A57B77"/>
    <w:rsid w:val="00A57F86"/>
    <w:rsid w:val="00A60BF5"/>
    <w:rsid w:val="00A61528"/>
    <w:rsid w:val="00A618CF"/>
    <w:rsid w:val="00A61F6A"/>
    <w:rsid w:val="00A6223F"/>
    <w:rsid w:val="00A6231F"/>
    <w:rsid w:val="00A62376"/>
    <w:rsid w:val="00A629E1"/>
    <w:rsid w:val="00A62C51"/>
    <w:rsid w:val="00A62D66"/>
    <w:rsid w:val="00A62D74"/>
    <w:rsid w:val="00A62E36"/>
    <w:rsid w:val="00A63150"/>
    <w:rsid w:val="00A631E7"/>
    <w:rsid w:val="00A63394"/>
    <w:rsid w:val="00A63661"/>
    <w:rsid w:val="00A63720"/>
    <w:rsid w:val="00A64A79"/>
    <w:rsid w:val="00A64F17"/>
    <w:rsid w:val="00A65374"/>
    <w:rsid w:val="00A6577E"/>
    <w:rsid w:val="00A659AD"/>
    <w:rsid w:val="00A65CE3"/>
    <w:rsid w:val="00A66524"/>
    <w:rsid w:val="00A667F2"/>
    <w:rsid w:val="00A66A63"/>
    <w:rsid w:val="00A66B85"/>
    <w:rsid w:val="00A66F39"/>
    <w:rsid w:val="00A674FB"/>
    <w:rsid w:val="00A67A03"/>
    <w:rsid w:val="00A67ACF"/>
    <w:rsid w:val="00A67BE7"/>
    <w:rsid w:val="00A70116"/>
    <w:rsid w:val="00A70350"/>
    <w:rsid w:val="00A7038C"/>
    <w:rsid w:val="00A70409"/>
    <w:rsid w:val="00A705BF"/>
    <w:rsid w:val="00A70665"/>
    <w:rsid w:val="00A7066F"/>
    <w:rsid w:val="00A7072F"/>
    <w:rsid w:val="00A70B42"/>
    <w:rsid w:val="00A70E75"/>
    <w:rsid w:val="00A71179"/>
    <w:rsid w:val="00A71341"/>
    <w:rsid w:val="00A7182F"/>
    <w:rsid w:val="00A71BF6"/>
    <w:rsid w:val="00A71D31"/>
    <w:rsid w:val="00A71D54"/>
    <w:rsid w:val="00A71DB7"/>
    <w:rsid w:val="00A72304"/>
    <w:rsid w:val="00A72567"/>
    <w:rsid w:val="00A72C12"/>
    <w:rsid w:val="00A738B9"/>
    <w:rsid w:val="00A73AA5"/>
    <w:rsid w:val="00A745CD"/>
    <w:rsid w:val="00A74751"/>
    <w:rsid w:val="00A74E8C"/>
    <w:rsid w:val="00A751B1"/>
    <w:rsid w:val="00A752DF"/>
    <w:rsid w:val="00A75461"/>
    <w:rsid w:val="00A7589D"/>
    <w:rsid w:val="00A75A10"/>
    <w:rsid w:val="00A76100"/>
    <w:rsid w:val="00A7617C"/>
    <w:rsid w:val="00A76269"/>
    <w:rsid w:val="00A76590"/>
    <w:rsid w:val="00A769A9"/>
    <w:rsid w:val="00A76BC0"/>
    <w:rsid w:val="00A76D98"/>
    <w:rsid w:val="00A7705E"/>
    <w:rsid w:val="00A772CA"/>
    <w:rsid w:val="00A7742D"/>
    <w:rsid w:val="00A77506"/>
    <w:rsid w:val="00A77588"/>
    <w:rsid w:val="00A7762B"/>
    <w:rsid w:val="00A776DB"/>
    <w:rsid w:val="00A7791B"/>
    <w:rsid w:val="00A779A6"/>
    <w:rsid w:val="00A77AA4"/>
    <w:rsid w:val="00A77CB4"/>
    <w:rsid w:val="00A8004A"/>
    <w:rsid w:val="00A800BB"/>
    <w:rsid w:val="00A801AF"/>
    <w:rsid w:val="00A8040F"/>
    <w:rsid w:val="00A807E6"/>
    <w:rsid w:val="00A80B75"/>
    <w:rsid w:val="00A81074"/>
    <w:rsid w:val="00A81113"/>
    <w:rsid w:val="00A812BC"/>
    <w:rsid w:val="00A813EF"/>
    <w:rsid w:val="00A815DC"/>
    <w:rsid w:val="00A81748"/>
    <w:rsid w:val="00A817A4"/>
    <w:rsid w:val="00A81D85"/>
    <w:rsid w:val="00A82045"/>
    <w:rsid w:val="00A82C89"/>
    <w:rsid w:val="00A82E59"/>
    <w:rsid w:val="00A82E96"/>
    <w:rsid w:val="00A82ED1"/>
    <w:rsid w:val="00A836A9"/>
    <w:rsid w:val="00A8395E"/>
    <w:rsid w:val="00A83A11"/>
    <w:rsid w:val="00A83A22"/>
    <w:rsid w:val="00A83FED"/>
    <w:rsid w:val="00A8445D"/>
    <w:rsid w:val="00A84719"/>
    <w:rsid w:val="00A8495A"/>
    <w:rsid w:val="00A8497C"/>
    <w:rsid w:val="00A84A1B"/>
    <w:rsid w:val="00A84A3E"/>
    <w:rsid w:val="00A84A90"/>
    <w:rsid w:val="00A84D82"/>
    <w:rsid w:val="00A84EE7"/>
    <w:rsid w:val="00A851A7"/>
    <w:rsid w:val="00A8520A"/>
    <w:rsid w:val="00A8563C"/>
    <w:rsid w:val="00A859CC"/>
    <w:rsid w:val="00A859DA"/>
    <w:rsid w:val="00A85A15"/>
    <w:rsid w:val="00A85B2A"/>
    <w:rsid w:val="00A85BF5"/>
    <w:rsid w:val="00A862C8"/>
    <w:rsid w:val="00A8630F"/>
    <w:rsid w:val="00A865F6"/>
    <w:rsid w:val="00A86A76"/>
    <w:rsid w:val="00A86CD5"/>
    <w:rsid w:val="00A8701F"/>
    <w:rsid w:val="00A872FC"/>
    <w:rsid w:val="00A87425"/>
    <w:rsid w:val="00A87B9A"/>
    <w:rsid w:val="00A901C4"/>
    <w:rsid w:val="00A901F0"/>
    <w:rsid w:val="00A908C3"/>
    <w:rsid w:val="00A90A6E"/>
    <w:rsid w:val="00A90DAA"/>
    <w:rsid w:val="00A90DF4"/>
    <w:rsid w:val="00A9115E"/>
    <w:rsid w:val="00A913A9"/>
    <w:rsid w:val="00A91573"/>
    <w:rsid w:val="00A919C7"/>
    <w:rsid w:val="00A91A82"/>
    <w:rsid w:val="00A91CBD"/>
    <w:rsid w:val="00A91D5C"/>
    <w:rsid w:val="00A9215C"/>
    <w:rsid w:val="00A92300"/>
    <w:rsid w:val="00A925F0"/>
    <w:rsid w:val="00A92D21"/>
    <w:rsid w:val="00A92DED"/>
    <w:rsid w:val="00A92F7E"/>
    <w:rsid w:val="00A93253"/>
    <w:rsid w:val="00A93608"/>
    <w:rsid w:val="00A936C0"/>
    <w:rsid w:val="00A938D0"/>
    <w:rsid w:val="00A93F38"/>
    <w:rsid w:val="00A943FC"/>
    <w:rsid w:val="00A94474"/>
    <w:rsid w:val="00A945EC"/>
    <w:rsid w:val="00A94609"/>
    <w:rsid w:val="00A94942"/>
    <w:rsid w:val="00A949BE"/>
    <w:rsid w:val="00A949C2"/>
    <w:rsid w:val="00A94EEE"/>
    <w:rsid w:val="00A94F9E"/>
    <w:rsid w:val="00A95276"/>
    <w:rsid w:val="00A95293"/>
    <w:rsid w:val="00A95488"/>
    <w:rsid w:val="00A95673"/>
    <w:rsid w:val="00A95CC1"/>
    <w:rsid w:val="00A95D88"/>
    <w:rsid w:val="00A95EDB"/>
    <w:rsid w:val="00A96CA0"/>
    <w:rsid w:val="00A96E4F"/>
    <w:rsid w:val="00A97074"/>
    <w:rsid w:val="00A976BB"/>
    <w:rsid w:val="00A97AD2"/>
    <w:rsid w:val="00A97CFF"/>
    <w:rsid w:val="00A97EE9"/>
    <w:rsid w:val="00A97F0F"/>
    <w:rsid w:val="00A97F45"/>
    <w:rsid w:val="00AA001C"/>
    <w:rsid w:val="00AA0243"/>
    <w:rsid w:val="00AA03FE"/>
    <w:rsid w:val="00AA071C"/>
    <w:rsid w:val="00AA0992"/>
    <w:rsid w:val="00AA0B0D"/>
    <w:rsid w:val="00AA120B"/>
    <w:rsid w:val="00AA173D"/>
    <w:rsid w:val="00AA175D"/>
    <w:rsid w:val="00AA18B1"/>
    <w:rsid w:val="00AA1A3E"/>
    <w:rsid w:val="00AA1C50"/>
    <w:rsid w:val="00AA1ECF"/>
    <w:rsid w:val="00AA23EA"/>
    <w:rsid w:val="00AA2624"/>
    <w:rsid w:val="00AA2713"/>
    <w:rsid w:val="00AA282E"/>
    <w:rsid w:val="00AA2857"/>
    <w:rsid w:val="00AA2D3B"/>
    <w:rsid w:val="00AA2E7C"/>
    <w:rsid w:val="00AA3175"/>
    <w:rsid w:val="00AA3184"/>
    <w:rsid w:val="00AA34A0"/>
    <w:rsid w:val="00AA3587"/>
    <w:rsid w:val="00AA37DA"/>
    <w:rsid w:val="00AA37F2"/>
    <w:rsid w:val="00AA3CB1"/>
    <w:rsid w:val="00AA3D6B"/>
    <w:rsid w:val="00AA3F24"/>
    <w:rsid w:val="00AA4333"/>
    <w:rsid w:val="00AA442B"/>
    <w:rsid w:val="00AA4468"/>
    <w:rsid w:val="00AA47ED"/>
    <w:rsid w:val="00AA4955"/>
    <w:rsid w:val="00AA4A20"/>
    <w:rsid w:val="00AA4C58"/>
    <w:rsid w:val="00AA58F8"/>
    <w:rsid w:val="00AA593A"/>
    <w:rsid w:val="00AA5D04"/>
    <w:rsid w:val="00AA5DC7"/>
    <w:rsid w:val="00AA614E"/>
    <w:rsid w:val="00AA62C0"/>
    <w:rsid w:val="00AA6422"/>
    <w:rsid w:val="00AA691E"/>
    <w:rsid w:val="00AA6E30"/>
    <w:rsid w:val="00AA6FAE"/>
    <w:rsid w:val="00AA7656"/>
    <w:rsid w:val="00AA7B98"/>
    <w:rsid w:val="00AA7D1A"/>
    <w:rsid w:val="00AA7E29"/>
    <w:rsid w:val="00AB00C9"/>
    <w:rsid w:val="00AB0121"/>
    <w:rsid w:val="00AB0180"/>
    <w:rsid w:val="00AB0621"/>
    <w:rsid w:val="00AB0985"/>
    <w:rsid w:val="00AB1287"/>
    <w:rsid w:val="00AB1899"/>
    <w:rsid w:val="00AB195E"/>
    <w:rsid w:val="00AB1D4C"/>
    <w:rsid w:val="00AB1FFC"/>
    <w:rsid w:val="00AB26D7"/>
    <w:rsid w:val="00AB3295"/>
    <w:rsid w:val="00AB33EC"/>
    <w:rsid w:val="00AB33F4"/>
    <w:rsid w:val="00AB3711"/>
    <w:rsid w:val="00AB3A29"/>
    <w:rsid w:val="00AB3CBE"/>
    <w:rsid w:val="00AB3D1D"/>
    <w:rsid w:val="00AB4698"/>
    <w:rsid w:val="00AB473D"/>
    <w:rsid w:val="00AB495F"/>
    <w:rsid w:val="00AB49C0"/>
    <w:rsid w:val="00AB4B9A"/>
    <w:rsid w:val="00AB4EBF"/>
    <w:rsid w:val="00AB50A9"/>
    <w:rsid w:val="00AB5E62"/>
    <w:rsid w:val="00AB5EE7"/>
    <w:rsid w:val="00AB6157"/>
    <w:rsid w:val="00AB62FE"/>
    <w:rsid w:val="00AB6523"/>
    <w:rsid w:val="00AB6553"/>
    <w:rsid w:val="00AB6AC0"/>
    <w:rsid w:val="00AB70E7"/>
    <w:rsid w:val="00AB7380"/>
    <w:rsid w:val="00AB764D"/>
    <w:rsid w:val="00AB786A"/>
    <w:rsid w:val="00AB79FD"/>
    <w:rsid w:val="00AB7AF2"/>
    <w:rsid w:val="00AB7D48"/>
    <w:rsid w:val="00AC018A"/>
    <w:rsid w:val="00AC04D2"/>
    <w:rsid w:val="00AC08B6"/>
    <w:rsid w:val="00AC0A4C"/>
    <w:rsid w:val="00AC0CA2"/>
    <w:rsid w:val="00AC0F55"/>
    <w:rsid w:val="00AC1120"/>
    <w:rsid w:val="00AC1229"/>
    <w:rsid w:val="00AC131D"/>
    <w:rsid w:val="00AC1940"/>
    <w:rsid w:val="00AC1D04"/>
    <w:rsid w:val="00AC26F9"/>
    <w:rsid w:val="00AC2AD8"/>
    <w:rsid w:val="00AC2B68"/>
    <w:rsid w:val="00AC2BA8"/>
    <w:rsid w:val="00AC3774"/>
    <w:rsid w:val="00AC3D3F"/>
    <w:rsid w:val="00AC44EC"/>
    <w:rsid w:val="00AC4557"/>
    <w:rsid w:val="00AC46AD"/>
    <w:rsid w:val="00AC4899"/>
    <w:rsid w:val="00AC4CBF"/>
    <w:rsid w:val="00AC4D82"/>
    <w:rsid w:val="00AC4FA1"/>
    <w:rsid w:val="00AC5260"/>
    <w:rsid w:val="00AC52BB"/>
    <w:rsid w:val="00AC5997"/>
    <w:rsid w:val="00AC5CAB"/>
    <w:rsid w:val="00AC622E"/>
    <w:rsid w:val="00AC622F"/>
    <w:rsid w:val="00AC642C"/>
    <w:rsid w:val="00AC64D8"/>
    <w:rsid w:val="00AC669B"/>
    <w:rsid w:val="00AC68D4"/>
    <w:rsid w:val="00AC698B"/>
    <w:rsid w:val="00AC6CBC"/>
    <w:rsid w:val="00AC6E8B"/>
    <w:rsid w:val="00AC6F3A"/>
    <w:rsid w:val="00AC70D2"/>
    <w:rsid w:val="00AC74C2"/>
    <w:rsid w:val="00AD0915"/>
    <w:rsid w:val="00AD0959"/>
    <w:rsid w:val="00AD0BF4"/>
    <w:rsid w:val="00AD0CFE"/>
    <w:rsid w:val="00AD0E80"/>
    <w:rsid w:val="00AD1627"/>
    <w:rsid w:val="00AD184F"/>
    <w:rsid w:val="00AD19E1"/>
    <w:rsid w:val="00AD1F6D"/>
    <w:rsid w:val="00AD2C36"/>
    <w:rsid w:val="00AD2D29"/>
    <w:rsid w:val="00AD2F9B"/>
    <w:rsid w:val="00AD3163"/>
    <w:rsid w:val="00AD361C"/>
    <w:rsid w:val="00AD3CE5"/>
    <w:rsid w:val="00AD42AD"/>
    <w:rsid w:val="00AD44B8"/>
    <w:rsid w:val="00AD4653"/>
    <w:rsid w:val="00AD4926"/>
    <w:rsid w:val="00AD507B"/>
    <w:rsid w:val="00AD5127"/>
    <w:rsid w:val="00AD55F9"/>
    <w:rsid w:val="00AD5721"/>
    <w:rsid w:val="00AD58EE"/>
    <w:rsid w:val="00AD59EF"/>
    <w:rsid w:val="00AD5A36"/>
    <w:rsid w:val="00AD5C57"/>
    <w:rsid w:val="00AD61B9"/>
    <w:rsid w:val="00AD6244"/>
    <w:rsid w:val="00AD699D"/>
    <w:rsid w:val="00AD6B6A"/>
    <w:rsid w:val="00AD732B"/>
    <w:rsid w:val="00AD73D0"/>
    <w:rsid w:val="00AD74B7"/>
    <w:rsid w:val="00AD7769"/>
    <w:rsid w:val="00AD77B2"/>
    <w:rsid w:val="00AD7D40"/>
    <w:rsid w:val="00AD7D9F"/>
    <w:rsid w:val="00AD7FAF"/>
    <w:rsid w:val="00AE0181"/>
    <w:rsid w:val="00AE044E"/>
    <w:rsid w:val="00AE05C6"/>
    <w:rsid w:val="00AE0834"/>
    <w:rsid w:val="00AE0B50"/>
    <w:rsid w:val="00AE0C92"/>
    <w:rsid w:val="00AE101D"/>
    <w:rsid w:val="00AE12AE"/>
    <w:rsid w:val="00AE153F"/>
    <w:rsid w:val="00AE16AD"/>
    <w:rsid w:val="00AE1A6E"/>
    <w:rsid w:val="00AE1CC8"/>
    <w:rsid w:val="00AE2121"/>
    <w:rsid w:val="00AE255F"/>
    <w:rsid w:val="00AE259B"/>
    <w:rsid w:val="00AE2C8F"/>
    <w:rsid w:val="00AE2EEB"/>
    <w:rsid w:val="00AE2EFA"/>
    <w:rsid w:val="00AE2F51"/>
    <w:rsid w:val="00AE3068"/>
    <w:rsid w:val="00AE32CA"/>
    <w:rsid w:val="00AE32DA"/>
    <w:rsid w:val="00AE378D"/>
    <w:rsid w:val="00AE3D44"/>
    <w:rsid w:val="00AE3F92"/>
    <w:rsid w:val="00AE412D"/>
    <w:rsid w:val="00AE42F0"/>
    <w:rsid w:val="00AE493F"/>
    <w:rsid w:val="00AE4B70"/>
    <w:rsid w:val="00AE4EBD"/>
    <w:rsid w:val="00AE52CC"/>
    <w:rsid w:val="00AE5329"/>
    <w:rsid w:val="00AE5538"/>
    <w:rsid w:val="00AE56B0"/>
    <w:rsid w:val="00AE5836"/>
    <w:rsid w:val="00AE5985"/>
    <w:rsid w:val="00AE5E27"/>
    <w:rsid w:val="00AE619A"/>
    <w:rsid w:val="00AE626D"/>
    <w:rsid w:val="00AE62CE"/>
    <w:rsid w:val="00AE6475"/>
    <w:rsid w:val="00AE68DF"/>
    <w:rsid w:val="00AE6B5E"/>
    <w:rsid w:val="00AE6E73"/>
    <w:rsid w:val="00AE6ED9"/>
    <w:rsid w:val="00AF005E"/>
    <w:rsid w:val="00AF07FB"/>
    <w:rsid w:val="00AF0B28"/>
    <w:rsid w:val="00AF1305"/>
    <w:rsid w:val="00AF1573"/>
    <w:rsid w:val="00AF19AF"/>
    <w:rsid w:val="00AF1E77"/>
    <w:rsid w:val="00AF1EA2"/>
    <w:rsid w:val="00AF2A5B"/>
    <w:rsid w:val="00AF2B9B"/>
    <w:rsid w:val="00AF2C19"/>
    <w:rsid w:val="00AF2C26"/>
    <w:rsid w:val="00AF2F0C"/>
    <w:rsid w:val="00AF2F34"/>
    <w:rsid w:val="00AF3CB2"/>
    <w:rsid w:val="00AF3DE4"/>
    <w:rsid w:val="00AF4280"/>
    <w:rsid w:val="00AF42AE"/>
    <w:rsid w:val="00AF4769"/>
    <w:rsid w:val="00AF4A72"/>
    <w:rsid w:val="00AF4C96"/>
    <w:rsid w:val="00AF54FF"/>
    <w:rsid w:val="00AF5519"/>
    <w:rsid w:val="00AF590E"/>
    <w:rsid w:val="00AF5A60"/>
    <w:rsid w:val="00AF5E20"/>
    <w:rsid w:val="00AF5FA0"/>
    <w:rsid w:val="00AF6206"/>
    <w:rsid w:val="00AF663F"/>
    <w:rsid w:val="00AF6933"/>
    <w:rsid w:val="00AF6AD6"/>
    <w:rsid w:val="00AF7492"/>
    <w:rsid w:val="00AF7528"/>
    <w:rsid w:val="00AF7969"/>
    <w:rsid w:val="00AF7B3C"/>
    <w:rsid w:val="00AF7BC1"/>
    <w:rsid w:val="00AF7D9C"/>
    <w:rsid w:val="00AF7F8F"/>
    <w:rsid w:val="00B002C8"/>
    <w:rsid w:val="00B003C5"/>
    <w:rsid w:val="00B00435"/>
    <w:rsid w:val="00B00622"/>
    <w:rsid w:val="00B015B6"/>
    <w:rsid w:val="00B01911"/>
    <w:rsid w:val="00B01D52"/>
    <w:rsid w:val="00B01DB9"/>
    <w:rsid w:val="00B0277A"/>
    <w:rsid w:val="00B02968"/>
    <w:rsid w:val="00B02A56"/>
    <w:rsid w:val="00B02D8C"/>
    <w:rsid w:val="00B02E7B"/>
    <w:rsid w:val="00B02EB6"/>
    <w:rsid w:val="00B03B73"/>
    <w:rsid w:val="00B03C05"/>
    <w:rsid w:val="00B03C2E"/>
    <w:rsid w:val="00B042E4"/>
    <w:rsid w:val="00B04A7A"/>
    <w:rsid w:val="00B04B89"/>
    <w:rsid w:val="00B04B8A"/>
    <w:rsid w:val="00B04C86"/>
    <w:rsid w:val="00B04E10"/>
    <w:rsid w:val="00B05025"/>
    <w:rsid w:val="00B0507A"/>
    <w:rsid w:val="00B052D3"/>
    <w:rsid w:val="00B05620"/>
    <w:rsid w:val="00B0571A"/>
    <w:rsid w:val="00B05A00"/>
    <w:rsid w:val="00B05A20"/>
    <w:rsid w:val="00B05AAB"/>
    <w:rsid w:val="00B05D1E"/>
    <w:rsid w:val="00B05D5A"/>
    <w:rsid w:val="00B05EE3"/>
    <w:rsid w:val="00B0626B"/>
    <w:rsid w:val="00B0653D"/>
    <w:rsid w:val="00B06E43"/>
    <w:rsid w:val="00B06EB0"/>
    <w:rsid w:val="00B07622"/>
    <w:rsid w:val="00B07D63"/>
    <w:rsid w:val="00B1124D"/>
    <w:rsid w:val="00B116D7"/>
    <w:rsid w:val="00B1174B"/>
    <w:rsid w:val="00B118EC"/>
    <w:rsid w:val="00B11AA9"/>
    <w:rsid w:val="00B11B74"/>
    <w:rsid w:val="00B11D99"/>
    <w:rsid w:val="00B11DAE"/>
    <w:rsid w:val="00B11F45"/>
    <w:rsid w:val="00B11F86"/>
    <w:rsid w:val="00B1206D"/>
    <w:rsid w:val="00B120A1"/>
    <w:rsid w:val="00B12306"/>
    <w:rsid w:val="00B128E0"/>
    <w:rsid w:val="00B12A65"/>
    <w:rsid w:val="00B12DE3"/>
    <w:rsid w:val="00B12E28"/>
    <w:rsid w:val="00B12F70"/>
    <w:rsid w:val="00B12F9D"/>
    <w:rsid w:val="00B13060"/>
    <w:rsid w:val="00B13212"/>
    <w:rsid w:val="00B13366"/>
    <w:rsid w:val="00B13426"/>
    <w:rsid w:val="00B13574"/>
    <w:rsid w:val="00B135F9"/>
    <w:rsid w:val="00B1374F"/>
    <w:rsid w:val="00B137E1"/>
    <w:rsid w:val="00B138A2"/>
    <w:rsid w:val="00B138EA"/>
    <w:rsid w:val="00B13A25"/>
    <w:rsid w:val="00B13B90"/>
    <w:rsid w:val="00B13E33"/>
    <w:rsid w:val="00B1443F"/>
    <w:rsid w:val="00B14E29"/>
    <w:rsid w:val="00B14FF3"/>
    <w:rsid w:val="00B15313"/>
    <w:rsid w:val="00B155B0"/>
    <w:rsid w:val="00B1588C"/>
    <w:rsid w:val="00B159C0"/>
    <w:rsid w:val="00B15B37"/>
    <w:rsid w:val="00B15BEE"/>
    <w:rsid w:val="00B15CD8"/>
    <w:rsid w:val="00B15DAA"/>
    <w:rsid w:val="00B15EBA"/>
    <w:rsid w:val="00B16043"/>
    <w:rsid w:val="00B16162"/>
    <w:rsid w:val="00B16ED1"/>
    <w:rsid w:val="00B17249"/>
    <w:rsid w:val="00B174FD"/>
    <w:rsid w:val="00B177E4"/>
    <w:rsid w:val="00B17A6D"/>
    <w:rsid w:val="00B17F5B"/>
    <w:rsid w:val="00B1D906"/>
    <w:rsid w:val="00B200FF"/>
    <w:rsid w:val="00B202FA"/>
    <w:rsid w:val="00B20803"/>
    <w:rsid w:val="00B20913"/>
    <w:rsid w:val="00B20ABE"/>
    <w:rsid w:val="00B20CC5"/>
    <w:rsid w:val="00B20EAA"/>
    <w:rsid w:val="00B20ECE"/>
    <w:rsid w:val="00B21249"/>
    <w:rsid w:val="00B2146D"/>
    <w:rsid w:val="00B21832"/>
    <w:rsid w:val="00B219D0"/>
    <w:rsid w:val="00B21C70"/>
    <w:rsid w:val="00B22262"/>
    <w:rsid w:val="00B22263"/>
    <w:rsid w:val="00B2227A"/>
    <w:rsid w:val="00B22661"/>
    <w:rsid w:val="00B22A08"/>
    <w:rsid w:val="00B22A68"/>
    <w:rsid w:val="00B22AF6"/>
    <w:rsid w:val="00B22E28"/>
    <w:rsid w:val="00B2394B"/>
    <w:rsid w:val="00B23EE3"/>
    <w:rsid w:val="00B240EE"/>
    <w:rsid w:val="00B24168"/>
    <w:rsid w:val="00B241C8"/>
    <w:rsid w:val="00B24278"/>
    <w:rsid w:val="00B24937"/>
    <w:rsid w:val="00B24AB3"/>
    <w:rsid w:val="00B25632"/>
    <w:rsid w:val="00B259DA"/>
    <w:rsid w:val="00B25AD3"/>
    <w:rsid w:val="00B25CBF"/>
    <w:rsid w:val="00B25F61"/>
    <w:rsid w:val="00B26144"/>
    <w:rsid w:val="00B26151"/>
    <w:rsid w:val="00B2619A"/>
    <w:rsid w:val="00B26DE5"/>
    <w:rsid w:val="00B2724F"/>
    <w:rsid w:val="00B27462"/>
    <w:rsid w:val="00B27A46"/>
    <w:rsid w:val="00B27AE7"/>
    <w:rsid w:val="00B27FB4"/>
    <w:rsid w:val="00B303AB"/>
    <w:rsid w:val="00B304DC"/>
    <w:rsid w:val="00B3076A"/>
    <w:rsid w:val="00B308E5"/>
    <w:rsid w:val="00B30B29"/>
    <w:rsid w:val="00B3132C"/>
    <w:rsid w:val="00B314FF"/>
    <w:rsid w:val="00B31753"/>
    <w:rsid w:val="00B31EDA"/>
    <w:rsid w:val="00B31F1F"/>
    <w:rsid w:val="00B32069"/>
    <w:rsid w:val="00B322ED"/>
    <w:rsid w:val="00B323A9"/>
    <w:rsid w:val="00B3258F"/>
    <w:rsid w:val="00B3263D"/>
    <w:rsid w:val="00B32680"/>
    <w:rsid w:val="00B32A67"/>
    <w:rsid w:val="00B32BA6"/>
    <w:rsid w:val="00B333B7"/>
    <w:rsid w:val="00B334A0"/>
    <w:rsid w:val="00B334EB"/>
    <w:rsid w:val="00B336D5"/>
    <w:rsid w:val="00B33A6D"/>
    <w:rsid w:val="00B340AA"/>
    <w:rsid w:val="00B342C2"/>
    <w:rsid w:val="00B34679"/>
    <w:rsid w:val="00B34732"/>
    <w:rsid w:val="00B349FF"/>
    <w:rsid w:val="00B34C03"/>
    <w:rsid w:val="00B34E6A"/>
    <w:rsid w:val="00B34F92"/>
    <w:rsid w:val="00B35408"/>
    <w:rsid w:val="00B3583D"/>
    <w:rsid w:val="00B35982"/>
    <w:rsid w:val="00B3598A"/>
    <w:rsid w:val="00B35B22"/>
    <w:rsid w:val="00B35D84"/>
    <w:rsid w:val="00B35FB4"/>
    <w:rsid w:val="00B36032"/>
    <w:rsid w:val="00B36714"/>
    <w:rsid w:val="00B36F7D"/>
    <w:rsid w:val="00B376C7"/>
    <w:rsid w:val="00B3786C"/>
    <w:rsid w:val="00B37A85"/>
    <w:rsid w:val="00B4077B"/>
    <w:rsid w:val="00B40888"/>
    <w:rsid w:val="00B40CB2"/>
    <w:rsid w:val="00B40F08"/>
    <w:rsid w:val="00B40FE1"/>
    <w:rsid w:val="00B414DB"/>
    <w:rsid w:val="00B417B4"/>
    <w:rsid w:val="00B41B83"/>
    <w:rsid w:val="00B41C84"/>
    <w:rsid w:val="00B41FCD"/>
    <w:rsid w:val="00B422B2"/>
    <w:rsid w:val="00B42592"/>
    <w:rsid w:val="00B42672"/>
    <w:rsid w:val="00B42677"/>
    <w:rsid w:val="00B428EA"/>
    <w:rsid w:val="00B42B4C"/>
    <w:rsid w:val="00B42D5E"/>
    <w:rsid w:val="00B433F7"/>
    <w:rsid w:val="00B43798"/>
    <w:rsid w:val="00B438FE"/>
    <w:rsid w:val="00B43B8B"/>
    <w:rsid w:val="00B43B97"/>
    <w:rsid w:val="00B43D0B"/>
    <w:rsid w:val="00B43D1E"/>
    <w:rsid w:val="00B442AF"/>
    <w:rsid w:val="00B44462"/>
    <w:rsid w:val="00B447F8"/>
    <w:rsid w:val="00B44884"/>
    <w:rsid w:val="00B44B9F"/>
    <w:rsid w:val="00B44DDA"/>
    <w:rsid w:val="00B45151"/>
    <w:rsid w:val="00B45451"/>
    <w:rsid w:val="00B45554"/>
    <w:rsid w:val="00B45D36"/>
    <w:rsid w:val="00B45F87"/>
    <w:rsid w:val="00B460F0"/>
    <w:rsid w:val="00B4610B"/>
    <w:rsid w:val="00B4651D"/>
    <w:rsid w:val="00B465B9"/>
    <w:rsid w:val="00B46DAA"/>
    <w:rsid w:val="00B46E30"/>
    <w:rsid w:val="00B4712F"/>
    <w:rsid w:val="00B4722E"/>
    <w:rsid w:val="00B47772"/>
    <w:rsid w:val="00B5005F"/>
    <w:rsid w:val="00B5016B"/>
    <w:rsid w:val="00B502F1"/>
    <w:rsid w:val="00B506FF"/>
    <w:rsid w:val="00B50A31"/>
    <w:rsid w:val="00B50A48"/>
    <w:rsid w:val="00B512F8"/>
    <w:rsid w:val="00B51C6B"/>
    <w:rsid w:val="00B51D9D"/>
    <w:rsid w:val="00B521F2"/>
    <w:rsid w:val="00B5224D"/>
    <w:rsid w:val="00B52323"/>
    <w:rsid w:val="00B5248D"/>
    <w:rsid w:val="00B52AB6"/>
    <w:rsid w:val="00B52B3C"/>
    <w:rsid w:val="00B52E14"/>
    <w:rsid w:val="00B52FF2"/>
    <w:rsid w:val="00B530E3"/>
    <w:rsid w:val="00B53112"/>
    <w:rsid w:val="00B53166"/>
    <w:rsid w:val="00B53297"/>
    <w:rsid w:val="00B532E4"/>
    <w:rsid w:val="00B5379B"/>
    <w:rsid w:val="00B53B8A"/>
    <w:rsid w:val="00B53ED2"/>
    <w:rsid w:val="00B541E2"/>
    <w:rsid w:val="00B5462F"/>
    <w:rsid w:val="00B5480D"/>
    <w:rsid w:val="00B54CEC"/>
    <w:rsid w:val="00B55328"/>
    <w:rsid w:val="00B55521"/>
    <w:rsid w:val="00B55744"/>
    <w:rsid w:val="00B56255"/>
    <w:rsid w:val="00B565C3"/>
    <w:rsid w:val="00B56724"/>
    <w:rsid w:val="00B568D9"/>
    <w:rsid w:val="00B56B46"/>
    <w:rsid w:val="00B57263"/>
    <w:rsid w:val="00B5729B"/>
    <w:rsid w:val="00B575BF"/>
    <w:rsid w:val="00B575E0"/>
    <w:rsid w:val="00B5783A"/>
    <w:rsid w:val="00B57FB4"/>
    <w:rsid w:val="00B6035C"/>
    <w:rsid w:val="00B607D2"/>
    <w:rsid w:val="00B608F2"/>
    <w:rsid w:val="00B60EB9"/>
    <w:rsid w:val="00B61423"/>
    <w:rsid w:val="00B6151A"/>
    <w:rsid w:val="00B6161E"/>
    <w:rsid w:val="00B61698"/>
    <w:rsid w:val="00B6198D"/>
    <w:rsid w:val="00B61A55"/>
    <w:rsid w:val="00B61C25"/>
    <w:rsid w:val="00B61E4D"/>
    <w:rsid w:val="00B61E6F"/>
    <w:rsid w:val="00B6284E"/>
    <w:rsid w:val="00B62A7A"/>
    <w:rsid w:val="00B63097"/>
    <w:rsid w:val="00B6323E"/>
    <w:rsid w:val="00B6337E"/>
    <w:rsid w:val="00B634FB"/>
    <w:rsid w:val="00B6392B"/>
    <w:rsid w:val="00B63E68"/>
    <w:rsid w:val="00B63FAC"/>
    <w:rsid w:val="00B64128"/>
    <w:rsid w:val="00B6459F"/>
    <w:rsid w:val="00B64620"/>
    <w:rsid w:val="00B64911"/>
    <w:rsid w:val="00B64B94"/>
    <w:rsid w:val="00B64BCB"/>
    <w:rsid w:val="00B64C6A"/>
    <w:rsid w:val="00B64F88"/>
    <w:rsid w:val="00B64FFD"/>
    <w:rsid w:val="00B650BE"/>
    <w:rsid w:val="00B6512B"/>
    <w:rsid w:val="00B6532E"/>
    <w:rsid w:val="00B65451"/>
    <w:rsid w:val="00B655EA"/>
    <w:rsid w:val="00B65740"/>
    <w:rsid w:val="00B65823"/>
    <w:rsid w:val="00B65B50"/>
    <w:rsid w:val="00B65DD7"/>
    <w:rsid w:val="00B65F6F"/>
    <w:rsid w:val="00B66196"/>
    <w:rsid w:val="00B662DE"/>
    <w:rsid w:val="00B662E3"/>
    <w:rsid w:val="00B66561"/>
    <w:rsid w:val="00B665FB"/>
    <w:rsid w:val="00B6664E"/>
    <w:rsid w:val="00B66752"/>
    <w:rsid w:val="00B669AD"/>
    <w:rsid w:val="00B6710E"/>
    <w:rsid w:val="00B6779C"/>
    <w:rsid w:val="00B67BC5"/>
    <w:rsid w:val="00B67E11"/>
    <w:rsid w:val="00B67EA7"/>
    <w:rsid w:val="00B702E2"/>
    <w:rsid w:val="00B702E8"/>
    <w:rsid w:val="00B70318"/>
    <w:rsid w:val="00B7063B"/>
    <w:rsid w:val="00B70847"/>
    <w:rsid w:val="00B708D0"/>
    <w:rsid w:val="00B70D9A"/>
    <w:rsid w:val="00B71242"/>
    <w:rsid w:val="00B7172E"/>
    <w:rsid w:val="00B719D4"/>
    <w:rsid w:val="00B7200C"/>
    <w:rsid w:val="00B72354"/>
    <w:rsid w:val="00B72462"/>
    <w:rsid w:val="00B728FF"/>
    <w:rsid w:val="00B72938"/>
    <w:rsid w:val="00B72FC9"/>
    <w:rsid w:val="00B7336E"/>
    <w:rsid w:val="00B733F9"/>
    <w:rsid w:val="00B73613"/>
    <w:rsid w:val="00B73A80"/>
    <w:rsid w:val="00B73AAA"/>
    <w:rsid w:val="00B73E8F"/>
    <w:rsid w:val="00B7463E"/>
    <w:rsid w:val="00B7471B"/>
    <w:rsid w:val="00B74A5C"/>
    <w:rsid w:val="00B74B01"/>
    <w:rsid w:val="00B74C65"/>
    <w:rsid w:val="00B75FE8"/>
    <w:rsid w:val="00B7681C"/>
    <w:rsid w:val="00B76EE1"/>
    <w:rsid w:val="00B76F8A"/>
    <w:rsid w:val="00B771ED"/>
    <w:rsid w:val="00B775A5"/>
    <w:rsid w:val="00B778E7"/>
    <w:rsid w:val="00B80308"/>
    <w:rsid w:val="00B8031F"/>
    <w:rsid w:val="00B8055C"/>
    <w:rsid w:val="00B80603"/>
    <w:rsid w:val="00B807B4"/>
    <w:rsid w:val="00B809A2"/>
    <w:rsid w:val="00B80B5B"/>
    <w:rsid w:val="00B80C5C"/>
    <w:rsid w:val="00B80CF0"/>
    <w:rsid w:val="00B80E88"/>
    <w:rsid w:val="00B81010"/>
    <w:rsid w:val="00B81025"/>
    <w:rsid w:val="00B81560"/>
    <w:rsid w:val="00B816A6"/>
    <w:rsid w:val="00B81A21"/>
    <w:rsid w:val="00B81B0A"/>
    <w:rsid w:val="00B81BAF"/>
    <w:rsid w:val="00B81BFC"/>
    <w:rsid w:val="00B8247A"/>
    <w:rsid w:val="00B8260F"/>
    <w:rsid w:val="00B82D1C"/>
    <w:rsid w:val="00B82F66"/>
    <w:rsid w:val="00B832BF"/>
    <w:rsid w:val="00B834AF"/>
    <w:rsid w:val="00B83AFE"/>
    <w:rsid w:val="00B83C31"/>
    <w:rsid w:val="00B83EC1"/>
    <w:rsid w:val="00B83F62"/>
    <w:rsid w:val="00B8405F"/>
    <w:rsid w:val="00B8413E"/>
    <w:rsid w:val="00B8418D"/>
    <w:rsid w:val="00B845BA"/>
    <w:rsid w:val="00B848AB"/>
    <w:rsid w:val="00B84B2F"/>
    <w:rsid w:val="00B84C9B"/>
    <w:rsid w:val="00B85572"/>
    <w:rsid w:val="00B85A95"/>
    <w:rsid w:val="00B85B21"/>
    <w:rsid w:val="00B85B3C"/>
    <w:rsid w:val="00B85C6D"/>
    <w:rsid w:val="00B85DFA"/>
    <w:rsid w:val="00B85F10"/>
    <w:rsid w:val="00B85F64"/>
    <w:rsid w:val="00B8605B"/>
    <w:rsid w:val="00B86423"/>
    <w:rsid w:val="00B873A9"/>
    <w:rsid w:val="00B87480"/>
    <w:rsid w:val="00B876CC"/>
    <w:rsid w:val="00B87874"/>
    <w:rsid w:val="00B878C0"/>
    <w:rsid w:val="00B87B6E"/>
    <w:rsid w:val="00B87BF1"/>
    <w:rsid w:val="00B87DBF"/>
    <w:rsid w:val="00B87E5B"/>
    <w:rsid w:val="00B90A66"/>
    <w:rsid w:val="00B90FD0"/>
    <w:rsid w:val="00B91281"/>
    <w:rsid w:val="00B915FD"/>
    <w:rsid w:val="00B91916"/>
    <w:rsid w:val="00B91999"/>
    <w:rsid w:val="00B919CF"/>
    <w:rsid w:val="00B91A21"/>
    <w:rsid w:val="00B91E06"/>
    <w:rsid w:val="00B91F27"/>
    <w:rsid w:val="00B9218D"/>
    <w:rsid w:val="00B921FE"/>
    <w:rsid w:val="00B922C3"/>
    <w:rsid w:val="00B92707"/>
    <w:rsid w:val="00B92988"/>
    <w:rsid w:val="00B92B8E"/>
    <w:rsid w:val="00B93937"/>
    <w:rsid w:val="00B943CA"/>
    <w:rsid w:val="00B94542"/>
    <w:rsid w:val="00B94555"/>
    <w:rsid w:val="00B94F2D"/>
    <w:rsid w:val="00B9515D"/>
    <w:rsid w:val="00B9519A"/>
    <w:rsid w:val="00B953AB"/>
    <w:rsid w:val="00B957BA"/>
    <w:rsid w:val="00B9593D"/>
    <w:rsid w:val="00B95BDB"/>
    <w:rsid w:val="00B95D0B"/>
    <w:rsid w:val="00B95D62"/>
    <w:rsid w:val="00B95EFA"/>
    <w:rsid w:val="00B96287"/>
    <w:rsid w:val="00B9663F"/>
    <w:rsid w:val="00B96ADC"/>
    <w:rsid w:val="00B96B50"/>
    <w:rsid w:val="00B96B6F"/>
    <w:rsid w:val="00B96EF0"/>
    <w:rsid w:val="00B971B6"/>
    <w:rsid w:val="00B971E3"/>
    <w:rsid w:val="00B9721C"/>
    <w:rsid w:val="00B974AC"/>
    <w:rsid w:val="00B9799B"/>
    <w:rsid w:val="00BA0309"/>
    <w:rsid w:val="00BA0584"/>
    <w:rsid w:val="00BA06E7"/>
    <w:rsid w:val="00BA09ED"/>
    <w:rsid w:val="00BA0F87"/>
    <w:rsid w:val="00BA116D"/>
    <w:rsid w:val="00BA127D"/>
    <w:rsid w:val="00BA1402"/>
    <w:rsid w:val="00BA1744"/>
    <w:rsid w:val="00BA17A4"/>
    <w:rsid w:val="00BA1B59"/>
    <w:rsid w:val="00BA1CD4"/>
    <w:rsid w:val="00BA21C2"/>
    <w:rsid w:val="00BA222D"/>
    <w:rsid w:val="00BA237D"/>
    <w:rsid w:val="00BA3506"/>
    <w:rsid w:val="00BA36EC"/>
    <w:rsid w:val="00BA38FA"/>
    <w:rsid w:val="00BA3EE1"/>
    <w:rsid w:val="00BA3FC3"/>
    <w:rsid w:val="00BA4145"/>
    <w:rsid w:val="00BA44D0"/>
    <w:rsid w:val="00BA4662"/>
    <w:rsid w:val="00BA47E2"/>
    <w:rsid w:val="00BA4875"/>
    <w:rsid w:val="00BA4AFC"/>
    <w:rsid w:val="00BA4D02"/>
    <w:rsid w:val="00BA4D17"/>
    <w:rsid w:val="00BA5498"/>
    <w:rsid w:val="00BA5C7F"/>
    <w:rsid w:val="00BA5CBD"/>
    <w:rsid w:val="00BA5EF8"/>
    <w:rsid w:val="00BA5F94"/>
    <w:rsid w:val="00BA6275"/>
    <w:rsid w:val="00BA648C"/>
    <w:rsid w:val="00BA64AE"/>
    <w:rsid w:val="00BA6AB8"/>
    <w:rsid w:val="00BA6C6D"/>
    <w:rsid w:val="00BA78C4"/>
    <w:rsid w:val="00BA7E44"/>
    <w:rsid w:val="00BB0411"/>
    <w:rsid w:val="00BB04E1"/>
    <w:rsid w:val="00BB05D2"/>
    <w:rsid w:val="00BB0753"/>
    <w:rsid w:val="00BB07DA"/>
    <w:rsid w:val="00BB0883"/>
    <w:rsid w:val="00BB0972"/>
    <w:rsid w:val="00BB0974"/>
    <w:rsid w:val="00BB0D75"/>
    <w:rsid w:val="00BB0DF6"/>
    <w:rsid w:val="00BB0EE8"/>
    <w:rsid w:val="00BB0EF6"/>
    <w:rsid w:val="00BB10F3"/>
    <w:rsid w:val="00BB1682"/>
    <w:rsid w:val="00BB176D"/>
    <w:rsid w:val="00BB179E"/>
    <w:rsid w:val="00BB19B5"/>
    <w:rsid w:val="00BB1BEF"/>
    <w:rsid w:val="00BB1F89"/>
    <w:rsid w:val="00BB25E0"/>
    <w:rsid w:val="00BB2880"/>
    <w:rsid w:val="00BB2AAC"/>
    <w:rsid w:val="00BB2B5A"/>
    <w:rsid w:val="00BB2D82"/>
    <w:rsid w:val="00BB2DA9"/>
    <w:rsid w:val="00BB2F07"/>
    <w:rsid w:val="00BB3613"/>
    <w:rsid w:val="00BB36D3"/>
    <w:rsid w:val="00BB38A9"/>
    <w:rsid w:val="00BB38EB"/>
    <w:rsid w:val="00BB3B81"/>
    <w:rsid w:val="00BB4808"/>
    <w:rsid w:val="00BB4B68"/>
    <w:rsid w:val="00BB54D7"/>
    <w:rsid w:val="00BB5880"/>
    <w:rsid w:val="00BB620A"/>
    <w:rsid w:val="00BB646D"/>
    <w:rsid w:val="00BB64BB"/>
    <w:rsid w:val="00BB6714"/>
    <w:rsid w:val="00BB67D4"/>
    <w:rsid w:val="00BB68E0"/>
    <w:rsid w:val="00BB6A41"/>
    <w:rsid w:val="00BB6D67"/>
    <w:rsid w:val="00BB702F"/>
    <w:rsid w:val="00BB729B"/>
    <w:rsid w:val="00BB7361"/>
    <w:rsid w:val="00BB763A"/>
    <w:rsid w:val="00BB766C"/>
    <w:rsid w:val="00BB7B81"/>
    <w:rsid w:val="00BB7FA3"/>
    <w:rsid w:val="00BC00B2"/>
    <w:rsid w:val="00BC0363"/>
    <w:rsid w:val="00BC0378"/>
    <w:rsid w:val="00BC05B4"/>
    <w:rsid w:val="00BC0787"/>
    <w:rsid w:val="00BC1539"/>
    <w:rsid w:val="00BC19CA"/>
    <w:rsid w:val="00BC2154"/>
    <w:rsid w:val="00BC2785"/>
    <w:rsid w:val="00BC28FF"/>
    <w:rsid w:val="00BC2BCC"/>
    <w:rsid w:val="00BC3055"/>
    <w:rsid w:val="00BC39C0"/>
    <w:rsid w:val="00BC3C9B"/>
    <w:rsid w:val="00BC3CAF"/>
    <w:rsid w:val="00BC3DDA"/>
    <w:rsid w:val="00BC3F07"/>
    <w:rsid w:val="00BC4520"/>
    <w:rsid w:val="00BC457A"/>
    <w:rsid w:val="00BC4602"/>
    <w:rsid w:val="00BC4664"/>
    <w:rsid w:val="00BC4F16"/>
    <w:rsid w:val="00BC5122"/>
    <w:rsid w:val="00BC5135"/>
    <w:rsid w:val="00BC5254"/>
    <w:rsid w:val="00BC5686"/>
    <w:rsid w:val="00BC5986"/>
    <w:rsid w:val="00BC5C2A"/>
    <w:rsid w:val="00BC5C2D"/>
    <w:rsid w:val="00BC6175"/>
    <w:rsid w:val="00BC62D3"/>
    <w:rsid w:val="00BC650D"/>
    <w:rsid w:val="00BC66F7"/>
    <w:rsid w:val="00BC6BEE"/>
    <w:rsid w:val="00BC7053"/>
    <w:rsid w:val="00BC70BC"/>
    <w:rsid w:val="00BC72DC"/>
    <w:rsid w:val="00BC75E2"/>
    <w:rsid w:val="00BC77E1"/>
    <w:rsid w:val="00BC7BE9"/>
    <w:rsid w:val="00BC7C12"/>
    <w:rsid w:val="00BC7C3F"/>
    <w:rsid w:val="00BD00D8"/>
    <w:rsid w:val="00BD09B0"/>
    <w:rsid w:val="00BD0B64"/>
    <w:rsid w:val="00BD0B88"/>
    <w:rsid w:val="00BD0BCD"/>
    <w:rsid w:val="00BD0D20"/>
    <w:rsid w:val="00BD1032"/>
    <w:rsid w:val="00BD103C"/>
    <w:rsid w:val="00BD113E"/>
    <w:rsid w:val="00BD159F"/>
    <w:rsid w:val="00BD15DF"/>
    <w:rsid w:val="00BD1697"/>
    <w:rsid w:val="00BD1D65"/>
    <w:rsid w:val="00BD2099"/>
    <w:rsid w:val="00BD2BAF"/>
    <w:rsid w:val="00BD2CCA"/>
    <w:rsid w:val="00BD30CA"/>
    <w:rsid w:val="00BD3129"/>
    <w:rsid w:val="00BD31B7"/>
    <w:rsid w:val="00BD3981"/>
    <w:rsid w:val="00BD3B45"/>
    <w:rsid w:val="00BD42CD"/>
    <w:rsid w:val="00BD42D4"/>
    <w:rsid w:val="00BD44BF"/>
    <w:rsid w:val="00BD44D2"/>
    <w:rsid w:val="00BD45A6"/>
    <w:rsid w:val="00BD471E"/>
    <w:rsid w:val="00BD4C06"/>
    <w:rsid w:val="00BD4C58"/>
    <w:rsid w:val="00BD4F12"/>
    <w:rsid w:val="00BD4F98"/>
    <w:rsid w:val="00BD522C"/>
    <w:rsid w:val="00BD5DEC"/>
    <w:rsid w:val="00BD601C"/>
    <w:rsid w:val="00BD62BE"/>
    <w:rsid w:val="00BD6985"/>
    <w:rsid w:val="00BD7394"/>
    <w:rsid w:val="00BD74DC"/>
    <w:rsid w:val="00BD74F5"/>
    <w:rsid w:val="00BD79E1"/>
    <w:rsid w:val="00BE06AC"/>
    <w:rsid w:val="00BE110C"/>
    <w:rsid w:val="00BE162D"/>
    <w:rsid w:val="00BE16FB"/>
    <w:rsid w:val="00BE17F9"/>
    <w:rsid w:val="00BE1ABB"/>
    <w:rsid w:val="00BE2453"/>
    <w:rsid w:val="00BE2AA8"/>
    <w:rsid w:val="00BE2D11"/>
    <w:rsid w:val="00BE2F66"/>
    <w:rsid w:val="00BE32CF"/>
    <w:rsid w:val="00BE3614"/>
    <w:rsid w:val="00BE38DC"/>
    <w:rsid w:val="00BE3DCB"/>
    <w:rsid w:val="00BE3F13"/>
    <w:rsid w:val="00BE4072"/>
    <w:rsid w:val="00BE40D2"/>
    <w:rsid w:val="00BE4203"/>
    <w:rsid w:val="00BE433C"/>
    <w:rsid w:val="00BE442C"/>
    <w:rsid w:val="00BE46E2"/>
    <w:rsid w:val="00BE4723"/>
    <w:rsid w:val="00BE4961"/>
    <w:rsid w:val="00BE4C7C"/>
    <w:rsid w:val="00BE5565"/>
    <w:rsid w:val="00BE56D7"/>
    <w:rsid w:val="00BE5AFE"/>
    <w:rsid w:val="00BE5DED"/>
    <w:rsid w:val="00BE616B"/>
    <w:rsid w:val="00BE6309"/>
    <w:rsid w:val="00BE65F6"/>
    <w:rsid w:val="00BE68A3"/>
    <w:rsid w:val="00BE6EAE"/>
    <w:rsid w:val="00BE7227"/>
    <w:rsid w:val="00BE7588"/>
    <w:rsid w:val="00BE7735"/>
    <w:rsid w:val="00BE7948"/>
    <w:rsid w:val="00BE7DFB"/>
    <w:rsid w:val="00BF05DD"/>
    <w:rsid w:val="00BF0665"/>
    <w:rsid w:val="00BF0A97"/>
    <w:rsid w:val="00BF0D80"/>
    <w:rsid w:val="00BF0D9D"/>
    <w:rsid w:val="00BF136F"/>
    <w:rsid w:val="00BF13EA"/>
    <w:rsid w:val="00BF15D3"/>
    <w:rsid w:val="00BF19E6"/>
    <w:rsid w:val="00BF1E8B"/>
    <w:rsid w:val="00BF2704"/>
    <w:rsid w:val="00BF2931"/>
    <w:rsid w:val="00BF29AF"/>
    <w:rsid w:val="00BF2D60"/>
    <w:rsid w:val="00BF374A"/>
    <w:rsid w:val="00BF3910"/>
    <w:rsid w:val="00BF3B1F"/>
    <w:rsid w:val="00BF3BA6"/>
    <w:rsid w:val="00BF3C3B"/>
    <w:rsid w:val="00BF3EF6"/>
    <w:rsid w:val="00BF3F63"/>
    <w:rsid w:val="00BF40DB"/>
    <w:rsid w:val="00BF4643"/>
    <w:rsid w:val="00BF4722"/>
    <w:rsid w:val="00BF4BDB"/>
    <w:rsid w:val="00BF4C8C"/>
    <w:rsid w:val="00BF4F8E"/>
    <w:rsid w:val="00BF577F"/>
    <w:rsid w:val="00BF57DA"/>
    <w:rsid w:val="00BF58A5"/>
    <w:rsid w:val="00BF58B0"/>
    <w:rsid w:val="00BF613E"/>
    <w:rsid w:val="00BF61AE"/>
    <w:rsid w:val="00BF691F"/>
    <w:rsid w:val="00BF6B98"/>
    <w:rsid w:val="00BF7411"/>
    <w:rsid w:val="00BF743F"/>
    <w:rsid w:val="00BF788A"/>
    <w:rsid w:val="00BF78C2"/>
    <w:rsid w:val="00BF79E6"/>
    <w:rsid w:val="00BF7AD1"/>
    <w:rsid w:val="00BF7AEC"/>
    <w:rsid w:val="00BF7D4F"/>
    <w:rsid w:val="00C00078"/>
    <w:rsid w:val="00C00263"/>
    <w:rsid w:val="00C0037E"/>
    <w:rsid w:val="00C003EE"/>
    <w:rsid w:val="00C006EE"/>
    <w:rsid w:val="00C00750"/>
    <w:rsid w:val="00C00772"/>
    <w:rsid w:val="00C00B12"/>
    <w:rsid w:val="00C0108F"/>
    <w:rsid w:val="00C01373"/>
    <w:rsid w:val="00C02179"/>
    <w:rsid w:val="00C029A5"/>
    <w:rsid w:val="00C02B9F"/>
    <w:rsid w:val="00C02C7A"/>
    <w:rsid w:val="00C02D70"/>
    <w:rsid w:val="00C02DD4"/>
    <w:rsid w:val="00C03025"/>
    <w:rsid w:val="00C030F3"/>
    <w:rsid w:val="00C03238"/>
    <w:rsid w:val="00C034FE"/>
    <w:rsid w:val="00C03631"/>
    <w:rsid w:val="00C03677"/>
    <w:rsid w:val="00C036AF"/>
    <w:rsid w:val="00C03782"/>
    <w:rsid w:val="00C03B2E"/>
    <w:rsid w:val="00C03B6A"/>
    <w:rsid w:val="00C03F63"/>
    <w:rsid w:val="00C0444E"/>
    <w:rsid w:val="00C046C7"/>
    <w:rsid w:val="00C0495B"/>
    <w:rsid w:val="00C04E8F"/>
    <w:rsid w:val="00C04F96"/>
    <w:rsid w:val="00C0567A"/>
    <w:rsid w:val="00C059FB"/>
    <w:rsid w:val="00C05B43"/>
    <w:rsid w:val="00C05D0C"/>
    <w:rsid w:val="00C063B6"/>
    <w:rsid w:val="00C064C0"/>
    <w:rsid w:val="00C068D8"/>
    <w:rsid w:val="00C07019"/>
    <w:rsid w:val="00C0729B"/>
    <w:rsid w:val="00C072CA"/>
    <w:rsid w:val="00C07368"/>
    <w:rsid w:val="00C074E6"/>
    <w:rsid w:val="00C078BD"/>
    <w:rsid w:val="00C07C08"/>
    <w:rsid w:val="00C07C93"/>
    <w:rsid w:val="00C07EAE"/>
    <w:rsid w:val="00C1044A"/>
    <w:rsid w:val="00C104DB"/>
    <w:rsid w:val="00C10854"/>
    <w:rsid w:val="00C108C8"/>
    <w:rsid w:val="00C10BC6"/>
    <w:rsid w:val="00C10BDF"/>
    <w:rsid w:val="00C10C43"/>
    <w:rsid w:val="00C10C63"/>
    <w:rsid w:val="00C11727"/>
    <w:rsid w:val="00C11A51"/>
    <w:rsid w:val="00C11E07"/>
    <w:rsid w:val="00C11E1D"/>
    <w:rsid w:val="00C11F4F"/>
    <w:rsid w:val="00C12160"/>
    <w:rsid w:val="00C12351"/>
    <w:rsid w:val="00C127AD"/>
    <w:rsid w:val="00C12B38"/>
    <w:rsid w:val="00C12E26"/>
    <w:rsid w:val="00C1307A"/>
    <w:rsid w:val="00C13096"/>
    <w:rsid w:val="00C131BD"/>
    <w:rsid w:val="00C1339D"/>
    <w:rsid w:val="00C134D6"/>
    <w:rsid w:val="00C135DF"/>
    <w:rsid w:val="00C1378A"/>
    <w:rsid w:val="00C13D5B"/>
    <w:rsid w:val="00C13F40"/>
    <w:rsid w:val="00C144DE"/>
    <w:rsid w:val="00C147D2"/>
    <w:rsid w:val="00C148FC"/>
    <w:rsid w:val="00C14BB4"/>
    <w:rsid w:val="00C14BF4"/>
    <w:rsid w:val="00C15395"/>
    <w:rsid w:val="00C154A2"/>
    <w:rsid w:val="00C1552E"/>
    <w:rsid w:val="00C15657"/>
    <w:rsid w:val="00C15EC6"/>
    <w:rsid w:val="00C1601E"/>
    <w:rsid w:val="00C164D9"/>
    <w:rsid w:val="00C16EEA"/>
    <w:rsid w:val="00C17077"/>
    <w:rsid w:val="00C174A7"/>
    <w:rsid w:val="00C174E9"/>
    <w:rsid w:val="00C1769B"/>
    <w:rsid w:val="00C17AB9"/>
    <w:rsid w:val="00C17BE8"/>
    <w:rsid w:val="00C201EC"/>
    <w:rsid w:val="00C2050F"/>
    <w:rsid w:val="00C205A2"/>
    <w:rsid w:val="00C20BBC"/>
    <w:rsid w:val="00C20F57"/>
    <w:rsid w:val="00C21016"/>
    <w:rsid w:val="00C210EE"/>
    <w:rsid w:val="00C213DF"/>
    <w:rsid w:val="00C216CA"/>
    <w:rsid w:val="00C21B9A"/>
    <w:rsid w:val="00C21BD3"/>
    <w:rsid w:val="00C220D5"/>
    <w:rsid w:val="00C22143"/>
    <w:rsid w:val="00C221E6"/>
    <w:rsid w:val="00C22394"/>
    <w:rsid w:val="00C225A4"/>
    <w:rsid w:val="00C22609"/>
    <w:rsid w:val="00C22799"/>
    <w:rsid w:val="00C227EA"/>
    <w:rsid w:val="00C22B90"/>
    <w:rsid w:val="00C22C10"/>
    <w:rsid w:val="00C22DE3"/>
    <w:rsid w:val="00C230A2"/>
    <w:rsid w:val="00C233CF"/>
    <w:rsid w:val="00C233F1"/>
    <w:rsid w:val="00C239AC"/>
    <w:rsid w:val="00C241EA"/>
    <w:rsid w:val="00C242E9"/>
    <w:rsid w:val="00C24754"/>
    <w:rsid w:val="00C2490D"/>
    <w:rsid w:val="00C24DCD"/>
    <w:rsid w:val="00C253C6"/>
    <w:rsid w:val="00C25438"/>
    <w:rsid w:val="00C257EC"/>
    <w:rsid w:val="00C25A0A"/>
    <w:rsid w:val="00C2605E"/>
    <w:rsid w:val="00C2682D"/>
    <w:rsid w:val="00C26D41"/>
    <w:rsid w:val="00C26DB6"/>
    <w:rsid w:val="00C26F1E"/>
    <w:rsid w:val="00C274F1"/>
    <w:rsid w:val="00C27C1B"/>
    <w:rsid w:val="00C27C37"/>
    <w:rsid w:val="00C27C47"/>
    <w:rsid w:val="00C3010C"/>
    <w:rsid w:val="00C304F8"/>
    <w:rsid w:val="00C30B95"/>
    <w:rsid w:val="00C30F5F"/>
    <w:rsid w:val="00C31103"/>
    <w:rsid w:val="00C3154C"/>
    <w:rsid w:val="00C31AAC"/>
    <w:rsid w:val="00C31CD2"/>
    <w:rsid w:val="00C31D8A"/>
    <w:rsid w:val="00C325DF"/>
    <w:rsid w:val="00C32698"/>
    <w:rsid w:val="00C3272B"/>
    <w:rsid w:val="00C32A5E"/>
    <w:rsid w:val="00C32AE8"/>
    <w:rsid w:val="00C32DC2"/>
    <w:rsid w:val="00C32E79"/>
    <w:rsid w:val="00C3325B"/>
    <w:rsid w:val="00C33661"/>
    <w:rsid w:val="00C33FB1"/>
    <w:rsid w:val="00C34090"/>
    <w:rsid w:val="00C340F5"/>
    <w:rsid w:val="00C34104"/>
    <w:rsid w:val="00C3420E"/>
    <w:rsid w:val="00C3445D"/>
    <w:rsid w:val="00C345B3"/>
    <w:rsid w:val="00C347DC"/>
    <w:rsid w:val="00C3484D"/>
    <w:rsid w:val="00C34A55"/>
    <w:rsid w:val="00C34FA6"/>
    <w:rsid w:val="00C35290"/>
    <w:rsid w:val="00C355DE"/>
    <w:rsid w:val="00C35D9D"/>
    <w:rsid w:val="00C36038"/>
    <w:rsid w:val="00C36107"/>
    <w:rsid w:val="00C36300"/>
    <w:rsid w:val="00C3649F"/>
    <w:rsid w:val="00C36939"/>
    <w:rsid w:val="00C36A4F"/>
    <w:rsid w:val="00C36DB3"/>
    <w:rsid w:val="00C36E68"/>
    <w:rsid w:val="00C37008"/>
    <w:rsid w:val="00C370CA"/>
    <w:rsid w:val="00C378E0"/>
    <w:rsid w:val="00C37AD8"/>
    <w:rsid w:val="00C37BFC"/>
    <w:rsid w:val="00C37EB6"/>
    <w:rsid w:val="00C37FE2"/>
    <w:rsid w:val="00C40A6A"/>
    <w:rsid w:val="00C40AA2"/>
    <w:rsid w:val="00C40AA3"/>
    <w:rsid w:val="00C414EA"/>
    <w:rsid w:val="00C41631"/>
    <w:rsid w:val="00C41A0D"/>
    <w:rsid w:val="00C41A75"/>
    <w:rsid w:val="00C41BE3"/>
    <w:rsid w:val="00C41C62"/>
    <w:rsid w:val="00C41EFA"/>
    <w:rsid w:val="00C429D6"/>
    <w:rsid w:val="00C432E3"/>
    <w:rsid w:val="00C43303"/>
    <w:rsid w:val="00C43451"/>
    <w:rsid w:val="00C43A4B"/>
    <w:rsid w:val="00C43FF1"/>
    <w:rsid w:val="00C44042"/>
    <w:rsid w:val="00C442E5"/>
    <w:rsid w:val="00C44500"/>
    <w:rsid w:val="00C44502"/>
    <w:rsid w:val="00C445E3"/>
    <w:rsid w:val="00C44701"/>
    <w:rsid w:val="00C44793"/>
    <w:rsid w:val="00C44986"/>
    <w:rsid w:val="00C44C13"/>
    <w:rsid w:val="00C44DF0"/>
    <w:rsid w:val="00C4504E"/>
    <w:rsid w:val="00C45136"/>
    <w:rsid w:val="00C453EF"/>
    <w:rsid w:val="00C458EE"/>
    <w:rsid w:val="00C461D3"/>
    <w:rsid w:val="00C464AC"/>
    <w:rsid w:val="00C467FF"/>
    <w:rsid w:val="00C46B79"/>
    <w:rsid w:val="00C46C67"/>
    <w:rsid w:val="00C46F5D"/>
    <w:rsid w:val="00C47292"/>
    <w:rsid w:val="00C472BF"/>
    <w:rsid w:val="00C47517"/>
    <w:rsid w:val="00C50188"/>
    <w:rsid w:val="00C50978"/>
    <w:rsid w:val="00C50B8A"/>
    <w:rsid w:val="00C51307"/>
    <w:rsid w:val="00C51423"/>
    <w:rsid w:val="00C51AE9"/>
    <w:rsid w:val="00C520B8"/>
    <w:rsid w:val="00C52759"/>
    <w:rsid w:val="00C52A54"/>
    <w:rsid w:val="00C52C12"/>
    <w:rsid w:val="00C52ED5"/>
    <w:rsid w:val="00C52FAD"/>
    <w:rsid w:val="00C5312A"/>
    <w:rsid w:val="00C531D1"/>
    <w:rsid w:val="00C5322F"/>
    <w:rsid w:val="00C532C1"/>
    <w:rsid w:val="00C53437"/>
    <w:rsid w:val="00C5361A"/>
    <w:rsid w:val="00C536C8"/>
    <w:rsid w:val="00C53991"/>
    <w:rsid w:val="00C53FE4"/>
    <w:rsid w:val="00C53FEF"/>
    <w:rsid w:val="00C5414D"/>
    <w:rsid w:val="00C548B9"/>
    <w:rsid w:val="00C54CD9"/>
    <w:rsid w:val="00C54ED3"/>
    <w:rsid w:val="00C551A5"/>
    <w:rsid w:val="00C55886"/>
    <w:rsid w:val="00C55E7A"/>
    <w:rsid w:val="00C55F59"/>
    <w:rsid w:val="00C5627B"/>
    <w:rsid w:val="00C56602"/>
    <w:rsid w:val="00C56F1A"/>
    <w:rsid w:val="00C570EE"/>
    <w:rsid w:val="00C57349"/>
    <w:rsid w:val="00C57354"/>
    <w:rsid w:val="00C57579"/>
    <w:rsid w:val="00C57D93"/>
    <w:rsid w:val="00C57F26"/>
    <w:rsid w:val="00C57F4F"/>
    <w:rsid w:val="00C6054F"/>
    <w:rsid w:val="00C6096B"/>
    <w:rsid w:val="00C60C18"/>
    <w:rsid w:val="00C60FEC"/>
    <w:rsid w:val="00C611C3"/>
    <w:rsid w:val="00C613EF"/>
    <w:rsid w:val="00C61544"/>
    <w:rsid w:val="00C6172C"/>
    <w:rsid w:val="00C617B2"/>
    <w:rsid w:val="00C61C17"/>
    <w:rsid w:val="00C61C89"/>
    <w:rsid w:val="00C61D94"/>
    <w:rsid w:val="00C62450"/>
    <w:rsid w:val="00C62CB0"/>
    <w:rsid w:val="00C62DCC"/>
    <w:rsid w:val="00C630CD"/>
    <w:rsid w:val="00C63481"/>
    <w:rsid w:val="00C63A7C"/>
    <w:rsid w:val="00C63F70"/>
    <w:rsid w:val="00C641F9"/>
    <w:rsid w:val="00C642F9"/>
    <w:rsid w:val="00C64322"/>
    <w:rsid w:val="00C6463E"/>
    <w:rsid w:val="00C646E9"/>
    <w:rsid w:val="00C6479A"/>
    <w:rsid w:val="00C648FB"/>
    <w:rsid w:val="00C649DB"/>
    <w:rsid w:val="00C64B44"/>
    <w:rsid w:val="00C65185"/>
    <w:rsid w:val="00C65257"/>
    <w:rsid w:val="00C65306"/>
    <w:rsid w:val="00C653B4"/>
    <w:rsid w:val="00C65743"/>
    <w:rsid w:val="00C65779"/>
    <w:rsid w:val="00C65828"/>
    <w:rsid w:val="00C65B5B"/>
    <w:rsid w:val="00C66336"/>
    <w:rsid w:val="00C66760"/>
    <w:rsid w:val="00C66A01"/>
    <w:rsid w:val="00C66A5C"/>
    <w:rsid w:val="00C66AAE"/>
    <w:rsid w:val="00C66AC8"/>
    <w:rsid w:val="00C67005"/>
    <w:rsid w:val="00C6722B"/>
    <w:rsid w:val="00C67E00"/>
    <w:rsid w:val="00C7026F"/>
    <w:rsid w:val="00C70893"/>
    <w:rsid w:val="00C71194"/>
    <w:rsid w:val="00C713FE"/>
    <w:rsid w:val="00C714C0"/>
    <w:rsid w:val="00C71564"/>
    <w:rsid w:val="00C7187A"/>
    <w:rsid w:val="00C71A5A"/>
    <w:rsid w:val="00C71EB8"/>
    <w:rsid w:val="00C71FB5"/>
    <w:rsid w:val="00C7202D"/>
    <w:rsid w:val="00C72144"/>
    <w:rsid w:val="00C7215C"/>
    <w:rsid w:val="00C72458"/>
    <w:rsid w:val="00C7272A"/>
    <w:rsid w:val="00C72878"/>
    <w:rsid w:val="00C7288A"/>
    <w:rsid w:val="00C729CE"/>
    <w:rsid w:val="00C7380A"/>
    <w:rsid w:val="00C73979"/>
    <w:rsid w:val="00C74057"/>
    <w:rsid w:val="00C741DD"/>
    <w:rsid w:val="00C742FB"/>
    <w:rsid w:val="00C746DB"/>
    <w:rsid w:val="00C74817"/>
    <w:rsid w:val="00C748AB"/>
    <w:rsid w:val="00C74AF4"/>
    <w:rsid w:val="00C74C19"/>
    <w:rsid w:val="00C74E58"/>
    <w:rsid w:val="00C75083"/>
    <w:rsid w:val="00C752D5"/>
    <w:rsid w:val="00C7531E"/>
    <w:rsid w:val="00C7554C"/>
    <w:rsid w:val="00C757F4"/>
    <w:rsid w:val="00C7599F"/>
    <w:rsid w:val="00C75A29"/>
    <w:rsid w:val="00C75A47"/>
    <w:rsid w:val="00C75B5B"/>
    <w:rsid w:val="00C75C9F"/>
    <w:rsid w:val="00C75E80"/>
    <w:rsid w:val="00C763A0"/>
    <w:rsid w:val="00C76625"/>
    <w:rsid w:val="00C766C7"/>
    <w:rsid w:val="00C767FB"/>
    <w:rsid w:val="00C76818"/>
    <w:rsid w:val="00C76823"/>
    <w:rsid w:val="00C7688B"/>
    <w:rsid w:val="00C76A1F"/>
    <w:rsid w:val="00C76ABD"/>
    <w:rsid w:val="00C76ED0"/>
    <w:rsid w:val="00C77211"/>
    <w:rsid w:val="00C772D6"/>
    <w:rsid w:val="00C7737F"/>
    <w:rsid w:val="00C77479"/>
    <w:rsid w:val="00C77900"/>
    <w:rsid w:val="00C7794E"/>
    <w:rsid w:val="00C779BF"/>
    <w:rsid w:val="00C77A00"/>
    <w:rsid w:val="00C77C6F"/>
    <w:rsid w:val="00C77E68"/>
    <w:rsid w:val="00C77FDB"/>
    <w:rsid w:val="00C80376"/>
    <w:rsid w:val="00C808A5"/>
    <w:rsid w:val="00C809B8"/>
    <w:rsid w:val="00C80F4B"/>
    <w:rsid w:val="00C81236"/>
    <w:rsid w:val="00C81432"/>
    <w:rsid w:val="00C81B55"/>
    <w:rsid w:val="00C8295B"/>
    <w:rsid w:val="00C82D5C"/>
    <w:rsid w:val="00C834A7"/>
    <w:rsid w:val="00C8392E"/>
    <w:rsid w:val="00C83AF4"/>
    <w:rsid w:val="00C83C37"/>
    <w:rsid w:val="00C83FD4"/>
    <w:rsid w:val="00C8446E"/>
    <w:rsid w:val="00C845EC"/>
    <w:rsid w:val="00C845FF"/>
    <w:rsid w:val="00C84643"/>
    <w:rsid w:val="00C8464E"/>
    <w:rsid w:val="00C849D5"/>
    <w:rsid w:val="00C84B69"/>
    <w:rsid w:val="00C84B7A"/>
    <w:rsid w:val="00C85471"/>
    <w:rsid w:val="00C8603A"/>
    <w:rsid w:val="00C861E4"/>
    <w:rsid w:val="00C8628D"/>
    <w:rsid w:val="00C86682"/>
    <w:rsid w:val="00C8680E"/>
    <w:rsid w:val="00C87291"/>
    <w:rsid w:val="00C8757C"/>
    <w:rsid w:val="00C87A52"/>
    <w:rsid w:val="00C87EDE"/>
    <w:rsid w:val="00C87FB8"/>
    <w:rsid w:val="00C907EF"/>
    <w:rsid w:val="00C9087E"/>
    <w:rsid w:val="00C90B6D"/>
    <w:rsid w:val="00C913E7"/>
    <w:rsid w:val="00C91453"/>
    <w:rsid w:val="00C91657"/>
    <w:rsid w:val="00C91B16"/>
    <w:rsid w:val="00C91BB5"/>
    <w:rsid w:val="00C91D6D"/>
    <w:rsid w:val="00C92046"/>
    <w:rsid w:val="00C9226A"/>
    <w:rsid w:val="00C927AF"/>
    <w:rsid w:val="00C9324B"/>
    <w:rsid w:val="00C938FA"/>
    <w:rsid w:val="00C9393C"/>
    <w:rsid w:val="00C93BA8"/>
    <w:rsid w:val="00C93F63"/>
    <w:rsid w:val="00C9421E"/>
    <w:rsid w:val="00C947D9"/>
    <w:rsid w:val="00C948F3"/>
    <w:rsid w:val="00C95604"/>
    <w:rsid w:val="00C95A89"/>
    <w:rsid w:val="00C95B04"/>
    <w:rsid w:val="00C95C8F"/>
    <w:rsid w:val="00C95D1D"/>
    <w:rsid w:val="00C95DA1"/>
    <w:rsid w:val="00C95FCF"/>
    <w:rsid w:val="00C961E9"/>
    <w:rsid w:val="00C961F1"/>
    <w:rsid w:val="00C964C2"/>
    <w:rsid w:val="00C96654"/>
    <w:rsid w:val="00C96A37"/>
    <w:rsid w:val="00C96AA9"/>
    <w:rsid w:val="00C96AE5"/>
    <w:rsid w:val="00C96EDB"/>
    <w:rsid w:val="00C971E1"/>
    <w:rsid w:val="00C97796"/>
    <w:rsid w:val="00C978FB"/>
    <w:rsid w:val="00C97C2F"/>
    <w:rsid w:val="00CA0322"/>
    <w:rsid w:val="00CA0F12"/>
    <w:rsid w:val="00CA0FCA"/>
    <w:rsid w:val="00CA1390"/>
    <w:rsid w:val="00CA154B"/>
    <w:rsid w:val="00CA1776"/>
    <w:rsid w:val="00CA1823"/>
    <w:rsid w:val="00CA1BBA"/>
    <w:rsid w:val="00CA1D37"/>
    <w:rsid w:val="00CA1DB9"/>
    <w:rsid w:val="00CA2023"/>
    <w:rsid w:val="00CA2128"/>
    <w:rsid w:val="00CA2328"/>
    <w:rsid w:val="00CA2805"/>
    <w:rsid w:val="00CA29A0"/>
    <w:rsid w:val="00CA2B63"/>
    <w:rsid w:val="00CA2C36"/>
    <w:rsid w:val="00CA2CCD"/>
    <w:rsid w:val="00CA2EE5"/>
    <w:rsid w:val="00CA3653"/>
    <w:rsid w:val="00CA36F0"/>
    <w:rsid w:val="00CA3816"/>
    <w:rsid w:val="00CA3CCA"/>
    <w:rsid w:val="00CA3D1B"/>
    <w:rsid w:val="00CA4671"/>
    <w:rsid w:val="00CA4746"/>
    <w:rsid w:val="00CA47A6"/>
    <w:rsid w:val="00CA4C90"/>
    <w:rsid w:val="00CA532F"/>
    <w:rsid w:val="00CA5565"/>
    <w:rsid w:val="00CA5607"/>
    <w:rsid w:val="00CA566B"/>
    <w:rsid w:val="00CA567C"/>
    <w:rsid w:val="00CA58F3"/>
    <w:rsid w:val="00CA5B1B"/>
    <w:rsid w:val="00CA5E16"/>
    <w:rsid w:val="00CA614B"/>
    <w:rsid w:val="00CA6378"/>
    <w:rsid w:val="00CA740C"/>
    <w:rsid w:val="00CA78AC"/>
    <w:rsid w:val="00CA799A"/>
    <w:rsid w:val="00CA7C1A"/>
    <w:rsid w:val="00CA7F8B"/>
    <w:rsid w:val="00CA7F9E"/>
    <w:rsid w:val="00CB0373"/>
    <w:rsid w:val="00CB044A"/>
    <w:rsid w:val="00CB05B2"/>
    <w:rsid w:val="00CB06B5"/>
    <w:rsid w:val="00CB0739"/>
    <w:rsid w:val="00CB0756"/>
    <w:rsid w:val="00CB0813"/>
    <w:rsid w:val="00CB09A3"/>
    <w:rsid w:val="00CB0D28"/>
    <w:rsid w:val="00CB0FC8"/>
    <w:rsid w:val="00CB1106"/>
    <w:rsid w:val="00CB11C8"/>
    <w:rsid w:val="00CB123C"/>
    <w:rsid w:val="00CB12A9"/>
    <w:rsid w:val="00CB154E"/>
    <w:rsid w:val="00CB16BB"/>
    <w:rsid w:val="00CB1CBD"/>
    <w:rsid w:val="00CB1D7B"/>
    <w:rsid w:val="00CB2547"/>
    <w:rsid w:val="00CB27BA"/>
    <w:rsid w:val="00CB28BE"/>
    <w:rsid w:val="00CB2950"/>
    <w:rsid w:val="00CB2BDA"/>
    <w:rsid w:val="00CB2E1B"/>
    <w:rsid w:val="00CB2F6C"/>
    <w:rsid w:val="00CB3134"/>
    <w:rsid w:val="00CB333D"/>
    <w:rsid w:val="00CB36A0"/>
    <w:rsid w:val="00CB36FA"/>
    <w:rsid w:val="00CB3A5D"/>
    <w:rsid w:val="00CB3CDE"/>
    <w:rsid w:val="00CB3DCB"/>
    <w:rsid w:val="00CB3F1D"/>
    <w:rsid w:val="00CB3F62"/>
    <w:rsid w:val="00CB4395"/>
    <w:rsid w:val="00CB491D"/>
    <w:rsid w:val="00CB495B"/>
    <w:rsid w:val="00CB4A88"/>
    <w:rsid w:val="00CB5209"/>
    <w:rsid w:val="00CB5801"/>
    <w:rsid w:val="00CB5A13"/>
    <w:rsid w:val="00CB5BB3"/>
    <w:rsid w:val="00CB6058"/>
    <w:rsid w:val="00CB6DE0"/>
    <w:rsid w:val="00CB704E"/>
    <w:rsid w:val="00CB70CE"/>
    <w:rsid w:val="00CB7A5D"/>
    <w:rsid w:val="00CB7CF2"/>
    <w:rsid w:val="00CB7E13"/>
    <w:rsid w:val="00CC010A"/>
    <w:rsid w:val="00CC0A54"/>
    <w:rsid w:val="00CC0BB8"/>
    <w:rsid w:val="00CC0C90"/>
    <w:rsid w:val="00CC0D3C"/>
    <w:rsid w:val="00CC0F54"/>
    <w:rsid w:val="00CC14AC"/>
    <w:rsid w:val="00CC1517"/>
    <w:rsid w:val="00CC186A"/>
    <w:rsid w:val="00CC187C"/>
    <w:rsid w:val="00CC1A03"/>
    <w:rsid w:val="00CC2424"/>
    <w:rsid w:val="00CC255E"/>
    <w:rsid w:val="00CC2BF4"/>
    <w:rsid w:val="00CC2C5B"/>
    <w:rsid w:val="00CC2EA2"/>
    <w:rsid w:val="00CC36F6"/>
    <w:rsid w:val="00CC3909"/>
    <w:rsid w:val="00CC3B6C"/>
    <w:rsid w:val="00CC3F2F"/>
    <w:rsid w:val="00CC41E4"/>
    <w:rsid w:val="00CC448A"/>
    <w:rsid w:val="00CC4893"/>
    <w:rsid w:val="00CC4D45"/>
    <w:rsid w:val="00CC5140"/>
    <w:rsid w:val="00CC53F6"/>
    <w:rsid w:val="00CC54B7"/>
    <w:rsid w:val="00CC56B1"/>
    <w:rsid w:val="00CC5B71"/>
    <w:rsid w:val="00CC5D32"/>
    <w:rsid w:val="00CC5F73"/>
    <w:rsid w:val="00CC6054"/>
    <w:rsid w:val="00CC60C1"/>
    <w:rsid w:val="00CC6224"/>
    <w:rsid w:val="00CC6259"/>
    <w:rsid w:val="00CC6D3E"/>
    <w:rsid w:val="00CC6DBE"/>
    <w:rsid w:val="00CC6ECB"/>
    <w:rsid w:val="00CC6F07"/>
    <w:rsid w:val="00CC6F2C"/>
    <w:rsid w:val="00CC74E9"/>
    <w:rsid w:val="00CC777A"/>
    <w:rsid w:val="00CC793B"/>
    <w:rsid w:val="00CC7B01"/>
    <w:rsid w:val="00CC7BFC"/>
    <w:rsid w:val="00CC7CB9"/>
    <w:rsid w:val="00CC7CD3"/>
    <w:rsid w:val="00CD0E12"/>
    <w:rsid w:val="00CD1464"/>
    <w:rsid w:val="00CD1799"/>
    <w:rsid w:val="00CD1D83"/>
    <w:rsid w:val="00CD2101"/>
    <w:rsid w:val="00CD215E"/>
    <w:rsid w:val="00CD2A14"/>
    <w:rsid w:val="00CD2E4D"/>
    <w:rsid w:val="00CD31F8"/>
    <w:rsid w:val="00CD3648"/>
    <w:rsid w:val="00CD3747"/>
    <w:rsid w:val="00CD3B30"/>
    <w:rsid w:val="00CD413B"/>
    <w:rsid w:val="00CD4204"/>
    <w:rsid w:val="00CD44E8"/>
    <w:rsid w:val="00CD4708"/>
    <w:rsid w:val="00CD477C"/>
    <w:rsid w:val="00CD4AE4"/>
    <w:rsid w:val="00CD4C3C"/>
    <w:rsid w:val="00CD4D50"/>
    <w:rsid w:val="00CD4DCA"/>
    <w:rsid w:val="00CD4DFF"/>
    <w:rsid w:val="00CD5021"/>
    <w:rsid w:val="00CD5242"/>
    <w:rsid w:val="00CD5981"/>
    <w:rsid w:val="00CD5DA6"/>
    <w:rsid w:val="00CD6187"/>
    <w:rsid w:val="00CD61B0"/>
    <w:rsid w:val="00CD6450"/>
    <w:rsid w:val="00CD658E"/>
    <w:rsid w:val="00CD6857"/>
    <w:rsid w:val="00CD6E4F"/>
    <w:rsid w:val="00CD6E69"/>
    <w:rsid w:val="00CD6E7D"/>
    <w:rsid w:val="00CD6F4E"/>
    <w:rsid w:val="00CD6F87"/>
    <w:rsid w:val="00CD746D"/>
    <w:rsid w:val="00CD7479"/>
    <w:rsid w:val="00CE00EF"/>
    <w:rsid w:val="00CE0249"/>
    <w:rsid w:val="00CE0296"/>
    <w:rsid w:val="00CE04BF"/>
    <w:rsid w:val="00CE07D5"/>
    <w:rsid w:val="00CE085C"/>
    <w:rsid w:val="00CE08D9"/>
    <w:rsid w:val="00CE0984"/>
    <w:rsid w:val="00CE0A37"/>
    <w:rsid w:val="00CE0CEF"/>
    <w:rsid w:val="00CE0E16"/>
    <w:rsid w:val="00CE105C"/>
    <w:rsid w:val="00CE10C3"/>
    <w:rsid w:val="00CE11C5"/>
    <w:rsid w:val="00CE14B4"/>
    <w:rsid w:val="00CE17F0"/>
    <w:rsid w:val="00CE185F"/>
    <w:rsid w:val="00CE203F"/>
    <w:rsid w:val="00CE22CD"/>
    <w:rsid w:val="00CE247C"/>
    <w:rsid w:val="00CE314C"/>
    <w:rsid w:val="00CE349F"/>
    <w:rsid w:val="00CE364C"/>
    <w:rsid w:val="00CE3771"/>
    <w:rsid w:val="00CE382F"/>
    <w:rsid w:val="00CE3B03"/>
    <w:rsid w:val="00CE3F6A"/>
    <w:rsid w:val="00CE4262"/>
    <w:rsid w:val="00CE442D"/>
    <w:rsid w:val="00CE4A3B"/>
    <w:rsid w:val="00CE4B80"/>
    <w:rsid w:val="00CE4D12"/>
    <w:rsid w:val="00CE4D5E"/>
    <w:rsid w:val="00CE4D69"/>
    <w:rsid w:val="00CE5121"/>
    <w:rsid w:val="00CE5B0C"/>
    <w:rsid w:val="00CE5B84"/>
    <w:rsid w:val="00CE6650"/>
    <w:rsid w:val="00CE66B5"/>
    <w:rsid w:val="00CE6D22"/>
    <w:rsid w:val="00CE6D61"/>
    <w:rsid w:val="00CE6F32"/>
    <w:rsid w:val="00CE7040"/>
    <w:rsid w:val="00CF0269"/>
    <w:rsid w:val="00CF02AD"/>
    <w:rsid w:val="00CF0438"/>
    <w:rsid w:val="00CF056B"/>
    <w:rsid w:val="00CF05DB"/>
    <w:rsid w:val="00CF074B"/>
    <w:rsid w:val="00CF0A21"/>
    <w:rsid w:val="00CF0EF1"/>
    <w:rsid w:val="00CF0F3E"/>
    <w:rsid w:val="00CF0F5C"/>
    <w:rsid w:val="00CF1268"/>
    <w:rsid w:val="00CF1543"/>
    <w:rsid w:val="00CF17BE"/>
    <w:rsid w:val="00CF1919"/>
    <w:rsid w:val="00CF1927"/>
    <w:rsid w:val="00CF1A1C"/>
    <w:rsid w:val="00CF1E21"/>
    <w:rsid w:val="00CF208C"/>
    <w:rsid w:val="00CF2293"/>
    <w:rsid w:val="00CF241F"/>
    <w:rsid w:val="00CF2A8D"/>
    <w:rsid w:val="00CF2B60"/>
    <w:rsid w:val="00CF2B7C"/>
    <w:rsid w:val="00CF34B4"/>
    <w:rsid w:val="00CF3630"/>
    <w:rsid w:val="00CF3FA7"/>
    <w:rsid w:val="00CF41FD"/>
    <w:rsid w:val="00CF4320"/>
    <w:rsid w:val="00CF46B9"/>
    <w:rsid w:val="00CF481E"/>
    <w:rsid w:val="00CF4A02"/>
    <w:rsid w:val="00CF4A10"/>
    <w:rsid w:val="00CF4B46"/>
    <w:rsid w:val="00CF4D6B"/>
    <w:rsid w:val="00CF4EF1"/>
    <w:rsid w:val="00CF53AE"/>
    <w:rsid w:val="00CF575B"/>
    <w:rsid w:val="00CF581A"/>
    <w:rsid w:val="00CF592B"/>
    <w:rsid w:val="00CF59F4"/>
    <w:rsid w:val="00CF6006"/>
    <w:rsid w:val="00CF60AD"/>
    <w:rsid w:val="00CF6295"/>
    <w:rsid w:val="00CF699D"/>
    <w:rsid w:val="00CF6CD3"/>
    <w:rsid w:val="00CF6E0A"/>
    <w:rsid w:val="00CF7361"/>
    <w:rsid w:val="00CF7735"/>
    <w:rsid w:val="00CF7822"/>
    <w:rsid w:val="00D0058A"/>
    <w:rsid w:val="00D00BA4"/>
    <w:rsid w:val="00D00F8E"/>
    <w:rsid w:val="00D01121"/>
    <w:rsid w:val="00D0123D"/>
    <w:rsid w:val="00D01506"/>
    <w:rsid w:val="00D015FE"/>
    <w:rsid w:val="00D01796"/>
    <w:rsid w:val="00D01853"/>
    <w:rsid w:val="00D0221B"/>
    <w:rsid w:val="00D024E2"/>
    <w:rsid w:val="00D02B2B"/>
    <w:rsid w:val="00D02E35"/>
    <w:rsid w:val="00D03406"/>
    <w:rsid w:val="00D03457"/>
    <w:rsid w:val="00D035C9"/>
    <w:rsid w:val="00D035F7"/>
    <w:rsid w:val="00D037D8"/>
    <w:rsid w:val="00D03F5D"/>
    <w:rsid w:val="00D043E4"/>
    <w:rsid w:val="00D0452C"/>
    <w:rsid w:val="00D045CA"/>
    <w:rsid w:val="00D0464E"/>
    <w:rsid w:val="00D04C69"/>
    <w:rsid w:val="00D04FC7"/>
    <w:rsid w:val="00D052A9"/>
    <w:rsid w:val="00D05658"/>
    <w:rsid w:val="00D058F1"/>
    <w:rsid w:val="00D061E8"/>
    <w:rsid w:val="00D06462"/>
    <w:rsid w:val="00D0680E"/>
    <w:rsid w:val="00D068A0"/>
    <w:rsid w:val="00D06D7B"/>
    <w:rsid w:val="00D06E4E"/>
    <w:rsid w:val="00D07089"/>
    <w:rsid w:val="00D07251"/>
    <w:rsid w:val="00D072D8"/>
    <w:rsid w:val="00D07344"/>
    <w:rsid w:val="00D075D4"/>
    <w:rsid w:val="00D07738"/>
    <w:rsid w:val="00D07830"/>
    <w:rsid w:val="00D07E91"/>
    <w:rsid w:val="00D1017E"/>
    <w:rsid w:val="00D102A7"/>
    <w:rsid w:val="00D10477"/>
    <w:rsid w:val="00D1074B"/>
    <w:rsid w:val="00D107BC"/>
    <w:rsid w:val="00D107D9"/>
    <w:rsid w:val="00D1084E"/>
    <w:rsid w:val="00D10B1D"/>
    <w:rsid w:val="00D10CB1"/>
    <w:rsid w:val="00D10D5C"/>
    <w:rsid w:val="00D10DA3"/>
    <w:rsid w:val="00D11615"/>
    <w:rsid w:val="00D118AA"/>
    <w:rsid w:val="00D11ED1"/>
    <w:rsid w:val="00D12159"/>
    <w:rsid w:val="00D124B6"/>
    <w:rsid w:val="00D125A7"/>
    <w:rsid w:val="00D127C6"/>
    <w:rsid w:val="00D1284D"/>
    <w:rsid w:val="00D12D24"/>
    <w:rsid w:val="00D12FEA"/>
    <w:rsid w:val="00D13AC8"/>
    <w:rsid w:val="00D13CD5"/>
    <w:rsid w:val="00D14000"/>
    <w:rsid w:val="00D141F1"/>
    <w:rsid w:val="00D1425E"/>
    <w:rsid w:val="00D14575"/>
    <w:rsid w:val="00D147AA"/>
    <w:rsid w:val="00D1494E"/>
    <w:rsid w:val="00D14F6C"/>
    <w:rsid w:val="00D153FE"/>
    <w:rsid w:val="00D154D7"/>
    <w:rsid w:val="00D158F2"/>
    <w:rsid w:val="00D158FB"/>
    <w:rsid w:val="00D161A0"/>
    <w:rsid w:val="00D16399"/>
    <w:rsid w:val="00D166C1"/>
    <w:rsid w:val="00D16721"/>
    <w:rsid w:val="00D1690F"/>
    <w:rsid w:val="00D16CD6"/>
    <w:rsid w:val="00D16D24"/>
    <w:rsid w:val="00D170C8"/>
    <w:rsid w:val="00D171AE"/>
    <w:rsid w:val="00D17386"/>
    <w:rsid w:val="00D174CA"/>
    <w:rsid w:val="00D17555"/>
    <w:rsid w:val="00D17737"/>
    <w:rsid w:val="00D178DC"/>
    <w:rsid w:val="00D17CEB"/>
    <w:rsid w:val="00D17E5A"/>
    <w:rsid w:val="00D202B4"/>
    <w:rsid w:val="00D203AC"/>
    <w:rsid w:val="00D204C4"/>
    <w:rsid w:val="00D2089C"/>
    <w:rsid w:val="00D20B77"/>
    <w:rsid w:val="00D20CBE"/>
    <w:rsid w:val="00D20E22"/>
    <w:rsid w:val="00D20FAD"/>
    <w:rsid w:val="00D2137C"/>
    <w:rsid w:val="00D2155B"/>
    <w:rsid w:val="00D21702"/>
    <w:rsid w:val="00D21973"/>
    <w:rsid w:val="00D21F0D"/>
    <w:rsid w:val="00D225DB"/>
    <w:rsid w:val="00D22BA7"/>
    <w:rsid w:val="00D22F42"/>
    <w:rsid w:val="00D23570"/>
    <w:rsid w:val="00D23EA7"/>
    <w:rsid w:val="00D240CF"/>
    <w:rsid w:val="00D241EA"/>
    <w:rsid w:val="00D24527"/>
    <w:rsid w:val="00D25180"/>
    <w:rsid w:val="00D25BCF"/>
    <w:rsid w:val="00D266AF"/>
    <w:rsid w:val="00D26A48"/>
    <w:rsid w:val="00D2703C"/>
    <w:rsid w:val="00D27074"/>
    <w:rsid w:val="00D27383"/>
    <w:rsid w:val="00D276B9"/>
    <w:rsid w:val="00D27793"/>
    <w:rsid w:val="00D27A0F"/>
    <w:rsid w:val="00D27B85"/>
    <w:rsid w:val="00D27C9C"/>
    <w:rsid w:val="00D27CBA"/>
    <w:rsid w:val="00D27F2B"/>
    <w:rsid w:val="00D3032E"/>
    <w:rsid w:val="00D30589"/>
    <w:rsid w:val="00D30A28"/>
    <w:rsid w:val="00D30CA2"/>
    <w:rsid w:val="00D30CC6"/>
    <w:rsid w:val="00D30CF3"/>
    <w:rsid w:val="00D30D8B"/>
    <w:rsid w:val="00D30E8A"/>
    <w:rsid w:val="00D30EE7"/>
    <w:rsid w:val="00D30FDA"/>
    <w:rsid w:val="00D3110C"/>
    <w:rsid w:val="00D316BC"/>
    <w:rsid w:val="00D31746"/>
    <w:rsid w:val="00D31837"/>
    <w:rsid w:val="00D3196A"/>
    <w:rsid w:val="00D31A59"/>
    <w:rsid w:val="00D31AA3"/>
    <w:rsid w:val="00D31EA3"/>
    <w:rsid w:val="00D31EF8"/>
    <w:rsid w:val="00D3261C"/>
    <w:rsid w:val="00D32918"/>
    <w:rsid w:val="00D32A01"/>
    <w:rsid w:val="00D33332"/>
    <w:rsid w:val="00D33744"/>
    <w:rsid w:val="00D337FD"/>
    <w:rsid w:val="00D33924"/>
    <w:rsid w:val="00D33A36"/>
    <w:rsid w:val="00D33CBC"/>
    <w:rsid w:val="00D33D2D"/>
    <w:rsid w:val="00D33EC6"/>
    <w:rsid w:val="00D33ED7"/>
    <w:rsid w:val="00D340F9"/>
    <w:rsid w:val="00D3431D"/>
    <w:rsid w:val="00D343B2"/>
    <w:rsid w:val="00D34479"/>
    <w:rsid w:val="00D34ACC"/>
    <w:rsid w:val="00D34C48"/>
    <w:rsid w:val="00D35003"/>
    <w:rsid w:val="00D35176"/>
    <w:rsid w:val="00D35236"/>
    <w:rsid w:val="00D3527D"/>
    <w:rsid w:val="00D353A5"/>
    <w:rsid w:val="00D355FC"/>
    <w:rsid w:val="00D3567A"/>
    <w:rsid w:val="00D35980"/>
    <w:rsid w:val="00D36607"/>
    <w:rsid w:val="00D36879"/>
    <w:rsid w:val="00D36D30"/>
    <w:rsid w:val="00D40387"/>
    <w:rsid w:val="00D40A19"/>
    <w:rsid w:val="00D40A92"/>
    <w:rsid w:val="00D410F4"/>
    <w:rsid w:val="00D41267"/>
    <w:rsid w:val="00D419FA"/>
    <w:rsid w:val="00D41ADC"/>
    <w:rsid w:val="00D423ED"/>
    <w:rsid w:val="00D42488"/>
    <w:rsid w:val="00D429B7"/>
    <w:rsid w:val="00D42C13"/>
    <w:rsid w:val="00D42C8A"/>
    <w:rsid w:val="00D42F16"/>
    <w:rsid w:val="00D43425"/>
    <w:rsid w:val="00D43491"/>
    <w:rsid w:val="00D43560"/>
    <w:rsid w:val="00D43713"/>
    <w:rsid w:val="00D437E3"/>
    <w:rsid w:val="00D43A6F"/>
    <w:rsid w:val="00D44050"/>
    <w:rsid w:val="00D441DD"/>
    <w:rsid w:val="00D44550"/>
    <w:rsid w:val="00D446DA"/>
    <w:rsid w:val="00D448A3"/>
    <w:rsid w:val="00D44A4E"/>
    <w:rsid w:val="00D44A69"/>
    <w:rsid w:val="00D44CD9"/>
    <w:rsid w:val="00D45005"/>
    <w:rsid w:val="00D45655"/>
    <w:rsid w:val="00D45E87"/>
    <w:rsid w:val="00D45F70"/>
    <w:rsid w:val="00D46195"/>
    <w:rsid w:val="00D461D4"/>
    <w:rsid w:val="00D4691C"/>
    <w:rsid w:val="00D46947"/>
    <w:rsid w:val="00D46B98"/>
    <w:rsid w:val="00D46FC0"/>
    <w:rsid w:val="00D46FDE"/>
    <w:rsid w:val="00D46FE7"/>
    <w:rsid w:val="00D47134"/>
    <w:rsid w:val="00D47263"/>
    <w:rsid w:val="00D475FA"/>
    <w:rsid w:val="00D478C3"/>
    <w:rsid w:val="00D47B19"/>
    <w:rsid w:val="00D50001"/>
    <w:rsid w:val="00D50676"/>
    <w:rsid w:val="00D50853"/>
    <w:rsid w:val="00D509FD"/>
    <w:rsid w:val="00D50A6E"/>
    <w:rsid w:val="00D50E5D"/>
    <w:rsid w:val="00D51231"/>
    <w:rsid w:val="00D51633"/>
    <w:rsid w:val="00D51E14"/>
    <w:rsid w:val="00D523C2"/>
    <w:rsid w:val="00D528A6"/>
    <w:rsid w:val="00D52A51"/>
    <w:rsid w:val="00D52E0E"/>
    <w:rsid w:val="00D531B3"/>
    <w:rsid w:val="00D53443"/>
    <w:rsid w:val="00D536ED"/>
    <w:rsid w:val="00D537B5"/>
    <w:rsid w:val="00D538E9"/>
    <w:rsid w:val="00D539B9"/>
    <w:rsid w:val="00D53B59"/>
    <w:rsid w:val="00D53E64"/>
    <w:rsid w:val="00D54458"/>
    <w:rsid w:val="00D5510F"/>
    <w:rsid w:val="00D5537D"/>
    <w:rsid w:val="00D55AA7"/>
    <w:rsid w:val="00D56096"/>
    <w:rsid w:val="00D5613B"/>
    <w:rsid w:val="00D568E7"/>
    <w:rsid w:val="00D56E71"/>
    <w:rsid w:val="00D57083"/>
    <w:rsid w:val="00D570AA"/>
    <w:rsid w:val="00D570BF"/>
    <w:rsid w:val="00D571A7"/>
    <w:rsid w:val="00D57BE9"/>
    <w:rsid w:val="00D608AD"/>
    <w:rsid w:val="00D60A3A"/>
    <w:rsid w:val="00D60A4A"/>
    <w:rsid w:val="00D60CCA"/>
    <w:rsid w:val="00D60D88"/>
    <w:rsid w:val="00D60DED"/>
    <w:rsid w:val="00D615A8"/>
    <w:rsid w:val="00D61710"/>
    <w:rsid w:val="00D61726"/>
    <w:rsid w:val="00D61772"/>
    <w:rsid w:val="00D6190D"/>
    <w:rsid w:val="00D61BB0"/>
    <w:rsid w:val="00D61FF2"/>
    <w:rsid w:val="00D620AC"/>
    <w:rsid w:val="00D621B1"/>
    <w:rsid w:val="00D622D6"/>
    <w:rsid w:val="00D623F1"/>
    <w:rsid w:val="00D6272A"/>
    <w:rsid w:val="00D6284B"/>
    <w:rsid w:val="00D628BD"/>
    <w:rsid w:val="00D62B06"/>
    <w:rsid w:val="00D62C76"/>
    <w:rsid w:val="00D632FA"/>
    <w:rsid w:val="00D63535"/>
    <w:rsid w:val="00D64159"/>
    <w:rsid w:val="00D64302"/>
    <w:rsid w:val="00D64325"/>
    <w:rsid w:val="00D64355"/>
    <w:rsid w:val="00D64622"/>
    <w:rsid w:val="00D64806"/>
    <w:rsid w:val="00D64870"/>
    <w:rsid w:val="00D64931"/>
    <w:rsid w:val="00D65017"/>
    <w:rsid w:val="00D6517B"/>
    <w:rsid w:val="00D652D8"/>
    <w:rsid w:val="00D65300"/>
    <w:rsid w:val="00D657CE"/>
    <w:rsid w:val="00D659DE"/>
    <w:rsid w:val="00D65DED"/>
    <w:rsid w:val="00D65F1D"/>
    <w:rsid w:val="00D6608D"/>
    <w:rsid w:val="00D66999"/>
    <w:rsid w:val="00D67076"/>
    <w:rsid w:val="00D67583"/>
    <w:rsid w:val="00D67869"/>
    <w:rsid w:val="00D67943"/>
    <w:rsid w:val="00D67954"/>
    <w:rsid w:val="00D67DFB"/>
    <w:rsid w:val="00D67EEB"/>
    <w:rsid w:val="00D704CE"/>
    <w:rsid w:val="00D705ED"/>
    <w:rsid w:val="00D70781"/>
    <w:rsid w:val="00D708A7"/>
    <w:rsid w:val="00D709E9"/>
    <w:rsid w:val="00D7132D"/>
    <w:rsid w:val="00D713EB"/>
    <w:rsid w:val="00D71DD1"/>
    <w:rsid w:val="00D72353"/>
    <w:rsid w:val="00D7247F"/>
    <w:rsid w:val="00D72488"/>
    <w:rsid w:val="00D728E8"/>
    <w:rsid w:val="00D729B3"/>
    <w:rsid w:val="00D734D8"/>
    <w:rsid w:val="00D7385D"/>
    <w:rsid w:val="00D73B86"/>
    <w:rsid w:val="00D73CDC"/>
    <w:rsid w:val="00D7414C"/>
    <w:rsid w:val="00D74457"/>
    <w:rsid w:val="00D7467F"/>
    <w:rsid w:val="00D747AD"/>
    <w:rsid w:val="00D74835"/>
    <w:rsid w:val="00D74D4C"/>
    <w:rsid w:val="00D74E7F"/>
    <w:rsid w:val="00D750C9"/>
    <w:rsid w:val="00D753F9"/>
    <w:rsid w:val="00D75599"/>
    <w:rsid w:val="00D75962"/>
    <w:rsid w:val="00D75EB1"/>
    <w:rsid w:val="00D75FF3"/>
    <w:rsid w:val="00D76055"/>
    <w:rsid w:val="00D7628F"/>
    <w:rsid w:val="00D762C6"/>
    <w:rsid w:val="00D763D8"/>
    <w:rsid w:val="00D76B00"/>
    <w:rsid w:val="00D76BAD"/>
    <w:rsid w:val="00D76D80"/>
    <w:rsid w:val="00D77007"/>
    <w:rsid w:val="00D77225"/>
    <w:rsid w:val="00D77319"/>
    <w:rsid w:val="00D7771A"/>
    <w:rsid w:val="00D77730"/>
    <w:rsid w:val="00D778AD"/>
    <w:rsid w:val="00D77A5D"/>
    <w:rsid w:val="00D77B50"/>
    <w:rsid w:val="00D805B4"/>
    <w:rsid w:val="00D80943"/>
    <w:rsid w:val="00D80B0B"/>
    <w:rsid w:val="00D81207"/>
    <w:rsid w:val="00D814CD"/>
    <w:rsid w:val="00D81B2B"/>
    <w:rsid w:val="00D81E1E"/>
    <w:rsid w:val="00D82354"/>
    <w:rsid w:val="00D82571"/>
    <w:rsid w:val="00D825A4"/>
    <w:rsid w:val="00D82B84"/>
    <w:rsid w:val="00D83171"/>
    <w:rsid w:val="00D8381D"/>
    <w:rsid w:val="00D83864"/>
    <w:rsid w:val="00D83AA9"/>
    <w:rsid w:val="00D840E3"/>
    <w:rsid w:val="00D8445A"/>
    <w:rsid w:val="00D8451A"/>
    <w:rsid w:val="00D84603"/>
    <w:rsid w:val="00D84612"/>
    <w:rsid w:val="00D8471A"/>
    <w:rsid w:val="00D84817"/>
    <w:rsid w:val="00D84961"/>
    <w:rsid w:val="00D84DA3"/>
    <w:rsid w:val="00D85657"/>
    <w:rsid w:val="00D859B3"/>
    <w:rsid w:val="00D85AB5"/>
    <w:rsid w:val="00D86044"/>
    <w:rsid w:val="00D86107"/>
    <w:rsid w:val="00D86374"/>
    <w:rsid w:val="00D86517"/>
    <w:rsid w:val="00D86868"/>
    <w:rsid w:val="00D869BE"/>
    <w:rsid w:val="00D86C79"/>
    <w:rsid w:val="00D872F4"/>
    <w:rsid w:val="00D872FE"/>
    <w:rsid w:val="00D873E0"/>
    <w:rsid w:val="00D874F8"/>
    <w:rsid w:val="00D87B78"/>
    <w:rsid w:val="00D87C5E"/>
    <w:rsid w:val="00D87C7D"/>
    <w:rsid w:val="00D87D28"/>
    <w:rsid w:val="00D87E49"/>
    <w:rsid w:val="00D87EC0"/>
    <w:rsid w:val="00D87FA1"/>
    <w:rsid w:val="00D87FD1"/>
    <w:rsid w:val="00D90104"/>
    <w:rsid w:val="00D90122"/>
    <w:rsid w:val="00D903C2"/>
    <w:rsid w:val="00D904E2"/>
    <w:rsid w:val="00D90542"/>
    <w:rsid w:val="00D9071B"/>
    <w:rsid w:val="00D9088D"/>
    <w:rsid w:val="00D90B37"/>
    <w:rsid w:val="00D91517"/>
    <w:rsid w:val="00D91529"/>
    <w:rsid w:val="00D91821"/>
    <w:rsid w:val="00D91871"/>
    <w:rsid w:val="00D91D6F"/>
    <w:rsid w:val="00D922A3"/>
    <w:rsid w:val="00D92352"/>
    <w:rsid w:val="00D925C4"/>
    <w:rsid w:val="00D92610"/>
    <w:rsid w:val="00D9263A"/>
    <w:rsid w:val="00D9266D"/>
    <w:rsid w:val="00D92E8A"/>
    <w:rsid w:val="00D92FCF"/>
    <w:rsid w:val="00D93024"/>
    <w:rsid w:val="00D9324E"/>
    <w:rsid w:val="00D933D7"/>
    <w:rsid w:val="00D93874"/>
    <w:rsid w:val="00D93947"/>
    <w:rsid w:val="00D939AC"/>
    <w:rsid w:val="00D93B84"/>
    <w:rsid w:val="00D93C43"/>
    <w:rsid w:val="00D93F8E"/>
    <w:rsid w:val="00D93FC4"/>
    <w:rsid w:val="00D940B7"/>
    <w:rsid w:val="00D9484C"/>
    <w:rsid w:val="00D94896"/>
    <w:rsid w:val="00D94BCC"/>
    <w:rsid w:val="00D94EB1"/>
    <w:rsid w:val="00D94F4C"/>
    <w:rsid w:val="00D95176"/>
    <w:rsid w:val="00D95336"/>
    <w:rsid w:val="00D955B6"/>
    <w:rsid w:val="00D95804"/>
    <w:rsid w:val="00D958CD"/>
    <w:rsid w:val="00D96340"/>
    <w:rsid w:val="00D963AC"/>
    <w:rsid w:val="00D96BED"/>
    <w:rsid w:val="00D975F4"/>
    <w:rsid w:val="00D97787"/>
    <w:rsid w:val="00D97839"/>
    <w:rsid w:val="00D9798B"/>
    <w:rsid w:val="00D9799C"/>
    <w:rsid w:val="00D97BE3"/>
    <w:rsid w:val="00D97DA7"/>
    <w:rsid w:val="00D97ED2"/>
    <w:rsid w:val="00DA00D6"/>
    <w:rsid w:val="00DA0124"/>
    <w:rsid w:val="00DA0331"/>
    <w:rsid w:val="00DA03CE"/>
    <w:rsid w:val="00DA07A9"/>
    <w:rsid w:val="00DA0E27"/>
    <w:rsid w:val="00DA1664"/>
    <w:rsid w:val="00DA1719"/>
    <w:rsid w:val="00DA1803"/>
    <w:rsid w:val="00DA19C5"/>
    <w:rsid w:val="00DA1B18"/>
    <w:rsid w:val="00DA1CA2"/>
    <w:rsid w:val="00DA1EB7"/>
    <w:rsid w:val="00DA1ED0"/>
    <w:rsid w:val="00DA234A"/>
    <w:rsid w:val="00DA236F"/>
    <w:rsid w:val="00DA23B9"/>
    <w:rsid w:val="00DA2702"/>
    <w:rsid w:val="00DA2B2A"/>
    <w:rsid w:val="00DA3060"/>
    <w:rsid w:val="00DA3067"/>
    <w:rsid w:val="00DA3684"/>
    <w:rsid w:val="00DA36EB"/>
    <w:rsid w:val="00DA3787"/>
    <w:rsid w:val="00DA37C4"/>
    <w:rsid w:val="00DA3810"/>
    <w:rsid w:val="00DA38DA"/>
    <w:rsid w:val="00DA399F"/>
    <w:rsid w:val="00DA49BF"/>
    <w:rsid w:val="00DA4C38"/>
    <w:rsid w:val="00DA4DBB"/>
    <w:rsid w:val="00DA5381"/>
    <w:rsid w:val="00DA540C"/>
    <w:rsid w:val="00DA566E"/>
    <w:rsid w:val="00DA5899"/>
    <w:rsid w:val="00DA58BD"/>
    <w:rsid w:val="00DA59D6"/>
    <w:rsid w:val="00DA5C7F"/>
    <w:rsid w:val="00DA5DDC"/>
    <w:rsid w:val="00DA616F"/>
    <w:rsid w:val="00DA6518"/>
    <w:rsid w:val="00DA65F3"/>
    <w:rsid w:val="00DA6671"/>
    <w:rsid w:val="00DA696E"/>
    <w:rsid w:val="00DA6C26"/>
    <w:rsid w:val="00DA6C97"/>
    <w:rsid w:val="00DA73EF"/>
    <w:rsid w:val="00DA7409"/>
    <w:rsid w:val="00DA740C"/>
    <w:rsid w:val="00DA7550"/>
    <w:rsid w:val="00DA79B2"/>
    <w:rsid w:val="00DA7F4D"/>
    <w:rsid w:val="00DA7F92"/>
    <w:rsid w:val="00DB02C6"/>
    <w:rsid w:val="00DB050F"/>
    <w:rsid w:val="00DB053C"/>
    <w:rsid w:val="00DB091D"/>
    <w:rsid w:val="00DB0EA1"/>
    <w:rsid w:val="00DB1148"/>
    <w:rsid w:val="00DB121A"/>
    <w:rsid w:val="00DB1377"/>
    <w:rsid w:val="00DB14FD"/>
    <w:rsid w:val="00DB1B9E"/>
    <w:rsid w:val="00DB2193"/>
    <w:rsid w:val="00DB21A0"/>
    <w:rsid w:val="00DB2A9B"/>
    <w:rsid w:val="00DB2C0B"/>
    <w:rsid w:val="00DB2CBE"/>
    <w:rsid w:val="00DB2FD7"/>
    <w:rsid w:val="00DB367E"/>
    <w:rsid w:val="00DB3C92"/>
    <w:rsid w:val="00DB3CCA"/>
    <w:rsid w:val="00DB416C"/>
    <w:rsid w:val="00DB45CF"/>
    <w:rsid w:val="00DB46B0"/>
    <w:rsid w:val="00DB482B"/>
    <w:rsid w:val="00DB4B85"/>
    <w:rsid w:val="00DB59DC"/>
    <w:rsid w:val="00DB5B13"/>
    <w:rsid w:val="00DB5B31"/>
    <w:rsid w:val="00DB5DE7"/>
    <w:rsid w:val="00DB5E6A"/>
    <w:rsid w:val="00DB5E6B"/>
    <w:rsid w:val="00DB5F3A"/>
    <w:rsid w:val="00DB626A"/>
    <w:rsid w:val="00DB65D2"/>
    <w:rsid w:val="00DB67BB"/>
    <w:rsid w:val="00DB6BD9"/>
    <w:rsid w:val="00DB6BE0"/>
    <w:rsid w:val="00DB6DDA"/>
    <w:rsid w:val="00DB7121"/>
    <w:rsid w:val="00DB75AB"/>
    <w:rsid w:val="00DB75CF"/>
    <w:rsid w:val="00DB76D3"/>
    <w:rsid w:val="00DB7941"/>
    <w:rsid w:val="00DB7A2E"/>
    <w:rsid w:val="00DB7A9C"/>
    <w:rsid w:val="00DB7DAE"/>
    <w:rsid w:val="00DB7E2A"/>
    <w:rsid w:val="00DC01AE"/>
    <w:rsid w:val="00DC0299"/>
    <w:rsid w:val="00DC0899"/>
    <w:rsid w:val="00DC0947"/>
    <w:rsid w:val="00DC097B"/>
    <w:rsid w:val="00DC09F9"/>
    <w:rsid w:val="00DC1017"/>
    <w:rsid w:val="00DC1734"/>
    <w:rsid w:val="00DC1A28"/>
    <w:rsid w:val="00DC1A3D"/>
    <w:rsid w:val="00DC1B4D"/>
    <w:rsid w:val="00DC1D90"/>
    <w:rsid w:val="00DC1F1C"/>
    <w:rsid w:val="00DC1F9D"/>
    <w:rsid w:val="00DC2E83"/>
    <w:rsid w:val="00DC308F"/>
    <w:rsid w:val="00DC31B5"/>
    <w:rsid w:val="00DC37BD"/>
    <w:rsid w:val="00DC3A0C"/>
    <w:rsid w:val="00DC3B12"/>
    <w:rsid w:val="00DC3BD8"/>
    <w:rsid w:val="00DC3DAA"/>
    <w:rsid w:val="00DC45D3"/>
    <w:rsid w:val="00DC47AE"/>
    <w:rsid w:val="00DC4BBE"/>
    <w:rsid w:val="00DC4D59"/>
    <w:rsid w:val="00DC4D92"/>
    <w:rsid w:val="00DC4F7D"/>
    <w:rsid w:val="00DC534F"/>
    <w:rsid w:val="00DC54AC"/>
    <w:rsid w:val="00DC5615"/>
    <w:rsid w:val="00DC5760"/>
    <w:rsid w:val="00DC57B1"/>
    <w:rsid w:val="00DC59C8"/>
    <w:rsid w:val="00DC5BBE"/>
    <w:rsid w:val="00DC615A"/>
    <w:rsid w:val="00DC669B"/>
    <w:rsid w:val="00DC6CF2"/>
    <w:rsid w:val="00DC6F1E"/>
    <w:rsid w:val="00DC6F75"/>
    <w:rsid w:val="00DC70C5"/>
    <w:rsid w:val="00DC7278"/>
    <w:rsid w:val="00DC7513"/>
    <w:rsid w:val="00DC7517"/>
    <w:rsid w:val="00DC79B2"/>
    <w:rsid w:val="00DC7A6C"/>
    <w:rsid w:val="00DC7AD8"/>
    <w:rsid w:val="00DC7BFC"/>
    <w:rsid w:val="00DC7E37"/>
    <w:rsid w:val="00DD03D7"/>
    <w:rsid w:val="00DD08EF"/>
    <w:rsid w:val="00DD0C73"/>
    <w:rsid w:val="00DD0CDC"/>
    <w:rsid w:val="00DD0CE8"/>
    <w:rsid w:val="00DD0DC0"/>
    <w:rsid w:val="00DD0EF9"/>
    <w:rsid w:val="00DD0F92"/>
    <w:rsid w:val="00DD1009"/>
    <w:rsid w:val="00DD1420"/>
    <w:rsid w:val="00DD1AC9"/>
    <w:rsid w:val="00DD1E0F"/>
    <w:rsid w:val="00DD1FDF"/>
    <w:rsid w:val="00DD2458"/>
    <w:rsid w:val="00DD25D7"/>
    <w:rsid w:val="00DD26FF"/>
    <w:rsid w:val="00DD320F"/>
    <w:rsid w:val="00DD330C"/>
    <w:rsid w:val="00DD35C4"/>
    <w:rsid w:val="00DD371F"/>
    <w:rsid w:val="00DD3793"/>
    <w:rsid w:val="00DD3CAA"/>
    <w:rsid w:val="00DD3CD2"/>
    <w:rsid w:val="00DD3CD9"/>
    <w:rsid w:val="00DD3E28"/>
    <w:rsid w:val="00DD3E32"/>
    <w:rsid w:val="00DD403D"/>
    <w:rsid w:val="00DD40DB"/>
    <w:rsid w:val="00DD43D0"/>
    <w:rsid w:val="00DD449C"/>
    <w:rsid w:val="00DD45E3"/>
    <w:rsid w:val="00DD49C0"/>
    <w:rsid w:val="00DD4AC0"/>
    <w:rsid w:val="00DD5A4C"/>
    <w:rsid w:val="00DD5B5A"/>
    <w:rsid w:val="00DD5C6C"/>
    <w:rsid w:val="00DD5D5C"/>
    <w:rsid w:val="00DD5DC1"/>
    <w:rsid w:val="00DD5E7F"/>
    <w:rsid w:val="00DD5F66"/>
    <w:rsid w:val="00DD612F"/>
    <w:rsid w:val="00DD6134"/>
    <w:rsid w:val="00DD6994"/>
    <w:rsid w:val="00DD6C4F"/>
    <w:rsid w:val="00DD6CF9"/>
    <w:rsid w:val="00DD71A7"/>
    <w:rsid w:val="00DD7B54"/>
    <w:rsid w:val="00DD7C6C"/>
    <w:rsid w:val="00DE0347"/>
    <w:rsid w:val="00DE0413"/>
    <w:rsid w:val="00DE04C2"/>
    <w:rsid w:val="00DE1149"/>
    <w:rsid w:val="00DE11F1"/>
    <w:rsid w:val="00DE11F4"/>
    <w:rsid w:val="00DE12E5"/>
    <w:rsid w:val="00DE14EB"/>
    <w:rsid w:val="00DE15BD"/>
    <w:rsid w:val="00DE19DF"/>
    <w:rsid w:val="00DE1F7C"/>
    <w:rsid w:val="00DE2041"/>
    <w:rsid w:val="00DE2707"/>
    <w:rsid w:val="00DE2832"/>
    <w:rsid w:val="00DE2CCE"/>
    <w:rsid w:val="00DE2E75"/>
    <w:rsid w:val="00DE3446"/>
    <w:rsid w:val="00DE34DE"/>
    <w:rsid w:val="00DE402C"/>
    <w:rsid w:val="00DE4154"/>
    <w:rsid w:val="00DE430C"/>
    <w:rsid w:val="00DE4495"/>
    <w:rsid w:val="00DE4761"/>
    <w:rsid w:val="00DE49A3"/>
    <w:rsid w:val="00DE4ABB"/>
    <w:rsid w:val="00DE5240"/>
    <w:rsid w:val="00DE52E7"/>
    <w:rsid w:val="00DE5417"/>
    <w:rsid w:val="00DE5598"/>
    <w:rsid w:val="00DE596D"/>
    <w:rsid w:val="00DE5B15"/>
    <w:rsid w:val="00DE5FAF"/>
    <w:rsid w:val="00DE614D"/>
    <w:rsid w:val="00DE623D"/>
    <w:rsid w:val="00DE62FF"/>
    <w:rsid w:val="00DE64ED"/>
    <w:rsid w:val="00DE6817"/>
    <w:rsid w:val="00DE6D8D"/>
    <w:rsid w:val="00DE6E8D"/>
    <w:rsid w:val="00DE7025"/>
    <w:rsid w:val="00DE709F"/>
    <w:rsid w:val="00DE70D7"/>
    <w:rsid w:val="00DE7667"/>
    <w:rsid w:val="00DE7F89"/>
    <w:rsid w:val="00DF0036"/>
    <w:rsid w:val="00DF035C"/>
    <w:rsid w:val="00DF03DB"/>
    <w:rsid w:val="00DF048B"/>
    <w:rsid w:val="00DF049E"/>
    <w:rsid w:val="00DF0A15"/>
    <w:rsid w:val="00DF0A26"/>
    <w:rsid w:val="00DF0A99"/>
    <w:rsid w:val="00DF0B85"/>
    <w:rsid w:val="00DF0E37"/>
    <w:rsid w:val="00DF114C"/>
    <w:rsid w:val="00DF1918"/>
    <w:rsid w:val="00DF1FE9"/>
    <w:rsid w:val="00DF2270"/>
    <w:rsid w:val="00DF2D26"/>
    <w:rsid w:val="00DF2DEB"/>
    <w:rsid w:val="00DF2E36"/>
    <w:rsid w:val="00DF2E62"/>
    <w:rsid w:val="00DF302C"/>
    <w:rsid w:val="00DF315E"/>
    <w:rsid w:val="00DF3D4B"/>
    <w:rsid w:val="00DF3E48"/>
    <w:rsid w:val="00DF3F23"/>
    <w:rsid w:val="00DF4268"/>
    <w:rsid w:val="00DF4BB6"/>
    <w:rsid w:val="00DF4C99"/>
    <w:rsid w:val="00DF4E4E"/>
    <w:rsid w:val="00DF514B"/>
    <w:rsid w:val="00DF5318"/>
    <w:rsid w:val="00DF53F5"/>
    <w:rsid w:val="00DF591C"/>
    <w:rsid w:val="00DF5999"/>
    <w:rsid w:val="00DF5A3F"/>
    <w:rsid w:val="00DF5FF3"/>
    <w:rsid w:val="00DF60B2"/>
    <w:rsid w:val="00DF6861"/>
    <w:rsid w:val="00DF704B"/>
    <w:rsid w:val="00DF71FF"/>
    <w:rsid w:val="00DF7380"/>
    <w:rsid w:val="00DF7FA0"/>
    <w:rsid w:val="00E00020"/>
    <w:rsid w:val="00E00160"/>
    <w:rsid w:val="00E00222"/>
    <w:rsid w:val="00E00440"/>
    <w:rsid w:val="00E00546"/>
    <w:rsid w:val="00E0075F"/>
    <w:rsid w:val="00E00B24"/>
    <w:rsid w:val="00E01095"/>
    <w:rsid w:val="00E010DB"/>
    <w:rsid w:val="00E0112A"/>
    <w:rsid w:val="00E0131B"/>
    <w:rsid w:val="00E0138F"/>
    <w:rsid w:val="00E015C5"/>
    <w:rsid w:val="00E01606"/>
    <w:rsid w:val="00E01B19"/>
    <w:rsid w:val="00E02A21"/>
    <w:rsid w:val="00E02D09"/>
    <w:rsid w:val="00E02EE3"/>
    <w:rsid w:val="00E03945"/>
    <w:rsid w:val="00E049A5"/>
    <w:rsid w:val="00E04B62"/>
    <w:rsid w:val="00E04D9C"/>
    <w:rsid w:val="00E04DB6"/>
    <w:rsid w:val="00E05177"/>
    <w:rsid w:val="00E0522D"/>
    <w:rsid w:val="00E052DD"/>
    <w:rsid w:val="00E053B0"/>
    <w:rsid w:val="00E05701"/>
    <w:rsid w:val="00E05738"/>
    <w:rsid w:val="00E0589D"/>
    <w:rsid w:val="00E05901"/>
    <w:rsid w:val="00E05ABA"/>
    <w:rsid w:val="00E05C15"/>
    <w:rsid w:val="00E064ED"/>
    <w:rsid w:val="00E0673F"/>
    <w:rsid w:val="00E0681A"/>
    <w:rsid w:val="00E069F9"/>
    <w:rsid w:val="00E06A76"/>
    <w:rsid w:val="00E06BCB"/>
    <w:rsid w:val="00E06CE9"/>
    <w:rsid w:val="00E06F5B"/>
    <w:rsid w:val="00E072DB"/>
    <w:rsid w:val="00E07E98"/>
    <w:rsid w:val="00E10097"/>
    <w:rsid w:val="00E100A4"/>
    <w:rsid w:val="00E10850"/>
    <w:rsid w:val="00E10A7A"/>
    <w:rsid w:val="00E10BB7"/>
    <w:rsid w:val="00E10C37"/>
    <w:rsid w:val="00E10CAD"/>
    <w:rsid w:val="00E10D3B"/>
    <w:rsid w:val="00E11371"/>
    <w:rsid w:val="00E1162A"/>
    <w:rsid w:val="00E11669"/>
    <w:rsid w:val="00E11989"/>
    <w:rsid w:val="00E11ADF"/>
    <w:rsid w:val="00E11DE2"/>
    <w:rsid w:val="00E129E6"/>
    <w:rsid w:val="00E12A8F"/>
    <w:rsid w:val="00E12C09"/>
    <w:rsid w:val="00E12CFF"/>
    <w:rsid w:val="00E12FCB"/>
    <w:rsid w:val="00E13676"/>
    <w:rsid w:val="00E13B95"/>
    <w:rsid w:val="00E13D90"/>
    <w:rsid w:val="00E13DB8"/>
    <w:rsid w:val="00E1403A"/>
    <w:rsid w:val="00E14618"/>
    <w:rsid w:val="00E146AC"/>
    <w:rsid w:val="00E148E1"/>
    <w:rsid w:val="00E1497A"/>
    <w:rsid w:val="00E149CD"/>
    <w:rsid w:val="00E15125"/>
    <w:rsid w:val="00E152B2"/>
    <w:rsid w:val="00E152E2"/>
    <w:rsid w:val="00E1553E"/>
    <w:rsid w:val="00E157DA"/>
    <w:rsid w:val="00E15999"/>
    <w:rsid w:val="00E159F7"/>
    <w:rsid w:val="00E15F10"/>
    <w:rsid w:val="00E16414"/>
    <w:rsid w:val="00E165F2"/>
    <w:rsid w:val="00E16A1E"/>
    <w:rsid w:val="00E16B8F"/>
    <w:rsid w:val="00E16D4E"/>
    <w:rsid w:val="00E16D73"/>
    <w:rsid w:val="00E16E1C"/>
    <w:rsid w:val="00E16E74"/>
    <w:rsid w:val="00E17332"/>
    <w:rsid w:val="00E175CA"/>
    <w:rsid w:val="00E177C5"/>
    <w:rsid w:val="00E17A2F"/>
    <w:rsid w:val="00E17E7A"/>
    <w:rsid w:val="00E20084"/>
    <w:rsid w:val="00E2063B"/>
    <w:rsid w:val="00E20673"/>
    <w:rsid w:val="00E2077B"/>
    <w:rsid w:val="00E207D9"/>
    <w:rsid w:val="00E2085F"/>
    <w:rsid w:val="00E20B08"/>
    <w:rsid w:val="00E20CA8"/>
    <w:rsid w:val="00E20E2B"/>
    <w:rsid w:val="00E21605"/>
    <w:rsid w:val="00E21840"/>
    <w:rsid w:val="00E21A5E"/>
    <w:rsid w:val="00E21B0C"/>
    <w:rsid w:val="00E2239D"/>
    <w:rsid w:val="00E22F2B"/>
    <w:rsid w:val="00E2302E"/>
    <w:rsid w:val="00E2349E"/>
    <w:rsid w:val="00E23724"/>
    <w:rsid w:val="00E23A5F"/>
    <w:rsid w:val="00E23C07"/>
    <w:rsid w:val="00E23C57"/>
    <w:rsid w:val="00E24358"/>
    <w:rsid w:val="00E24360"/>
    <w:rsid w:val="00E245F6"/>
    <w:rsid w:val="00E24638"/>
    <w:rsid w:val="00E24F42"/>
    <w:rsid w:val="00E2509B"/>
    <w:rsid w:val="00E25EAD"/>
    <w:rsid w:val="00E26201"/>
    <w:rsid w:val="00E2628F"/>
    <w:rsid w:val="00E2660D"/>
    <w:rsid w:val="00E26664"/>
    <w:rsid w:val="00E2669C"/>
    <w:rsid w:val="00E26938"/>
    <w:rsid w:val="00E27002"/>
    <w:rsid w:val="00E27187"/>
    <w:rsid w:val="00E27835"/>
    <w:rsid w:val="00E27CEF"/>
    <w:rsid w:val="00E27D1C"/>
    <w:rsid w:val="00E3050D"/>
    <w:rsid w:val="00E3058F"/>
    <w:rsid w:val="00E30603"/>
    <w:rsid w:val="00E3069C"/>
    <w:rsid w:val="00E308DC"/>
    <w:rsid w:val="00E309A6"/>
    <w:rsid w:val="00E30AFB"/>
    <w:rsid w:val="00E3184E"/>
    <w:rsid w:val="00E31888"/>
    <w:rsid w:val="00E31C4C"/>
    <w:rsid w:val="00E31C6D"/>
    <w:rsid w:val="00E31E74"/>
    <w:rsid w:val="00E32023"/>
    <w:rsid w:val="00E32594"/>
    <w:rsid w:val="00E3272E"/>
    <w:rsid w:val="00E32DDF"/>
    <w:rsid w:val="00E32F1F"/>
    <w:rsid w:val="00E332FF"/>
    <w:rsid w:val="00E33435"/>
    <w:rsid w:val="00E3354F"/>
    <w:rsid w:val="00E33F03"/>
    <w:rsid w:val="00E341DE"/>
    <w:rsid w:val="00E34224"/>
    <w:rsid w:val="00E3445D"/>
    <w:rsid w:val="00E345F1"/>
    <w:rsid w:val="00E347D0"/>
    <w:rsid w:val="00E3480F"/>
    <w:rsid w:val="00E34B3C"/>
    <w:rsid w:val="00E34D79"/>
    <w:rsid w:val="00E34EF9"/>
    <w:rsid w:val="00E35066"/>
    <w:rsid w:val="00E35567"/>
    <w:rsid w:val="00E3596F"/>
    <w:rsid w:val="00E3597A"/>
    <w:rsid w:val="00E35A55"/>
    <w:rsid w:val="00E35A86"/>
    <w:rsid w:val="00E3606E"/>
    <w:rsid w:val="00E36149"/>
    <w:rsid w:val="00E365FC"/>
    <w:rsid w:val="00E36B27"/>
    <w:rsid w:val="00E36B5C"/>
    <w:rsid w:val="00E36E3B"/>
    <w:rsid w:val="00E371E0"/>
    <w:rsid w:val="00E372F5"/>
    <w:rsid w:val="00E377C4"/>
    <w:rsid w:val="00E37ED6"/>
    <w:rsid w:val="00E401BB"/>
    <w:rsid w:val="00E40246"/>
    <w:rsid w:val="00E40558"/>
    <w:rsid w:val="00E40687"/>
    <w:rsid w:val="00E40AE6"/>
    <w:rsid w:val="00E40F50"/>
    <w:rsid w:val="00E41354"/>
    <w:rsid w:val="00E41380"/>
    <w:rsid w:val="00E41604"/>
    <w:rsid w:val="00E4168F"/>
    <w:rsid w:val="00E41A1E"/>
    <w:rsid w:val="00E41B29"/>
    <w:rsid w:val="00E41C50"/>
    <w:rsid w:val="00E41DEF"/>
    <w:rsid w:val="00E41FE6"/>
    <w:rsid w:val="00E423CE"/>
    <w:rsid w:val="00E423E4"/>
    <w:rsid w:val="00E426EE"/>
    <w:rsid w:val="00E42709"/>
    <w:rsid w:val="00E42ECE"/>
    <w:rsid w:val="00E42F1B"/>
    <w:rsid w:val="00E42F6F"/>
    <w:rsid w:val="00E42FDD"/>
    <w:rsid w:val="00E43087"/>
    <w:rsid w:val="00E43343"/>
    <w:rsid w:val="00E43D3E"/>
    <w:rsid w:val="00E4492F"/>
    <w:rsid w:val="00E44AE4"/>
    <w:rsid w:val="00E44B53"/>
    <w:rsid w:val="00E44DE9"/>
    <w:rsid w:val="00E44EAF"/>
    <w:rsid w:val="00E44F21"/>
    <w:rsid w:val="00E44FC1"/>
    <w:rsid w:val="00E4537B"/>
    <w:rsid w:val="00E4560D"/>
    <w:rsid w:val="00E457AC"/>
    <w:rsid w:val="00E457D6"/>
    <w:rsid w:val="00E45A82"/>
    <w:rsid w:val="00E45AE8"/>
    <w:rsid w:val="00E45B64"/>
    <w:rsid w:val="00E45F48"/>
    <w:rsid w:val="00E45FF2"/>
    <w:rsid w:val="00E460DC"/>
    <w:rsid w:val="00E462DE"/>
    <w:rsid w:val="00E46394"/>
    <w:rsid w:val="00E46633"/>
    <w:rsid w:val="00E46AE7"/>
    <w:rsid w:val="00E46B74"/>
    <w:rsid w:val="00E46DEB"/>
    <w:rsid w:val="00E47100"/>
    <w:rsid w:val="00E47336"/>
    <w:rsid w:val="00E4793D"/>
    <w:rsid w:val="00E47D35"/>
    <w:rsid w:val="00E47F9C"/>
    <w:rsid w:val="00E507D6"/>
    <w:rsid w:val="00E50997"/>
    <w:rsid w:val="00E50A31"/>
    <w:rsid w:val="00E510AC"/>
    <w:rsid w:val="00E51951"/>
    <w:rsid w:val="00E51986"/>
    <w:rsid w:val="00E51C36"/>
    <w:rsid w:val="00E51F14"/>
    <w:rsid w:val="00E523D5"/>
    <w:rsid w:val="00E52665"/>
    <w:rsid w:val="00E52753"/>
    <w:rsid w:val="00E52A1A"/>
    <w:rsid w:val="00E52A21"/>
    <w:rsid w:val="00E53032"/>
    <w:rsid w:val="00E53E74"/>
    <w:rsid w:val="00E541AD"/>
    <w:rsid w:val="00E5442B"/>
    <w:rsid w:val="00E5445F"/>
    <w:rsid w:val="00E54892"/>
    <w:rsid w:val="00E54AB1"/>
    <w:rsid w:val="00E54BD4"/>
    <w:rsid w:val="00E54DF0"/>
    <w:rsid w:val="00E55166"/>
    <w:rsid w:val="00E552CD"/>
    <w:rsid w:val="00E5561C"/>
    <w:rsid w:val="00E55974"/>
    <w:rsid w:val="00E56586"/>
    <w:rsid w:val="00E56859"/>
    <w:rsid w:val="00E5696E"/>
    <w:rsid w:val="00E5699D"/>
    <w:rsid w:val="00E56A81"/>
    <w:rsid w:val="00E56AC9"/>
    <w:rsid w:val="00E57131"/>
    <w:rsid w:val="00E57261"/>
    <w:rsid w:val="00E5733E"/>
    <w:rsid w:val="00E57399"/>
    <w:rsid w:val="00E573D0"/>
    <w:rsid w:val="00E576BE"/>
    <w:rsid w:val="00E57AE9"/>
    <w:rsid w:val="00E6023A"/>
    <w:rsid w:val="00E602D9"/>
    <w:rsid w:val="00E60300"/>
    <w:rsid w:val="00E60AA9"/>
    <w:rsid w:val="00E60BF5"/>
    <w:rsid w:val="00E60CD8"/>
    <w:rsid w:val="00E61367"/>
    <w:rsid w:val="00E61394"/>
    <w:rsid w:val="00E62131"/>
    <w:rsid w:val="00E62A13"/>
    <w:rsid w:val="00E62DAB"/>
    <w:rsid w:val="00E62E62"/>
    <w:rsid w:val="00E63006"/>
    <w:rsid w:val="00E630A1"/>
    <w:rsid w:val="00E63601"/>
    <w:rsid w:val="00E63B07"/>
    <w:rsid w:val="00E63CB6"/>
    <w:rsid w:val="00E641AC"/>
    <w:rsid w:val="00E64243"/>
    <w:rsid w:val="00E64272"/>
    <w:rsid w:val="00E644AB"/>
    <w:rsid w:val="00E644E8"/>
    <w:rsid w:val="00E645D0"/>
    <w:rsid w:val="00E649B0"/>
    <w:rsid w:val="00E655AA"/>
    <w:rsid w:val="00E655F0"/>
    <w:rsid w:val="00E65681"/>
    <w:rsid w:val="00E65A5B"/>
    <w:rsid w:val="00E65B16"/>
    <w:rsid w:val="00E65F75"/>
    <w:rsid w:val="00E65F83"/>
    <w:rsid w:val="00E661C3"/>
    <w:rsid w:val="00E663CF"/>
    <w:rsid w:val="00E66EBB"/>
    <w:rsid w:val="00E67107"/>
    <w:rsid w:val="00E67404"/>
    <w:rsid w:val="00E679A9"/>
    <w:rsid w:val="00E67CEB"/>
    <w:rsid w:val="00E67E3C"/>
    <w:rsid w:val="00E7006D"/>
    <w:rsid w:val="00E702FA"/>
    <w:rsid w:val="00E70512"/>
    <w:rsid w:val="00E70629"/>
    <w:rsid w:val="00E70663"/>
    <w:rsid w:val="00E7069D"/>
    <w:rsid w:val="00E70989"/>
    <w:rsid w:val="00E70AFE"/>
    <w:rsid w:val="00E70EFC"/>
    <w:rsid w:val="00E712F8"/>
    <w:rsid w:val="00E71487"/>
    <w:rsid w:val="00E71583"/>
    <w:rsid w:val="00E7171F"/>
    <w:rsid w:val="00E71895"/>
    <w:rsid w:val="00E71AD6"/>
    <w:rsid w:val="00E71C41"/>
    <w:rsid w:val="00E71D15"/>
    <w:rsid w:val="00E71E47"/>
    <w:rsid w:val="00E71FB9"/>
    <w:rsid w:val="00E729C0"/>
    <w:rsid w:val="00E72B27"/>
    <w:rsid w:val="00E72D4F"/>
    <w:rsid w:val="00E73395"/>
    <w:rsid w:val="00E7350E"/>
    <w:rsid w:val="00E73940"/>
    <w:rsid w:val="00E73D3A"/>
    <w:rsid w:val="00E74205"/>
    <w:rsid w:val="00E74297"/>
    <w:rsid w:val="00E742C1"/>
    <w:rsid w:val="00E745CF"/>
    <w:rsid w:val="00E74726"/>
    <w:rsid w:val="00E7477D"/>
    <w:rsid w:val="00E74C3F"/>
    <w:rsid w:val="00E74C69"/>
    <w:rsid w:val="00E75087"/>
    <w:rsid w:val="00E750F1"/>
    <w:rsid w:val="00E75272"/>
    <w:rsid w:val="00E752B5"/>
    <w:rsid w:val="00E756B6"/>
    <w:rsid w:val="00E75763"/>
    <w:rsid w:val="00E75B8D"/>
    <w:rsid w:val="00E760BF"/>
    <w:rsid w:val="00E7615D"/>
    <w:rsid w:val="00E76212"/>
    <w:rsid w:val="00E7648B"/>
    <w:rsid w:val="00E764A0"/>
    <w:rsid w:val="00E765D0"/>
    <w:rsid w:val="00E767A2"/>
    <w:rsid w:val="00E767F8"/>
    <w:rsid w:val="00E76A51"/>
    <w:rsid w:val="00E76B97"/>
    <w:rsid w:val="00E76E5A"/>
    <w:rsid w:val="00E7713D"/>
    <w:rsid w:val="00E7730B"/>
    <w:rsid w:val="00E7760E"/>
    <w:rsid w:val="00E779B3"/>
    <w:rsid w:val="00E8004A"/>
    <w:rsid w:val="00E80202"/>
    <w:rsid w:val="00E802C3"/>
    <w:rsid w:val="00E80499"/>
    <w:rsid w:val="00E805A3"/>
    <w:rsid w:val="00E808AB"/>
    <w:rsid w:val="00E80AA8"/>
    <w:rsid w:val="00E80B0B"/>
    <w:rsid w:val="00E80C31"/>
    <w:rsid w:val="00E80D0B"/>
    <w:rsid w:val="00E80FD2"/>
    <w:rsid w:val="00E81110"/>
    <w:rsid w:val="00E8124A"/>
    <w:rsid w:val="00E81338"/>
    <w:rsid w:val="00E813B9"/>
    <w:rsid w:val="00E8141E"/>
    <w:rsid w:val="00E81479"/>
    <w:rsid w:val="00E822A2"/>
    <w:rsid w:val="00E824F5"/>
    <w:rsid w:val="00E827AB"/>
    <w:rsid w:val="00E82887"/>
    <w:rsid w:val="00E82B9D"/>
    <w:rsid w:val="00E82C01"/>
    <w:rsid w:val="00E82F32"/>
    <w:rsid w:val="00E82F4E"/>
    <w:rsid w:val="00E83062"/>
    <w:rsid w:val="00E83382"/>
    <w:rsid w:val="00E83409"/>
    <w:rsid w:val="00E83451"/>
    <w:rsid w:val="00E838F8"/>
    <w:rsid w:val="00E83C52"/>
    <w:rsid w:val="00E83D33"/>
    <w:rsid w:val="00E83F82"/>
    <w:rsid w:val="00E8429A"/>
    <w:rsid w:val="00E845D2"/>
    <w:rsid w:val="00E8496F"/>
    <w:rsid w:val="00E84C6E"/>
    <w:rsid w:val="00E84FA5"/>
    <w:rsid w:val="00E85725"/>
    <w:rsid w:val="00E8594D"/>
    <w:rsid w:val="00E85E1E"/>
    <w:rsid w:val="00E85FF9"/>
    <w:rsid w:val="00E8642E"/>
    <w:rsid w:val="00E86682"/>
    <w:rsid w:val="00E86712"/>
    <w:rsid w:val="00E867F4"/>
    <w:rsid w:val="00E86ACD"/>
    <w:rsid w:val="00E86F59"/>
    <w:rsid w:val="00E86FBA"/>
    <w:rsid w:val="00E871A3"/>
    <w:rsid w:val="00E871F3"/>
    <w:rsid w:val="00E87325"/>
    <w:rsid w:val="00E87508"/>
    <w:rsid w:val="00E876F1"/>
    <w:rsid w:val="00E87971"/>
    <w:rsid w:val="00E9048A"/>
    <w:rsid w:val="00E9048D"/>
    <w:rsid w:val="00E90591"/>
    <w:rsid w:val="00E90A48"/>
    <w:rsid w:val="00E90D4A"/>
    <w:rsid w:val="00E90E97"/>
    <w:rsid w:val="00E911CD"/>
    <w:rsid w:val="00E91738"/>
    <w:rsid w:val="00E91824"/>
    <w:rsid w:val="00E91EF5"/>
    <w:rsid w:val="00E921BE"/>
    <w:rsid w:val="00E92BEB"/>
    <w:rsid w:val="00E92FC5"/>
    <w:rsid w:val="00E93CED"/>
    <w:rsid w:val="00E93F9D"/>
    <w:rsid w:val="00E9409A"/>
    <w:rsid w:val="00E9422C"/>
    <w:rsid w:val="00E943AA"/>
    <w:rsid w:val="00E9490F"/>
    <w:rsid w:val="00E949A4"/>
    <w:rsid w:val="00E94A39"/>
    <w:rsid w:val="00E94B44"/>
    <w:rsid w:val="00E94E80"/>
    <w:rsid w:val="00E95624"/>
    <w:rsid w:val="00E958AA"/>
    <w:rsid w:val="00E95C99"/>
    <w:rsid w:val="00E962CE"/>
    <w:rsid w:val="00E96784"/>
    <w:rsid w:val="00E9686D"/>
    <w:rsid w:val="00E96986"/>
    <w:rsid w:val="00E96B22"/>
    <w:rsid w:val="00E96BE2"/>
    <w:rsid w:val="00E96E05"/>
    <w:rsid w:val="00E96EE1"/>
    <w:rsid w:val="00E97194"/>
    <w:rsid w:val="00E971CC"/>
    <w:rsid w:val="00E97BF5"/>
    <w:rsid w:val="00EA0119"/>
    <w:rsid w:val="00EA0163"/>
    <w:rsid w:val="00EA0A84"/>
    <w:rsid w:val="00EA0B0A"/>
    <w:rsid w:val="00EA0C64"/>
    <w:rsid w:val="00EA10D8"/>
    <w:rsid w:val="00EA12BC"/>
    <w:rsid w:val="00EA1306"/>
    <w:rsid w:val="00EA15F4"/>
    <w:rsid w:val="00EA1632"/>
    <w:rsid w:val="00EA1831"/>
    <w:rsid w:val="00EA1E47"/>
    <w:rsid w:val="00EA1E6B"/>
    <w:rsid w:val="00EA1F76"/>
    <w:rsid w:val="00EA23E3"/>
    <w:rsid w:val="00EA2717"/>
    <w:rsid w:val="00EA2844"/>
    <w:rsid w:val="00EA2940"/>
    <w:rsid w:val="00EA303D"/>
    <w:rsid w:val="00EA311F"/>
    <w:rsid w:val="00EA322B"/>
    <w:rsid w:val="00EA32CF"/>
    <w:rsid w:val="00EA377A"/>
    <w:rsid w:val="00EA3869"/>
    <w:rsid w:val="00EA3871"/>
    <w:rsid w:val="00EA3B48"/>
    <w:rsid w:val="00EA3C6E"/>
    <w:rsid w:val="00EA3F38"/>
    <w:rsid w:val="00EA415D"/>
    <w:rsid w:val="00EA4476"/>
    <w:rsid w:val="00EA48F6"/>
    <w:rsid w:val="00EA4F16"/>
    <w:rsid w:val="00EA4FC3"/>
    <w:rsid w:val="00EA57E2"/>
    <w:rsid w:val="00EA5B4A"/>
    <w:rsid w:val="00EA5EB0"/>
    <w:rsid w:val="00EA6268"/>
    <w:rsid w:val="00EA6863"/>
    <w:rsid w:val="00EA71A3"/>
    <w:rsid w:val="00EA7247"/>
    <w:rsid w:val="00EA72E6"/>
    <w:rsid w:val="00EA734B"/>
    <w:rsid w:val="00EB0201"/>
    <w:rsid w:val="00EB07EA"/>
    <w:rsid w:val="00EB0C8F"/>
    <w:rsid w:val="00EB16AE"/>
    <w:rsid w:val="00EB176A"/>
    <w:rsid w:val="00EB1B46"/>
    <w:rsid w:val="00EB1BB5"/>
    <w:rsid w:val="00EB1EB1"/>
    <w:rsid w:val="00EB2128"/>
    <w:rsid w:val="00EB29F1"/>
    <w:rsid w:val="00EB2DA1"/>
    <w:rsid w:val="00EB32B8"/>
    <w:rsid w:val="00EB34E9"/>
    <w:rsid w:val="00EB359A"/>
    <w:rsid w:val="00EB3E06"/>
    <w:rsid w:val="00EB4209"/>
    <w:rsid w:val="00EB43C2"/>
    <w:rsid w:val="00EB46D0"/>
    <w:rsid w:val="00EB4729"/>
    <w:rsid w:val="00EB48D9"/>
    <w:rsid w:val="00EB5406"/>
    <w:rsid w:val="00EB5668"/>
    <w:rsid w:val="00EB5B07"/>
    <w:rsid w:val="00EB5E69"/>
    <w:rsid w:val="00EB654D"/>
    <w:rsid w:val="00EB65CC"/>
    <w:rsid w:val="00EB6E48"/>
    <w:rsid w:val="00EB6F03"/>
    <w:rsid w:val="00EB7191"/>
    <w:rsid w:val="00EB7205"/>
    <w:rsid w:val="00EB7B11"/>
    <w:rsid w:val="00EB7CEB"/>
    <w:rsid w:val="00EB7F3E"/>
    <w:rsid w:val="00EB7F67"/>
    <w:rsid w:val="00EC0119"/>
    <w:rsid w:val="00EC03D8"/>
    <w:rsid w:val="00EC052F"/>
    <w:rsid w:val="00EC0768"/>
    <w:rsid w:val="00EC08E8"/>
    <w:rsid w:val="00EC093B"/>
    <w:rsid w:val="00EC0B09"/>
    <w:rsid w:val="00EC105A"/>
    <w:rsid w:val="00EC10D0"/>
    <w:rsid w:val="00EC167B"/>
    <w:rsid w:val="00EC199A"/>
    <w:rsid w:val="00EC1ABB"/>
    <w:rsid w:val="00EC1B31"/>
    <w:rsid w:val="00EC1B60"/>
    <w:rsid w:val="00EC1D4F"/>
    <w:rsid w:val="00EC1E41"/>
    <w:rsid w:val="00EC2105"/>
    <w:rsid w:val="00EC226A"/>
    <w:rsid w:val="00EC2646"/>
    <w:rsid w:val="00EC26C1"/>
    <w:rsid w:val="00EC27F1"/>
    <w:rsid w:val="00EC2D91"/>
    <w:rsid w:val="00EC3036"/>
    <w:rsid w:val="00EC3488"/>
    <w:rsid w:val="00EC3701"/>
    <w:rsid w:val="00EC3B08"/>
    <w:rsid w:val="00EC3DA3"/>
    <w:rsid w:val="00EC4635"/>
    <w:rsid w:val="00EC4766"/>
    <w:rsid w:val="00EC47B0"/>
    <w:rsid w:val="00EC4CC4"/>
    <w:rsid w:val="00EC4D2D"/>
    <w:rsid w:val="00EC526F"/>
    <w:rsid w:val="00EC5462"/>
    <w:rsid w:val="00EC587E"/>
    <w:rsid w:val="00EC59C1"/>
    <w:rsid w:val="00EC6417"/>
    <w:rsid w:val="00EC660B"/>
    <w:rsid w:val="00EC6727"/>
    <w:rsid w:val="00EC6995"/>
    <w:rsid w:val="00EC6B18"/>
    <w:rsid w:val="00EC6E4A"/>
    <w:rsid w:val="00EC6EB4"/>
    <w:rsid w:val="00EC6EB7"/>
    <w:rsid w:val="00EC7077"/>
    <w:rsid w:val="00EC71F4"/>
    <w:rsid w:val="00EC7395"/>
    <w:rsid w:val="00EC74A2"/>
    <w:rsid w:val="00EC750E"/>
    <w:rsid w:val="00EC7ACA"/>
    <w:rsid w:val="00EC7C3E"/>
    <w:rsid w:val="00EC7F39"/>
    <w:rsid w:val="00ED016D"/>
    <w:rsid w:val="00ED021B"/>
    <w:rsid w:val="00ED0858"/>
    <w:rsid w:val="00ED0B09"/>
    <w:rsid w:val="00ED0EFB"/>
    <w:rsid w:val="00ED1584"/>
    <w:rsid w:val="00ED158D"/>
    <w:rsid w:val="00ED15BF"/>
    <w:rsid w:val="00ED15FF"/>
    <w:rsid w:val="00ED1713"/>
    <w:rsid w:val="00ED17EA"/>
    <w:rsid w:val="00ED1873"/>
    <w:rsid w:val="00ED1920"/>
    <w:rsid w:val="00ED1939"/>
    <w:rsid w:val="00ED1B41"/>
    <w:rsid w:val="00ED1D37"/>
    <w:rsid w:val="00ED1EC5"/>
    <w:rsid w:val="00ED26B2"/>
    <w:rsid w:val="00ED27CC"/>
    <w:rsid w:val="00ED2819"/>
    <w:rsid w:val="00ED2C59"/>
    <w:rsid w:val="00ED2CEB"/>
    <w:rsid w:val="00ED2E97"/>
    <w:rsid w:val="00ED3670"/>
    <w:rsid w:val="00ED37DD"/>
    <w:rsid w:val="00ED3811"/>
    <w:rsid w:val="00ED3880"/>
    <w:rsid w:val="00ED39F5"/>
    <w:rsid w:val="00ED3CE9"/>
    <w:rsid w:val="00ED408C"/>
    <w:rsid w:val="00ED488A"/>
    <w:rsid w:val="00ED492B"/>
    <w:rsid w:val="00ED49B2"/>
    <w:rsid w:val="00ED4F5C"/>
    <w:rsid w:val="00ED512E"/>
    <w:rsid w:val="00ED5173"/>
    <w:rsid w:val="00ED53EE"/>
    <w:rsid w:val="00ED57DF"/>
    <w:rsid w:val="00ED5845"/>
    <w:rsid w:val="00ED5870"/>
    <w:rsid w:val="00ED5920"/>
    <w:rsid w:val="00ED5A6F"/>
    <w:rsid w:val="00ED5EB1"/>
    <w:rsid w:val="00ED5FFF"/>
    <w:rsid w:val="00ED6042"/>
    <w:rsid w:val="00ED6082"/>
    <w:rsid w:val="00ED657B"/>
    <w:rsid w:val="00ED6F1B"/>
    <w:rsid w:val="00ED7939"/>
    <w:rsid w:val="00ED79A8"/>
    <w:rsid w:val="00ED7C8C"/>
    <w:rsid w:val="00ED7D41"/>
    <w:rsid w:val="00EE0015"/>
    <w:rsid w:val="00EE0027"/>
    <w:rsid w:val="00EE01B2"/>
    <w:rsid w:val="00EE01D5"/>
    <w:rsid w:val="00EE0255"/>
    <w:rsid w:val="00EE0D02"/>
    <w:rsid w:val="00EE0F09"/>
    <w:rsid w:val="00EE0FC3"/>
    <w:rsid w:val="00EE1783"/>
    <w:rsid w:val="00EE17E1"/>
    <w:rsid w:val="00EE1A56"/>
    <w:rsid w:val="00EE1AC7"/>
    <w:rsid w:val="00EE1B5B"/>
    <w:rsid w:val="00EE1D9D"/>
    <w:rsid w:val="00EE229E"/>
    <w:rsid w:val="00EE2562"/>
    <w:rsid w:val="00EE29B0"/>
    <w:rsid w:val="00EE2A4F"/>
    <w:rsid w:val="00EE2A81"/>
    <w:rsid w:val="00EE3005"/>
    <w:rsid w:val="00EE30F6"/>
    <w:rsid w:val="00EE33AF"/>
    <w:rsid w:val="00EE3413"/>
    <w:rsid w:val="00EE34A7"/>
    <w:rsid w:val="00EE3CEB"/>
    <w:rsid w:val="00EE4092"/>
    <w:rsid w:val="00EE43BE"/>
    <w:rsid w:val="00EE493C"/>
    <w:rsid w:val="00EE4D08"/>
    <w:rsid w:val="00EE4EDB"/>
    <w:rsid w:val="00EE4F4D"/>
    <w:rsid w:val="00EE4F76"/>
    <w:rsid w:val="00EE52F6"/>
    <w:rsid w:val="00EE5335"/>
    <w:rsid w:val="00EE5481"/>
    <w:rsid w:val="00EE5D0B"/>
    <w:rsid w:val="00EE5EFC"/>
    <w:rsid w:val="00EE601E"/>
    <w:rsid w:val="00EE6044"/>
    <w:rsid w:val="00EE607C"/>
    <w:rsid w:val="00EE60E1"/>
    <w:rsid w:val="00EE61F7"/>
    <w:rsid w:val="00EE64DF"/>
    <w:rsid w:val="00EE6649"/>
    <w:rsid w:val="00EE677F"/>
    <w:rsid w:val="00EE6DE7"/>
    <w:rsid w:val="00EE7027"/>
    <w:rsid w:val="00EE73EE"/>
    <w:rsid w:val="00EE7BFF"/>
    <w:rsid w:val="00EF003E"/>
    <w:rsid w:val="00EF012C"/>
    <w:rsid w:val="00EF0590"/>
    <w:rsid w:val="00EF0719"/>
    <w:rsid w:val="00EF0A1C"/>
    <w:rsid w:val="00EF0A57"/>
    <w:rsid w:val="00EF10B5"/>
    <w:rsid w:val="00EF10BF"/>
    <w:rsid w:val="00EF1248"/>
    <w:rsid w:val="00EF1266"/>
    <w:rsid w:val="00EF1282"/>
    <w:rsid w:val="00EF17FB"/>
    <w:rsid w:val="00EF1DD2"/>
    <w:rsid w:val="00EF1EE3"/>
    <w:rsid w:val="00EF1F7E"/>
    <w:rsid w:val="00EF20A4"/>
    <w:rsid w:val="00EF23B5"/>
    <w:rsid w:val="00EF25E0"/>
    <w:rsid w:val="00EF282D"/>
    <w:rsid w:val="00EF2CEB"/>
    <w:rsid w:val="00EF3449"/>
    <w:rsid w:val="00EF38B2"/>
    <w:rsid w:val="00EF3EB4"/>
    <w:rsid w:val="00EF3FD0"/>
    <w:rsid w:val="00EF4F80"/>
    <w:rsid w:val="00EF50D1"/>
    <w:rsid w:val="00EF5264"/>
    <w:rsid w:val="00EF54FA"/>
    <w:rsid w:val="00EF5524"/>
    <w:rsid w:val="00EF587E"/>
    <w:rsid w:val="00EF58EE"/>
    <w:rsid w:val="00EF5EB2"/>
    <w:rsid w:val="00EF610E"/>
    <w:rsid w:val="00EF664A"/>
    <w:rsid w:val="00EF6A84"/>
    <w:rsid w:val="00EF70C0"/>
    <w:rsid w:val="00EF72F0"/>
    <w:rsid w:val="00EF75A6"/>
    <w:rsid w:val="00EF75B4"/>
    <w:rsid w:val="00EF773F"/>
    <w:rsid w:val="00EF7AAC"/>
    <w:rsid w:val="00EF7DA3"/>
    <w:rsid w:val="00EF7DBF"/>
    <w:rsid w:val="00F004A5"/>
    <w:rsid w:val="00F005E2"/>
    <w:rsid w:val="00F00AD7"/>
    <w:rsid w:val="00F00CF2"/>
    <w:rsid w:val="00F00EC7"/>
    <w:rsid w:val="00F00F01"/>
    <w:rsid w:val="00F00FC3"/>
    <w:rsid w:val="00F01383"/>
    <w:rsid w:val="00F01401"/>
    <w:rsid w:val="00F01535"/>
    <w:rsid w:val="00F0158C"/>
    <w:rsid w:val="00F016F7"/>
    <w:rsid w:val="00F0179D"/>
    <w:rsid w:val="00F0197A"/>
    <w:rsid w:val="00F01F91"/>
    <w:rsid w:val="00F020BF"/>
    <w:rsid w:val="00F021C9"/>
    <w:rsid w:val="00F021EA"/>
    <w:rsid w:val="00F025CB"/>
    <w:rsid w:val="00F02755"/>
    <w:rsid w:val="00F02790"/>
    <w:rsid w:val="00F028FB"/>
    <w:rsid w:val="00F02C19"/>
    <w:rsid w:val="00F0333B"/>
    <w:rsid w:val="00F036B2"/>
    <w:rsid w:val="00F0386C"/>
    <w:rsid w:val="00F039F6"/>
    <w:rsid w:val="00F03A93"/>
    <w:rsid w:val="00F03C1E"/>
    <w:rsid w:val="00F03F7A"/>
    <w:rsid w:val="00F041EC"/>
    <w:rsid w:val="00F04306"/>
    <w:rsid w:val="00F043F0"/>
    <w:rsid w:val="00F044E4"/>
    <w:rsid w:val="00F046CD"/>
    <w:rsid w:val="00F04DB6"/>
    <w:rsid w:val="00F04F57"/>
    <w:rsid w:val="00F05193"/>
    <w:rsid w:val="00F059D5"/>
    <w:rsid w:val="00F05B7C"/>
    <w:rsid w:val="00F06550"/>
    <w:rsid w:val="00F06695"/>
    <w:rsid w:val="00F06EA9"/>
    <w:rsid w:val="00F070FB"/>
    <w:rsid w:val="00F07243"/>
    <w:rsid w:val="00F07253"/>
    <w:rsid w:val="00F0752C"/>
    <w:rsid w:val="00F07570"/>
    <w:rsid w:val="00F07672"/>
    <w:rsid w:val="00F07866"/>
    <w:rsid w:val="00F07BDC"/>
    <w:rsid w:val="00F07ECD"/>
    <w:rsid w:val="00F10230"/>
    <w:rsid w:val="00F106AD"/>
    <w:rsid w:val="00F10771"/>
    <w:rsid w:val="00F10866"/>
    <w:rsid w:val="00F10E9A"/>
    <w:rsid w:val="00F10F4E"/>
    <w:rsid w:val="00F11015"/>
    <w:rsid w:val="00F110AD"/>
    <w:rsid w:val="00F11573"/>
    <w:rsid w:val="00F11DC0"/>
    <w:rsid w:val="00F11E37"/>
    <w:rsid w:val="00F126DC"/>
    <w:rsid w:val="00F128C6"/>
    <w:rsid w:val="00F1290E"/>
    <w:rsid w:val="00F13028"/>
    <w:rsid w:val="00F13138"/>
    <w:rsid w:val="00F134CD"/>
    <w:rsid w:val="00F139B7"/>
    <w:rsid w:val="00F139CC"/>
    <w:rsid w:val="00F13A41"/>
    <w:rsid w:val="00F142BA"/>
    <w:rsid w:val="00F144CA"/>
    <w:rsid w:val="00F147B6"/>
    <w:rsid w:val="00F14A12"/>
    <w:rsid w:val="00F14D12"/>
    <w:rsid w:val="00F14FA2"/>
    <w:rsid w:val="00F151CB"/>
    <w:rsid w:val="00F152FB"/>
    <w:rsid w:val="00F15754"/>
    <w:rsid w:val="00F1578F"/>
    <w:rsid w:val="00F157B2"/>
    <w:rsid w:val="00F15B3C"/>
    <w:rsid w:val="00F15B7A"/>
    <w:rsid w:val="00F15FB9"/>
    <w:rsid w:val="00F164AF"/>
    <w:rsid w:val="00F1660C"/>
    <w:rsid w:val="00F16BAF"/>
    <w:rsid w:val="00F17A66"/>
    <w:rsid w:val="00F17D1E"/>
    <w:rsid w:val="00F17F84"/>
    <w:rsid w:val="00F17F9D"/>
    <w:rsid w:val="00F20037"/>
    <w:rsid w:val="00F2029F"/>
    <w:rsid w:val="00F20322"/>
    <w:rsid w:val="00F20671"/>
    <w:rsid w:val="00F206DF"/>
    <w:rsid w:val="00F20AA5"/>
    <w:rsid w:val="00F20D39"/>
    <w:rsid w:val="00F20F7F"/>
    <w:rsid w:val="00F210AD"/>
    <w:rsid w:val="00F21241"/>
    <w:rsid w:val="00F21397"/>
    <w:rsid w:val="00F2145E"/>
    <w:rsid w:val="00F214E1"/>
    <w:rsid w:val="00F21567"/>
    <w:rsid w:val="00F21872"/>
    <w:rsid w:val="00F21A6E"/>
    <w:rsid w:val="00F21B5F"/>
    <w:rsid w:val="00F21E25"/>
    <w:rsid w:val="00F22032"/>
    <w:rsid w:val="00F22142"/>
    <w:rsid w:val="00F222D5"/>
    <w:rsid w:val="00F22369"/>
    <w:rsid w:val="00F226FD"/>
    <w:rsid w:val="00F22795"/>
    <w:rsid w:val="00F22CAB"/>
    <w:rsid w:val="00F22D7C"/>
    <w:rsid w:val="00F22DF0"/>
    <w:rsid w:val="00F22FD7"/>
    <w:rsid w:val="00F231F5"/>
    <w:rsid w:val="00F2346C"/>
    <w:rsid w:val="00F2397E"/>
    <w:rsid w:val="00F23B6E"/>
    <w:rsid w:val="00F23FA1"/>
    <w:rsid w:val="00F245B5"/>
    <w:rsid w:val="00F24A56"/>
    <w:rsid w:val="00F24D98"/>
    <w:rsid w:val="00F255D6"/>
    <w:rsid w:val="00F25A8F"/>
    <w:rsid w:val="00F263F7"/>
    <w:rsid w:val="00F264CC"/>
    <w:rsid w:val="00F26830"/>
    <w:rsid w:val="00F268BA"/>
    <w:rsid w:val="00F26955"/>
    <w:rsid w:val="00F27299"/>
    <w:rsid w:val="00F274FF"/>
    <w:rsid w:val="00F275B1"/>
    <w:rsid w:val="00F27A04"/>
    <w:rsid w:val="00F27A58"/>
    <w:rsid w:val="00F27D37"/>
    <w:rsid w:val="00F27F22"/>
    <w:rsid w:val="00F3019A"/>
    <w:rsid w:val="00F3043E"/>
    <w:rsid w:val="00F3060D"/>
    <w:rsid w:val="00F30660"/>
    <w:rsid w:val="00F308BF"/>
    <w:rsid w:val="00F30EF4"/>
    <w:rsid w:val="00F3107C"/>
    <w:rsid w:val="00F311CE"/>
    <w:rsid w:val="00F323F9"/>
    <w:rsid w:val="00F32442"/>
    <w:rsid w:val="00F325BF"/>
    <w:rsid w:val="00F32695"/>
    <w:rsid w:val="00F32D8C"/>
    <w:rsid w:val="00F33185"/>
    <w:rsid w:val="00F3337D"/>
    <w:rsid w:val="00F33672"/>
    <w:rsid w:val="00F3372E"/>
    <w:rsid w:val="00F33987"/>
    <w:rsid w:val="00F33AA5"/>
    <w:rsid w:val="00F33C5F"/>
    <w:rsid w:val="00F33D60"/>
    <w:rsid w:val="00F33FFE"/>
    <w:rsid w:val="00F3421A"/>
    <w:rsid w:val="00F34ED0"/>
    <w:rsid w:val="00F34ED1"/>
    <w:rsid w:val="00F3521B"/>
    <w:rsid w:val="00F36A57"/>
    <w:rsid w:val="00F36B02"/>
    <w:rsid w:val="00F36C5A"/>
    <w:rsid w:val="00F371DD"/>
    <w:rsid w:val="00F37F01"/>
    <w:rsid w:val="00F4010E"/>
    <w:rsid w:val="00F40691"/>
    <w:rsid w:val="00F406F9"/>
    <w:rsid w:val="00F40743"/>
    <w:rsid w:val="00F40B38"/>
    <w:rsid w:val="00F40DC7"/>
    <w:rsid w:val="00F40DE6"/>
    <w:rsid w:val="00F40F24"/>
    <w:rsid w:val="00F40F71"/>
    <w:rsid w:val="00F4123C"/>
    <w:rsid w:val="00F4129A"/>
    <w:rsid w:val="00F41432"/>
    <w:rsid w:val="00F417E5"/>
    <w:rsid w:val="00F41849"/>
    <w:rsid w:val="00F41A51"/>
    <w:rsid w:val="00F4201C"/>
    <w:rsid w:val="00F422C8"/>
    <w:rsid w:val="00F42489"/>
    <w:rsid w:val="00F4279B"/>
    <w:rsid w:val="00F42B84"/>
    <w:rsid w:val="00F42E20"/>
    <w:rsid w:val="00F42FDD"/>
    <w:rsid w:val="00F433EE"/>
    <w:rsid w:val="00F4393E"/>
    <w:rsid w:val="00F43C86"/>
    <w:rsid w:val="00F43F78"/>
    <w:rsid w:val="00F44A8E"/>
    <w:rsid w:val="00F4573C"/>
    <w:rsid w:val="00F45CD7"/>
    <w:rsid w:val="00F45CD8"/>
    <w:rsid w:val="00F45D75"/>
    <w:rsid w:val="00F45FE0"/>
    <w:rsid w:val="00F46206"/>
    <w:rsid w:val="00F4638B"/>
    <w:rsid w:val="00F46858"/>
    <w:rsid w:val="00F46A42"/>
    <w:rsid w:val="00F46A85"/>
    <w:rsid w:val="00F47139"/>
    <w:rsid w:val="00F47207"/>
    <w:rsid w:val="00F472BB"/>
    <w:rsid w:val="00F4745D"/>
    <w:rsid w:val="00F47BC9"/>
    <w:rsid w:val="00F502C9"/>
    <w:rsid w:val="00F503BC"/>
    <w:rsid w:val="00F505D4"/>
    <w:rsid w:val="00F5061A"/>
    <w:rsid w:val="00F50B5F"/>
    <w:rsid w:val="00F50C3B"/>
    <w:rsid w:val="00F51D44"/>
    <w:rsid w:val="00F51FF7"/>
    <w:rsid w:val="00F52118"/>
    <w:rsid w:val="00F5240E"/>
    <w:rsid w:val="00F5241A"/>
    <w:rsid w:val="00F52776"/>
    <w:rsid w:val="00F52ACA"/>
    <w:rsid w:val="00F52E32"/>
    <w:rsid w:val="00F52EA5"/>
    <w:rsid w:val="00F53341"/>
    <w:rsid w:val="00F53705"/>
    <w:rsid w:val="00F53BD6"/>
    <w:rsid w:val="00F53C8D"/>
    <w:rsid w:val="00F53E4A"/>
    <w:rsid w:val="00F54351"/>
    <w:rsid w:val="00F54392"/>
    <w:rsid w:val="00F54522"/>
    <w:rsid w:val="00F54A45"/>
    <w:rsid w:val="00F54C4C"/>
    <w:rsid w:val="00F55C03"/>
    <w:rsid w:val="00F55F18"/>
    <w:rsid w:val="00F56137"/>
    <w:rsid w:val="00F5622A"/>
    <w:rsid w:val="00F56489"/>
    <w:rsid w:val="00F569F5"/>
    <w:rsid w:val="00F56A07"/>
    <w:rsid w:val="00F56D44"/>
    <w:rsid w:val="00F56F45"/>
    <w:rsid w:val="00F56F97"/>
    <w:rsid w:val="00F57A8B"/>
    <w:rsid w:val="00F57C64"/>
    <w:rsid w:val="00F57F48"/>
    <w:rsid w:val="00F60280"/>
    <w:rsid w:val="00F6030F"/>
    <w:rsid w:val="00F6083A"/>
    <w:rsid w:val="00F613C6"/>
    <w:rsid w:val="00F61545"/>
    <w:rsid w:val="00F6193C"/>
    <w:rsid w:val="00F6203B"/>
    <w:rsid w:val="00F6222A"/>
    <w:rsid w:val="00F62A75"/>
    <w:rsid w:val="00F6307D"/>
    <w:rsid w:val="00F63AD0"/>
    <w:rsid w:val="00F64053"/>
    <w:rsid w:val="00F64221"/>
    <w:rsid w:val="00F644C3"/>
    <w:rsid w:val="00F6474F"/>
    <w:rsid w:val="00F653BD"/>
    <w:rsid w:val="00F655DA"/>
    <w:rsid w:val="00F65885"/>
    <w:rsid w:val="00F65932"/>
    <w:rsid w:val="00F65CA2"/>
    <w:rsid w:val="00F66091"/>
    <w:rsid w:val="00F6618D"/>
    <w:rsid w:val="00F663F6"/>
    <w:rsid w:val="00F6644E"/>
    <w:rsid w:val="00F66802"/>
    <w:rsid w:val="00F66EE7"/>
    <w:rsid w:val="00F66EE8"/>
    <w:rsid w:val="00F672A6"/>
    <w:rsid w:val="00F677EB"/>
    <w:rsid w:val="00F6784C"/>
    <w:rsid w:val="00F67A2C"/>
    <w:rsid w:val="00F67A42"/>
    <w:rsid w:val="00F67B28"/>
    <w:rsid w:val="00F67C78"/>
    <w:rsid w:val="00F67E51"/>
    <w:rsid w:val="00F70200"/>
    <w:rsid w:val="00F7029D"/>
    <w:rsid w:val="00F7042F"/>
    <w:rsid w:val="00F70523"/>
    <w:rsid w:val="00F70641"/>
    <w:rsid w:val="00F70BA7"/>
    <w:rsid w:val="00F70F7A"/>
    <w:rsid w:val="00F71201"/>
    <w:rsid w:val="00F717D2"/>
    <w:rsid w:val="00F7196F"/>
    <w:rsid w:val="00F71BB3"/>
    <w:rsid w:val="00F71CB5"/>
    <w:rsid w:val="00F7228D"/>
    <w:rsid w:val="00F7244F"/>
    <w:rsid w:val="00F724BF"/>
    <w:rsid w:val="00F72CAB"/>
    <w:rsid w:val="00F72D3D"/>
    <w:rsid w:val="00F73013"/>
    <w:rsid w:val="00F7304C"/>
    <w:rsid w:val="00F73355"/>
    <w:rsid w:val="00F7359E"/>
    <w:rsid w:val="00F735D9"/>
    <w:rsid w:val="00F7379A"/>
    <w:rsid w:val="00F7392D"/>
    <w:rsid w:val="00F74446"/>
    <w:rsid w:val="00F7495F"/>
    <w:rsid w:val="00F75072"/>
    <w:rsid w:val="00F754D2"/>
    <w:rsid w:val="00F7551E"/>
    <w:rsid w:val="00F75947"/>
    <w:rsid w:val="00F75A5B"/>
    <w:rsid w:val="00F75D9E"/>
    <w:rsid w:val="00F75DB3"/>
    <w:rsid w:val="00F75E60"/>
    <w:rsid w:val="00F75EF0"/>
    <w:rsid w:val="00F76A34"/>
    <w:rsid w:val="00F76BB0"/>
    <w:rsid w:val="00F76BD0"/>
    <w:rsid w:val="00F77218"/>
    <w:rsid w:val="00F77360"/>
    <w:rsid w:val="00F7768B"/>
    <w:rsid w:val="00F77AD7"/>
    <w:rsid w:val="00F77B71"/>
    <w:rsid w:val="00F77D03"/>
    <w:rsid w:val="00F77EB1"/>
    <w:rsid w:val="00F80728"/>
    <w:rsid w:val="00F80A3F"/>
    <w:rsid w:val="00F80D6D"/>
    <w:rsid w:val="00F80E45"/>
    <w:rsid w:val="00F80F6E"/>
    <w:rsid w:val="00F8116D"/>
    <w:rsid w:val="00F81975"/>
    <w:rsid w:val="00F81B4A"/>
    <w:rsid w:val="00F81CBA"/>
    <w:rsid w:val="00F822A5"/>
    <w:rsid w:val="00F822E7"/>
    <w:rsid w:val="00F83308"/>
    <w:rsid w:val="00F834F9"/>
    <w:rsid w:val="00F838BF"/>
    <w:rsid w:val="00F83A0B"/>
    <w:rsid w:val="00F83D45"/>
    <w:rsid w:val="00F84896"/>
    <w:rsid w:val="00F84A45"/>
    <w:rsid w:val="00F855D5"/>
    <w:rsid w:val="00F85895"/>
    <w:rsid w:val="00F86124"/>
    <w:rsid w:val="00F8638C"/>
    <w:rsid w:val="00F864B4"/>
    <w:rsid w:val="00F86806"/>
    <w:rsid w:val="00F8684D"/>
    <w:rsid w:val="00F86B59"/>
    <w:rsid w:val="00F86CD4"/>
    <w:rsid w:val="00F86CE2"/>
    <w:rsid w:val="00F87255"/>
    <w:rsid w:val="00F874BA"/>
    <w:rsid w:val="00F874F0"/>
    <w:rsid w:val="00F87854"/>
    <w:rsid w:val="00F87872"/>
    <w:rsid w:val="00F879A6"/>
    <w:rsid w:val="00F87E5F"/>
    <w:rsid w:val="00F87ECF"/>
    <w:rsid w:val="00F87FE3"/>
    <w:rsid w:val="00F90037"/>
    <w:rsid w:val="00F90644"/>
    <w:rsid w:val="00F90A3B"/>
    <w:rsid w:val="00F90F85"/>
    <w:rsid w:val="00F914B4"/>
    <w:rsid w:val="00F9174E"/>
    <w:rsid w:val="00F9191A"/>
    <w:rsid w:val="00F91A73"/>
    <w:rsid w:val="00F91FF8"/>
    <w:rsid w:val="00F920B8"/>
    <w:rsid w:val="00F9229A"/>
    <w:rsid w:val="00F926E0"/>
    <w:rsid w:val="00F92833"/>
    <w:rsid w:val="00F92DDF"/>
    <w:rsid w:val="00F932A0"/>
    <w:rsid w:val="00F93429"/>
    <w:rsid w:val="00F9358A"/>
    <w:rsid w:val="00F93708"/>
    <w:rsid w:val="00F93722"/>
    <w:rsid w:val="00F938F8"/>
    <w:rsid w:val="00F939D9"/>
    <w:rsid w:val="00F93A84"/>
    <w:rsid w:val="00F93AF2"/>
    <w:rsid w:val="00F93D68"/>
    <w:rsid w:val="00F93E97"/>
    <w:rsid w:val="00F94469"/>
    <w:rsid w:val="00F9460F"/>
    <w:rsid w:val="00F9475A"/>
    <w:rsid w:val="00F947CC"/>
    <w:rsid w:val="00F94B19"/>
    <w:rsid w:val="00F94CAB"/>
    <w:rsid w:val="00F94D37"/>
    <w:rsid w:val="00F94FDA"/>
    <w:rsid w:val="00F951A7"/>
    <w:rsid w:val="00F958A2"/>
    <w:rsid w:val="00F95CC4"/>
    <w:rsid w:val="00F95D4D"/>
    <w:rsid w:val="00F95D8B"/>
    <w:rsid w:val="00F95F2B"/>
    <w:rsid w:val="00F96065"/>
    <w:rsid w:val="00F96196"/>
    <w:rsid w:val="00F96867"/>
    <w:rsid w:val="00F96918"/>
    <w:rsid w:val="00F96DD2"/>
    <w:rsid w:val="00F971ED"/>
    <w:rsid w:val="00F973EB"/>
    <w:rsid w:val="00F975D3"/>
    <w:rsid w:val="00F9765E"/>
    <w:rsid w:val="00F9769D"/>
    <w:rsid w:val="00F97764"/>
    <w:rsid w:val="00F978A8"/>
    <w:rsid w:val="00FA05CF"/>
    <w:rsid w:val="00FA0F6E"/>
    <w:rsid w:val="00FA0F9D"/>
    <w:rsid w:val="00FA0FDC"/>
    <w:rsid w:val="00FA1196"/>
    <w:rsid w:val="00FA1821"/>
    <w:rsid w:val="00FA1B5C"/>
    <w:rsid w:val="00FA1C93"/>
    <w:rsid w:val="00FA2311"/>
    <w:rsid w:val="00FA24A9"/>
    <w:rsid w:val="00FA27A7"/>
    <w:rsid w:val="00FA3078"/>
    <w:rsid w:val="00FA325A"/>
    <w:rsid w:val="00FA3328"/>
    <w:rsid w:val="00FA3595"/>
    <w:rsid w:val="00FA3822"/>
    <w:rsid w:val="00FA3913"/>
    <w:rsid w:val="00FA3A90"/>
    <w:rsid w:val="00FA3B39"/>
    <w:rsid w:val="00FA40CC"/>
    <w:rsid w:val="00FA412C"/>
    <w:rsid w:val="00FA42E3"/>
    <w:rsid w:val="00FA4732"/>
    <w:rsid w:val="00FA4D77"/>
    <w:rsid w:val="00FA5009"/>
    <w:rsid w:val="00FA5706"/>
    <w:rsid w:val="00FA57A7"/>
    <w:rsid w:val="00FA5C61"/>
    <w:rsid w:val="00FA5C68"/>
    <w:rsid w:val="00FA5C95"/>
    <w:rsid w:val="00FA5D85"/>
    <w:rsid w:val="00FA610D"/>
    <w:rsid w:val="00FA613B"/>
    <w:rsid w:val="00FA6511"/>
    <w:rsid w:val="00FA6792"/>
    <w:rsid w:val="00FA6966"/>
    <w:rsid w:val="00FA69C3"/>
    <w:rsid w:val="00FA6B02"/>
    <w:rsid w:val="00FA6F49"/>
    <w:rsid w:val="00FA740D"/>
    <w:rsid w:val="00FA74A6"/>
    <w:rsid w:val="00FA77AD"/>
    <w:rsid w:val="00FA79F9"/>
    <w:rsid w:val="00FA7B7F"/>
    <w:rsid w:val="00FB0804"/>
    <w:rsid w:val="00FB1062"/>
    <w:rsid w:val="00FB124D"/>
    <w:rsid w:val="00FB12F5"/>
    <w:rsid w:val="00FB185C"/>
    <w:rsid w:val="00FB19F4"/>
    <w:rsid w:val="00FB1C88"/>
    <w:rsid w:val="00FB22A8"/>
    <w:rsid w:val="00FB263D"/>
    <w:rsid w:val="00FB26C0"/>
    <w:rsid w:val="00FB2A9C"/>
    <w:rsid w:val="00FB2D97"/>
    <w:rsid w:val="00FB34EC"/>
    <w:rsid w:val="00FB35D8"/>
    <w:rsid w:val="00FB3E1C"/>
    <w:rsid w:val="00FB3E88"/>
    <w:rsid w:val="00FB3F81"/>
    <w:rsid w:val="00FB4021"/>
    <w:rsid w:val="00FB443F"/>
    <w:rsid w:val="00FB4A10"/>
    <w:rsid w:val="00FB4A2C"/>
    <w:rsid w:val="00FB4D7C"/>
    <w:rsid w:val="00FB4E33"/>
    <w:rsid w:val="00FB550A"/>
    <w:rsid w:val="00FB557F"/>
    <w:rsid w:val="00FB559D"/>
    <w:rsid w:val="00FB55FC"/>
    <w:rsid w:val="00FB5C20"/>
    <w:rsid w:val="00FB5FDD"/>
    <w:rsid w:val="00FB60CA"/>
    <w:rsid w:val="00FB611C"/>
    <w:rsid w:val="00FB6A8A"/>
    <w:rsid w:val="00FB6AB0"/>
    <w:rsid w:val="00FB6AB7"/>
    <w:rsid w:val="00FB6CEE"/>
    <w:rsid w:val="00FB6D3F"/>
    <w:rsid w:val="00FB6D7A"/>
    <w:rsid w:val="00FB7125"/>
    <w:rsid w:val="00FB721D"/>
    <w:rsid w:val="00FB725B"/>
    <w:rsid w:val="00FB72DC"/>
    <w:rsid w:val="00FB73B8"/>
    <w:rsid w:val="00FB76A8"/>
    <w:rsid w:val="00FC04F5"/>
    <w:rsid w:val="00FC06FD"/>
    <w:rsid w:val="00FC0817"/>
    <w:rsid w:val="00FC0C78"/>
    <w:rsid w:val="00FC1019"/>
    <w:rsid w:val="00FC120E"/>
    <w:rsid w:val="00FC1232"/>
    <w:rsid w:val="00FC1359"/>
    <w:rsid w:val="00FC1888"/>
    <w:rsid w:val="00FC18D1"/>
    <w:rsid w:val="00FC194D"/>
    <w:rsid w:val="00FC1F23"/>
    <w:rsid w:val="00FC2568"/>
    <w:rsid w:val="00FC257F"/>
    <w:rsid w:val="00FC287D"/>
    <w:rsid w:val="00FC2A52"/>
    <w:rsid w:val="00FC34C1"/>
    <w:rsid w:val="00FC39A7"/>
    <w:rsid w:val="00FC3F15"/>
    <w:rsid w:val="00FC44A7"/>
    <w:rsid w:val="00FC4521"/>
    <w:rsid w:val="00FC4D73"/>
    <w:rsid w:val="00FC517C"/>
    <w:rsid w:val="00FC53BD"/>
    <w:rsid w:val="00FC5549"/>
    <w:rsid w:val="00FC58DA"/>
    <w:rsid w:val="00FC5A08"/>
    <w:rsid w:val="00FC5A7B"/>
    <w:rsid w:val="00FC5BA8"/>
    <w:rsid w:val="00FC5CAD"/>
    <w:rsid w:val="00FC5EED"/>
    <w:rsid w:val="00FC605F"/>
    <w:rsid w:val="00FC61D0"/>
    <w:rsid w:val="00FC6298"/>
    <w:rsid w:val="00FC6354"/>
    <w:rsid w:val="00FC67DD"/>
    <w:rsid w:val="00FC6D17"/>
    <w:rsid w:val="00FC6DD9"/>
    <w:rsid w:val="00FC7150"/>
    <w:rsid w:val="00FC7353"/>
    <w:rsid w:val="00FC76EA"/>
    <w:rsid w:val="00FC7C04"/>
    <w:rsid w:val="00FC7FC8"/>
    <w:rsid w:val="00FD017B"/>
    <w:rsid w:val="00FD018C"/>
    <w:rsid w:val="00FD039D"/>
    <w:rsid w:val="00FD0519"/>
    <w:rsid w:val="00FD055B"/>
    <w:rsid w:val="00FD06F1"/>
    <w:rsid w:val="00FD08FD"/>
    <w:rsid w:val="00FD0DD7"/>
    <w:rsid w:val="00FD0F2D"/>
    <w:rsid w:val="00FD1163"/>
    <w:rsid w:val="00FD14CB"/>
    <w:rsid w:val="00FD19C6"/>
    <w:rsid w:val="00FD1A06"/>
    <w:rsid w:val="00FD1F8E"/>
    <w:rsid w:val="00FD2382"/>
    <w:rsid w:val="00FD253F"/>
    <w:rsid w:val="00FD2606"/>
    <w:rsid w:val="00FD297E"/>
    <w:rsid w:val="00FD2A3A"/>
    <w:rsid w:val="00FD2C18"/>
    <w:rsid w:val="00FD2E5B"/>
    <w:rsid w:val="00FD3293"/>
    <w:rsid w:val="00FD3441"/>
    <w:rsid w:val="00FD35C0"/>
    <w:rsid w:val="00FD3DC3"/>
    <w:rsid w:val="00FD3DD4"/>
    <w:rsid w:val="00FD4170"/>
    <w:rsid w:val="00FD422A"/>
    <w:rsid w:val="00FD4981"/>
    <w:rsid w:val="00FD4E21"/>
    <w:rsid w:val="00FD51F1"/>
    <w:rsid w:val="00FD54C2"/>
    <w:rsid w:val="00FD58AF"/>
    <w:rsid w:val="00FD59C4"/>
    <w:rsid w:val="00FD6218"/>
    <w:rsid w:val="00FD6252"/>
    <w:rsid w:val="00FD6514"/>
    <w:rsid w:val="00FD65DE"/>
    <w:rsid w:val="00FD6757"/>
    <w:rsid w:val="00FD6999"/>
    <w:rsid w:val="00FD711F"/>
    <w:rsid w:val="00FD751C"/>
    <w:rsid w:val="00FD753B"/>
    <w:rsid w:val="00FD7E3A"/>
    <w:rsid w:val="00FE006F"/>
    <w:rsid w:val="00FE047E"/>
    <w:rsid w:val="00FE04F9"/>
    <w:rsid w:val="00FE05B9"/>
    <w:rsid w:val="00FE0AE9"/>
    <w:rsid w:val="00FE0B91"/>
    <w:rsid w:val="00FE0F0D"/>
    <w:rsid w:val="00FE0F32"/>
    <w:rsid w:val="00FE10A0"/>
    <w:rsid w:val="00FE13D0"/>
    <w:rsid w:val="00FE194D"/>
    <w:rsid w:val="00FE1B3C"/>
    <w:rsid w:val="00FE2214"/>
    <w:rsid w:val="00FE24EC"/>
    <w:rsid w:val="00FE25A0"/>
    <w:rsid w:val="00FE2930"/>
    <w:rsid w:val="00FE29CE"/>
    <w:rsid w:val="00FE3257"/>
    <w:rsid w:val="00FE37F4"/>
    <w:rsid w:val="00FE3A10"/>
    <w:rsid w:val="00FE3A8C"/>
    <w:rsid w:val="00FE3B4C"/>
    <w:rsid w:val="00FE3D01"/>
    <w:rsid w:val="00FE40DA"/>
    <w:rsid w:val="00FE420A"/>
    <w:rsid w:val="00FE494F"/>
    <w:rsid w:val="00FE5291"/>
    <w:rsid w:val="00FE5572"/>
    <w:rsid w:val="00FE57DF"/>
    <w:rsid w:val="00FE5B05"/>
    <w:rsid w:val="00FE5C25"/>
    <w:rsid w:val="00FE5E46"/>
    <w:rsid w:val="00FE6004"/>
    <w:rsid w:val="00FE64D7"/>
    <w:rsid w:val="00FE6589"/>
    <w:rsid w:val="00FE6881"/>
    <w:rsid w:val="00FE6A20"/>
    <w:rsid w:val="00FE6DFC"/>
    <w:rsid w:val="00FE6F45"/>
    <w:rsid w:val="00FE7034"/>
    <w:rsid w:val="00FE7687"/>
    <w:rsid w:val="00FF04D4"/>
    <w:rsid w:val="00FF06D3"/>
    <w:rsid w:val="00FF0D90"/>
    <w:rsid w:val="00FF1006"/>
    <w:rsid w:val="00FF13B7"/>
    <w:rsid w:val="00FF141B"/>
    <w:rsid w:val="00FF14B5"/>
    <w:rsid w:val="00FF1F94"/>
    <w:rsid w:val="00FF20B0"/>
    <w:rsid w:val="00FF219D"/>
    <w:rsid w:val="00FF25D0"/>
    <w:rsid w:val="00FF2911"/>
    <w:rsid w:val="00FF29EC"/>
    <w:rsid w:val="00FF2B83"/>
    <w:rsid w:val="00FF2D47"/>
    <w:rsid w:val="00FF2EB9"/>
    <w:rsid w:val="00FF323A"/>
    <w:rsid w:val="00FF34AF"/>
    <w:rsid w:val="00FF35FD"/>
    <w:rsid w:val="00FF3679"/>
    <w:rsid w:val="00FF42F2"/>
    <w:rsid w:val="00FF4508"/>
    <w:rsid w:val="00FF45B2"/>
    <w:rsid w:val="00FF4EBF"/>
    <w:rsid w:val="00FF4FBB"/>
    <w:rsid w:val="00FF4FDF"/>
    <w:rsid w:val="00FF533E"/>
    <w:rsid w:val="00FF540C"/>
    <w:rsid w:val="00FF5814"/>
    <w:rsid w:val="00FF5F54"/>
    <w:rsid w:val="00FF63C2"/>
    <w:rsid w:val="00FF649F"/>
    <w:rsid w:val="00FF64B9"/>
    <w:rsid w:val="00FF6631"/>
    <w:rsid w:val="00FF6649"/>
    <w:rsid w:val="00FF68D9"/>
    <w:rsid w:val="00FF698A"/>
    <w:rsid w:val="00FF6B95"/>
    <w:rsid w:val="00FF6CA3"/>
    <w:rsid w:val="00FF7102"/>
    <w:rsid w:val="00FF750B"/>
    <w:rsid w:val="00FF75C6"/>
    <w:rsid w:val="00FF7865"/>
    <w:rsid w:val="00FF7962"/>
    <w:rsid w:val="00FF799C"/>
    <w:rsid w:val="00FF7A60"/>
    <w:rsid w:val="00FF7A6A"/>
    <w:rsid w:val="00FF7F27"/>
    <w:rsid w:val="012B395D"/>
    <w:rsid w:val="01365C43"/>
    <w:rsid w:val="013A9936"/>
    <w:rsid w:val="015BCEE8"/>
    <w:rsid w:val="017504D3"/>
    <w:rsid w:val="01768A20"/>
    <w:rsid w:val="026F18ED"/>
    <w:rsid w:val="02808695"/>
    <w:rsid w:val="029856CE"/>
    <w:rsid w:val="02AE0E4A"/>
    <w:rsid w:val="02BA390D"/>
    <w:rsid w:val="02C82796"/>
    <w:rsid w:val="02EAC81E"/>
    <w:rsid w:val="03098F00"/>
    <w:rsid w:val="03112829"/>
    <w:rsid w:val="034E3C43"/>
    <w:rsid w:val="03E37EAD"/>
    <w:rsid w:val="0406B5E4"/>
    <w:rsid w:val="0411AD7D"/>
    <w:rsid w:val="043AB0CB"/>
    <w:rsid w:val="047841C4"/>
    <w:rsid w:val="04CF382C"/>
    <w:rsid w:val="04D4E797"/>
    <w:rsid w:val="04DF7564"/>
    <w:rsid w:val="0504AE7A"/>
    <w:rsid w:val="052439B3"/>
    <w:rsid w:val="0524DC95"/>
    <w:rsid w:val="05433EA0"/>
    <w:rsid w:val="05973D41"/>
    <w:rsid w:val="067DF3A1"/>
    <w:rsid w:val="0688C4AF"/>
    <w:rsid w:val="0689180D"/>
    <w:rsid w:val="0691DF4D"/>
    <w:rsid w:val="06B665A9"/>
    <w:rsid w:val="06DBA92E"/>
    <w:rsid w:val="075CF716"/>
    <w:rsid w:val="0769E093"/>
    <w:rsid w:val="07DDD874"/>
    <w:rsid w:val="07E221AA"/>
    <w:rsid w:val="08959829"/>
    <w:rsid w:val="09236A0F"/>
    <w:rsid w:val="09738E6B"/>
    <w:rsid w:val="09B8048F"/>
    <w:rsid w:val="09C4910E"/>
    <w:rsid w:val="09CD1939"/>
    <w:rsid w:val="09CDB9CA"/>
    <w:rsid w:val="09D8A9F8"/>
    <w:rsid w:val="0A0DB977"/>
    <w:rsid w:val="0A1A5F32"/>
    <w:rsid w:val="0A6AF06B"/>
    <w:rsid w:val="0A8C726E"/>
    <w:rsid w:val="0A9C20F2"/>
    <w:rsid w:val="0B0276E5"/>
    <w:rsid w:val="0B42B92E"/>
    <w:rsid w:val="0B468587"/>
    <w:rsid w:val="0B963A37"/>
    <w:rsid w:val="0BB0D4A3"/>
    <w:rsid w:val="0BE2AB8F"/>
    <w:rsid w:val="0BF42553"/>
    <w:rsid w:val="0C128DB0"/>
    <w:rsid w:val="0C617EB2"/>
    <w:rsid w:val="0C8B488C"/>
    <w:rsid w:val="0CB19DD8"/>
    <w:rsid w:val="0D22E67E"/>
    <w:rsid w:val="0D4C00B6"/>
    <w:rsid w:val="0D85CBB0"/>
    <w:rsid w:val="0D8BDFF4"/>
    <w:rsid w:val="0E3B7042"/>
    <w:rsid w:val="0E3E2BC0"/>
    <w:rsid w:val="0ECA275A"/>
    <w:rsid w:val="0ED3F5DF"/>
    <w:rsid w:val="0F03591A"/>
    <w:rsid w:val="0FE8AD03"/>
    <w:rsid w:val="10049E1A"/>
    <w:rsid w:val="106DF6C8"/>
    <w:rsid w:val="10E361D9"/>
    <w:rsid w:val="10E8B312"/>
    <w:rsid w:val="11463A2B"/>
    <w:rsid w:val="1166045F"/>
    <w:rsid w:val="116D0B12"/>
    <w:rsid w:val="11730215"/>
    <w:rsid w:val="11ADB1BC"/>
    <w:rsid w:val="125AFE7C"/>
    <w:rsid w:val="12A8A637"/>
    <w:rsid w:val="12B4C470"/>
    <w:rsid w:val="130A3641"/>
    <w:rsid w:val="1327067A"/>
    <w:rsid w:val="137155BC"/>
    <w:rsid w:val="139DF759"/>
    <w:rsid w:val="13B70B40"/>
    <w:rsid w:val="13F7FAD0"/>
    <w:rsid w:val="14528FDB"/>
    <w:rsid w:val="149693A2"/>
    <w:rsid w:val="14970934"/>
    <w:rsid w:val="14DCFB57"/>
    <w:rsid w:val="14F448F9"/>
    <w:rsid w:val="14F7EF96"/>
    <w:rsid w:val="150EB4F7"/>
    <w:rsid w:val="151C96D4"/>
    <w:rsid w:val="1537990A"/>
    <w:rsid w:val="1537A53F"/>
    <w:rsid w:val="15440B04"/>
    <w:rsid w:val="157B5B2C"/>
    <w:rsid w:val="159254FF"/>
    <w:rsid w:val="15B4919F"/>
    <w:rsid w:val="15B55B71"/>
    <w:rsid w:val="15C423D7"/>
    <w:rsid w:val="15F7833F"/>
    <w:rsid w:val="1638C620"/>
    <w:rsid w:val="1665D72C"/>
    <w:rsid w:val="169069D8"/>
    <w:rsid w:val="16990961"/>
    <w:rsid w:val="169F57D6"/>
    <w:rsid w:val="16E0D34D"/>
    <w:rsid w:val="1719CA24"/>
    <w:rsid w:val="1720FA62"/>
    <w:rsid w:val="17495D26"/>
    <w:rsid w:val="1758FDEB"/>
    <w:rsid w:val="17AFB85B"/>
    <w:rsid w:val="17B55B05"/>
    <w:rsid w:val="17B5BDD4"/>
    <w:rsid w:val="17CC1CD3"/>
    <w:rsid w:val="17DFA660"/>
    <w:rsid w:val="180E820A"/>
    <w:rsid w:val="18615763"/>
    <w:rsid w:val="18681F3C"/>
    <w:rsid w:val="18763096"/>
    <w:rsid w:val="18BC6293"/>
    <w:rsid w:val="190D15BE"/>
    <w:rsid w:val="1938AE0E"/>
    <w:rsid w:val="19CB029A"/>
    <w:rsid w:val="19EC6A1B"/>
    <w:rsid w:val="1A27D7AC"/>
    <w:rsid w:val="1ABFD550"/>
    <w:rsid w:val="1B18EA29"/>
    <w:rsid w:val="1B576AC3"/>
    <w:rsid w:val="1B6AB5A7"/>
    <w:rsid w:val="1B994B0F"/>
    <w:rsid w:val="1BAA0325"/>
    <w:rsid w:val="1BDB3C50"/>
    <w:rsid w:val="1C533E57"/>
    <w:rsid w:val="1C80EC2B"/>
    <w:rsid w:val="1C887D37"/>
    <w:rsid w:val="1C9E790B"/>
    <w:rsid w:val="1CB97D86"/>
    <w:rsid w:val="1CC34729"/>
    <w:rsid w:val="1CC68FE6"/>
    <w:rsid w:val="1CCD59B2"/>
    <w:rsid w:val="1D00E6DA"/>
    <w:rsid w:val="1D02CA0D"/>
    <w:rsid w:val="1D24085A"/>
    <w:rsid w:val="1D29E964"/>
    <w:rsid w:val="1D2E4830"/>
    <w:rsid w:val="1D2EC955"/>
    <w:rsid w:val="1D65CE2D"/>
    <w:rsid w:val="1D7EACBF"/>
    <w:rsid w:val="1DBB6131"/>
    <w:rsid w:val="1DD0169D"/>
    <w:rsid w:val="1DF95602"/>
    <w:rsid w:val="1E0B693B"/>
    <w:rsid w:val="1E2823D6"/>
    <w:rsid w:val="1E4638FD"/>
    <w:rsid w:val="1E4F12EB"/>
    <w:rsid w:val="1E75CF07"/>
    <w:rsid w:val="1E81C043"/>
    <w:rsid w:val="1EBA4EF7"/>
    <w:rsid w:val="1EC86739"/>
    <w:rsid w:val="1EE18D06"/>
    <w:rsid w:val="1F069D8D"/>
    <w:rsid w:val="1F1FEE61"/>
    <w:rsid w:val="1F580117"/>
    <w:rsid w:val="1F8DCC7B"/>
    <w:rsid w:val="1FF45179"/>
    <w:rsid w:val="202252A1"/>
    <w:rsid w:val="2046012A"/>
    <w:rsid w:val="209BDCE7"/>
    <w:rsid w:val="20C2573A"/>
    <w:rsid w:val="20C96B66"/>
    <w:rsid w:val="20EB5A24"/>
    <w:rsid w:val="20FAF17B"/>
    <w:rsid w:val="2108A13F"/>
    <w:rsid w:val="216CF9B1"/>
    <w:rsid w:val="21E24D6B"/>
    <w:rsid w:val="21E43276"/>
    <w:rsid w:val="21EEFCB2"/>
    <w:rsid w:val="2238D519"/>
    <w:rsid w:val="2290F989"/>
    <w:rsid w:val="22C44BB2"/>
    <w:rsid w:val="22D96BD7"/>
    <w:rsid w:val="23397976"/>
    <w:rsid w:val="23483920"/>
    <w:rsid w:val="237548D4"/>
    <w:rsid w:val="238D74C1"/>
    <w:rsid w:val="23E8C4B2"/>
    <w:rsid w:val="23E90C15"/>
    <w:rsid w:val="240F9F07"/>
    <w:rsid w:val="24127644"/>
    <w:rsid w:val="2420C91D"/>
    <w:rsid w:val="24591AF5"/>
    <w:rsid w:val="24616CD5"/>
    <w:rsid w:val="2470DDC4"/>
    <w:rsid w:val="2495228C"/>
    <w:rsid w:val="254E68F6"/>
    <w:rsid w:val="256ABE1D"/>
    <w:rsid w:val="2576202D"/>
    <w:rsid w:val="25E2E4C7"/>
    <w:rsid w:val="26167B1D"/>
    <w:rsid w:val="2654661F"/>
    <w:rsid w:val="268B7A46"/>
    <w:rsid w:val="26B8C567"/>
    <w:rsid w:val="26CC3D2B"/>
    <w:rsid w:val="26ECC56F"/>
    <w:rsid w:val="272AE16C"/>
    <w:rsid w:val="27304D28"/>
    <w:rsid w:val="273DD572"/>
    <w:rsid w:val="273F30EF"/>
    <w:rsid w:val="27AA4E0D"/>
    <w:rsid w:val="27B0B48B"/>
    <w:rsid w:val="27B2C9D6"/>
    <w:rsid w:val="27CB21DF"/>
    <w:rsid w:val="27DB4A7B"/>
    <w:rsid w:val="28079DCB"/>
    <w:rsid w:val="281199E4"/>
    <w:rsid w:val="281C1EEB"/>
    <w:rsid w:val="2845CD8E"/>
    <w:rsid w:val="28DCE019"/>
    <w:rsid w:val="28EDCBE2"/>
    <w:rsid w:val="28F9E23B"/>
    <w:rsid w:val="290D128D"/>
    <w:rsid w:val="2917ADFC"/>
    <w:rsid w:val="292A36B5"/>
    <w:rsid w:val="2939C943"/>
    <w:rsid w:val="293A8F9F"/>
    <w:rsid w:val="2953AC71"/>
    <w:rsid w:val="299DC064"/>
    <w:rsid w:val="2A62DBCD"/>
    <w:rsid w:val="2A7BA68A"/>
    <w:rsid w:val="2AB60097"/>
    <w:rsid w:val="2AC8A5AC"/>
    <w:rsid w:val="2B0E0392"/>
    <w:rsid w:val="2B1D9B49"/>
    <w:rsid w:val="2B39EEF1"/>
    <w:rsid w:val="2BE88BEE"/>
    <w:rsid w:val="2BF33E93"/>
    <w:rsid w:val="2C26828F"/>
    <w:rsid w:val="2C7A7811"/>
    <w:rsid w:val="2C9647FB"/>
    <w:rsid w:val="2CB5AB20"/>
    <w:rsid w:val="2D0F7120"/>
    <w:rsid w:val="2D135D3B"/>
    <w:rsid w:val="2D2C9EFE"/>
    <w:rsid w:val="2D602E7D"/>
    <w:rsid w:val="2D81D204"/>
    <w:rsid w:val="2DB74CBC"/>
    <w:rsid w:val="2DC96586"/>
    <w:rsid w:val="2DD48FFA"/>
    <w:rsid w:val="2E61650B"/>
    <w:rsid w:val="2E74E999"/>
    <w:rsid w:val="2E818E21"/>
    <w:rsid w:val="2EB23166"/>
    <w:rsid w:val="2EB569EA"/>
    <w:rsid w:val="2EE53FF3"/>
    <w:rsid w:val="2F00E21F"/>
    <w:rsid w:val="2F03D990"/>
    <w:rsid w:val="2F339E98"/>
    <w:rsid w:val="2F594E77"/>
    <w:rsid w:val="2F69BE21"/>
    <w:rsid w:val="2F742597"/>
    <w:rsid w:val="2FA525D0"/>
    <w:rsid w:val="2FD92B88"/>
    <w:rsid w:val="2FF74972"/>
    <w:rsid w:val="30BF3F4F"/>
    <w:rsid w:val="30E5F9D6"/>
    <w:rsid w:val="30F3C99B"/>
    <w:rsid w:val="30F84499"/>
    <w:rsid w:val="31C4AB7A"/>
    <w:rsid w:val="3254A736"/>
    <w:rsid w:val="3260928A"/>
    <w:rsid w:val="32C0A227"/>
    <w:rsid w:val="32CD0850"/>
    <w:rsid w:val="32EE5D17"/>
    <w:rsid w:val="3375C087"/>
    <w:rsid w:val="337BC52E"/>
    <w:rsid w:val="338A4A54"/>
    <w:rsid w:val="339A8A34"/>
    <w:rsid w:val="33B0D328"/>
    <w:rsid w:val="33B0FAC2"/>
    <w:rsid w:val="33B6AC3D"/>
    <w:rsid w:val="34073DB4"/>
    <w:rsid w:val="3412E1BF"/>
    <w:rsid w:val="34409EE5"/>
    <w:rsid w:val="346145AE"/>
    <w:rsid w:val="34656C32"/>
    <w:rsid w:val="34AF53EA"/>
    <w:rsid w:val="357BF82D"/>
    <w:rsid w:val="35AA2ABE"/>
    <w:rsid w:val="35B700CE"/>
    <w:rsid w:val="35DE2118"/>
    <w:rsid w:val="35E2C4BF"/>
    <w:rsid w:val="35F401AE"/>
    <w:rsid w:val="3642224A"/>
    <w:rsid w:val="36531514"/>
    <w:rsid w:val="3694805A"/>
    <w:rsid w:val="369FC40A"/>
    <w:rsid w:val="36A3139B"/>
    <w:rsid w:val="36BCD698"/>
    <w:rsid w:val="36D01FB4"/>
    <w:rsid w:val="36D7FA27"/>
    <w:rsid w:val="36FD5DD9"/>
    <w:rsid w:val="3723A489"/>
    <w:rsid w:val="373CF92F"/>
    <w:rsid w:val="37C161F5"/>
    <w:rsid w:val="37D2836C"/>
    <w:rsid w:val="38147CE2"/>
    <w:rsid w:val="3838C088"/>
    <w:rsid w:val="38BEB740"/>
    <w:rsid w:val="38C5A10A"/>
    <w:rsid w:val="38D7CFC2"/>
    <w:rsid w:val="3918FE10"/>
    <w:rsid w:val="392D75E5"/>
    <w:rsid w:val="39370544"/>
    <w:rsid w:val="39514983"/>
    <w:rsid w:val="395CBA50"/>
    <w:rsid w:val="397BF992"/>
    <w:rsid w:val="399AD14F"/>
    <w:rsid w:val="39C88D6E"/>
    <w:rsid w:val="3A29D1F4"/>
    <w:rsid w:val="3A3E8C9B"/>
    <w:rsid w:val="3A6A313F"/>
    <w:rsid w:val="3A6B1405"/>
    <w:rsid w:val="3A6FAA65"/>
    <w:rsid w:val="3A740E67"/>
    <w:rsid w:val="3AA0AB22"/>
    <w:rsid w:val="3B552FE2"/>
    <w:rsid w:val="3B6B5EBA"/>
    <w:rsid w:val="3B7C1382"/>
    <w:rsid w:val="3B9C3EF8"/>
    <w:rsid w:val="3BD7539E"/>
    <w:rsid w:val="3BDC33BA"/>
    <w:rsid w:val="3C0A9C41"/>
    <w:rsid w:val="3C158400"/>
    <w:rsid w:val="3C317F58"/>
    <w:rsid w:val="3C846109"/>
    <w:rsid w:val="3CDCB884"/>
    <w:rsid w:val="3CE7F602"/>
    <w:rsid w:val="3D356092"/>
    <w:rsid w:val="3D88A1F0"/>
    <w:rsid w:val="3DB5995B"/>
    <w:rsid w:val="3DCC1A24"/>
    <w:rsid w:val="3E08996D"/>
    <w:rsid w:val="3E09B4E5"/>
    <w:rsid w:val="3E577464"/>
    <w:rsid w:val="3E8E635E"/>
    <w:rsid w:val="3EE62DB5"/>
    <w:rsid w:val="3EF27744"/>
    <w:rsid w:val="3F0CB8C3"/>
    <w:rsid w:val="3F31CF3F"/>
    <w:rsid w:val="3F4CBB5F"/>
    <w:rsid w:val="3F63985D"/>
    <w:rsid w:val="3F8E4DB7"/>
    <w:rsid w:val="3FA203E7"/>
    <w:rsid w:val="3FB5C395"/>
    <w:rsid w:val="3FCF01B6"/>
    <w:rsid w:val="3FD88D01"/>
    <w:rsid w:val="40042F26"/>
    <w:rsid w:val="405E0BC5"/>
    <w:rsid w:val="40A9CBBC"/>
    <w:rsid w:val="40B7198F"/>
    <w:rsid w:val="40EA56D3"/>
    <w:rsid w:val="4131E25D"/>
    <w:rsid w:val="413B890D"/>
    <w:rsid w:val="41B610ED"/>
    <w:rsid w:val="41CC3E54"/>
    <w:rsid w:val="41F8DB40"/>
    <w:rsid w:val="421CAE36"/>
    <w:rsid w:val="422F00AF"/>
    <w:rsid w:val="4254C86E"/>
    <w:rsid w:val="4256F6FB"/>
    <w:rsid w:val="42E01213"/>
    <w:rsid w:val="42FA5EC6"/>
    <w:rsid w:val="4302101F"/>
    <w:rsid w:val="439E8A99"/>
    <w:rsid w:val="43BBA5BB"/>
    <w:rsid w:val="43F54D28"/>
    <w:rsid w:val="445C5A68"/>
    <w:rsid w:val="447FD34F"/>
    <w:rsid w:val="44908F77"/>
    <w:rsid w:val="44AD3ED4"/>
    <w:rsid w:val="45112673"/>
    <w:rsid w:val="4552212C"/>
    <w:rsid w:val="45D8E522"/>
    <w:rsid w:val="462B0EC0"/>
    <w:rsid w:val="46400FDE"/>
    <w:rsid w:val="4646ABD5"/>
    <w:rsid w:val="46C5993F"/>
    <w:rsid w:val="46E4C210"/>
    <w:rsid w:val="46FDECCB"/>
    <w:rsid w:val="4701454D"/>
    <w:rsid w:val="471FC400"/>
    <w:rsid w:val="473519E6"/>
    <w:rsid w:val="47D6BF64"/>
    <w:rsid w:val="47E643AA"/>
    <w:rsid w:val="48096C9F"/>
    <w:rsid w:val="4822F53A"/>
    <w:rsid w:val="488425BC"/>
    <w:rsid w:val="492C4C01"/>
    <w:rsid w:val="4955B3E6"/>
    <w:rsid w:val="49AAF8FA"/>
    <w:rsid w:val="49C0C801"/>
    <w:rsid w:val="49D05E4B"/>
    <w:rsid w:val="4A1B6911"/>
    <w:rsid w:val="4A4DC583"/>
    <w:rsid w:val="4A5A348F"/>
    <w:rsid w:val="4AC71864"/>
    <w:rsid w:val="4ADFD657"/>
    <w:rsid w:val="4B299ADF"/>
    <w:rsid w:val="4BD4B6AF"/>
    <w:rsid w:val="4BF8E48C"/>
    <w:rsid w:val="4BF96406"/>
    <w:rsid w:val="4C187A4E"/>
    <w:rsid w:val="4C258507"/>
    <w:rsid w:val="4C3C4AC5"/>
    <w:rsid w:val="4C4A259F"/>
    <w:rsid w:val="4C578EA5"/>
    <w:rsid w:val="4C58AB42"/>
    <w:rsid w:val="4C5CAF9C"/>
    <w:rsid w:val="4C9339FF"/>
    <w:rsid w:val="4C9986F8"/>
    <w:rsid w:val="4CBB6FAD"/>
    <w:rsid w:val="4CBDB241"/>
    <w:rsid w:val="4CEEDCED"/>
    <w:rsid w:val="4D71AC4E"/>
    <w:rsid w:val="4D840446"/>
    <w:rsid w:val="4D8B5FED"/>
    <w:rsid w:val="4D98903B"/>
    <w:rsid w:val="4DA8748C"/>
    <w:rsid w:val="4DB37917"/>
    <w:rsid w:val="4DD19ED6"/>
    <w:rsid w:val="4DD1A779"/>
    <w:rsid w:val="4DDACF00"/>
    <w:rsid w:val="4EA417F0"/>
    <w:rsid w:val="4F04438F"/>
    <w:rsid w:val="4F0DCA45"/>
    <w:rsid w:val="4F3549A9"/>
    <w:rsid w:val="4F70797F"/>
    <w:rsid w:val="4F8D77F9"/>
    <w:rsid w:val="4F9C6013"/>
    <w:rsid w:val="4FC077C2"/>
    <w:rsid w:val="4FF47333"/>
    <w:rsid w:val="500C8DC3"/>
    <w:rsid w:val="50195215"/>
    <w:rsid w:val="5077BD19"/>
    <w:rsid w:val="50851B8A"/>
    <w:rsid w:val="509FC075"/>
    <w:rsid w:val="50A0FA40"/>
    <w:rsid w:val="50A42A1C"/>
    <w:rsid w:val="50D02E64"/>
    <w:rsid w:val="50EE3E44"/>
    <w:rsid w:val="50F95556"/>
    <w:rsid w:val="510A3757"/>
    <w:rsid w:val="51166788"/>
    <w:rsid w:val="511C4DCD"/>
    <w:rsid w:val="5159A528"/>
    <w:rsid w:val="51779D83"/>
    <w:rsid w:val="51DA1CE6"/>
    <w:rsid w:val="51E2A7E4"/>
    <w:rsid w:val="51FB858B"/>
    <w:rsid w:val="523F2180"/>
    <w:rsid w:val="525D797A"/>
    <w:rsid w:val="5272E4E3"/>
    <w:rsid w:val="52C3D862"/>
    <w:rsid w:val="52E81E41"/>
    <w:rsid w:val="531FF859"/>
    <w:rsid w:val="5333725A"/>
    <w:rsid w:val="534499C0"/>
    <w:rsid w:val="53601A5F"/>
    <w:rsid w:val="5376C2C7"/>
    <w:rsid w:val="5383F50C"/>
    <w:rsid w:val="53B7B6D7"/>
    <w:rsid w:val="53C43F0B"/>
    <w:rsid w:val="53E194CA"/>
    <w:rsid w:val="542680A2"/>
    <w:rsid w:val="54270D2D"/>
    <w:rsid w:val="54599D7C"/>
    <w:rsid w:val="54AC48C3"/>
    <w:rsid w:val="5506E715"/>
    <w:rsid w:val="55178670"/>
    <w:rsid w:val="553F5410"/>
    <w:rsid w:val="55708AA8"/>
    <w:rsid w:val="5577175B"/>
    <w:rsid w:val="55A6A2F5"/>
    <w:rsid w:val="55BC7DC6"/>
    <w:rsid w:val="55F580C5"/>
    <w:rsid w:val="55FF9758"/>
    <w:rsid w:val="5616B4F8"/>
    <w:rsid w:val="56A01E61"/>
    <w:rsid w:val="56A7DFBB"/>
    <w:rsid w:val="56A8905E"/>
    <w:rsid w:val="56AD737F"/>
    <w:rsid w:val="56C5F711"/>
    <w:rsid w:val="56DB3C84"/>
    <w:rsid w:val="56DFDAE4"/>
    <w:rsid w:val="56F68BFB"/>
    <w:rsid w:val="577DB564"/>
    <w:rsid w:val="57B59B73"/>
    <w:rsid w:val="57C14504"/>
    <w:rsid w:val="57DC284C"/>
    <w:rsid w:val="57DF46AD"/>
    <w:rsid w:val="583ACDED"/>
    <w:rsid w:val="585F27F8"/>
    <w:rsid w:val="58726912"/>
    <w:rsid w:val="588720C6"/>
    <w:rsid w:val="5887749D"/>
    <w:rsid w:val="58A1A570"/>
    <w:rsid w:val="58E42F01"/>
    <w:rsid w:val="58FC3DB0"/>
    <w:rsid w:val="5906826D"/>
    <w:rsid w:val="5995198B"/>
    <w:rsid w:val="59A55946"/>
    <w:rsid w:val="59E047A2"/>
    <w:rsid w:val="59E0CFE6"/>
    <w:rsid w:val="59E3F2E8"/>
    <w:rsid w:val="5A096D9F"/>
    <w:rsid w:val="5A1DC5D6"/>
    <w:rsid w:val="5A246967"/>
    <w:rsid w:val="5A453126"/>
    <w:rsid w:val="5A45ED51"/>
    <w:rsid w:val="5B7AED4E"/>
    <w:rsid w:val="5B891AAD"/>
    <w:rsid w:val="5B982FAD"/>
    <w:rsid w:val="5BBA6E91"/>
    <w:rsid w:val="5BCEA4CE"/>
    <w:rsid w:val="5C2176F9"/>
    <w:rsid w:val="5C42F3C6"/>
    <w:rsid w:val="5C59B7C8"/>
    <w:rsid w:val="5C6A37B2"/>
    <w:rsid w:val="5CB01130"/>
    <w:rsid w:val="5CF6D068"/>
    <w:rsid w:val="5D334DBF"/>
    <w:rsid w:val="5D60B3EF"/>
    <w:rsid w:val="5D696DEE"/>
    <w:rsid w:val="5D791D55"/>
    <w:rsid w:val="5DA46AC2"/>
    <w:rsid w:val="5DAE1F07"/>
    <w:rsid w:val="5E303950"/>
    <w:rsid w:val="5E5D802C"/>
    <w:rsid w:val="5E7875B9"/>
    <w:rsid w:val="5E7D08B6"/>
    <w:rsid w:val="5E822704"/>
    <w:rsid w:val="5EB606B1"/>
    <w:rsid w:val="5EBF1CA0"/>
    <w:rsid w:val="5ECC3F63"/>
    <w:rsid w:val="5EDCA8C9"/>
    <w:rsid w:val="5EF152F2"/>
    <w:rsid w:val="5EF650DB"/>
    <w:rsid w:val="5F110D24"/>
    <w:rsid w:val="5F19F12B"/>
    <w:rsid w:val="5F383DDC"/>
    <w:rsid w:val="6025BE73"/>
    <w:rsid w:val="6032B11D"/>
    <w:rsid w:val="603B7639"/>
    <w:rsid w:val="60C409F6"/>
    <w:rsid w:val="6105A9FA"/>
    <w:rsid w:val="613833FF"/>
    <w:rsid w:val="6164DDED"/>
    <w:rsid w:val="616DD393"/>
    <w:rsid w:val="618B4E16"/>
    <w:rsid w:val="619BD096"/>
    <w:rsid w:val="61EB7495"/>
    <w:rsid w:val="620D5A3F"/>
    <w:rsid w:val="622B00DA"/>
    <w:rsid w:val="62AC0510"/>
    <w:rsid w:val="62D4361B"/>
    <w:rsid w:val="635EC45F"/>
    <w:rsid w:val="637E4F80"/>
    <w:rsid w:val="638E8920"/>
    <w:rsid w:val="63AD72E7"/>
    <w:rsid w:val="645C95E5"/>
    <w:rsid w:val="646405DF"/>
    <w:rsid w:val="648FB8BF"/>
    <w:rsid w:val="64E34F5E"/>
    <w:rsid w:val="64F44C42"/>
    <w:rsid w:val="6592B56D"/>
    <w:rsid w:val="65979049"/>
    <w:rsid w:val="660F37B0"/>
    <w:rsid w:val="662024BF"/>
    <w:rsid w:val="6655D74F"/>
    <w:rsid w:val="6667A164"/>
    <w:rsid w:val="66865E0B"/>
    <w:rsid w:val="66BD4F1A"/>
    <w:rsid w:val="66E6FDD0"/>
    <w:rsid w:val="6701D375"/>
    <w:rsid w:val="67024F4E"/>
    <w:rsid w:val="6730FA44"/>
    <w:rsid w:val="67453772"/>
    <w:rsid w:val="67493EB8"/>
    <w:rsid w:val="67796C3B"/>
    <w:rsid w:val="677B2F26"/>
    <w:rsid w:val="677E1597"/>
    <w:rsid w:val="67843664"/>
    <w:rsid w:val="67B483E7"/>
    <w:rsid w:val="67D78523"/>
    <w:rsid w:val="67EA1496"/>
    <w:rsid w:val="68275C01"/>
    <w:rsid w:val="68345454"/>
    <w:rsid w:val="6838C86F"/>
    <w:rsid w:val="684425C5"/>
    <w:rsid w:val="68674993"/>
    <w:rsid w:val="68930824"/>
    <w:rsid w:val="68DF7E41"/>
    <w:rsid w:val="68E7DB41"/>
    <w:rsid w:val="69115417"/>
    <w:rsid w:val="69197EF2"/>
    <w:rsid w:val="6922A8B9"/>
    <w:rsid w:val="6955BA2B"/>
    <w:rsid w:val="6989BE62"/>
    <w:rsid w:val="69BB9EEB"/>
    <w:rsid w:val="69F24A61"/>
    <w:rsid w:val="6A4ECFAC"/>
    <w:rsid w:val="6A568DF8"/>
    <w:rsid w:val="6A977567"/>
    <w:rsid w:val="6AD98EC1"/>
    <w:rsid w:val="6AFDD5AF"/>
    <w:rsid w:val="6B4776D6"/>
    <w:rsid w:val="6B5EBDF1"/>
    <w:rsid w:val="6B64AD8E"/>
    <w:rsid w:val="6B6BD178"/>
    <w:rsid w:val="6C5E431E"/>
    <w:rsid w:val="6C90D1FC"/>
    <w:rsid w:val="6CF8DE4B"/>
    <w:rsid w:val="6E00DFC3"/>
    <w:rsid w:val="6E10B571"/>
    <w:rsid w:val="6E26D769"/>
    <w:rsid w:val="6E340D9B"/>
    <w:rsid w:val="6E4F977B"/>
    <w:rsid w:val="6E6B3022"/>
    <w:rsid w:val="6E792269"/>
    <w:rsid w:val="6E9A84F0"/>
    <w:rsid w:val="6F69FE62"/>
    <w:rsid w:val="6FA32230"/>
    <w:rsid w:val="6FAE0A7A"/>
    <w:rsid w:val="6FB044C6"/>
    <w:rsid w:val="6FD00755"/>
    <w:rsid w:val="6FE91B89"/>
    <w:rsid w:val="70119A9F"/>
    <w:rsid w:val="702D88E9"/>
    <w:rsid w:val="707B2B63"/>
    <w:rsid w:val="70B2A95D"/>
    <w:rsid w:val="70BF7CF9"/>
    <w:rsid w:val="70D9FAEF"/>
    <w:rsid w:val="70E32B19"/>
    <w:rsid w:val="70EDEE50"/>
    <w:rsid w:val="710976B0"/>
    <w:rsid w:val="710A5CA9"/>
    <w:rsid w:val="7112E6B4"/>
    <w:rsid w:val="7118C218"/>
    <w:rsid w:val="712827E0"/>
    <w:rsid w:val="7155A296"/>
    <w:rsid w:val="71873D6E"/>
    <w:rsid w:val="71948CC8"/>
    <w:rsid w:val="71CFABBC"/>
    <w:rsid w:val="71EEDF7F"/>
    <w:rsid w:val="72240048"/>
    <w:rsid w:val="726DA1CF"/>
    <w:rsid w:val="7272BA0A"/>
    <w:rsid w:val="728DB094"/>
    <w:rsid w:val="72CEC876"/>
    <w:rsid w:val="73609BC8"/>
    <w:rsid w:val="73C7F792"/>
    <w:rsid w:val="73D082AF"/>
    <w:rsid w:val="73F30192"/>
    <w:rsid w:val="7433DD72"/>
    <w:rsid w:val="7444AA99"/>
    <w:rsid w:val="7461CE36"/>
    <w:rsid w:val="7485E662"/>
    <w:rsid w:val="74EA217F"/>
    <w:rsid w:val="74EDA87C"/>
    <w:rsid w:val="753B3D60"/>
    <w:rsid w:val="758A37AE"/>
    <w:rsid w:val="75A6481F"/>
    <w:rsid w:val="75FB9877"/>
    <w:rsid w:val="7608FF26"/>
    <w:rsid w:val="76186C43"/>
    <w:rsid w:val="761E905E"/>
    <w:rsid w:val="763E2F77"/>
    <w:rsid w:val="764DF019"/>
    <w:rsid w:val="7673F861"/>
    <w:rsid w:val="76771471"/>
    <w:rsid w:val="769871B6"/>
    <w:rsid w:val="7723C34E"/>
    <w:rsid w:val="77444CDB"/>
    <w:rsid w:val="7793CBE1"/>
    <w:rsid w:val="77BB7266"/>
    <w:rsid w:val="77D4FEBA"/>
    <w:rsid w:val="7805CD05"/>
    <w:rsid w:val="782FDBC3"/>
    <w:rsid w:val="78546060"/>
    <w:rsid w:val="78559739"/>
    <w:rsid w:val="78CF3CB7"/>
    <w:rsid w:val="78F059DE"/>
    <w:rsid w:val="7978DBBA"/>
    <w:rsid w:val="798615C6"/>
    <w:rsid w:val="799A8101"/>
    <w:rsid w:val="79D31539"/>
    <w:rsid w:val="7A2E336A"/>
    <w:rsid w:val="7AA8698C"/>
    <w:rsid w:val="7ACF00EE"/>
    <w:rsid w:val="7B17B99A"/>
    <w:rsid w:val="7B294254"/>
    <w:rsid w:val="7B3E0273"/>
    <w:rsid w:val="7BD114FA"/>
    <w:rsid w:val="7C45ADF9"/>
    <w:rsid w:val="7C9F11F9"/>
    <w:rsid w:val="7CB6B500"/>
    <w:rsid w:val="7CF22FDA"/>
    <w:rsid w:val="7CFECDA2"/>
    <w:rsid w:val="7D3D7FB9"/>
    <w:rsid w:val="7D7C5E4E"/>
    <w:rsid w:val="7D7F085A"/>
    <w:rsid w:val="7DB31809"/>
    <w:rsid w:val="7DFF0EB5"/>
    <w:rsid w:val="7E08E201"/>
    <w:rsid w:val="7E2B40CA"/>
    <w:rsid w:val="7E3A5B64"/>
    <w:rsid w:val="7EA863DF"/>
    <w:rsid w:val="7EB0BAAF"/>
    <w:rsid w:val="7EB9842B"/>
    <w:rsid w:val="7EC8CB63"/>
    <w:rsid w:val="7EFC1463"/>
    <w:rsid w:val="7F0388A1"/>
    <w:rsid w:val="7F449130"/>
    <w:rsid w:val="7F5A1E09"/>
    <w:rsid w:val="7F8A7E85"/>
    <w:rsid w:val="7FB0C332"/>
    <w:rsid w:val="7FF6D4F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94EC23"/>
  <w15:chartTrackingRefBased/>
  <w15:docId w15:val="{84471C53-D2D0-41BC-A5BE-71FF51F4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A5D"/>
    <w:rPr>
      <w:rFonts w:asciiTheme="majorHAnsi" w:hAnsiTheme="majorHAnsi" w:cstheme="majorHAnsi"/>
      <w:color w:val="262626" w:themeColor="text1" w:themeTint="D9"/>
    </w:rPr>
  </w:style>
  <w:style w:type="paragraph" w:styleId="Heading1">
    <w:name w:val="heading 1"/>
    <w:basedOn w:val="Normal"/>
    <w:next w:val="Normal"/>
    <w:link w:val="Heading1Char"/>
    <w:uiPriority w:val="9"/>
    <w:qFormat/>
    <w:rsid w:val="004779A8"/>
    <w:pPr>
      <w:keepNext/>
      <w:keepLines/>
      <w:pageBreakBefore/>
      <w:numPr>
        <w:numId w:val="12"/>
      </w:numPr>
      <w:spacing w:before="600" w:after="600"/>
      <w:ind w:left="432"/>
      <w:outlineLvl w:val="0"/>
    </w:pPr>
    <w:rPr>
      <w:rFonts w:eastAsiaTheme="majorEastAsia" w:cstheme="majorBidi"/>
      <w:color w:val="002060"/>
      <w:spacing w:val="20"/>
      <w:sz w:val="44"/>
      <w:szCs w:val="32"/>
    </w:rPr>
  </w:style>
  <w:style w:type="paragraph" w:styleId="Heading2">
    <w:name w:val="heading 2"/>
    <w:basedOn w:val="Normal"/>
    <w:next w:val="Normal"/>
    <w:link w:val="Heading2Char"/>
    <w:uiPriority w:val="9"/>
    <w:unhideWhenUsed/>
    <w:qFormat/>
    <w:rsid w:val="00E00020"/>
    <w:pPr>
      <w:keepNext/>
      <w:numPr>
        <w:ilvl w:val="1"/>
        <w:numId w:val="12"/>
      </w:numPr>
      <w:spacing w:before="600"/>
      <w:outlineLvl w:val="1"/>
    </w:pPr>
    <w:rPr>
      <w:color w:val="ED7D31" w:themeColor="accent2"/>
      <w:sz w:val="36"/>
      <w:szCs w:val="40"/>
      <w14:textFill>
        <w14:solidFill>
          <w14:schemeClr w14:val="accent2">
            <w14:lumMod w14:val="75000"/>
            <w14:lumMod w14:val="85000"/>
            <w14:lumOff w14:val="15000"/>
          </w14:schemeClr>
        </w14:solidFill>
      </w14:textFill>
    </w:rPr>
  </w:style>
  <w:style w:type="paragraph" w:styleId="Heading3">
    <w:name w:val="heading 3"/>
    <w:basedOn w:val="Heading5"/>
    <w:next w:val="Normal"/>
    <w:link w:val="Heading3Char"/>
    <w:uiPriority w:val="9"/>
    <w:unhideWhenUsed/>
    <w:qFormat/>
    <w:rsid w:val="00801838"/>
    <w:pPr>
      <w:numPr>
        <w:ilvl w:val="2"/>
      </w:numPr>
      <w:outlineLvl w:val="2"/>
    </w:pPr>
    <w:rPr>
      <w:b/>
      <w:i w:val="0"/>
      <w:iCs/>
      <w:color w:val="000000" w:themeColor="text1"/>
      <w:sz w:val="22"/>
      <w:szCs w:val="32"/>
      <w14:textFill>
        <w14:solidFill>
          <w14:schemeClr w14:val="tx1">
            <w14:lumMod w14:val="85000"/>
            <w14:lumOff w14:val="15000"/>
            <w14:lumMod w14:val="75000"/>
            <w14:lumMod w14:val="75000"/>
            <w14:lumMod w14:val="85000"/>
          </w14:schemeClr>
        </w14:solidFill>
      </w14:textFill>
    </w:rPr>
  </w:style>
  <w:style w:type="paragraph" w:styleId="Heading4">
    <w:name w:val="heading 4"/>
    <w:basedOn w:val="Normal"/>
    <w:next w:val="Normal"/>
    <w:link w:val="Heading4Char"/>
    <w:uiPriority w:val="9"/>
    <w:unhideWhenUsed/>
    <w:rsid w:val="00D96340"/>
    <w:pPr>
      <w:keepNext/>
      <w:numPr>
        <w:ilvl w:val="3"/>
        <w:numId w:val="12"/>
      </w:numPr>
      <w:spacing w:before="120" w:after="120"/>
      <w:outlineLvl w:val="3"/>
    </w:pPr>
    <w:rPr>
      <w:b/>
      <w:bCs/>
      <w:color w:val="2F5496" w:themeColor="accent5" w:themeShade="BF"/>
    </w:rPr>
  </w:style>
  <w:style w:type="paragraph" w:styleId="Heading5">
    <w:name w:val="heading 5"/>
    <w:basedOn w:val="Normal"/>
    <w:next w:val="Normal"/>
    <w:link w:val="Heading5Char"/>
    <w:uiPriority w:val="9"/>
    <w:semiHidden/>
    <w:unhideWhenUsed/>
    <w:rsid w:val="003F5622"/>
    <w:pPr>
      <w:keepNext/>
      <w:keepLines/>
      <w:numPr>
        <w:ilvl w:val="4"/>
        <w:numId w:val="12"/>
      </w:numPr>
      <w:spacing w:before="40" w:after="0"/>
      <w:outlineLvl w:val="4"/>
    </w:pPr>
    <w:rPr>
      <w:rFonts w:eastAsiaTheme="majorEastAsia" w:cstheme="majorBidi"/>
      <w:i/>
      <w:color w:val="2E74B5" w:themeColor="accent1" w:themeShade="BF"/>
      <w:spacing w:val="20"/>
      <w:sz w:val="28"/>
    </w:rPr>
  </w:style>
  <w:style w:type="paragraph" w:styleId="Heading6">
    <w:name w:val="heading 6"/>
    <w:basedOn w:val="Normal"/>
    <w:next w:val="Normal"/>
    <w:link w:val="Heading6Char"/>
    <w:uiPriority w:val="9"/>
    <w:semiHidden/>
    <w:unhideWhenUsed/>
    <w:qFormat/>
    <w:rsid w:val="003F5622"/>
    <w:pPr>
      <w:keepNext/>
      <w:keepLines/>
      <w:numPr>
        <w:ilvl w:val="5"/>
        <w:numId w:val="12"/>
      </w:numPr>
      <w:spacing w:before="40" w:after="0"/>
      <w:outlineLvl w:val="5"/>
    </w:pPr>
    <w:rPr>
      <w:rFonts w:eastAsiaTheme="majorEastAsia" w:cstheme="majorBidi"/>
      <w:color w:val="1F4D78" w:themeColor="accent1" w:themeShade="7F"/>
      <w:lang w:val="en-GB"/>
    </w:rPr>
  </w:style>
  <w:style w:type="paragraph" w:styleId="Heading7">
    <w:name w:val="heading 7"/>
    <w:basedOn w:val="Normal"/>
    <w:next w:val="Normal"/>
    <w:link w:val="Heading7Char"/>
    <w:uiPriority w:val="9"/>
    <w:semiHidden/>
    <w:unhideWhenUsed/>
    <w:qFormat/>
    <w:rsid w:val="003F5622"/>
    <w:pPr>
      <w:keepNext/>
      <w:keepLines/>
      <w:numPr>
        <w:ilvl w:val="6"/>
        <w:numId w:val="12"/>
      </w:numPr>
      <w:spacing w:before="40" w:after="0"/>
      <w:outlineLvl w:val="6"/>
    </w:pPr>
    <w:rPr>
      <w:rFonts w:eastAsiaTheme="majorEastAsia" w:cstheme="majorBidi"/>
      <w:i/>
      <w:iCs/>
      <w:color w:val="1F4D78" w:themeColor="accent1" w:themeShade="7F"/>
      <w:lang w:val="en-GB"/>
    </w:rPr>
  </w:style>
  <w:style w:type="paragraph" w:styleId="Heading8">
    <w:name w:val="heading 8"/>
    <w:basedOn w:val="Normal"/>
    <w:next w:val="Normal"/>
    <w:link w:val="Heading8Char"/>
    <w:uiPriority w:val="9"/>
    <w:semiHidden/>
    <w:unhideWhenUsed/>
    <w:qFormat/>
    <w:rsid w:val="003F5622"/>
    <w:pPr>
      <w:keepNext/>
      <w:keepLines/>
      <w:numPr>
        <w:ilvl w:val="7"/>
        <w:numId w:val="12"/>
      </w:numPr>
      <w:spacing w:before="40" w:after="0"/>
      <w:outlineLvl w:val="7"/>
    </w:pPr>
    <w:rPr>
      <w:rFonts w:eastAsiaTheme="majorEastAsia"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3F5622"/>
    <w:pPr>
      <w:keepNext/>
      <w:keepLines/>
      <w:numPr>
        <w:ilvl w:val="8"/>
        <w:numId w:val="12"/>
      </w:numPr>
      <w:spacing w:before="40" w:after="0"/>
      <w:outlineLvl w:val="8"/>
    </w:pPr>
    <w:rPr>
      <w:rFonts w:eastAsiaTheme="majorEastAsia"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197"/>
  </w:style>
  <w:style w:type="paragraph" w:styleId="Footer">
    <w:name w:val="footer"/>
    <w:basedOn w:val="Normal"/>
    <w:link w:val="FooterChar"/>
    <w:uiPriority w:val="99"/>
    <w:unhideWhenUsed/>
    <w:rsid w:val="007E2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197"/>
  </w:style>
  <w:style w:type="character" w:customStyle="1" w:styleId="Heading1Char">
    <w:name w:val="Heading 1 Char"/>
    <w:basedOn w:val="DefaultParagraphFont"/>
    <w:link w:val="Heading1"/>
    <w:uiPriority w:val="9"/>
    <w:rsid w:val="004779A8"/>
    <w:rPr>
      <w:rFonts w:asciiTheme="majorHAnsi" w:eastAsiaTheme="majorEastAsia" w:hAnsiTheme="majorHAnsi" w:cstheme="majorBidi"/>
      <w:color w:val="002060"/>
      <w:spacing w:val="20"/>
      <w:sz w:val="44"/>
      <w:szCs w:val="32"/>
    </w:rPr>
  </w:style>
  <w:style w:type="character" w:styleId="Hyperlink">
    <w:name w:val="Hyperlink"/>
    <w:basedOn w:val="DefaultParagraphFont"/>
    <w:uiPriority w:val="99"/>
    <w:unhideWhenUsed/>
    <w:rsid w:val="00F77B71"/>
    <w:rPr>
      <w:color w:val="0563C1" w:themeColor="hyperlink"/>
      <w:u w:val="single"/>
    </w:rPr>
  </w:style>
  <w:style w:type="character" w:customStyle="1" w:styleId="Heading2Char">
    <w:name w:val="Heading 2 Char"/>
    <w:basedOn w:val="DefaultParagraphFont"/>
    <w:link w:val="Heading2"/>
    <w:uiPriority w:val="9"/>
    <w:rsid w:val="00E00020"/>
    <w:rPr>
      <w:rFonts w:asciiTheme="majorHAnsi" w:hAnsiTheme="majorHAnsi" w:cstheme="majorHAnsi"/>
      <w:color w:val="ED7D31" w:themeColor="accent2"/>
      <w:sz w:val="36"/>
      <w:szCs w:val="40"/>
      <w14:textFill>
        <w14:solidFill>
          <w14:schemeClr w14:val="accent2">
            <w14:lumMod w14:val="75000"/>
            <w14:lumMod w14:val="85000"/>
            <w14:lumOff w14:val="15000"/>
          </w14:schemeClr>
        </w14:solidFill>
      </w14:textFill>
    </w:rPr>
  </w:style>
  <w:style w:type="paragraph" w:styleId="TOC1">
    <w:name w:val="toc 1"/>
    <w:basedOn w:val="Normal"/>
    <w:next w:val="Normal"/>
    <w:autoRedefine/>
    <w:uiPriority w:val="39"/>
    <w:unhideWhenUsed/>
    <w:rsid w:val="00372B73"/>
    <w:pPr>
      <w:keepNext/>
      <w:spacing w:after="0" w:line="312" w:lineRule="auto"/>
      <w:jc w:val="both"/>
    </w:pPr>
  </w:style>
  <w:style w:type="paragraph" w:styleId="TOC9">
    <w:name w:val="toc 9"/>
    <w:basedOn w:val="Normal"/>
    <w:next w:val="Normal"/>
    <w:autoRedefine/>
    <w:uiPriority w:val="39"/>
    <w:semiHidden/>
    <w:unhideWhenUsed/>
    <w:rsid w:val="00360F93"/>
    <w:pPr>
      <w:spacing w:after="100"/>
      <w:ind w:left="1760"/>
    </w:pPr>
  </w:style>
  <w:style w:type="character" w:customStyle="1" w:styleId="Heading3Char">
    <w:name w:val="Heading 3 Char"/>
    <w:basedOn w:val="DefaultParagraphFont"/>
    <w:link w:val="Heading3"/>
    <w:uiPriority w:val="9"/>
    <w:rsid w:val="00801838"/>
    <w:rPr>
      <w:rFonts w:asciiTheme="majorHAnsi" w:eastAsiaTheme="majorEastAsia" w:hAnsiTheme="majorHAnsi" w:cstheme="majorBidi"/>
      <w:b/>
      <w:iCs/>
      <w:color w:val="000000" w:themeColor="text1"/>
      <w:spacing w:val="20"/>
      <w:szCs w:val="32"/>
      <w14:textFill>
        <w14:solidFill>
          <w14:schemeClr w14:val="tx1">
            <w14:lumMod w14:val="85000"/>
            <w14:lumOff w14:val="15000"/>
            <w14:lumMod w14:val="75000"/>
            <w14:lumMod w14:val="75000"/>
            <w14:lumMod w14:val="85000"/>
          </w14:schemeClr>
        </w14:solidFill>
      </w14:textFill>
    </w:rPr>
  </w:style>
  <w:style w:type="character" w:customStyle="1" w:styleId="Heading4Char">
    <w:name w:val="Heading 4 Char"/>
    <w:basedOn w:val="DefaultParagraphFont"/>
    <w:link w:val="Heading4"/>
    <w:uiPriority w:val="9"/>
    <w:rsid w:val="003F5622"/>
    <w:rPr>
      <w:rFonts w:asciiTheme="majorHAnsi" w:hAnsiTheme="majorHAnsi" w:cstheme="majorHAnsi"/>
      <w:b/>
      <w:bCs/>
      <w:color w:val="2F5496" w:themeColor="accent5" w:themeShade="BF"/>
    </w:rPr>
  </w:style>
  <w:style w:type="paragraph" w:styleId="FootnoteText">
    <w:name w:val="footnote text"/>
    <w:basedOn w:val="NZWRIREPORT"/>
    <w:link w:val="FootnoteTextChar"/>
    <w:uiPriority w:val="99"/>
    <w:unhideWhenUsed/>
    <w:rsid w:val="00F126DC"/>
    <w:pPr>
      <w:spacing w:before="0" w:after="0" w:line="240" w:lineRule="auto"/>
    </w:pPr>
    <w:rPr>
      <w:color w:val="000000" w:themeColor="text1"/>
      <w:sz w:val="18"/>
      <w:szCs w:val="20"/>
      <w14:textFill>
        <w14:solidFill>
          <w14:schemeClr w14:val="tx1">
            <w14:lumMod w14:val="85000"/>
            <w14:lumOff w14:val="15000"/>
            <w14:lumMod w14:val="85000"/>
            <w14:lumOff w14:val="15000"/>
            <w14:lumMod w14:val="75000"/>
          </w14:schemeClr>
        </w14:solidFill>
      </w14:textFill>
    </w:rPr>
  </w:style>
  <w:style w:type="character" w:customStyle="1" w:styleId="FootnoteTextChar">
    <w:name w:val="Footnote Text Char"/>
    <w:basedOn w:val="DefaultParagraphFont"/>
    <w:link w:val="FootnoteText"/>
    <w:uiPriority w:val="99"/>
    <w:rsid w:val="00F126DC"/>
    <w:rPr>
      <w:rFonts w:asciiTheme="majorHAnsi" w:hAnsiTheme="majorHAnsi" w:cstheme="majorHAnsi"/>
      <w:color w:val="000000" w:themeColor="text1"/>
      <w:sz w:val="18"/>
      <w:szCs w:val="20"/>
      <w14:textFill>
        <w14:solidFill>
          <w14:schemeClr w14:val="tx1">
            <w14:lumMod w14:val="85000"/>
            <w14:lumOff w14:val="15000"/>
            <w14:lumMod w14:val="85000"/>
            <w14:lumOff w14:val="15000"/>
            <w14:lumMod w14:val="75000"/>
          </w14:schemeClr>
        </w14:solidFill>
      </w14:textFill>
    </w:rPr>
  </w:style>
  <w:style w:type="character" w:styleId="FootnoteReference">
    <w:name w:val="footnote reference"/>
    <w:basedOn w:val="DefaultParagraphFont"/>
    <w:uiPriority w:val="99"/>
    <w:unhideWhenUsed/>
    <w:qFormat/>
    <w:rsid w:val="001107EC"/>
    <w:rPr>
      <w:vertAlign w:val="superscript"/>
    </w:rPr>
  </w:style>
  <w:style w:type="paragraph" w:styleId="Caption">
    <w:name w:val="caption"/>
    <w:basedOn w:val="Normal"/>
    <w:next w:val="Normal"/>
    <w:uiPriority w:val="35"/>
    <w:unhideWhenUsed/>
    <w:qFormat/>
    <w:rsid w:val="003F5622"/>
    <w:rPr>
      <w:b/>
      <w:bCs/>
      <w:color w:val="2F5496" w:themeColor="accent5" w:themeShade="BF"/>
    </w:rPr>
  </w:style>
  <w:style w:type="character" w:customStyle="1" w:styleId="normaltextrun">
    <w:name w:val="normaltextrun"/>
    <w:basedOn w:val="DefaultParagraphFont"/>
    <w:rsid w:val="001107EC"/>
  </w:style>
  <w:style w:type="character" w:customStyle="1" w:styleId="spellingerror">
    <w:name w:val="spellingerror"/>
    <w:basedOn w:val="DefaultParagraphFont"/>
    <w:rsid w:val="001107EC"/>
  </w:style>
  <w:style w:type="character" w:customStyle="1" w:styleId="findhit">
    <w:name w:val="findhit"/>
    <w:basedOn w:val="DefaultParagraphFont"/>
    <w:rsid w:val="00592E5C"/>
  </w:style>
  <w:style w:type="character" w:styleId="CommentReference">
    <w:name w:val="annotation reference"/>
    <w:basedOn w:val="DefaultParagraphFont"/>
    <w:uiPriority w:val="99"/>
    <w:semiHidden/>
    <w:unhideWhenUsed/>
    <w:rsid w:val="00592E5C"/>
    <w:rPr>
      <w:sz w:val="16"/>
      <w:szCs w:val="16"/>
    </w:rPr>
  </w:style>
  <w:style w:type="paragraph" w:styleId="TOCHeading">
    <w:name w:val="TOC Heading"/>
    <w:basedOn w:val="Heading1"/>
    <w:next w:val="Normal"/>
    <w:uiPriority w:val="39"/>
    <w:unhideWhenUsed/>
    <w:qFormat/>
    <w:rsid w:val="003F5622"/>
    <w:pPr>
      <w:outlineLvl w:val="9"/>
    </w:pPr>
    <w:rPr>
      <w:color w:val="5B9BD5" w:themeColor="accent1"/>
      <w:spacing w:val="0"/>
      <w:sz w:val="32"/>
      <w:lang w:val="en-US"/>
      <w14:textFill>
        <w14:solidFill>
          <w14:schemeClr w14:val="accent1">
            <w14:lumMod w14:val="75000"/>
            <w14:lumMod w14:val="85000"/>
            <w14:lumOff w14:val="15000"/>
          </w14:schemeClr>
        </w14:solidFill>
      </w14:textFill>
    </w:rPr>
  </w:style>
  <w:style w:type="paragraph" w:styleId="TOC2">
    <w:name w:val="toc 2"/>
    <w:basedOn w:val="Normal"/>
    <w:next w:val="Normal"/>
    <w:autoRedefine/>
    <w:uiPriority w:val="39"/>
    <w:unhideWhenUsed/>
    <w:rsid w:val="00FE194D"/>
    <w:pPr>
      <w:tabs>
        <w:tab w:val="left" w:pos="880"/>
        <w:tab w:val="right" w:leader="dot" w:pos="9322"/>
      </w:tabs>
      <w:spacing w:after="100"/>
      <w:ind w:left="220"/>
    </w:pPr>
  </w:style>
  <w:style w:type="paragraph" w:styleId="TableofFigures">
    <w:name w:val="table of figures"/>
    <w:basedOn w:val="Normal"/>
    <w:next w:val="Normal"/>
    <w:uiPriority w:val="99"/>
    <w:unhideWhenUsed/>
    <w:rsid w:val="0049436F"/>
    <w:pPr>
      <w:spacing w:after="0"/>
    </w:pPr>
  </w:style>
  <w:style w:type="paragraph" w:customStyle="1" w:styleId="NZWRIREPORT">
    <w:name w:val="NZWRI REPORT"/>
    <w:basedOn w:val="Heading2"/>
    <w:link w:val="NZWRIREPORTChar"/>
    <w:rsid w:val="003F5622"/>
  </w:style>
  <w:style w:type="character" w:customStyle="1" w:styleId="NZWRIREPORTChar">
    <w:name w:val="NZWRI REPORT Char"/>
    <w:basedOn w:val="Heading2Char"/>
    <w:link w:val="NZWRIREPORT"/>
    <w:rsid w:val="003F5622"/>
    <w:rPr>
      <w:rFonts w:asciiTheme="majorHAnsi" w:hAnsiTheme="majorHAnsi" w:cstheme="majorHAnsi"/>
      <w:color w:val="ED7D31" w:themeColor="accent2"/>
      <w:sz w:val="36"/>
      <w:szCs w:val="40"/>
      <w14:textFill>
        <w14:solidFill>
          <w14:schemeClr w14:val="accent2">
            <w14:lumMod w14:val="75000"/>
            <w14:lumMod w14:val="85000"/>
            <w14:lumOff w14:val="15000"/>
          </w14:schemeClr>
        </w14:solidFill>
      </w14:textFill>
    </w:rPr>
  </w:style>
  <w:style w:type="character" w:customStyle="1" w:styleId="Heading5Char">
    <w:name w:val="Heading 5 Char"/>
    <w:basedOn w:val="DefaultParagraphFont"/>
    <w:link w:val="Heading5"/>
    <w:uiPriority w:val="9"/>
    <w:semiHidden/>
    <w:rsid w:val="003F5622"/>
    <w:rPr>
      <w:rFonts w:asciiTheme="majorHAnsi" w:eastAsiaTheme="majorEastAsia" w:hAnsiTheme="majorHAnsi" w:cstheme="majorBidi"/>
      <w:i/>
      <w:color w:val="2E74B5" w:themeColor="accent1" w:themeShade="BF"/>
      <w:spacing w:val="20"/>
      <w:sz w:val="28"/>
    </w:rPr>
  </w:style>
  <w:style w:type="character" w:customStyle="1" w:styleId="Heading6Char">
    <w:name w:val="Heading 6 Char"/>
    <w:basedOn w:val="DefaultParagraphFont"/>
    <w:link w:val="Heading6"/>
    <w:uiPriority w:val="9"/>
    <w:semiHidden/>
    <w:rsid w:val="003F5622"/>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3F5622"/>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3F562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3F5622"/>
    <w:rPr>
      <w:rFonts w:asciiTheme="majorHAnsi" w:eastAsiaTheme="majorEastAsia" w:hAnsiTheme="majorHAnsi" w:cstheme="majorBidi"/>
      <w:i/>
      <w:iCs/>
      <w:color w:val="272727" w:themeColor="text1" w:themeTint="D8"/>
      <w:sz w:val="21"/>
      <w:szCs w:val="21"/>
      <w:lang w:val="en-GB"/>
    </w:rPr>
  </w:style>
  <w:style w:type="paragraph" w:styleId="Title">
    <w:name w:val="Title"/>
    <w:aliases w:val="Headings not in contents"/>
    <w:basedOn w:val="Normal"/>
    <w:next w:val="Normal"/>
    <w:link w:val="TitleChar"/>
    <w:uiPriority w:val="10"/>
    <w:qFormat/>
    <w:rsid w:val="007E0B26"/>
    <w:pPr>
      <w:keepNext/>
      <w:spacing w:before="600" w:after="600" w:line="240" w:lineRule="auto"/>
    </w:pPr>
    <w:rPr>
      <w:rFonts w:eastAsiaTheme="majorEastAsia" w:cstheme="majorBidi"/>
      <w:color w:val="002060"/>
      <w:spacing w:val="-10"/>
      <w:kern w:val="28"/>
      <w:sz w:val="44"/>
      <w:szCs w:val="56"/>
    </w:rPr>
  </w:style>
  <w:style w:type="character" w:customStyle="1" w:styleId="TitleChar">
    <w:name w:val="Title Char"/>
    <w:aliases w:val="Headings not in contents Char"/>
    <w:basedOn w:val="DefaultParagraphFont"/>
    <w:link w:val="Title"/>
    <w:uiPriority w:val="10"/>
    <w:rsid w:val="007E0B26"/>
    <w:rPr>
      <w:rFonts w:asciiTheme="majorHAnsi" w:eastAsiaTheme="majorEastAsia" w:hAnsiTheme="majorHAnsi" w:cstheme="majorBidi"/>
      <w:color w:val="002060"/>
      <w:spacing w:val="-10"/>
      <w:kern w:val="28"/>
      <w:sz w:val="44"/>
      <w:szCs w:val="56"/>
    </w:rPr>
  </w:style>
  <w:style w:type="paragraph" w:styleId="Subtitle">
    <w:name w:val="Subtitle"/>
    <w:basedOn w:val="Normal"/>
    <w:next w:val="Normal"/>
    <w:link w:val="SubtitleChar"/>
    <w:uiPriority w:val="11"/>
    <w:rsid w:val="003F5622"/>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F5622"/>
    <w:rPr>
      <w:rFonts w:eastAsiaTheme="minorEastAsia"/>
      <w:color w:val="5A5A5A" w:themeColor="text1" w:themeTint="A5"/>
      <w:spacing w:val="15"/>
    </w:rPr>
  </w:style>
  <w:style w:type="character" w:styleId="Strong">
    <w:name w:val="Strong"/>
    <w:basedOn w:val="DefaultParagraphFont"/>
    <w:uiPriority w:val="22"/>
    <w:rsid w:val="003F5622"/>
    <w:rPr>
      <w:b/>
      <w:bCs/>
    </w:rPr>
  </w:style>
  <w:style w:type="paragraph" w:styleId="NoSpacing">
    <w:name w:val="No Spacing"/>
    <w:link w:val="NoSpacingChar"/>
    <w:uiPriority w:val="1"/>
    <w:rsid w:val="003F5622"/>
    <w:pPr>
      <w:spacing w:after="0" w:line="240" w:lineRule="auto"/>
    </w:pPr>
    <w:rPr>
      <w:rFonts w:asciiTheme="majorHAnsi" w:hAnsiTheme="majorHAnsi" w:cstheme="majorHAnsi"/>
      <w:color w:val="262626" w:themeColor="text1" w:themeTint="D9"/>
    </w:rPr>
  </w:style>
  <w:style w:type="paragraph" w:styleId="ListParagraph">
    <w:name w:val="List Paragraph"/>
    <w:basedOn w:val="Normal"/>
    <w:uiPriority w:val="34"/>
    <w:rsid w:val="003F5622"/>
    <w:pPr>
      <w:ind w:left="720"/>
      <w:contextualSpacing/>
    </w:pPr>
    <w:rPr>
      <w:rFonts w:asciiTheme="minorHAnsi" w:hAnsiTheme="minorHAnsi"/>
      <w:lang w:val="en-GB"/>
    </w:rPr>
  </w:style>
  <w:style w:type="paragraph" w:styleId="Quote">
    <w:name w:val="Quote"/>
    <w:basedOn w:val="Normal"/>
    <w:next w:val="Normal"/>
    <w:link w:val="QuoteChar"/>
    <w:uiPriority w:val="29"/>
    <w:rsid w:val="003F562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F5622"/>
    <w:rPr>
      <w:rFonts w:asciiTheme="majorHAnsi" w:hAnsiTheme="majorHAnsi" w:cstheme="majorHAnsi"/>
      <w:i/>
      <w:iCs/>
      <w:color w:val="404040" w:themeColor="text1" w:themeTint="BF"/>
    </w:rPr>
  </w:style>
  <w:style w:type="paragraph" w:styleId="IntenseQuote">
    <w:name w:val="Intense Quote"/>
    <w:basedOn w:val="Normal"/>
    <w:next w:val="Normal"/>
    <w:link w:val="IntenseQuoteChar"/>
    <w:uiPriority w:val="30"/>
    <w:rsid w:val="003F562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F5622"/>
    <w:rPr>
      <w:rFonts w:asciiTheme="majorHAnsi" w:hAnsiTheme="majorHAnsi" w:cstheme="majorHAnsi"/>
      <w:i/>
      <w:iCs/>
      <w:color w:val="5B9BD5" w:themeColor="accent1"/>
    </w:rPr>
  </w:style>
  <w:style w:type="paragraph" w:styleId="CommentText">
    <w:name w:val="annotation text"/>
    <w:basedOn w:val="Normal"/>
    <w:link w:val="CommentTextChar"/>
    <w:uiPriority w:val="99"/>
    <w:unhideWhenUsed/>
    <w:rsid w:val="003F5622"/>
    <w:pPr>
      <w:spacing w:line="240" w:lineRule="auto"/>
    </w:pPr>
    <w:rPr>
      <w:sz w:val="20"/>
      <w:szCs w:val="20"/>
    </w:rPr>
  </w:style>
  <w:style w:type="character" w:customStyle="1" w:styleId="CommentTextChar">
    <w:name w:val="Comment Text Char"/>
    <w:basedOn w:val="DefaultParagraphFont"/>
    <w:link w:val="CommentText"/>
    <w:uiPriority w:val="99"/>
    <w:rsid w:val="003F5622"/>
    <w:rPr>
      <w:rFonts w:asciiTheme="majorHAnsi" w:hAnsiTheme="majorHAnsi" w:cstheme="majorHAnsi"/>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3F5622"/>
    <w:rPr>
      <w:b/>
      <w:bCs/>
    </w:rPr>
  </w:style>
  <w:style w:type="character" w:customStyle="1" w:styleId="CommentSubjectChar">
    <w:name w:val="Comment Subject Char"/>
    <w:basedOn w:val="CommentTextChar"/>
    <w:link w:val="CommentSubject"/>
    <w:uiPriority w:val="99"/>
    <w:semiHidden/>
    <w:rsid w:val="003F5622"/>
    <w:rPr>
      <w:rFonts w:asciiTheme="majorHAnsi" w:hAnsiTheme="majorHAnsi" w:cstheme="majorHAnsi"/>
      <w:b/>
      <w:bCs/>
      <w:color w:val="262626" w:themeColor="text1" w:themeTint="D9"/>
      <w:sz w:val="20"/>
      <w:szCs w:val="20"/>
    </w:rPr>
  </w:style>
  <w:style w:type="paragraph" w:styleId="BalloonText">
    <w:name w:val="Balloon Text"/>
    <w:basedOn w:val="Normal"/>
    <w:link w:val="BalloonTextChar"/>
    <w:uiPriority w:val="99"/>
    <w:semiHidden/>
    <w:unhideWhenUsed/>
    <w:rsid w:val="003F56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622"/>
    <w:rPr>
      <w:rFonts w:ascii="Segoe UI" w:hAnsi="Segoe UI" w:cs="Segoe UI"/>
      <w:color w:val="262626" w:themeColor="text1" w:themeTint="D9"/>
      <w:sz w:val="18"/>
      <w:szCs w:val="18"/>
    </w:rPr>
  </w:style>
  <w:style w:type="character" w:styleId="FollowedHyperlink">
    <w:name w:val="FollowedHyperlink"/>
    <w:basedOn w:val="DefaultParagraphFont"/>
    <w:uiPriority w:val="99"/>
    <w:semiHidden/>
    <w:unhideWhenUsed/>
    <w:rsid w:val="00A10494"/>
    <w:rPr>
      <w:color w:val="954F72" w:themeColor="followedHyperlink"/>
      <w:u w:val="single"/>
    </w:rPr>
  </w:style>
  <w:style w:type="paragraph" w:styleId="TOC3">
    <w:name w:val="toc 3"/>
    <w:basedOn w:val="Normal"/>
    <w:next w:val="Normal"/>
    <w:autoRedefine/>
    <w:uiPriority w:val="39"/>
    <w:unhideWhenUsed/>
    <w:rsid w:val="00245858"/>
    <w:pPr>
      <w:spacing w:after="100"/>
      <w:ind w:left="440"/>
    </w:pPr>
  </w:style>
  <w:style w:type="paragraph" w:customStyle="1" w:styleId="Contents">
    <w:name w:val="Contents"/>
    <w:basedOn w:val="Normal"/>
    <w:link w:val="ContentsChar"/>
    <w:qFormat/>
    <w:rsid w:val="00B85A95"/>
    <w:pPr>
      <w:keepNext/>
      <w:pageBreakBefore/>
      <w:widowControl w:val="0"/>
      <w:jc w:val="center"/>
    </w:pPr>
    <w:rPr>
      <w:rFonts w:ascii="Abadi Extra Light" w:eastAsia="MS Gothic" w:hAnsi="Abadi Extra Light"/>
      <w:b/>
      <w:color w:val="FFFFFF" w:themeColor="background1"/>
      <w:spacing w:val="-50"/>
      <w:sz w:val="140"/>
      <w:szCs w:val="14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style>
  <w:style w:type="character" w:customStyle="1" w:styleId="NoSpacingChar">
    <w:name w:val="No Spacing Char"/>
    <w:basedOn w:val="DefaultParagraphFont"/>
    <w:link w:val="NoSpacing"/>
    <w:uiPriority w:val="1"/>
    <w:rsid w:val="00D939AC"/>
    <w:rPr>
      <w:rFonts w:asciiTheme="majorHAnsi" w:hAnsiTheme="majorHAnsi" w:cstheme="majorHAnsi"/>
      <w:color w:val="262626" w:themeColor="text1" w:themeTint="D9"/>
    </w:rPr>
  </w:style>
  <w:style w:type="character" w:customStyle="1" w:styleId="ContentsChar">
    <w:name w:val="Contents Char"/>
    <w:basedOn w:val="DefaultParagraphFont"/>
    <w:link w:val="Contents"/>
    <w:rsid w:val="00B85A95"/>
    <w:rPr>
      <w:rFonts w:ascii="Abadi Extra Light" w:eastAsia="MS Gothic" w:hAnsi="Abadi Extra Light" w:cstheme="majorHAnsi"/>
      <w:b/>
      <w:color w:val="FFFFFF" w:themeColor="background1"/>
      <w:spacing w:val="-50"/>
      <w:sz w:val="140"/>
      <w:szCs w:val="14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style>
  <w:style w:type="paragraph" w:customStyle="1" w:styleId="FigureTablecaption">
    <w:name w:val="Figure/Table caption"/>
    <w:basedOn w:val="Normal"/>
    <w:link w:val="FigureTablecaptionChar"/>
    <w:qFormat/>
    <w:rsid w:val="0079110D"/>
    <w:pPr>
      <w:contextualSpacing/>
    </w:pPr>
    <w:rPr>
      <w:sz w:val="18"/>
      <w:szCs w:val="18"/>
    </w:rPr>
  </w:style>
  <w:style w:type="character" w:customStyle="1" w:styleId="FigureTablecaptionChar">
    <w:name w:val="Figure/Table caption Char"/>
    <w:basedOn w:val="DefaultParagraphFont"/>
    <w:link w:val="FigureTablecaption"/>
    <w:rsid w:val="0079110D"/>
    <w:rPr>
      <w:rFonts w:asciiTheme="majorHAnsi" w:hAnsiTheme="majorHAnsi" w:cstheme="majorHAnsi"/>
      <w:color w:val="262626" w:themeColor="text1" w:themeTint="D9"/>
      <w:sz w:val="18"/>
      <w:szCs w:val="18"/>
    </w:rPr>
  </w:style>
  <w:style w:type="paragraph" w:customStyle="1" w:styleId="EXECUTIVESUMMARYReferences">
    <w:name w:val="EXECUTIVE SUMMARY/ References"/>
    <w:basedOn w:val="Heading1"/>
    <w:link w:val="EXECUTIVESUMMARYReferencesChar"/>
    <w:qFormat/>
    <w:rsid w:val="00004316"/>
    <w:pPr>
      <w:numPr>
        <w:numId w:val="0"/>
      </w:numPr>
    </w:pPr>
    <w:rPr>
      <w:noProof/>
      <w:lang w:eastAsia="en-NZ"/>
    </w:rPr>
  </w:style>
  <w:style w:type="character" w:customStyle="1" w:styleId="EXECUTIVESUMMARYReferencesChar">
    <w:name w:val="EXECUTIVE SUMMARY/ References Char"/>
    <w:basedOn w:val="Heading1Char"/>
    <w:link w:val="EXECUTIVESUMMARYReferences"/>
    <w:rsid w:val="007B3AE4"/>
    <w:rPr>
      <w:rFonts w:asciiTheme="majorHAnsi" w:eastAsiaTheme="majorEastAsia" w:hAnsiTheme="majorHAnsi" w:cstheme="majorBidi"/>
      <w:noProof/>
      <w:color w:val="002060"/>
      <w:spacing w:val="20"/>
      <w:sz w:val="44"/>
      <w:szCs w:val="32"/>
      <w:lang w:eastAsia="en-NZ"/>
    </w:rPr>
  </w:style>
  <w:style w:type="paragraph" w:customStyle="1" w:styleId="Referenceshanging">
    <w:name w:val="References (hanging)"/>
    <w:basedOn w:val="Normal"/>
    <w:link w:val="ReferenceshangingChar"/>
    <w:qFormat/>
    <w:rsid w:val="008474CF"/>
    <w:pPr>
      <w:ind w:hanging="567"/>
    </w:pPr>
  </w:style>
  <w:style w:type="character" w:customStyle="1" w:styleId="ReferenceshangingChar">
    <w:name w:val="References (hanging) Char"/>
    <w:basedOn w:val="DefaultParagraphFont"/>
    <w:link w:val="Referenceshanging"/>
    <w:rsid w:val="008474CF"/>
    <w:rPr>
      <w:rFonts w:asciiTheme="majorHAnsi" w:hAnsiTheme="majorHAnsi" w:cstheme="majorHAnsi"/>
      <w:color w:val="262626" w:themeColor="text1" w:themeTint="D9"/>
    </w:rPr>
  </w:style>
  <w:style w:type="table" w:styleId="GridTable4-Accent5">
    <w:name w:val="Grid Table 4 Accent 5"/>
    <w:basedOn w:val="TableNormal"/>
    <w:uiPriority w:val="49"/>
    <w:rsid w:val="000500D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FigureTableTEXT">
    <w:name w:val="Figure/Table TEXT"/>
    <w:basedOn w:val="Normal"/>
    <w:link w:val="FigureTableTEXTChar"/>
    <w:qFormat/>
    <w:rsid w:val="007F6D4B"/>
    <w:pPr>
      <w:keepNext/>
      <w:keepLines/>
      <w:spacing w:after="0" w:line="240" w:lineRule="auto"/>
      <w:jc w:val="center"/>
    </w:pPr>
    <w:rPr>
      <w:rFonts w:eastAsia="Times New Roman"/>
      <w:sz w:val="20"/>
      <w:szCs w:val="20"/>
      <w:lang w:eastAsia="en-NZ"/>
    </w:rPr>
  </w:style>
  <w:style w:type="paragraph" w:customStyle="1" w:styleId="ExecSubheading">
    <w:name w:val="Exec Subheading"/>
    <w:basedOn w:val="Heading2"/>
    <w:link w:val="ExecSubheadingChar"/>
    <w:qFormat/>
    <w:rsid w:val="00B05D5A"/>
    <w:pPr>
      <w:numPr>
        <w:ilvl w:val="0"/>
        <w:numId w:val="0"/>
      </w:numPr>
    </w:pPr>
  </w:style>
  <w:style w:type="character" w:customStyle="1" w:styleId="FigureTableTEXTChar">
    <w:name w:val="Figure/Table TEXT Char"/>
    <w:basedOn w:val="DefaultParagraphFont"/>
    <w:link w:val="FigureTableTEXT"/>
    <w:rsid w:val="007F6D4B"/>
    <w:rPr>
      <w:rFonts w:asciiTheme="majorHAnsi" w:eastAsia="Times New Roman" w:hAnsiTheme="majorHAnsi" w:cstheme="majorHAnsi"/>
      <w:color w:val="262626" w:themeColor="text1" w:themeTint="D9"/>
      <w:sz w:val="20"/>
      <w:szCs w:val="20"/>
      <w:lang w:eastAsia="en-NZ"/>
    </w:rPr>
  </w:style>
  <w:style w:type="paragraph" w:customStyle="1" w:styleId="FigureTableTitle">
    <w:name w:val="Figure/Table Title"/>
    <w:basedOn w:val="Heading4"/>
    <w:link w:val="FigureTableTitleChar"/>
    <w:qFormat/>
    <w:rsid w:val="00004316"/>
    <w:pPr>
      <w:numPr>
        <w:ilvl w:val="0"/>
        <w:numId w:val="0"/>
      </w:numPr>
    </w:pPr>
  </w:style>
  <w:style w:type="character" w:customStyle="1" w:styleId="ExecSubheadingChar">
    <w:name w:val="Exec Subheading Char"/>
    <w:basedOn w:val="Heading3Char"/>
    <w:link w:val="ExecSubheading"/>
    <w:rsid w:val="00B05D5A"/>
    <w:rPr>
      <w:rFonts w:asciiTheme="majorHAnsi" w:eastAsiaTheme="majorEastAsia" w:hAnsiTheme="majorHAnsi" w:cstheme="majorHAnsi"/>
      <w:b w:val="0"/>
      <w:iCs w:val="0"/>
      <w:color w:val="ED7D31" w:themeColor="accent2"/>
      <w:spacing w:val="20"/>
      <w:sz w:val="36"/>
      <w:szCs w:val="40"/>
      <w14:textFill>
        <w14:solidFill>
          <w14:schemeClr w14:val="accent2">
            <w14:lumMod w14:val="75000"/>
            <w14:lumMod w14:val="85000"/>
            <w14:lumOff w14:val="15000"/>
          </w14:schemeClr>
        </w14:solidFill>
      </w14:textFill>
    </w:rPr>
  </w:style>
  <w:style w:type="paragraph" w:customStyle="1" w:styleId="Footnotes">
    <w:name w:val="Footnotes"/>
    <w:basedOn w:val="FootnoteText"/>
    <w:link w:val="FootnotesChar"/>
    <w:qFormat/>
    <w:rsid w:val="00881201"/>
    <w:pPr>
      <w:numPr>
        <w:ilvl w:val="0"/>
        <w:numId w:val="0"/>
      </w:numPr>
    </w:pPr>
  </w:style>
  <w:style w:type="character" w:customStyle="1" w:styleId="FigureTableTitleChar">
    <w:name w:val="Figure/Table Title Char"/>
    <w:basedOn w:val="Heading4Char"/>
    <w:link w:val="FigureTableTitle"/>
    <w:rsid w:val="00004316"/>
    <w:rPr>
      <w:rFonts w:asciiTheme="majorHAnsi" w:hAnsiTheme="majorHAnsi" w:cstheme="majorHAnsi"/>
      <w:b/>
      <w:bCs/>
      <w:color w:val="2F5496" w:themeColor="accent5" w:themeShade="BF"/>
    </w:rPr>
  </w:style>
  <w:style w:type="character" w:customStyle="1" w:styleId="FootnotesChar">
    <w:name w:val="Footnotes Char"/>
    <w:basedOn w:val="FootnoteTextChar"/>
    <w:link w:val="Footnotes"/>
    <w:rsid w:val="00F126DC"/>
    <w:rPr>
      <w:rFonts w:asciiTheme="majorHAnsi" w:hAnsiTheme="majorHAnsi" w:cstheme="majorHAnsi"/>
      <w:color w:val="262626" w:themeColor="text1" w:themeTint="D9"/>
      <w:sz w:val="18"/>
      <w:szCs w:val="20"/>
    </w:rPr>
  </w:style>
  <w:style w:type="character" w:styleId="UnresolvedMention">
    <w:name w:val="Unresolved Mention"/>
    <w:basedOn w:val="DefaultParagraphFont"/>
    <w:uiPriority w:val="99"/>
    <w:unhideWhenUsed/>
    <w:rsid w:val="00183ED2"/>
    <w:rPr>
      <w:color w:val="605E5C"/>
      <w:shd w:val="clear" w:color="auto" w:fill="E1DFDD"/>
    </w:rPr>
  </w:style>
  <w:style w:type="table" w:customStyle="1" w:styleId="GridTable4-Accent51">
    <w:name w:val="Grid Table 4 - Accent 51"/>
    <w:basedOn w:val="TableNormal"/>
    <w:next w:val="GridTable4-Accent5"/>
    <w:uiPriority w:val="49"/>
    <w:rsid w:val="002F094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356D95"/>
    <w:pPr>
      <w:spacing w:after="0" w:line="240" w:lineRule="auto"/>
    </w:pPr>
    <w:rPr>
      <w:rFonts w:asciiTheme="majorHAnsi" w:hAnsiTheme="majorHAnsi" w:cstheme="majorHAnsi"/>
      <w:color w:val="262626" w:themeColor="text1" w:themeTint="D9"/>
    </w:rPr>
  </w:style>
  <w:style w:type="paragraph" w:customStyle="1" w:styleId="msonormal0">
    <w:name w:val="msonormal"/>
    <w:basedOn w:val="Normal"/>
    <w:rsid w:val="002E4DA8"/>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paragraph" w:customStyle="1" w:styleId="paragraph">
    <w:name w:val="paragraph"/>
    <w:basedOn w:val="Normal"/>
    <w:rsid w:val="002E4DA8"/>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character" w:customStyle="1" w:styleId="textrun">
    <w:name w:val="textrun"/>
    <w:basedOn w:val="DefaultParagraphFont"/>
    <w:rsid w:val="002E4DA8"/>
  </w:style>
  <w:style w:type="character" w:customStyle="1" w:styleId="eop">
    <w:name w:val="eop"/>
    <w:basedOn w:val="DefaultParagraphFont"/>
    <w:rsid w:val="002E4DA8"/>
  </w:style>
  <w:style w:type="paragraph" w:customStyle="1" w:styleId="outlineelement">
    <w:name w:val="outlineelement"/>
    <w:basedOn w:val="Normal"/>
    <w:rsid w:val="002E4DA8"/>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character" w:customStyle="1" w:styleId="trackchangetextinsertion">
    <w:name w:val="trackchangetextinsertion"/>
    <w:basedOn w:val="DefaultParagraphFont"/>
    <w:rsid w:val="002E4DA8"/>
  </w:style>
  <w:style w:type="character" w:customStyle="1" w:styleId="trackchangetextdeletion">
    <w:name w:val="trackchangetextdeletion"/>
    <w:basedOn w:val="DefaultParagraphFont"/>
    <w:rsid w:val="002E4DA8"/>
  </w:style>
  <w:style w:type="character" w:customStyle="1" w:styleId="wacimagecontainer">
    <w:name w:val="wacimagecontainer"/>
    <w:basedOn w:val="DefaultParagraphFont"/>
    <w:rsid w:val="002E4DA8"/>
  </w:style>
  <w:style w:type="character" w:customStyle="1" w:styleId="wacalttextdescribedby">
    <w:name w:val="wacalttextdescribedby"/>
    <w:basedOn w:val="DefaultParagraphFont"/>
    <w:rsid w:val="002E4DA8"/>
  </w:style>
  <w:style w:type="character" w:customStyle="1" w:styleId="advancedproofingissue">
    <w:name w:val="advancedproofingissue"/>
    <w:basedOn w:val="DefaultParagraphFont"/>
    <w:rsid w:val="002E4DA8"/>
  </w:style>
  <w:style w:type="character" w:styleId="Mention">
    <w:name w:val="Mention"/>
    <w:basedOn w:val="DefaultParagraphFont"/>
    <w:uiPriority w:val="99"/>
    <w:unhideWhenUsed/>
    <w:rsid w:val="008C6AB6"/>
    <w:rPr>
      <w:color w:val="2B579A"/>
      <w:shd w:val="clear" w:color="auto" w:fill="E1DFDD"/>
    </w:rPr>
  </w:style>
  <w:style w:type="table" w:styleId="TableGrid">
    <w:name w:val="Table Grid"/>
    <w:basedOn w:val="TableNormal"/>
    <w:uiPriority w:val="39"/>
    <w:rsid w:val="00623C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EC66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nsebody">
    <w:name w:val="Sense body"/>
    <w:basedOn w:val="Normal"/>
    <w:qFormat/>
    <w:rsid w:val="00866E56"/>
    <w:pPr>
      <w:spacing w:line="276" w:lineRule="auto"/>
    </w:pPr>
    <w:rPr>
      <w:rFonts w:ascii="Open Sans" w:eastAsiaTheme="minorEastAsia" w:hAnsi="Open Sans" w:cstheme="minorBidi"/>
      <w:color w:val="auto"/>
      <w:sz w:val="18"/>
      <w:szCs w:val="18"/>
      <w:lang w:val="en-AU"/>
    </w:rPr>
  </w:style>
  <w:style w:type="character" w:customStyle="1" w:styleId="gmail-normaltextrun">
    <w:name w:val="gmail-normaltextrun"/>
    <w:basedOn w:val="DefaultParagraphFont"/>
    <w:rsid w:val="00C8446E"/>
  </w:style>
  <w:style w:type="table" w:customStyle="1" w:styleId="TableGrid1">
    <w:name w:val="Table Grid1"/>
    <w:basedOn w:val="TableNormal"/>
    <w:next w:val="TableGrid"/>
    <w:uiPriority w:val="39"/>
    <w:rsid w:val="00453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a-e-listitem">
    <w:name w:val="nova-e-list__item"/>
    <w:basedOn w:val="Normal"/>
    <w:rsid w:val="00F920B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eipwbe">
    <w:name w:val="eipwbe"/>
    <w:basedOn w:val="DefaultParagraphFont"/>
    <w:rsid w:val="00F920B8"/>
  </w:style>
  <w:style w:type="character" w:customStyle="1" w:styleId="fontstyle01">
    <w:name w:val="fontstyle01"/>
    <w:basedOn w:val="DefaultParagraphFont"/>
    <w:rsid w:val="00F920B8"/>
    <w:rPr>
      <w:rFonts w:ascii="TimesNewRomanPSMT" w:hAnsi="TimesNewRomanPSMT" w:hint="default"/>
      <w:b w:val="0"/>
      <w:bCs w:val="0"/>
      <w:i w:val="0"/>
      <w:iCs w:val="0"/>
      <w:color w:val="000000"/>
      <w:sz w:val="24"/>
      <w:szCs w:val="24"/>
    </w:rPr>
  </w:style>
  <w:style w:type="character" w:customStyle="1" w:styleId="HTMLPreformattedChar">
    <w:name w:val="HTML Preformatted Char"/>
    <w:basedOn w:val="DefaultParagraphFont"/>
    <w:link w:val="HTMLPreformatted"/>
    <w:uiPriority w:val="99"/>
    <w:semiHidden/>
    <w:rsid w:val="00F920B8"/>
    <w:rPr>
      <w:rFonts w:ascii="Courier New" w:eastAsia="Times New Roman" w:hAnsi="Courier New" w:cs="Courier New"/>
      <w:sz w:val="20"/>
      <w:szCs w:val="20"/>
      <w:lang w:eastAsia="en-NZ"/>
    </w:rPr>
  </w:style>
  <w:style w:type="paragraph" w:styleId="HTMLPreformatted">
    <w:name w:val="HTML Preformatted"/>
    <w:basedOn w:val="Normal"/>
    <w:link w:val="HTMLPreformattedChar"/>
    <w:uiPriority w:val="99"/>
    <w:semiHidden/>
    <w:unhideWhenUsed/>
    <w:rsid w:val="00F9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n-NZ"/>
    </w:rPr>
  </w:style>
  <w:style w:type="character" w:customStyle="1" w:styleId="gd15mcfceub">
    <w:name w:val="gd15mcfceub"/>
    <w:basedOn w:val="DefaultParagraphFont"/>
    <w:rsid w:val="00F920B8"/>
  </w:style>
  <w:style w:type="character" w:styleId="PlaceholderText">
    <w:name w:val="Placeholder Text"/>
    <w:basedOn w:val="DefaultParagraphFont"/>
    <w:uiPriority w:val="99"/>
    <w:semiHidden/>
    <w:rsid w:val="00E347D0"/>
    <w:rPr>
      <w:color w:val="808080"/>
    </w:rPr>
  </w:style>
  <w:style w:type="character" w:styleId="HTMLCite">
    <w:name w:val="HTML Cite"/>
    <w:basedOn w:val="DefaultParagraphFont"/>
    <w:uiPriority w:val="99"/>
    <w:semiHidden/>
    <w:unhideWhenUsed/>
    <w:rsid w:val="00824D4F"/>
    <w:rPr>
      <w:i/>
      <w:iCs/>
    </w:rPr>
  </w:style>
  <w:style w:type="character" w:customStyle="1" w:styleId="fontstyle21">
    <w:name w:val="fontstyle21"/>
    <w:basedOn w:val="DefaultParagraphFont"/>
    <w:rsid w:val="00824D4F"/>
    <w:rPr>
      <w:rFonts w:ascii="Gustan-Bold" w:hAnsi="Gustan-Bold" w:hint="default"/>
      <w:b/>
      <w:bCs/>
      <w:i w:val="0"/>
      <w:iCs w:val="0"/>
      <w:color w:val="FFFFFF"/>
      <w:sz w:val="22"/>
      <w:szCs w:val="22"/>
    </w:rPr>
  </w:style>
  <w:style w:type="paragraph" w:customStyle="1" w:styleId="subprov">
    <w:name w:val="subprov"/>
    <w:basedOn w:val="Normal"/>
    <w:rsid w:val="00824D4F"/>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character" w:customStyle="1" w:styleId="label">
    <w:name w:val="label"/>
    <w:basedOn w:val="DefaultParagraphFont"/>
    <w:rsid w:val="00824D4F"/>
  </w:style>
  <w:style w:type="paragraph" w:customStyle="1" w:styleId="text">
    <w:name w:val="text"/>
    <w:basedOn w:val="Normal"/>
    <w:rsid w:val="00824D4F"/>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7992">
      <w:bodyDiv w:val="1"/>
      <w:marLeft w:val="0"/>
      <w:marRight w:val="0"/>
      <w:marTop w:val="0"/>
      <w:marBottom w:val="0"/>
      <w:divBdr>
        <w:top w:val="none" w:sz="0" w:space="0" w:color="auto"/>
        <w:left w:val="none" w:sz="0" w:space="0" w:color="auto"/>
        <w:bottom w:val="none" w:sz="0" w:space="0" w:color="auto"/>
        <w:right w:val="none" w:sz="0" w:space="0" w:color="auto"/>
      </w:divBdr>
    </w:div>
    <w:div w:id="92357394">
      <w:bodyDiv w:val="1"/>
      <w:marLeft w:val="0"/>
      <w:marRight w:val="0"/>
      <w:marTop w:val="0"/>
      <w:marBottom w:val="0"/>
      <w:divBdr>
        <w:top w:val="none" w:sz="0" w:space="0" w:color="auto"/>
        <w:left w:val="none" w:sz="0" w:space="0" w:color="auto"/>
        <w:bottom w:val="none" w:sz="0" w:space="0" w:color="auto"/>
        <w:right w:val="none" w:sz="0" w:space="0" w:color="auto"/>
      </w:divBdr>
    </w:div>
    <w:div w:id="111948875">
      <w:bodyDiv w:val="1"/>
      <w:marLeft w:val="0"/>
      <w:marRight w:val="0"/>
      <w:marTop w:val="0"/>
      <w:marBottom w:val="0"/>
      <w:divBdr>
        <w:top w:val="none" w:sz="0" w:space="0" w:color="auto"/>
        <w:left w:val="none" w:sz="0" w:space="0" w:color="auto"/>
        <w:bottom w:val="none" w:sz="0" w:space="0" w:color="auto"/>
        <w:right w:val="none" w:sz="0" w:space="0" w:color="auto"/>
      </w:divBdr>
    </w:div>
    <w:div w:id="267130553">
      <w:bodyDiv w:val="1"/>
      <w:marLeft w:val="0"/>
      <w:marRight w:val="0"/>
      <w:marTop w:val="0"/>
      <w:marBottom w:val="0"/>
      <w:divBdr>
        <w:top w:val="none" w:sz="0" w:space="0" w:color="auto"/>
        <w:left w:val="none" w:sz="0" w:space="0" w:color="auto"/>
        <w:bottom w:val="none" w:sz="0" w:space="0" w:color="auto"/>
        <w:right w:val="none" w:sz="0" w:space="0" w:color="auto"/>
      </w:divBdr>
    </w:div>
    <w:div w:id="739326539">
      <w:bodyDiv w:val="1"/>
      <w:marLeft w:val="0"/>
      <w:marRight w:val="0"/>
      <w:marTop w:val="0"/>
      <w:marBottom w:val="0"/>
      <w:divBdr>
        <w:top w:val="none" w:sz="0" w:space="0" w:color="auto"/>
        <w:left w:val="none" w:sz="0" w:space="0" w:color="auto"/>
        <w:bottom w:val="none" w:sz="0" w:space="0" w:color="auto"/>
        <w:right w:val="none" w:sz="0" w:space="0" w:color="auto"/>
      </w:divBdr>
    </w:div>
    <w:div w:id="860898403">
      <w:bodyDiv w:val="1"/>
      <w:marLeft w:val="0"/>
      <w:marRight w:val="0"/>
      <w:marTop w:val="0"/>
      <w:marBottom w:val="0"/>
      <w:divBdr>
        <w:top w:val="none" w:sz="0" w:space="0" w:color="auto"/>
        <w:left w:val="none" w:sz="0" w:space="0" w:color="auto"/>
        <w:bottom w:val="none" w:sz="0" w:space="0" w:color="auto"/>
        <w:right w:val="none" w:sz="0" w:space="0" w:color="auto"/>
      </w:divBdr>
    </w:div>
    <w:div w:id="1006905629">
      <w:bodyDiv w:val="1"/>
      <w:marLeft w:val="0"/>
      <w:marRight w:val="0"/>
      <w:marTop w:val="0"/>
      <w:marBottom w:val="0"/>
      <w:divBdr>
        <w:top w:val="none" w:sz="0" w:space="0" w:color="auto"/>
        <w:left w:val="none" w:sz="0" w:space="0" w:color="auto"/>
        <w:bottom w:val="none" w:sz="0" w:space="0" w:color="auto"/>
        <w:right w:val="none" w:sz="0" w:space="0" w:color="auto"/>
      </w:divBdr>
    </w:div>
    <w:div w:id="1043216054">
      <w:bodyDiv w:val="1"/>
      <w:marLeft w:val="0"/>
      <w:marRight w:val="0"/>
      <w:marTop w:val="0"/>
      <w:marBottom w:val="0"/>
      <w:divBdr>
        <w:top w:val="none" w:sz="0" w:space="0" w:color="auto"/>
        <w:left w:val="none" w:sz="0" w:space="0" w:color="auto"/>
        <w:bottom w:val="none" w:sz="0" w:space="0" w:color="auto"/>
        <w:right w:val="none" w:sz="0" w:space="0" w:color="auto"/>
      </w:divBdr>
    </w:div>
    <w:div w:id="1142120257">
      <w:bodyDiv w:val="1"/>
      <w:marLeft w:val="0"/>
      <w:marRight w:val="0"/>
      <w:marTop w:val="0"/>
      <w:marBottom w:val="0"/>
      <w:divBdr>
        <w:top w:val="none" w:sz="0" w:space="0" w:color="auto"/>
        <w:left w:val="none" w:sz="0" w:space="0" w:color="auto"/>
        <w:bottom w:val="none" w:sz="0" w:space="0" w:color="auto"/>
        <w:right w:val="none" w:sz="0" w:space="0" w:color="auto"/>
      </w:divBdr>
    </w:div>
    <w:div w:id="1283148643">
      <w:bodyDiv w:val="1"/>
      <w:marLeft w:val="0"/>
      <w:marRight w:val="0"/>
      <w:marTop w:val="0"/>
      <w:marBottom w:val="0"/>
      <w:divBdr>
        <w:top w:val="none" w:sz="0" w:space="0" w:color="auto"/>
        <w:left w:val="none" w:sz="0" w:space="0" w:color="auto"/>
        <w:bottom w:val="none" w:sz="0" w:space="0" w:color="auto"/>
        <w:right w:val="none" w:sz="0" w:space="0" w:color="auto"/>
      </w:divBdr>
      <w:divsChild>
        <w:div w:id="322468842">
          <w:marLeft w:val="0"/>
          <w:marRight w:val="0"/>
          <w:marTop w:val="0"/>
          <w:marBottom w:val="0"/>
          <w:divBdr>
            <w:top w:val="none" w:sz="0" w:space="0" w:color="auto"/>
            <w:left w:val="none" w:sz="0" w:space="0" w:color="auto"/>
            <w:bottom w:val="none" w:sz="0" w:space="0" w:color="auto"/>
            <w:right w:val="none" w:sz="0" w:space="0" w:color="auto"/>
          </w:divBdr>
        </w:div>
        <w:div w:id="329600457">
          <w:marLeft w:val="0"/>
          <w:marRight w:val="0"/>
          <w:marTop w:val="0"/>
          <w:marBottom w:val="0"/>
          <w:divBdr>
            <w:top w:val="none" w:sz="0" w:space="0" w:color="auto"/>
            <w:left w:val="none" w:sz="0" w:space="0" w:color="auto"/>
            <w:bottom w:val="none" w:sz="0" w:space="0" w:color="auto"/>
            <w:right w:val="none" w:sz="0" w:space="0" w:color="auto"/>
          </w:divBdr>
        </w:div>
        <w:div w:id="414742135">
          <w:marLeft w:val="0"/>
          <w:marRight w:val="0"/>
          <w:marTop w:val="0"/>
          <w:marBottom w:val="0"/>
          <w:divBdr>
            <w:top w:val="none" w:sz="0" w:space="0" w:color="auto"/>
            <w:left w:val="none" w:sz="0" w:space="0" w:color="auto"/>
            <w:bottom w:val="none" w:sz="0" w:space="0" w:color="auto"/>
            <w:right w:val="none" w:sz="0" w:space="0" w:color="auto"/>
          </w:divBdr>
        </w:div>
        <w:div w:id="477890559">
          <w:marLeft w:val="0"/>
          <w:marRight w:val="0"/>
          <w:marTop w:val="0"/>
          <w:marBottom w:val="0"/>
          <w:divBdr>
            <w:top w:val="none" w:sz="0" w:space="0" w:color="auto"/>
            <w:left w:val="none" w:sz="0" w:space="0" w:color="auto"/>
            <w:bottom w:val="none" w:sz="0" w:space="0" w:color="auto"/>
            <w:right w:val="none" w:sz="0" w:space="0" w:color="auto"/>
          </w:divBdr>
        </w:div>
        <w:div w:id="742027951">
          <w:marLeft w:val="0"/>
          <w:marRight w:val="0"/>
          <w:marTop w:val="0"/>
          <w:marBottom w:val="0"/>
          <w:divBdr>
            <w:top w:val="none" w:sz="0" w:space="0" w:color="auto"/>
            <w:left w:val="none" w:sz="0" w:space="0" w:color="auto"/>
            <w:bottom w:val="none" w:sz="0" w:space="0" w:color="auto"/>
            <w:right w:val="none" w:sz="0" w:space="0" w:color="auto"/>
          </w:divBdr>
          <w:divsChild>
            <w:div w:id="160194198">
              <w:marLeft w:val="0"/>
              <w:marRight w:val="0"/>
              <w:marTop w:val="0"/>
              <w:marBottom w:val="0"/>
              <w:divBdr>
                <w:top w:val="none" w:sz="0" w:space="0" w:color="auto"/>
                <w:left w:val="none" w:sz="0" w:space="0" w:color="auto"/>
                <w:bottom w:val="none" w:sz="0" w:space="0" w:color="auto"/>
                <w:right w:val="none" w:sz="0" w:space="0" w:color="auto"/>
              </w:divBdr>
            </w:div>
            <w:div w:id="1029067453">
              <w:marLeft w:val="0"/>
              <w:marRight w:val="0"/>
              <w:marTop w:val="0"/>
              <w:marBottom w:val="0"/>
              <w:divBdr>
                <w:top w:val="none" w:sz="0" w:space="0" w:color="auto"/>
                <w:left w:val="none" w:sz="0" w:space="0" w:color="auto"/>
                <w:bottom w:val="none" w:sz="0" w:space="0" w:color="auto"/>
                <w:right w:val="none" w:sz="0" w:space="0" w:color="auto"/>
              </w:divBdr>
            </w:div>
            <w:div w:id="1142582215">
              <w:marLeft w:val="0"/>
              <w:marRight w:val="0"/>
              <w:marTop w:val="0"/>
              <w:marBottom w:val="0"/>
              <w:divBdr>
                <w:top w:val="none" w:sz="0" w:space="0" w:color="auto"/>
                <w:left w:val="none" w:sz="0" w:space="0" w:color="auto"/>
                <w:bottom w:val="none" w:sz="0" w:space="0" w:color="auto"/>
                <w:right w:val="none" w:sz="0" w:space="0" w:color="auto"/>
              </w:divBdr>
            </w:div>
            <w:div w:id="1261454639">
              <w:marLeft w:val="0"/>
              <w:marRight w:val="0"/>
              <w:marTop w:val="0"/>
              <w:marBottom w:val="0"/>
              <w:divBdr>
                <w:top w:val="none" w:sz="0" w:space="0" w:color="auto"/>
                <w:left w:val="none" w:sz="0" w:space="0" w:color="auto"/>
                <w:bottom w:val="none" w:sz="0" w:space="0" w:color="auto"/>
                <w:right w:val="none" w:sz="0" w:space="0" w:color="auto"/>
              </w:divBdr>
            </w:div>
            <w:div w:id="1788043059">
              <w:marLeft w:val="0"/>
              <w:marRight w:val="0"/>
              <w:marTop w:val="0"/>
              <w:marBottom w:val="0"/>
              <w:divBdr>
                <w:top w:val="none" w:sz="0" w:space="0" w:color="auto"/>
                <w:left w:val="none" w:sz="0" w:space="0" w:color="auto"/>
                <w:bottom w:val="none" w:sz="0" w:space="0" w:color="auto"/>
                <w:right w:val="none" w:sz="0" w:space="0" w:color="auto"/>
              </w:divBdr>
            </w:div>
          </w:divsChild>
        </w:div>
        <w:div w:id="934752844">
          <w:marLeft w:val="0"/>
          <w:marRight w:val="0"/>
          <w:marTop w:val="0"/>
          <w:marBottom w:val="0"/>
          <w:divBdr>
            <w:top w:val="none" w:sz="0" w:space="0" w:color="auto"/>
            <w:left w:val="none" w:sz="0" w:space="0" w:color="auto"/>
            <w:bottom w:val="none" w:sz="0" w:space="0" w:color="auto"/>
            <w:right w:val="none" w:sz="0" w:space="0" w:color="auto"/>
          </w:divBdr>
        </w:div>
        <w:div w:id="966475110">
          <w:marLeft w:val="0"/>
          <w:marRight w:val="0"/>
          <w:marTop w:val="0"/>
          <w:marBottom w:val="0"/>
          <w:divBdr>
            <w:top w:val="none" w:sz="0" w:space="0" w:color="auto"/>
            <w:left w:val="none" w:sz="0" w:space="0" w:color="auto"/>
            <w:bottom w:val="none" w:sz="0" w:space="0" w:color="auto"/>
            <w:right w:val="none" w:sz="0" w:space="0" w:color="auto"/>
          </w:divBdr>
        </w:div>
        <w:div w:id="1180898507">
          <w:marLeft w:val="0"/>
          <w:marRight w:val="0"/>
          <w:marTop w:val="0"/>
          <w:marBottom w:val="0"/>
          <w:divBdr>
            <w:top w:val="none" w:sz="0" w:space="0" w:color="auto"/>
            <w:left w:val="none" w:sz="0" w:space="0" w:color="auto"/>
            <w:bottom w:val="none" w:sz="0" w:space="0" w:color="auto"/>
            <w:right w:val="none" w:sz="0" w:space="0" w:color="auto"/>
          </w:divBdr>
          <w:divsChild>
            <w:div w:id="254633804">
              <w:marLeft w:val="0"/>
              <w:marRight w:val="0"/>
              <w:marTop w:val="0"/>
              <w:marBottom w:val="0"/>
              <w:divBdr>
                <w:top w:val="none" w:sz="0" w:space="0" w:color="auto"/>
                <w:left w:val="none" w:sz="0" w:space="0" w:color="auto"/>
                <w:bottom w:val="none" w:sz="0" w:space="0" w:color="auto"/>
                <w:right w:val="none" w:sz="0" w:space="0" w:color="auto"/>
              </w:divBdr>
            </w:div>
            <w:div w:id="444345558">
              <w:marLeft w:val="0"/>
              <w:marRight w:val="0"/>
              <w:marTop w:val="0"/>
              <w:marBottom w:val="0"/>
              <w:divBdr>
                <w:top w:val="none" w:sz="0" w:space="0" w:color="auto"/>
                <w:left w:val="none" w:sz="0" w:space="0" w:color="auto"/>
                <w:bottom w:val="none" w:sz="0" w:space="0" w:color="auto"/>
                <w:right w:val="none" w:sz="0" w:space="0" w:color="auto"/>
              </w:divBdr>
            </w:div>
            <w:div w:id="1011108357">
              <w:marLeft w:val="0"/>
              <w:marRight w:val="0"/>
              <w:marTop w:val="0"/>
              <w:marBottom w:val="0"/>
              <w:divBdr>
                <w:top w:val="none" w:sz="0" w:space="0" w:color="auto"/>
                <w:left w:val="none" w:sz="0" w:space="0" w:color="auto"/>
                <w:bottom w:val="none" w:sz="0" w:space="0" w:color="auto"/>
                <w:right w:val="none" w:sz="0" w:space="0" w:color="auto"/>
              </w:divBdr>
            </w:div>
            <w:div w:id="1254976099">
              <w:marLeft w:val="0"/>
              <w:marRight w:val="0"/>
              <w:marTop w:val="0"/>
              <w:marBottom w:val="0"/>
              <w:divBdr>
                <w:top w:val="none" w:sz="0" w:space="0" w:color="auto"/>
                <w:left w:val="none" w:sz="0" w:space="0" w:color="auto"/>
                <w:bottom w:val="none" w:sz="0" w:space="0" w:color="auto"/>
                <w:right w:val="none" w:sz="0" w:space="0" w:color="auto"/>
              </w:divBdr>
            </w:div>
            <w:div w:id="2144228116">
              <w:marLeft w:val="0"/>
              <w:marRight w:val="0"/>
              <w:marTop w:val="0"/>
              <w:marBottom w:val="0"/>
              <w:divBdr>
                <w:top w:val="none" w:sz="0" w:space="0" w:color="auto"/>
                <w:left w:val="none" w:sz="0" w:space="0" w:color="auto"/>
                <w:bottom w:val="none" w:sz="0" w:space="0" w:color="auto"/>
                <w:right w:val="none" w:sz="0" w:space="0" w:color="auto"/>
              </w:divBdr>
            </w:div>
          </w:divsChild>
        </w:div>
        <w:div w:id="1218542459">
          <w:marLeft w:val="0"/>
          <w:marRight w:val="0"/>
          <w:marTop w:val="0"/>
          <w:marBottom w:val="0"/>
          <w:divBdr>
            <w:top w:val="none" w:sz="0" w:space="0" w:color="auto"/>
            <w:left w:val="none" w:sz="0" w:space="0" w:color="auto"/>
            <w:bottom w:val="none" w:sz="0" w:space="0" w:color="auto"/>
            <w:right w:val="none" w:sz="0" w:space="0" w:color="auto"/>
          </w:divBdr>
        </w:div>
        <w:div w:id="1251812275">
          <w:marLeft w:val="0"/>
          <w:marRight w:val="0"/>
          <w:marTop w:val="0"/>
          <w:marBottom w:val="0"/>
          <w:divBdr>
            <w:top w:val="none" w:sz="0" w:space="0" w:color="auto"/>
            <w:left w:val="none" w:sz="0" w:space="0" w:color="auto"/>
            <w:bottom w:val="none" w:sz="0" w:space="0" w:color="auto"/>
            <w:right w:val="none" w:sz="0" w:space="0" w:color="auto"/>
          </w:divBdr>
        </w:div>
        <w:div w:id="1281299539">
          <w:marLeft w:val="0"/>
          <w:marRight w:val="0"/>
          <w:marTop w:val="0"/>
          <w:marBottom w:val="0"/>
          <w:divBdr>
            <w:top w:val="none" w:sz="0" w:space="0" w:color="auto"/>
            <w:left w:val="none" w:sz="0" w:space="0" w:color="auto"/>
            <w:bottom w:val="none" w:sz="0" w:space="0" w:color="auto"/>
            <w:right w:val="none" w:sz="0" w:space="0" w:color="auto"/>
          </w:divBdr>
        </w:div>
        <w:div w:id="1287201329">
          <w:marLeft w:val="0"/>
          <w:marRight w:val="0"/>
          <w:marTop w:val="0"/>
          <w:marBottom w:val="0"/>
          <w:divBdr>
            <w:top w:val="none" w:sz="0" w:space="0" w:color="auto"/>
            <w:left w:val="none" w:sz="0" w:space="0" w:color="auto"/>
            <w:bottom w:val="none" w:sz="0" w:space="0" w:color="auto"/>
            <w:right w:val="none" w:sz="0" w:space="0" w:color="auto"/>
          </w:divBdr>
        </w:div>
        <w:div w:id="1320117637">
          <w:marLeft w:val="0"/>
          <w:marRight w:val="0"/>
          <w:marTop w:val="0"/>
          <w:marBottom w:val="0"/>
          <w:divBdr>
            <w:top w:val="none" w:sz="0" w:space="0" w:color="auto"/>
            <w:left w:val="none" w:sz="0" w:space="0" w:color="auto"/>
            <w:bottom w:val="none" w:sz="0" w:space="0" w:color="auto"/>
            <w:right w:val="none" w:sz="0" w:space="0" w:color="auto"/>
          </w:divBdr>
        </w:div>
        <w:div w:id="1363900938">
          <w:marLeft w:val="0"/>
          <w:marRight w:val="0"/>
          <w:marTop w:val="0"/>
          <w:marBottom w:val="0"/>
          <w:divBdr>
            <w:top w:val="none" w:sz="0" w:space="0" w:color="auto"/>
            <w:left w:val="none" w:sz="0" w:space="0" w:color="auto"/>
            <w:bottom w:val="none" w:sz="0" w:space="0" w:color="auto"/>
            <w:right w:val="none" w:sz="0" w:space="0" w:color="auto"/>
          </w:divBdr>
        </w:div>
        <w:div w:id="1418289140">
          <w:marLeft w:val="0"/>
          <w:marRight w:val="0"/>
          <w:marTop w:val="0"/>
          <w:marBottom w:val="0"/>
          <w:divBdr>
            <w:top w:val="none" w:sz="0" w:space="0" w:color="auto"/>
            <w:left w:val="none" w:sz="0" w:space="0" w:color="auto"/>
            <w:bottom w:val="none" w:sz="0" w:space="0" w:color="auto"/>
            <w:right w:val="none" w:sz="0" w:space="0" w:color="auto"/>
          </w:divBdr>
        </w:div>
        <w:div w:id="1527985058">
          <w:marLeft w:val="0"/>
          <w:marRight w:val="0"/>
          <w:marTop w:val="0"/>
          <w:marBottom w:val="0"/>
          <w:divBdr>
            <w:top w:val="none" w:sz="0" w:space="0" w:color="auto"/>
            <w:left w:val="none" w:sz="0" w:space="0" w:color="auto"/>
            <w:bottom w:val="none" w:sz="0" w:space="0" w:color="auto"/>
            <w:right w:val="none" w:sz="0" w:space="0" w:color="auto"/>
          </w:divBdr>
        </w:div>
        <w:div w:id="1570577893">
          <w:marLeft w:val="0"/>
          <w:marRight w:val="0"/>
          <w:marTop w:val="0"/>
          <w:marBottom w:val="0"/>
          <w:divBdr>
            <w:top w:val="none" w:sz="0" w:space="0" w:color="auto"/>
            <w:left w:val="none" w:sz="0" w:space="0" w:color="auto"/>
            <w:bottom w:val="none" w:sz="0" w:space="0" w:color="auto"/>
            <w:right w:val="none" w:sz="0" w:space="0" w:color="auto"/>
          </w:divBdr>
        </w:div>
        <w:div w:id="1734348710">
          <w:marLeft w:val="0"/>
          <w:marRight w:val="0"/>
          <w:marTop w:val="0"/>
          <w:marBottom w:val="0"/>
          <w:divBdr>
            <w:top w:val="none" w:sz="0" w:space="0" w:color="auto"/>
            <w:left w:val="none" w:sz="0" w:space="0" w:color="auto"/>
            <w:bottom w:val="none" w:sz="0" w:space="0" w:color="auto"/>
            <w:right w:val="none" w:sz="0" w:space="0" w:color="auto"/>
          </w:divBdr>
        </w:div>
        <w:div w:id="1753700513">
          <w:marLeft w:val="0"/>
          <w:marRight w:val="0"/>
          <w:marTop w:val="0"/>
          <w:marBottom w:val="0"/>
          <w:divBdr>
            <w:top w:val="none" w:sz="0" w:space="0" w:color="auto"/>
            <w:left w:val="none" w:sz="0" w:space="0" w:color="auto"/>
            <w:bottom w:val="none" w:sz="0" w:space="0" w:color="auto"/>
            <w:right w:val="none" w:sz="0" w:space="0" w:color="auto"/>
          </w:divBdr>
        </w:div>
        <w:div w:id="1817918414">
          <w:marLeft w:val="0"/>
          <w:marRight w:val="0"/>
          <w:marTop w:val="0"/>
          <w:marBottom w:val="0"/>
          <w:divBdr>
            <w:top w:val="none" w:sz="0" w:space="0" w:color="auto"/>
            <w:left w:val="none" w:sz="0" w:space="0" w:color="auto"/>
            <w:bottom w:val="none" w:sz="0" w:space="0" w:color="auto"/>
            <w:right w:val="none" w:sz="0" w:space="0" w:color="auto"/>
          </w:divBdr>
        </w:div>
        <w:div w:id="1902788540">
          <w:marLeft w:val="0"/>
          <w:marRight w:val="0"/>
          <w:marTop w:val="0"/>
          <w:marBottom w:val="0"/>
          <w:divBdr>
            <w:top w:val="none" w:sz="0" w:space="0" w:color="auto"/>
            <w:left w:val="none" w:sz="0" w:space="0" w:color="auto"/>
            <w:bottom w:val="none" w:sz="0" w:space="0" w:color="auto"/>
            <w:right w:val="none" w:sz="0" w:space="0" w:color="auto"/>
          </w:divBdr>
        </w:div>
        <w:div w:id="1966427065">
          <w:marLeft w:val="0"/>
          <w:marRight w:val="0"/>
          <w:marTop w:val="0"/>
          <w:marBottom w:val="0"/>
          <w:divBdr>
            <w:top w:val="none" w:sz="0" w:space="0" w:color="auto"/>
            <w:left w:val="none" w:sz="0" w:space="0" w:color="auto"/>
            <w:bottom w:val="none" w:sz="0" w:space="0" w:color="auto"/>
            <w:right w:val="none" w:sz="0" w:space="0" w:color="auto"/>
          </w:divBdr>
        </w:div>
      </w:divsChild>
    </w:div>
    <w:div w:id="1434982034">
      <w:bodyDiv w:val="1"/>
      <w:marLeft w:val="0"/>
      <w:marRight w:val="0"/>
      <w:marTop w:val="0"/>
      <w:marBottom w:val="0"/>
      <w:divBdr>
        <w:top w:val="none" w:sz="0" w:space="0" w:color="auto"/>
        <w:left w:val="none" w:sz="0" w:space="0" w:color="auto"/>
        <w:bottom w:val="none" w:sz="0" w:space="0" w:color="auto"/>
        <w:right w:val="none" w:sz="0" w:space="0" w:color="auto"/>
      </w:divBdr>
    </w:div>
    <w:div w:id="1500854368">
      <w:bodyDiv w:val="1"/>
      <w:marLeft w:val="0"/>
      <w:marRight w:val="0"/>
      <w:marTop w:val="0"/>
      <w:marBottom w:val="0"/>
      <w:divBdr>
        <w:top w:val="none" w:sz="0" w:space="0" w:color="auto"/>
        <w:left w:val="none" w:sz="0" w:space="0" w:color="auto"/>
        <w:bottom w:val="none" w:sz="0" w:space="0" w:color="auto"/>
        <w:right w:val="none" w:sz="0" w:space="0" w:color="auto"/>
      </w:divBdr>
    </w:div>
    <w:div w:id="1554730733">
      <w:bodyDiv w:val="1"/>
      <w:marLeft w:val="0"/>
      <w:marRight w:val="0"/>
      <w:marTop w:val="0"/>
      <w:marBottom w:val="0"/>
      <w:divBdr>
        <w:top w:val="none" w:sz="0" w:space="0" w:color="auto"/>
        <w:left w:val="none" w:sz="0" w:space="0" w:color="auto"/>
        <w:bottom w:val="none" w:sz="0" w:space="0" w:color="auto"/>
        <w:right w:val="none" w:sz="0" w:space="0" w:color="auto"/>
      </w:divBdr>
    </w:div>
    <w:div w:id="1701515119">
      <w:bodyDiv w:val="1"/>
      <w:marLeft w:val="0"/>
      <w:marRight w:val="0"/>
      <w:marTop w:val="0"/>
      <w:marBottom w:val="0"/>
      <w:divBdr>
        <w:top w:val="none" w:sz="0" w:space="0" w:color="auto"/>
        <w:left w:val="none" w:sz="0" w:space="0" w:color="auto"/>
        <w:bottom w:val="none" w:sz="0" w:space="0" w:color="auto"/>
        <w:right w:val="none" w:sz="0" w:space="0" w:color="auto"/>
      </w:divBdr>
    </w:div>
    <w:div w:id="1776946811">
      <w:bodyDiv w:val="1"/>
      <w:marLeft w:val="0"/>
      <w:marRight w:val="0"/>
      <w:marTop w:val="0"/>
      <w:marBottom w:val="0"/>
      <w:divBdr>
        <w:top w:val="none" w:sz="0" w:space="0" w:color="auto"/>
        <w:left w:val="none" w:sz="0" w:space="0" w:color="auto"/>
        <w:bottom w:val="none" w:sz="0" w:space="0" w:color="auto"/>
        <w:right w:val="none" w:sz="0" w:space="0" w:color="auto"/>
      </w:divBdr>
      <w:divsChild>
        <w:div w:id="661003996">
          <w:marLeft w:val="0"/>
          <w:marRight w:val="0"/>
          <w:marTop w:val="0"/>
          <w:marBottom w:val="0"/>
          <w:divBdr>
            <w:top w:val="none" w:sz="0" w:space="0" w:color="auto"/>
            <w:left w:val="none" w:sz="0" w:space="0" w:color="auto"/>
            <w:bottom w:val="none" w:sz="0" w:space="0" w:color="auto"/>
            <w:right w:val="none" w:sz="0" w:space="0" w:color="auto"/>
          </w:divBdr>
        </w:div>
        <w:div w:id="1129320053">
          <w:marLeft w:val="0"/>
          <w:marRight w:val="0"/>
          <w:marTop w:val="0"/>
          <w:marBottom w:val="0"/>
          <w:divBdr>
            <w:top w:val="none" w:sz="0" w:space="0" w:color="auto"/>
            <w:left w:val="none" w:sz="0" w:space="0" w:color="auto"/>
            <w:bottom w:val="none" w:sz="0" w:space="0" w:color="auto"/>
            <w:right w:val="none" w:sz="0" w:space="0" w:color="auto"/>
          </w:divBdr>
        </w:div>
        <w:div w:id="1146239198">
          <w:marLeft w:val="0"/>
          <w:marRight w:val="0"/>
          <w:marTop w:val="0"/>
          <w:marBottom w:val="0"/>
          <w:divBdr>
            <w:top w:val="none" w:sz="0" w:space="0" w:color="auto"/>
            <w:left w:val="none" w:sz="0" w:space="0" w:color="auto"/>
            <w:bottom w:val="none" w:sz="0" w:space="0" w:color="auto"/>
            <w:right w:val="none" w:sz="0" w:space="0" w:color="auto"/>
          </w:divBdr>
        </w:div>
        <w:div w:id="1311593506">
          <w:marLeft w:val="0"/>
          <w:marRight w:val="0"/>
          <w:marTop w:val="0"/>
          <w:marBottom w:val="0"/>
          <w:divBdr>
            <w:top w:val="none" w:sz="0" w:space="0" w:color="auto"/>
            <w:left w:val="none" w:sz="0" w:space="0" w:color="auto"/>
            <w:bottom w:val="none" w:sz="0" w:space="0" w:color="auto"/>
            <w:right w:val="none" w:sz="0" w:space="0" w:color="auto"/>
          </w:divBdr>
        </w:div>
        <w:div w:id="1450247133">
          <w:marLeft w:val="0"/>
          <w:marRight w:val="0"/>
          <w:marTop w:val="0"/>
          <w:marBottom w:val="0"/>
          <w:divBdr>
            <w:top w:val="none" w:sz="0" w:space="0" w:color="auto"/>
            <w:left w:val="none" w:sz="0" w:space="0" w:color="auto"/>
            <w:bottom w:val="none" w:sz="0" w:space="0" w:color="auto"/>
            <w:right w:val="none" w:sz="0" w:space="0" w:color="auto"/>
          </w:divBdr>
        </w:div>
        <w:div w:id="1740247870">
          <w:marLeft w:val="0"/>
          <w:marRight w:val="0"/>
          <w:marTop w:val="0"/>
          <w:marBottom w:val="0"/>
          <w:divBdr>
            <w:top w:val="none" w:sz="0" w:space="0" w:color="auto"/>
            <w:left w:val="none" w:sz="0" w:space="0" w:color="auto"/>
            <w:bottom w:val="none" w:sz="0" w:space="0" w:color="auto"/>
            <w:right w:val="none" w:sz="0" w:space="0" w:color="auto"/>
          </w:divBdr>
        </w:div>
      </w:divsChild>
    </w:div>
    <w:div w:id="1823423910">
      <w:bodyDiv w:val="1"/>
      <w:marLeft w:val="0"/>
      <w:marRight w:val="0"/>
      <w:marTop w:val="0"/>
      <w:marBottom w:val="0"/>
      <w:divBdr>
        <w:top w:val="none" w:sz="0" w:space="0" w:color="auto"/>
        <w:left w:val="none" w:sz="0" w:space="0" w:color="auto"/>
        <w:bottom w:val="none" w:sz="0" w:space="0" w:color="auto"/>
        <w:right w:val="none" w:sz="0" w:space="0" w:color="auto"/>
      </w:divBdr>
    </w:div>
    <w:div w:id="1864441555">
      <w:bodyDiv w:val="1"/>
      <w:marLeft w:val="0"/>
      <w:marRight w:val="0"/>
      <w:marTop w:val="0"/>
      <w:marBottom w:val="0"/>
      <w:divBdr>
        <w:top w:val="none" w:sz="0" w:space="0" w:color="auto"/>
        <w:left w:val="none" w:sz="0" w:space="0" w:color="auto"/>
        <w:bottom w:val="none" w:sz="0" w:space="0" w:color="auto"/>
        <w:right w:val="none" w:sz="0" w:space="0" w:color="auto"/>
      </w:divBdr>
    </w:div>
    <w:div w:id="1914309870">
      <w:bodyDiv w:val="1"/>
      <w:marLeft w:val="0"/>
      <w:marRight w:val="0"/>
      <w:marTop w:val="0"/>
      <w:marBottom w:val="0"/>
      <w:divBdr>
        <w:top w:val="none" w:sz="0" w:space="0" w:color="auto"/>
        <w:left w:val="none" w:sz="0" w:space="0" w:color="auto"/>
        <w:bottom w:val="none" w:sz="0" w:space="0" w:color="auto"/>
        <w:right w:val="none" w:sz="0" w:space="0" w:color="auto"/>
      </w:divBdr>
    </w:div>
    <w:div w:id="193681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chart" Target="charts/chart3.xm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2.gov.bc.ca/gov/content/sports-culture/gambling-fundraising/gambling-in-bc/reports-publications-statistics" TargetMode="External"/><Relationship Id="rId42"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chart" Target="charts/chart2.xml"/><Relationship Id="rId33" Type="http://schemas.openxmlformats.org/officeDocument/2006/relationships/hyperlink" Target="https://professorslots.com/online-resource/" TargetMode="External"/><Relationship Id="rId38" Type="http://schemas.openxmlformats.org/officeDocument/2006/relationships/hyperlink" Target="https://www.stuff.co.nz/business/102973747/bankrupt-auckland-builder-squanders-15-million-at-skycity-casino"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G"/><Relationship Id="rId29" Type="http://schemas.openxmlformats.org/officeDocument/2006/relationships/hyperlink" Target="https://www.americangaming.org/wp-content/uploads/2020/06/AGA-2020-State_of_the_States_FINAL.pdf"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yperlink" Target="https://ideas.repec.org/s/eee/jebusi.html" TargetMode="External"/><Relationship Id="rId37" Type="http://schemas.openxmlformats.org/officeDocument/2006/relationships/hyperlink" Target="https://www.adelaide.edu.au/saces/system/files/media/documents/2019-06/study-of-the-impact-of-caps-on-electronic-gaming-machines.pdf" TargetMode="External"/><Relationship Id="rId40" Type="http://schemas.openxmlformats.org/officeDocument/2006/relationships/footer" Target="footer7.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yperlink" Target="https://aglc.ca/documents/liquor-licensee-handbook" TargetMode="External"/><Relationship Id="rId36" Type="http://schemas.openxmlformats.org/officeDocument/2006/relationships/hyperlink" Target="https://www.insolvency.govt.nz/support/about/statistics/statistical-data-reports/"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ideas.repec.org/a/eee/jebusi/v57y2005i4p339-359.html" TargetMode="External"/><Relationship Id="rId44"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chart" Target="charts/chart4.xml"/><Relationship Id="rId30" Type="http://schemas.openxmlformats.org/officeDocument/2006/relationships/hyperlink" Target="http://www.easg.org/media/file/vienna2010/presentations/Thursday/1330/P2/4_Jonny_Engebo.pdf" TargetMode="External"/><Relationship Id="rId35" Type="http://schemas.openxmlformats.org/officeDocument/2006/relationships/hyperlink" Target="https://doi.org/10.1007/s10899-009-9127-y" TargetMode="External"/><Relationship Id="rId43"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s://www.mbie.govt.nz/business-and-employment/economic-development/regional-economic-development/modelled-territorial-authority-gross-domestic-produc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irdan\Dropbox%20(Sense.)\Client%20projects\Ministry%20of%20Health\report\additional%20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Users\christophererwin\Dropbox\Gambling%20research\Data\kirdan_additional_chart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Sheet1!$A$3</c:f>
              <c:strCache>
                <c:ptCount val="1"/>
                <c:pt idx="0">
                  <c:v>Reference group</c:v>
                </c:pt>
              </c:strCache>
            </c:strRef>
          </c:tx>
          <c:spPr>
            <a:ln w="28575" cap="rnd">
              <a:solidFill>
                <a:srgbClr val="E7E6E6">
                  <a:lumMod val="90000"/>
                </a:srgbClr>
              </a:solidFill>
              <a:prstDash val="dash"/>
              <a:round/>
            </a:ln>
            <a:effectLst/>
          </c:spPr>
          <c:marker>
            <c:symbol val="circle"/>
            <c:size val="6"/>
            <c:spPr>
              <a:solidFill>
                <a:srgbClr val="E7E6E6">
                  <a:lumMod val="90000"/>
                </a:srgbClr>
              </a:solidFill>
              <a:ln w="9525">
                <a:solidFill>
                  <a:srgbClr val="E7E6E6">
                    <a:lumMod val="90000"/>
                  </a:srgbClr>
                </a:solidFill>
                <a:prstDash val="dash"/>
              </a:ln>
              <a:effectLst/>
            </c:spPr>
          </c:marker>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Sheet1!$B$3:$J$3</c:f>
              <c:numCache>
                <c:formatCode>General</c:formatCode>
                <c:ptCount val="9"/>
                <c:pt idx="0">
                  <c:v>23.9</c:v>
                </c:pt>
                <c:pt idx="1">
                  <c:v>22.4</c:v>
                </c:pt>
                <c:pt idx="2">
                  <c:v>22.4</c:v>
                </c:pt>
                <c:pt idx="3">
                  <c:v>19.399999999999999</c:v>
                </c:pt>
                <c:pt idx="4">
                  <c:v>17.899999999999999</c:v>
                </c:pt>
                <c:pt idx="5">
                  <c:v>16.399999999999999</c:v>
                </c:pt>
                <c:pt idx="6">
                  <c:v>13.4</c:v>
                </c:pt>
                <c:pt idx="7">
                  <c:v>13.4</c:v>
                </c:pt>
                <c:pt idx="8">
                  <c:v>13.4</c:v>
                </c:pt>
              </c:numCache>
            </c:numRef>
          </c:val>
          <c:smooth val="0"/>
          <c:extLst>
            <c:ext xmlns:c16="http://schemas.microsoft.com/office/drawing/2014/chart" uri="{C3380CC4-5D6E-409C-BE32-E72D297353CC}">
              <c16:uniqueId val="{00000000-8D0B-431A-A107-3E765A752637}"/>
            </c:ext>
          </c:extLst>
        </c:ser>
        <c:ser>
          <c:idx val="1"/>
          <c:order val="1"/>
          <c:tx>
            <c:strRef>
              <c:f>Sheet1!$A$4</c:f>
              <c:strCache>
                <c:ptCount val="1"/>
                <c:pt idx="0">
                  <c:v>Absolute cap</c:v>
                </c:pt>
              </c:strCache>
            </c:strRef>
          </c:tx>
          <c:spPr>
            <a:ln w="28575" cap="rnd">
              <a:solidFill>
                <a:srgbClr val="4472C4">
                  <a:lumMod val="40000"/>
                  <a:lumOff val="60000"/>
                </a:srgbClr>
              </a:solidFill>
              <a:prstDash val="sysDot"/>
              <a:round/>
            </a:ln>
            <a:effectLst/>
          </c:spPr>
          <c:marker>
            <c:symbol val="circle"/>
            <c:size val="5"/>
            <c:spPr>
              <a:solidFill>
                <a:srgbClr val="4472C4">
                  <a:lumMod val="40000"/>
                  <a:lumOff val="60000"/>
                </a:srgbClr>
              </a:solidFill>
              <a:ln w="9525">
                <a:solidFill>
                  <a:srgbClr val="4472C4">
                    <a:lumMod val="40000"/>
                    <a:lumOff val="60000"/>
                  </a:srgbClr>
                </a:solidFill>
                <a:prstDash val="sysDot"/>
              </a:ln>
              <a:effectLst/>
            </c:spPr>
          </c:marker>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Sheet1!$B$4:$J$4</c:f>
              <c:numCache>
                <c:formatCode>General</c:formatCode>
                <c:ptCount val="9"/>
                <c:pt idx="0">
                  <c:v>32.799999999999997</c:v>
                </c:pt>
                <c:pt idx="1">
                  <c:v>35.799999999999997</c:v>
                </c:pt>
                <c:pt idx="2">
                  <c:v>31.3</c:v>
                </c:pt>
                <c:pt idx="3">
                  <c:v>31.3</c:v>
                </c:pt>
                <c:pt idx="4">
                  <c:v>31.3</c:v>
                </c:pt>
                <c:pt idx="5">
                  <c:v>32.799999999999997</c:v>
                </c:pt>
                <c:pt idx="6">
                  <c:v>40.299999999999997</c:v>
                </c:pt>
                <c:pt idx="7">
                  <c:v>41.8</c:v>
                </c:pt>
                <c:pt idx="8">
                  <c:v>43.3</c:v>
                </c:pt>
              </c:numCache>
            </c:numRef>
          </c:val>
          <c:smooth val="0"/>
          <c:extLst>
            <c:ext xmlns:c16="http://schemas.microsoft.com/office/drawing/2014/chart" uri="{C3380CC4-5D6E-409C-BE32-E72D297353CC}">
              <c16:uniqueId val="{00000001-8D0B-431A-A107-3E765A752637}"/>
            </c:ext>
          </c:extLst>
        </c:ser>
        <c:ser>
          <c:idx val="2"/>
          <c:order val="2"/>
          <c:tx>
            <c:strRef>
              <c:f>Sheet1!$A$5</c:f>
              <c:strCache>
                <c:ptCount val="1"/>
                <c:pt idx="0">
                  <c:v>Per capita cap</c:v>
                </c:pt>
              </c:strCache>
            </c:strRef>
          </c:tx>
          <c:spPr>
            <a:ln w="28575" cap="rnd">
              <a:solidFill>
                <a:srgbClr val="4472C4"/>
              </a:solidFill>
              <a:prstDash val="dashDot"/>
              <a:round/>
            </a:ln>
            <a:effectLst/>
          </c:spPr>
          <c:marker>
            <c:symbol val="circle"/>
            <c:size val="5"/>
            <c:spPr>
              <a:solidFill>
                <a:srgbClr val="4472C4"/>
              </a:solidFill>
              <a:ln w="9525">
                <a:solidFill>
                  <a:srgbClr val="4472C4"/>
                </a:solidFill>
                <a:prstDash val="lgDashDotDot"/>
              </a:ln>
              <a:effectLst/>
            </c:spPr>
          </c:marker>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Sheet1!$B$5:$J$5</c:f>
              <c:numCache>
                <c:formatCode>General</c:formatCode>
                <c:ptCount val="9"/>
                <c:pt idx="0">
                  <c:v>17.899999999999999</c:v>
                </c:pt>
                <c:pt idx="1">
                  <c:v>16.399999999999999</c:v>
                </c:pt>
                <c:pt idx="2">
                  <c:v>16.399999999999999</c:v>
                </c:pt>
                <c:pt idx="3">
                  <c:v>15</c:v>
                </c:pt>
                <c:pt idx="4">
                  <c:v>15</c:v>
                </c:pt>
                <c:pt idx="5">
                  <c:v>10.5</c:v>
                </c:pt>
                <c:pt idx="6">
                  <c:v>9</c:v>
                </c:pt>
                <c:pt idx="7">
                  <c:v>9</c:v>
                </c:pt>
                <c:pt idx="8">
                  <c:v>9</c:v>
                </c:pt>
              </c:numCache>
            </c:numRef>
          </c:val>
          <c:smooth val="0"/>
          <c:extLst>
            <c:ext xmlns:c16="http://schemas.microsoft.com/office/drawing/2014/chart" uri="{C3380CC4-5D6E-409C-BE32-E72D297353CC}">
              <c16:uniqueId val="{00000002-8D0B-431A-A107-3E765A752637}"/>
            </c:ext>
          </c:extLst>
        </c:ser>
        <c:ser>
          <c:idx val="3"/>
          <c:order val="3"/>
          <c:tx>
            <c:strRef>
              <c:f>Sheet1!$A$6</c:f>
              <c:strCache>
                <c:ptCount val="1"/>
                <c:pt idx="0">
                  <c:v>Sinking lid</c:v>
                </c:pt>
              </c:strCache>
            </c:strRef>
          </c:tx>
          <c:spPr>
            <a:ln w="28575" cap="rnd">
              <a:solidFill>
                <a:srgbClr val="4472C4">
                  <a:lumMod val="75000"/>
                </a:srgbClr>
              </a:solidFill>
              <a:round/>
            </a:ln>
            <a:effectLst/>
          </c:spPr>
          <c:marker>
            <c:symbol val="circle"/>
            <c:size val="5"/>
            <c:spPr>
              <a:solidFill>
                <a:srgbClr val="4472C4">
                  <a:lumMod val="75000"/>
                </a:srgbClr>
              </a:solidFill>
              <a:ln w="9525">
                <a:solidFill>
                  <a:srgbClr val="4472C4">
                    <a:lumMod val="75000"/>
                  </a:srgbClr>
                </a:solidFill>
              </a:ln>
              <a:effectLst/>
            </c:spPr>
          </c:marker>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Sheet1!$B$6:$J$6</c:f>
              <c:numCache>
                <c:formatCode>General</c:formatCode>
                <c:ptCount val="9"/>
                <c:pt idx="0">
                  <c:v>25.4</c:v>
                </c:pt>
                <c:pt idx="1">
                  <c:v>25.4</c:v>
                </c:pt>
                <c:pt idx="2">
                  <c:v>29.9</c:v>
                </c:pt>
                <c:pt idx="3">
                  <c:v>34.299999999999997</c:v>
                </c:pt>
                <c:pt idx="4">
                  <c:v>35.799999999999997</c:v>
                </c:pt>
                <c:pt idx="5">
                  <c:v>40.299999999999997</c:v>
                </c:pt>
                <c:pt idx="6">
                  <c:v>37.299999999999997</c:v>
                </c:pt>
                <c:pt idx="7">
                  <c:v>35.799999999999997</c:v>
                </c:pt>
                <c:pt idx="8">
                  <c:v>34.299999999999997</c:v>
                </c:pt>
              </c:numCache>
            </c:numRef>
          </c:val>
          <c:smooth val="0"/>
          <c:extLst>
            <c:ext xmlns:c16="http://schemas.microsoft.com/office/drawing/2014/chart" uri="{C3380CC4-5D6E-409C-BE32-E72D297353CC}">
              <c16:uniqueId val="{00000003-8D0B-431A-A107-3E765A752637}"/>
            </c:ext>
          </c:extLst>
        </c:ser>
        <c:dLbls>
          <c:showLegendKey val="0"/>
          <c:showVal val="0"/>
          <c:showCatName val="0"/>
          <c:showSerName val="0"/>
          <c:showPercent val="0"/>
          <c:showBubbleSize val="0"/>
        </c:dLbls>
        <c:marker val="1"/>
        <c:smooth val="0"/>
        <c:axId val="446869856"/>
        <c:axId val="537623064"/>
      </c:lineChart>
      <c:catAx>
        <c:axId val="4468698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sz="1200"/>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37623064"/>
        <c:crosses val="autoZero"/>
        <c:auto val="1"/>
        <c:lblAlgn val="ctr"/>
        <c:lblOffset val="100"/>
        <c:noMultiLvlLbl val="0"/>
      </c:catAx>
      <c:valAx>
        <c:axId val="53762306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NZ" sz="1200" baseline="0"/>
                  <a:t>Percent of TAs</a:t>
                </a:r>
                <a:endParaRPr lang="en-NZ" sz="1200"/>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6350">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4686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Sheet1!$C$2</c:f>
              <c:strCache>
                <c:ptCount val="1"/>
                <c:pt idx="0">
                  <c:v>Gambling Harm</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AF8B-402B-8B76-6B317EE9976A}"/>
              </c:ext>
            </c:extLst>
          </c:dPt>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3-AF8B-402B-8B76-6B317EE9976A}"/>
              </c:ext>
            </c:extLst>
          </c:dPt>
          <c:dPt>
            <c:idx val="2"/>
            <c:invertIfNegative val="0"/>
            <c:bubble3D val="0"/>
            <c:spPr>
              <a:solidFill>
                <a:schemeClr val="accent5">
                  <a:lumMod val="75000"/>
                </a:schemeClr>
              </a:solidFill>
              <a:ln>
                <a:noFill/>
              </a:ln>
              <a:effectLst/>
            </c:spPr>
            <c:extLst>
              <c:ext xmlns:c16="http://schemas.microsoft.com/office/drawing/2014/chart" uri="{C3380CC4-5D6E-409C-BE32-E72D297353CC}">
                <c16:uniqueId val="{00000005-AF8B-402B-8B76-6B317EE9976A}"/>
              </c:ext>
            </c:extLst>
          </c:dPt>
          <c:dPt>
            <c:idx val="3"/>
            <c:invertIfNegative val="0"/>
            <c:bubble3D val="0"/>
            <c:spPr>
              <a:solidFill>
                <a:schemeClr val="accent5">
                  <a:lumMod val="75000"/>
                </a:schemeClr>
              </a:solidFill>
              <a:ln>
                <a:noFill/>
              </a:ln>
              <a:effectLst/>
            </c:spPr>
            <c:extLst>
              <c:ext xmlns:c16="http://schemas.microsoft.com/office/drawing/2014/chart" uri="{C3380CC4-5D6E-409C-BE32-E72D297353CC}">
                <c16:uniqueId val="{00000007-AF8B-402B-8B76-6B317EE9976A}"/>
              </c:ext>
            </c:extLst>
          </c:dPt>
          <c:dPt>
            <c:idx val="4"/>
            <c:invertIfNegative val="0"/>
            <c:bubble3D val="0"/>
            <c:spPr>
              <a:solidFill>
                <a:schemeClr val="accent5">
                  <a:lumMod val="75000"/>
                </a:schemeClr>
              </a:solidFill>
              <a:ln>
                <a:noFill/>
              </a:ln>
              <a:effectLst/>
            </c:spPr>
            <c:extLst>
              <c:ext xmlns:c16="http://schemas.microsoft.com/office/drawing/2014/chart" uri="{C3380CC4-5D6E-409C-BE32-E72D297353CC}">
                <c16:uniqueId val="{00000009-AF8B-402B-8B76-6B317EE9976A}"/>
              </c:ext>
            </c:extLst>
          </c:dPt>
          <c:dPt>
            <c:idx val="5"/>
            <c:invertIfNegative val="0"/>
            <c:bubble3D val="0"/>
            <c:spPr>
              <a:solidFill>
                <a:schemeClr val="accent5">
                  <a:lumMod val="75000"/>
                </a:schemeClr>
              </a:solidFill>
              <a:ln>
                <a:noFill/>
              </a:ln>
              <a:effectLst/>
            </c:spPr>
            <c:extLst>
              <c:ext xmlns:c16="http://schemas.microsoft.com/office/drawing/2014/chart" uri="{C3380CC4-5D6E-409C-BE32-E72D297353CC}">
                <c16:uniqueId val="{0000000B-AF8B-402B-8B76-6B317EE9976A}"/>
              </c:ext>
            </c:extLst>
          </c:dPt>
          <c:dPt>
            <c:idx val="6"/>
            <c:invertIfNegative val="0"/>
            <c:bubble3D val="0"/>
            <c:spPr>
              <a:solidFill>
                <a:schemeClr val="accent5">
                  <a:lumMod val="75000"/>
                </a:schemeClr>
              </a:solidFill>
              <a:ln>
                <a:noFill/>
              </a:ln>
              <a:effectLst/>
            </c:spPr>
            <c:extLst>
              <c:ext xmlns:c16="http://schemas.microsoft.com/office/drawing/2014/chart" uri="{C3380CC4-5D6E-409C-BE32-E72D297353CC}">
                <c16:uniqueId val="{0000000D-AF8B-402B-8B76-6B317EE9976A}"/>
              </c:ext>
            </c:extLst>
          </c:dPt>
          <c:dLbls>
            <c:dLbl>
              <c:idx val="0"/>
              <c:layout>
                <c:manualLayout>
                  <c:x val="0"/>
                  <c:y val="-0.364321959755030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8B-402B-8B76-6B317EE9976A}"/>
                </c:ext>
              </c:extLst>
            </c:dLbl>
            <c:dLbl>
              <c:idx val="1"/>
              <c:layout>
                <c:manualLayout>
                  <c:x val="0"/>
                  <c:y val="-0.319838509769612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8B-402B-8B76-6B317EE9976A}"/>
                </c:ext>
              </c:extLst>
            </c:dLbl>
            <c:dLbl>
              <c:idx val="2"/>
              <c:layout>
                <c:manualLayout>
                  <c:x val="-5.0925337632079971E-17"/>
                  <c:y val="-0.29215988626421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8B-402B-8B76-6B317EE9976A}"/>
                </c:ext>
              </c:extLst>
            </c:dLbl>
            <c:dLbl>
              <c:idx val="3"/>
              <c:layout>
                <c:manualLayout>
                  <c:x val="-1.0185067526415994E-16"/>
                  <c:y val="-0.262504374453193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8B-402B-8B76-6B317EE9976A}"/>
                </c:ext>
              </c:extLst>
            </c:dLbl>
            <c:dLbl>
              <c:idx val="4"/>
              <c:layout>
                <c:manualLayout>
                  <c:x val="-2.7777777777777779E-3"/>
                  <c:y val="-0.244710921551472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8B-402B-8B76-6B317EE9976A}"/>
                </c:ext>
              </c:extLst>
            </c:dLbl>
            <c:dLbl>
              <c:idx val="5"/>
              <c:layout>
                <c:manualLayout>
                  <c:x val="0"/>
                  <c:y val="-0.244959536307961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8B-402B-8B76-6B317EE9976A}"/>
                </c:ext>
              </c:extLst>
            </c:dLbl>
            <c:dLbl>
              <c:idx val="6"/>
              <c:layout>
                <c:manualLayout>
                  <c:x val="-2.7777777777777779E-3"/>
                  <c:y val="-0.124111256926217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8B-402B-8B76-6B317EE997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Bankruptcy</c:v>
                </c:pt>
                <c:pt idx="1">
                  <c:v>Self-harm</c:v>
                </c:pt>
                <c:pt idx="2">
                  <c:v>Lost job</c:v>
                </c:pt>
                <c:pt idx="3">
                  <c:v>Ending relationship</c:v>
                </c:pt>
                <c:pt idx="4">
                  <c:v>Loss assets</c:v>
                </c:pt>
                <c:pt idx="5">
                  <c:v>Experience violence</c:v>
                </c:pt>
                <c:pt idx="6">
                  <c:v>Late bills</c:v>
                </c:pt>
              </c:strCache>
            </c:strRef>
          </c:cat>
          <c:val>
            <c:numRef>
              <c:f>Sheet1!$C$3:$C$9</c:f>
              <c:numCache>
                <c:formatCode>General</c:formatCode>
                <c:ptCount val="7"/>
                <c:pt idx="0">
                  <c:v>3.17</c:v>
                </c:pt>
                <c:pt idx="1">
                  <c:v>2.72</c:v>
                </c:pt>
                <c:pt idx="2">
                  <c:v>2.44</c:v>
                </c:pt>
                <c:pt idx="3">
                  <c:v>2.14</c:v>
                </c:pt>
                <c:pt idx="4">
                  <c:v>1.96</c:v>
                </c:pt>
                <c:pt idx="5">
                  <c:v>1.89</c:v>
                </c:pt>
                <c:pt idx="6">
                  <c:v>0.74</c:v>
                </c:pt>
              </c:numCache>
            </c:numRef>
          </c:val>
          <c:extLst>
            <c:ext xmlns:c16="http://schemas.microsoft.com/office/drawing/2014/chart" uri="{C3380CC4-5D6E-409C-BE32-E72D297353CC}">
              <c16:uniqueId val="{0000000E-AF8B-402B-8B76-6B317EE9976A}"/>
            </c:ext>
          </c:extLst>
        </c:ser>
        <c:dLbls>
          <c:showLegendKey val="0"/>
          <c:showVal val="1"/>
          <c:showCatName val="0"/>
          <c:showSerName val="0"/>
          <c:showPercent val="0"/>
          <c:showBubbleSize val="0"/>
        </c:dLbls>
        <c:gapWidth val="75"/>
        <c:overlap val="100"/>
        <c:axId val="949926136"/>
        <c:axId val="951807832"/>
      </c:barChart>
      <c:catAx>
        <c:axId val="94992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807832"/>
        <c:crosses val="autoZero"/>
        <c:auto val="1"/>
        <c:lblAlgn val="ctr"/>
        <c:lblOffset val="100"/>
        <c:noMultiLvlLbl val="0"/>
      </c:catAx>
      <c:valAx>
        <c:axId val="951807832"/>
        <c:scaling>
          <c:orientation val="minMax"/>
          <c:max val="4"/>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Severity</a:t>
                </a:r>
                <a:r>
                  <a:rPr lang="en-NZ" baseline="0"/>
                  <a:t> (index)</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92613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61566551503265"/>
          <c:y val="7.3985739772920708E-2"/>
          <c:w val="0.85010694467977765"/>
          <c:h val="0.67583859163169424"/>
        </c:manualLayout>
      </c:layout>
      <c:lineChart>
        <c:grouping val="standard"/>
        <c:varyColors val="0"/>
        <c:ser>
          <c:idx val="0"/>
          <c:order val="0"/>
          <c:tx>
            <c:strRef>
              <c:f>Sheet2!$D$13</c:f>
              <c:strCache>
                <c:ptCount val="1"/>
                <c:pt idx="0">
                  <c:v>Total</c:v>
                </c:pt>
              </c:strCache>
            </c:strRef>
          </c:tx>
          <c:spPr>
            <a:ln w="28575" cap="rnd">
              <a:solidFill>
                <a:srgbClr val="4472C4">
                  <a:lumMod val="75000"/>
                </a:srgbClr>
              </a:solidFill>
              <a:round/>
            </a:ln>
            <a:effectLst/>
          </c:spPr>
          <c:marker>
            <c:symbol val="circle"/>
            <c:size val="7"/>
            <c:spPr>
              <a:solidFill>
                <a:srgbClr val="4472C4">
                  <a:lumMod val="75000"/>
                </a:srgbClr>
              </a:solidFill>
              <a:ln w="9525">
                <a:noFill/>
              </a:ln>
              <a:effectLst/>
            </c:spPr>
          </c:marker>
          <c:cat>
            <c:strRef>
              <c:f>Sheet2!$C$14:$C$33</c:f>
              <c:strCache>
                <c:ptCount val="20"/>
                <c:pt idx="0">
                  <c:v>99/00</c:v>
                </c:pt>
                <c:pt idx="1">
                  <c:v>00/01</c:v>
                </c:pt>
                <c:pt idx="2">
                  <c:v>01/02</c:v>
                </c:pt>
                <c:pt idx="3">
                  <c:v>02/03</c:v>
                </c:pt>
                <c:pt idx="4">
                  <c:v>03/04</c:v>
                </c:pt>
                <c:pt idx="5">
                  <c:v>04/05</c:v>
                </c:pt>
                <c:pt idx="6">
                  <c:v>05/06</c:v>
                </c:pt>
                <c:pt idx="7">
                  <c:v>06/07</c:v>
                </c:pt>
                <c:pt idx="8">
                  <c:v>07/08</c:v>
                </c:pt>
                <c:pt idx="9">
                  <c:v>08/09</c:v>
                </c:pt>
                <c:pt idx="10">
                  <c:v>09/10</c:v>
                </c:pt>
                <c:pt idx="11">
                  <c:v>10/11</c:v>
                </c:pt>
                <c:pt idx="12">
                  <c:v>11/12</c:v>
                </c:pt>
                <c:pt idx="13">
                  <c:v>12/13</c:v>
                </c:pt>
                <c:pt idx="14">
                  <c:v>13/14</c:v>
                </c:pt>
                <c:pt idx="15">
                  <c:v>14/15</c:v>
                </c:pt>
                <c:pt idx="16">
                  <c:v>15/16</c:v>
                </c:pt>
                <c:pt idx="17">
                  <c:v>16/17</c:v>
                </c:pt>
                <c:pt idx="18">
                  <c:v>17/18</c:v>
                </c:pt>
                <c:pt idx="19">
                  <c:v>18/19</c:v>
                </c:pt>
              </c:strCache>
            </c:strRef>
          </c:cat>
          <c:val>
            <c:numRef>
              <c:f>Sheet2!$D$14:$D$33</c:f>
              <c:numCache>
                <c:formatCode>General</c:formatCode>
                <c:ptCount val="20"/>
                <c:pt idx="0">
                  <c:v>2642</c:v>
                </c:pt>
                <c:pt idx="1">
                  <c:v>2846</c:v>
                </c:pt>
                <c:pt idx="2">
                  <c:v>2797</c:v>
                </c:pt>
                <c:pt idx="3">
                  <c:v>2782</c:v>
                </c:pt>
                <c:pt idx="4">
                  <c:v>2781</c:v>
                </c:pt>
                <c:pt idx="5">
                  <c:v>2986</c:v>
                </c:pt>
                <c:pt idx="6">
                  <c:v>3077</c:v>
                </c:pt>
                <c:pt idx="7">
                  <c:v>3585</c:v>
                </c:pt>
                <c:pt idx="8">
                  <c:v>3798</c:v>
                </c:pt>
                <c:pt idx="9">
                  <c:v>5642</c:v>
                </c:pt>
                <c:pt idx="10">
                  <c:v>6417</c:v>
                </c:pt>
                <c:pt idx="11">
                  <c:v>5598</c:v>
                </c:pt>
                <c:pt idx="12">
                  <c:v>4641</c:v>
                </c:pt>
                <c:pt idx="13">
                  <c:v>3950</c:v>
                </c:pt>
                <c:pt idx="14">
                  <c:v>3418</c:v>
                </c:pt>
                <c:pt idx="15">
                  <c:v>3506</c:v>
                </c:pt>
                <c:pt idx="16">
                  <c:v>3870</c:v>
                </c:pt>
                <c:pt idx="17">
                  <c:v>3516</c:v>
                </c:pt>
                <c:pt idx="18">
                  <c:v>3312</c:v>
                </c:pt>
                <c:pt idx="19">
                  <c:v>2890</c:v>
                </c:pt>
              </c:numCache>
            </c:numRef>
          </c:val>
          <c:smooth val="0"/>
          <c:extLst>
            <c:ext xmlns:c16="http://schemas.microsoft.com/office/drawing/2014/chart" uri="{C3380CC4-5D6E-409C-BE32-E72D297353CC}">
              <c16:uniqueId val="{00000000-3518-4CEA-85A1-4A733322E684}"/>
            </c:ext>
          </c:extLst>
        </c:ser>
        <c:dLbls>
          <c:showLegendKey val="0"/>
          <c:showVal val="0"/>
          <c:showCatName val="0"/>
          <c:showSerName val="0"/>
          <c:showPercent val="0"/>
          <c:showBubbleSize val="0"/>
        </c:dLbls>
        <c:marker val="1"/>
        <c:smooth val="0"/>
        <c:axId val="1719292415"/>
        <c:axId val="1757753135"/>
      </c:lineChart>
      <c:catAx>
        <c:axId val="1719292415"/>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85000"/>
                        <a:lumOff val="15000"/>
                      </a:schemeClr>
                    </a:solidFill>
                    <a:latin typeface="+mj-lt"/>
                    <a:ea typeface="+mn-ea"/>
                    <a:cs typeface="+mn-cs"/>
                  </a:defRPr>
                </a:pPr>
                <a:r>
                  <a:rPr lang="en-NZ">
                    <a:solidFill>
                      <a:schemeClr val="tx1">
                        <a:lumMod val="85000"/>
                        <a:lumOff val="15000"/>
                      </a:schemeClr>
                    </a:solidFill>
                  </a:rPr>
                  <a:t>Financial year</a:t>
                </a:r>
              </a:p>
            </c:rich>
          </c:tx>
          <c:layout>
            <c:manualLayout>
              <c:xMode val="edge"/>
              <c:yMode val="edge"/>
              <c:x val="0.47703314563243998"/>
              <c:y val="0.9359487590072057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85000"/>
                      <a:lumOff val="1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mj-lt"/>
                <a:ea typeface="+mn-ea"/>
                <a:cs typeface="+mn-cs"/>
              </a:defRPr>
            </a:pPr>
            <a:endParaRPr lang="en-US"/>
          </a:p>
        </c:txPr>
        <c:crossAx val="1757753135"/>
        <c:crosses val="autoZero"/>
        <c:auto val="1"/>
        <c:lblAlgn val="ctr"/>
        <c:lblOffset val="100"/>
        <c:tickLblSkip val="1"/>
        <c:noMultiLvlLbl val="0"/>
      </c:catAx>
      <c:valAx>
        <c:axId val="1757753135"/>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85000"/>
                        <a:lumOff val="15000"/>
                      </a:schemeClr>
                    </a:solidFill>
                    <a:latin typeface="+mj-lt"/>
                    <a:ea typeface="+mn-ea"/>
                    <a:cs typeface="+mn-cs"/>
                  </a:defRPr>
                </a:pPr>
                <a:r>
                  <a:rPr lang="en-NZ">
                    <a:solidFill>
                      <a:schemeClr val="tx1">
                        <a:lumMod val="85000"/>
                        <a:lumOff val="15000"/>
                      </a:schemeClr>
                    </a:solidFill>
                  </a:rPr>
                  <a:t>Number of </a:t>
                </a:r>
                <a:r>
                  <a:rPr lang="en-NZ" baseline="0">
                    <a:solidFill>
                      <a:schemeClr val="tx1">
                        <a:lumMod val="85000"/>
                        <a:lumOff val="15000"/>
                      </a:schemeClr>
                    </a:solidFill>
                  </a:rPr>
                  <a:t> bankruptcies</a:t>
                </a:r>
                <a:endParaRPr lang="en-NZ">
                  <a:solidFill>
                    <a:schemeClr val="tx1">
                      <a:lumMod val="85000"/>
                      <a:lumOff val="15000"/>
                    </a:schemeClr>
                  </a:solidFill>
                </a:endParaRPr>
              </a:p>
            </c:rich>
          </c:tx>
          <c:layout>
            <c:manualLayout>
              <c:xMode val="edge"/>
              <c:yMode val="edge"/>
              <c:x val="1.9299430666795329E-3"/>
              <c:y val="0.3119754386186114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85000"/>
                      <a:lumOff val="15000"/>
                    </a:schemeClr>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mj-lt"/>
                <a:ea typeface="+mn-ea"/>
                <a:cs typeface="+mn-cs"/>
              </a:defRPr>
            </a:pPr>
            <a:endParaRPr lang="en-US"/>
          </a:p>
        </c:txPr>
        <c:crossAx val="1719292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mj-lt"/>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Sheet1!$B$3</c:f>
              <c:strCache>
                <c:ptCount val="1"/>
                <c:pt idx="0">
                  <c:v>0.5km</c:v>
                </c:pt>
              </c:strCache>
            </c:strRef>
          </c:tx>
          <c:spPr>
            <a:ln w="28575" cap="rnd">
              <a:solidFill>
                <a:srgbClr val="4472C4">
                  <a:lumMod val="75000"/>
                </a:srgbClr>
              </a:solidFill>
              <a:round/>
            </a:ln>
            <a:effectLst/>
          </c:spPr>
          <c:marker>
            <c:symbol val="circle"/>
            <c:size val="5"/>
            <c:spPr>
              <a:solidFill>
                <a:srgbClr val="4472C4">
                  <a:lumMod val="75000"/>
                </a:srgbClr>
              </a:solidFill>
              <a:ln w="9525">
                <a:solidFill>
                  <a:srgbClr val="4472C4">
                    <a:lumMod val="75000"/>
                  </a:srgbClr>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3C98-4186-9B25-3BAA0BC59352}"/>
                </c:ext>
              </c:extLst>
            </c:dLbl>
            <c:dLbl>
              <c:idx val="2"/>
              <c:delete val="1"/>
              <c:extLst>
                <c:ext xmlns:c15="http://schemas.microsoft.com/office/drawing/2012/chart" uri="{CE6537A1-D6FC-4f65-9D91-7224C49458BB}"/>
                <c:ext xmlns:c16="http://schemas.microsoft.com/office/drawing/2014/chart" uri="{C3380CC4-5D6E-409C-BE32-E72D297353CC}">
                  <c16:uniqueId val="{00000001-3C98-4186-9B25-3BAA0BC59352}"/>
                </c:ext>
              </c:extLst>
            </c:dLbl>
            <c:dLbl>
              <c:idx val="3"/>
              <c:delete val="1"/>
              <c:extLst>
                <c:ext xmlns:c15="http://schemas.microsoft.com/office/drawing/2012/chart" uri="{CE6537A1-D6FC-4f65-9D91-7224C49458BB}"/>
                <c:ext xmlns:c16="http://schemas.microsoft.com/office/drawing/2014/chart" uri="{C3380CC4-5D6E-409C-BE32-E72D297353CC}">
                  <c16:uniqueId val="{00000002-3C98-4186-9B25-3BAA0BC59352}"/>
                </c:ext>
              </c:extLst>
            </c:dLbl>
            <c:dLbl>
              <c:idx val="4"/>
              <c:delete val="1"/>
              <c:extLst>
                <c:ext xmlns:c15="http://schemas.microsoft.com/office/drawing/2012/chart" uri="{CE6537A1-D6FC-4f65-9D91-7224C49458BB}"/>
                <c:ext xmlns:c16="http://schemas.microsoft.com/office/drawing/2014/chart" uri="{C3380CC4-5D6E-409C-BE32-E72D297353CC}">
                  <c16:uniqueId val="{00000003-3C98-4186-9B25-3BAA0BC59352}"/>
                </c:ext>
              </c:extLst>
            </c:dLbl>
            <c:dLbl>
              <c:idx val="5"/>
              <c:delete val="1"/>
              <c:extLst>
                <c:ext xmlns:c15="http://schemas.microsoft.com/office/drawing/2012/chart" uri="{CE6537A1-D6FC-4f65-9D91-7224C49458BB}"/>
                <c:ext xmlns:c16="http://schemas.microsoft.com/office/drawing/2014/chart" uri="{C3380CC4-5D6E-409C-BE32-E72D297353CC}">
                  <c16:uniqueId val="{00000004-3C98-4186-9B25-3BAA0BC59352}"/>
                </c:ext>
              </c:extLst>
            </c:dLbl>
            <c:dLbl>
              <c:idx val="6"/>
              <c:delete val="1"/>
              <c:extLst>
                <c:ext xmlns:c15="http://schemas.microsoft.com/office/drawing/2012/chart" uri="{CE6537A1-D6FC-4f65-9D91-7224C49458BB}"/>
                <c:ext xmlns:c16="http://schemas.microsoft.com/office/drawing/2014/chart" uri="{C3380CC4-5D6E-409C-BE32-E72D297353CC}">
                  <c16:uniqueId val="{00000005-3C98-4186-9B25-3BAA0BC59352}"/>
                </c:ext>
              </c:extLst>
            </c:dLbl>
            <c:dLbl>
              <c:idx val="7"/>
              <c:delete val="1"/>
              <c:extLst>
                <c:ext xmlns:c15="http://schemas.microsoft.com/office/drawing/2012/chart" uri="{CE6537A1-D6FC-4f65-9D91-7224C49458BB}"/>
                <c:ext xmlns:c16="http://schemas.microsoft.com/office/drawing/2014/chart" uri="{C3380CC4-5D6E-409C-BE32-E72D297353CC}">
                  <c16:uniqueId val="{00000006-3C98-4186-9B25-3BAA0BC59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Sheet1!$C$2:$K$2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Sheet1!$C$3:$K$3</c:f>
              <c:numCache>
                <c:formatCode>0.0%</c:formatCode>
                <c:ptCount val="9"/>
                <c:pt idx="0">
                  <c:v>0.215</c:v>
                </c:pt>
                <c:pt idx="1">
                  <c:v>0.214</c:v>
                </c:pt>
                <c:pt idx="2">
                  <c:v>0.20899999999999999</c:v>
                </c:pt>
                <c:pt idx="3">
                  <c:v>0.20200000000000001</c:v>
                </c:pt>
                <c:pt idx="4">
                  <c:v>0.19700000000000001</c:v>
                </c:pt>
                <c:pt idx="5">
                  <c:v>0.19600000000000001</c:v>
                </c:pt>
                <c:pt idx="6">
                  <c:v>0.191</c:v>
                </c:pt>
                <c:pt idx="7">
                  <c:v>0.18099999999999999</c:v>
                </c:pt>
                <c:pt idx="8">
                  <c:v>0.18</c:v>
                </c:pt>
              </c:numCache>
            </c:numRef>
          </c:val>
          <c:smooth val="0"/>
          <c:extLst>
            <c:ext xmlns:c16="http://schemas.microsoft.com/office/drawing/2014/chart" uri="{C3380CC4-5D6E-409C-BE32-E72D297353CC}">
              <c16:uniqueId val="{00000007-3C98-4186-9B25-3BAA0BC59352}"/>
            </c:ext>
          </c:extLst>
        </c:ser>
        <c:ser>
          <c:idx val="1"/>
          <c:order val="1"/>
          <c:tx>
            <c:strRef>
              <c:f>Sheet1!$B$4</c:f>
              <c:strCache>
                <c:ptCount val="1"/>
                <c:pt idx="0">
                  <c:v>1km</c:v>
                </c:pt>
              </c:strCache>
            </c:strRef>
          </c:tx>
          <c:spPr>
            <a:ln w="28575" cap="rnd">
              <a:solidFill>
                <a:srgbClr val="4472C4"/>
              </a:solidFill>
              <a:prstDash val="dash"/>
              <a:round/>
            </a:ln>
            <a:effectLst/>
          </c:spPr>
          <c:marker>
            <c:symbol val="circle"/>
            <c:size val="5"/>
            <c:spPr>
              <a:solidFill>
                <a:srgbClr val="4472C4"/>
              </a:solidFill>
              <a:ln w="9525">
                <a:solidFill>
                  <a:srgbClr val="4472C4"/>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8-3C98-4186-9B25-3BAA0BC59352}"/>
                </c:ext>
              </c:extLst>
            </c:dLbl>
            <c:dLbl>
              <c:idx val="2"/>
              <c:delete val="1"/>
              <c:extLst>
                <c:ext xmlns:c15="http://schemas.microsoft.com/office/drawing/2012/chart" uri="{CE6537A1-D6FC-4f65-9D91-7224C49458BB}"/>
                <c:ext xmlns:c16="http://schemas.microsoft.com/office/drawing/2014/chart" uri="{C3380CC4-5D6E-409C-BE32-E72D297353CC}">
                  <c16:uniqueId val="{00000009-3C98-4186-9B25-3BAA0BC59352}"/>
                </c:ext>
              </c:extLst>
            </c:dLbl>
            <c:dLbl>
              <c:idx val="3"/>
              <c:delete val="1"/>
              <c:extLst>
                <c:ext xmlns:c15="http://schemas.microsoft.com/office/drawing/2012/chart" uri="{CE6537A1-D6FC-4f65-9D91-7224C49458BB}"/>
                <c:ext xmlns:c16="http://schemas.microsoft.com/office/drawing/2014/chart" uri="{C3380CC4-5D6E-409C-BE32-E72D297353CC}">
                  <c16:uniqueId val="{0000000A-3C98-4186-9B25-3BAA0BC59352}"/>
                </c:ext>
              </c:extLst>
            </c:dLbl>
            <c:dLbl>
              <c:idx val="4"/>
              <c:delete val="1"/>
              <c:extLst>
                <c:ext xmlns:c15="http://schemas.microsoft.com/office/drawing/2012/chart" uri="{CE6537A1-D6FC-4f65-9D91-7224C49458BB}"/>
                <c:ext xmlns:c16="http://schemas.microsoft.com/office/drawing/2014/chart" uri="{C3380CC4-5D6E-409C-BE32-E72D297353CC}">
                  <c16:uniqueId val="{0000000B-3C98-4186-9B25-3BAA0BC59352}"/>
                </c:ext>
              </c:extLst>
            </c:dLbl>
            <c:dLbl>
              <c:idx val="5"/>
              <c:delete val="1"/>
              <c:extLst>
                <c:ext xmlns:c15="http://schemas.microsoft.com/office/drawing/2012/chart" uri="{CE6537A1-D6FC-4f65-9D91-7224C49458BB}"/>
                <c:ext xmlns:c16="http://schemas.microsoft.com/office/drawing/2014/chart" uri="{C3380CC4-5D6E-409C-BE32-E72D297353CC}">
                  <c16:uniqueId val="{0000000C-3C98-4186-9B25-3BAA0BC59352}"/>
                </c:ext>
              </c:extLst>
            </c:dLbl>
            <c:dLbl>
              <c:idx val="6"/>
              <c:delete val="1"/>
              <c:extLst>
                <c:ext xmlns:c15="http://schemas.microsoft.com/office/drawing/2012/chart" uri="{CE6537A1-D6FC-4f65-9D91-7224C49458BB}"/>
                <c:ext xmlns:c16="http://schemas.microsoft.com/office/drawing/2014/chart" uri="{C3380CC4-5D6E-409C-BE32-E72D297353CC}">
                  <c16:uniqueId val="{0000000D-3C98-4186-9B25-3BAA0BC59352}"/>
                </c:ext>
              </c:extLst>
            </c:dLbl>
            <c:dLbl>
              <c:idx val="7"/>
              <c:delete val="1"/>
              <c:extLst>
                <c:ext xmlns:c15="http://schemas.microsoft.com/office/drawing/2012/chart" uri="{CE6537A1-D6FC-4f65-9D91-7224C49458BB}"/>
                <c:ext xmlns:c16="http://schemas.microsoft.com/office/drawing/2014/chart" uri="{C3380CC4-5D6E-409C-BE32-E72D297353CC}">
                  <c16:uniqueId val="{0000000E-3C98-4186-9B25-3BAA0BC59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Sheet1!$C$2:$K$2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Sheet1!$C$4:$K$4</c:f>
              <c:numCache>
                <c:formatCode>0.0%</c:formatCode>
                <c:ptCount val="9"/>
                <c:pt idx="0">
                  <c:v>0.51800000000000002</c:v>
                </c:pt>
                <c:pt idx="1">
                  <c:v>0.51700000000000002</c:v>
                </c:pt>
                <c:pt idx="2">
                  <c:v>0.51</c:v>
                </c:pt>
                <c:pt idx="3">
                  <c:v>0.5</c:v>
                </c:pt>
                <c:pt idx="4">
                  <c:v>0.49</c:v>
                </c:pt>
                <c:pt idx="5">
                  <c:v>0.48799999999999999</c:v>
                </c:pt>
                <c:pt idx="6">
                  <c:v>0.47899999999999998</c:v>
                </c:pt>
                <c:pt idx="7">
                  <c:v>0.46700000000000003</c:v>
                </c:pt>
                <c:pt idx="8">
                  <c:v>0.46500000000000002</c:v>
                </c:pt>
              </c:numCache>
            </c:numRef>
          </c:val>
          <c:smooth val="0"/>
          <c:extLst>
            <c:ext xmlns:c16="http://schemas.microsoft.com/office/drawing/2014/chart" uri="{C3380CC4-5D6E-409C-BE32-E72D297353CC}">
              <c16:uniqueId val="{0000000F-3C98-4186-9B25-3BAA0BC59352}"/>
            </c:ext>
          </c:extLst>
        </c:ser>
        <c:ser>
          <c:idx val="2"/>
          <c:order val="2"/>
          <c:tx>
            <c:strRef>
              <c:f>Sheet1!$B$5</c:f>
              <c:strCache>
                <c:ptCount val="1"/>
                <c:pt idx="0">
                  <c:v>2km</c:v>
                </c:pt>
              </c:strCache>
            </c:strRef>
          </c:tx>
          <c:spPr>
            <a:ln w="28575" cap="rnd">
              <a:solidFill>
                <a:srgbClr val="4472C4">
                  <a:lumMod val="40000"/>
                  <a:lumOff val="60000"/>
                </a:srgbClr>
              </a:solidFill>
              <a:prstDash val="sysDot"/>
              <a:round/>
            </a:ln>
            <a:effectLst/>
          </c:spPr>
          <c:marker>
            <c:symbol val="circle"/>
            <c:size val="5"/>
            <c:spPr>
              <a:solidFill>
                <a:srgbClr val="4472C4">
                  <a:lumMod val="40000"/>
                  <a:lumOff val="60000"/>
                </a:srgbClr>
              </a:solidFill>
              <a:ln w="9525">
                <a:solidFill>
                  <a:srgbClr val="4472C4">
                    <a:lumMod val="40000"/>
                    <a:lumOff val="60000"/>
                  </a:srgbClr>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0-3C98-4186-9B25-3BAA0BC59352}"/>
                </c:ext>
              </c:extLst>
            </c:dLbl>
            <c:dLbl>
              <c:idx val="2"/>
              <c:delete val="1"/>
              <c:extLst>
                <c:ext xmlns:c15="http://schemas.microsoft.com/office/drawing/2012/chart" uri="{CE6537A1-D6FC-4f65-9D91-7224C49458BB}"/>
                <c:ext xmlns:c16="http://schemas.microsoft.com/office/drawing/2014/chart" uri="{C3380CC4-5D6E-409C-BE32-E72D297353CC}">
                  <c16:uniqueId val="{00000011-3C98-4186-9B25-3BAA0BC59352}"/>
                </c:ext>
              </c:extLst>
            </c:dLbl>
            <c:dLbl>
              <c:idx val="3"/>
              <c:delete val="1"/>
              <c:extLst>
                <c:ext xmlns:c15="http://schemas.microsoft.com/office/drawing/2012/chart" uri="{CE6537A1-D6FC-4f65-9D91-7224C49458BB}"/>
                <c:ext xmlns:c16="http://schemas.microsoft.com/office/drawing/2014/chart" uri="{C3380CC4-5D6E-409C-BE32-E72D297353CC}">
                  <c16:uniqueId val="{00000012-3C98-4186-9B25-3BAA0BC59352}"/>
                </c:ext>
              </c:extLst>
            </c:dLbl>
            <c:dLbl>
              <c:idx val="4"/>
              <c:delete val="1"/>
              <c:extLst>
                <c:ext xmlns:c15="http://schemas.microsoft.com/office/drawing/2012/chart" uri="{CE6537A1-D6FC-4f65-9D91-7224C49458BB}"/>
                <c:ext xmlns:c16="http://schemas.microsoft.com/office/drawing/2014/chart" uri="{C3380CC4-5D6E-409C-BE32-E72D297353CC}">
                  <c16:uniqueId val="{00000013-3C98-4186-9B25-3BAA0BC59352}"/>
                </c:ext>
              </c:extLst>
            </c:dLbl>
            <c:dLbl>
              <c:idx val="5"/>
              <c:delete val="1"/>
              <c:extLst>
                <c:ext xmlns:c15="http://schemas.microsoft.com/office/drawing/2012/chart" uri="{CE6537A1-D6FC-4f65-9D91-7224C49458BB}"/>
                <c:ext xmlns:c16="http://schemas.microsoft.com/office/drawing/2014/chart" uri="{C3380CC4-5D6E-409C-BE32-E72D297353CC}">
                  <c16:uniqueId val="{00000014-3C98-4186-9B25-3BAA0BC59352}"/>
                </c:ext>
              </c:extLst>
            </c:dLbl>
            <c:dLbl>
              <c:idx val="6"/>
              <c:delete val="1"/>
              <c:extLst>
                <c:ext xmlns:c15="http://schemas.microsoft.com/office/drawing/2012/chart" uri="{CE6537A1-D6FC-4f65-9D91-7224C49458BB}"/>
                <c:ext xmlns:c16="http://schemas.microsoft.com/office/drawing/2014/chart" uri="{C3380CC4-5D6E-409C-BE32-E72D297353CC}">
                  <c16:uniqueId val="{00000015-3C98-4186-9B25-3BAA0BC59352}"/>
                </c:ext>
              </c:extLst>
            </c:dLbl>
            <c:dLbl>
              <c:idx val="7"/>
              <c:delete val="1"/>
              <c:extLst>
                <c:ext xmlns:c15="http://schemas.microsoft.com/office/drawing/2012/chart" uri="{CE6537A1-D6FC-4f65-9D91-7224C49458BB}"/>
                <c:ext xmlns:c16="http://schemas.microsoft.com/office/drawing/2014/chart" uri="{C3380CC4-5D6E-409C-BE32-E72D297353CC}">
                  <c16:uniqueId val="{00000016-3C98-4186-9B25-3BAA0BC59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Sheet1!$C$2:$K$2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Sheet1!$C$5:$K$5</c:f>
              <c:numCache>
                <c:formatCode>0.0%</c:formatCode>
                <c:ptCount val="9"/>
                <c:pt idx="0">
                  <c:v>0.77700000000000002</c:v>
                </c:pt>
                <c:pt idx="1">
                  <c:v>0.77600000000000002</c:v>
                </c:pt>
                <c:pt idx="2">
                  <c:v>0.77100000000000002</c:v>
                </c:pt>
                <c:pt idx="3">
                  <c:v>0.76300000000000001</c:v>
                </c:pt>
                <c:pt idx="4">
                  <c:v>0.75900000000000001</c:v>
                </c:pt>
                <c:pt idx="5">
                  <c:v>0.75800000000000001</c:v>
                </c:pt>
                <c:pt idx="6">
                  <c:v>0.754</c:v>
                </c:pt>
                <c:pt idx="7">
                  <c:v>0.747</c:v>
                </c:pt>
                <c:pt idx="8">
                  <c:v>0.746</c:v>
                </c:pt>
              </c:numCache>
            </c:numRef>
          </c:val>
          <c:smooth val="0"/>
          <c:extLst>
            <c:ext xmlns:c16="http://schemas.microsoft.com/office/drawing/2014/chart" uri="{C3380CC4-5D6E-409C-BE32-E72D297353CC}">
              <c16:uniqueId val="{00000017-3C98-4186-9B25-3BAA0BC59352}"/>
            </c:ext>
          </c:extLst>
        </c:ser>
        <c:dLbls>
          <c:dLblPos val="t"/>
          <c:showLegendKey val="0"/>
          <c:showVal val="1"/>
          <c:showCatName val="0"/>
          <c:showSerName val="0"/>
          <c:showPercent val="0"/>
          <c:showBubbleSize val="0"/>
        </c:dLbls>
        <c:marker val="1"/>
        <c:smooth val="0"/>
        <c:axId val="594557648"/>
        <c:axId val="594553056"/>
      </c:lineChart>
      <c:catAx>
        <c:axId val="59455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53056"/>
        <c:crosses val="autoZero"/>
        <c:auto val="1"/>
        <c:lblAlgn val="ctr"/>
        <c:lblOffset val="100"/>
        <c:noMultiLvlLbl val="0"/>
      </c:catAx>
      <c:valAx>
        <c:axId val="594553056"/>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solidFill>
                      <a:schemeClr val="tx1">
                        <a:lumMod val="65000"/>
                        <a:lumOff val="35000"/>
                      </a:schemeClr>
                    </a:solidFill>
                    <a:latin typeface="+mj-lt"/>
                  </a:rPr>
                  <a:t>Approximate</a:t>
                </a:r>
                <a:r>
                  <a:rPr lang="en-NZ" baseline="0">
                    <a:solidFill>
                      <a:schemeClr val="tx1">
                        <a:lumMod val="65000"/>
                        <a:lumOff val="35000"/>
                      </a:schemeClr>
                    </a:solidFill>
                    <a:latin typeface="+mj-lt"/>
                  </a:rPr>
                  <a:t> proportion of TA population within distance to EGMs</a:t>
                </a:r>
                <a:endParaRPr lang="en-NZ">
                  <a:solidFill>
                    <a:schemeClr val="tx1">
                      <a:lumMod val="65000"/>
                      <a:lumOff val="35000"/>
                    </a:schemeClr>
                  </a:solidFill>
                  <a:latin typeface="+mj-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57648"/>
        <c:crosses val="autoZero"/>
        <c:crossBetween val="between"/>
      </c:valAx>
      <c:spPr>
        <a:noFill/>
        <a:ln>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181458697298284E-2"/>
          <c:y val="3.2596102866106681E-2"/>
          <c:w val="0.93727611515562437"/>
          <c:h val="0.7433997607561158"/>
        </c:manualLayout>
      </c:layout>
      <c:barChart>
        <c:barDir val="col"/>
        <c:grouping val="clustered"/>
        <c:varyColors val="0"/>
        <c:ser>
          <c:idx val="0"/>
          <c:order val="0"/>
          <c:tx>
            <c:strRef>
              <c:f>'bar chart'!$C$2</c:f>
              <c:strCache>
                <c:ptCount val="1"/>
                <c:pt idx="0">
                  <c:v>1000km</c:v>
                </c:pt>
              </c:strCache>
            </c:strRef>
          </c:tx>
          <c:spPr>
            <a:solidFill>
              <a:schemeClr val="accent1">
                <a:lumMod val="75000"/>
              </a:schemeClr>
            </a:solidFill>
            <a:ln>
              <a:noFill/>
            </a:ln>
            <a:effectLst/>
          </c:spPr>
          <c:invertIfNegative val="0"/>
          <c:cat>
            <c:strRef>
              <c:f>'bar chart'!$B$3:$B$69</c:f>
              <c:strCache>
                <c:ptCount val="67"/>
                <c:pt idx="0">
                  <c:v>Napier </c:v>
                </c:pt>
                <c:pt idx="1">
                  <c:v>Christchurch </c:v>
                </c:pt>
                <c:pt idx="2">
                  <c:v>Upper Hutt </c:v>
                </c:pt>
                <c:pt idx="3">
                  <c:v>Invercargill </c:v>
                </c:pt>
                <c:pt idx="4">
                  <c:v>Wellington </c:v>
                </c:pt>
                <c:pt idx="5">
                  <c:v>Gore </c:v>
                </c:pt>
                <c:pt idx="6">
                  <c:v>South Wairarapa </c:v>
                </c:pt>
                <c:pt idx="7">
                  <c:v>Dunedin </c:v>
                </c:pt>
                <c:pt idx="8">
                  <c:v>Kawerau </c:v>
                </c:pt>
                <c:pt idx="9">
                  <c:v>Tauranga </c:v>
                </c:pt>
                <c:pt idx="10">
                  <c:v>Tararua </c:v>
                </c:pt>
                <c:pt idx="11">
                  <c:v>South Waikato </c:v>
                </c:pt>
                <c:pt idx="12">
                  <c:v>Auckland</c:v>
                </c:pt>
                <c:pt idx="13">
                  <c:v>Marlborough </c:v>
                </c:pt>
                <c:pt idx="14">
                  <c:v>Lower Hutt </c:v>
                </c:pt>
                <c:pt idx="15">
                  <c:v>Nelson </c:v>
                </c:pt>
                <c:pt idx="16">
                  <c:v>Ashburton </c:v>
                </c:pt>
                <c:pt idx="17">
                  <c:v>Wanganui </c:v>
                </c:pt>
                <c:pt idx="18">
                  <c:v>Hamilton </c:v>
                </c:pt>
                <c:pt idx="19">
                  <c:v>Central Otago </c:v>
                </c:pt>
                <c:pt idx="20">
                  <c:v>Mackenzie </c:v>
                </c:pt>
                <c:pt idx="21">
                  <c:v>Hastings </c:v>
                </c:pt>
                <c:pt idx="22">
                  <c:v>Palmerston North </c:v>
                </c:pt>
                <c:pt idx="23">
                  <c:v>Kapiti Coast </c:v>
                </c:pt>
                <c:pt idx="24">
                  <c:v>Rotorua </c:v>
                </c:pt>
                <c:pt idx="25">
                  <c:v>Timaru </c:v>
                </c:pt>
                <c:pt idx="26">
                  <c:v>New Plymouth </c:v>
                </c:pt>
                <c:pt idx="27">
                  <c:v>Waitomo </c:v>
                </c:pt>
                <c:pt idx="28">
                  <c:v>Grey </c:v>
                </c:pt>
                <c:pt idx="29">
                  <c:v>Buller </c:v>
                </c:pt>
                <c:pt idx="30">
                  <c:v>Clutha </c:v>
                </c:pt>
                <c:pt idx="31">
                  <c:v>Porirua </c:v>
                </c:pt>
                <c:pt idx="32">
                  <c:v>Kaikoura </c:v>
                </c:pt>
                <c:pt idx="33">
                  <c:v>Hurunui </c:v>
                </c:pt>
                <c:pt idx="34">
                  <c:v>Waitaki </c:v>
                </c:pt>
                <c:pt idx="35">
                  <c:v>Horowhenua </c:v>
                </c:pt>
                <c:pt idx="36">
                  <c:v>Waipa </c:v>
                </c:pt>
                <c:pt idx="37">
                  <c:v>Waimate </c:v>
                </c:pt>
                <c:pt idx="38">
                  <c:v>South Taranaki </c:v>
                </c:pt>
                <c:pt idx="39">
                  <c:v>Whakatane </c:v>
                </c:pt>
                <c:pt idx="40">
                  <c:v>Opotiki </c:v>
                </c:pt>
                <c:pt idx="41">
                  <c:v>Stratford </c:v>
                </c:pt>
                <c:pt idx="42">
                  <c:v>Whangarei </c:v>
                </c:pt>
                <c:pt idx="43">
                  <c:v>Thames-Coromandel </c:v>
                </c:pt>
                <c:pt idx="44">
                  <c:v>Hauraki </c:v>
                </c:pt>
                <c:pt idx="45">
                  <c:v>Carterton </c:v>
                </c:pt>
                <c:pt idx="46">
                  <c:v>Ruapehu </c:v>
                </c:pt>
                <c:pt idx="47">
                  <c:v>Waimakariri </c:v>
                </c:pt>
                <c:pt idx="48">
                  <c:v>Masterton </c:v>
                </c:pt>
                <c:pt idx="49">
                  <c:v>Matamata-Piako </c:v>
                </c:pt>
                <c:pt idx="50">
                  <c:v>Taupo </c:v>
                </c:pt>
                <c:pt idx="51">
                  <c:v>Chatham Islands</c:v>
                </c:pt>
                <c:pt idx="52">
                  <c:v>Southland </c:v>
                </c:pt>
                <c:pt idx="53">
                  <c:v>Rangitikei </c:v>
                </c:pt>
                <c:pt idx="54">
                  <c:v>Wairoa </c:v>
                </c:pt>
                <c:pt idx="55">
                  <c:v>Tasman </c:v>
                </c:pt>
                <c:pt idx="56">
                  <c:v>QLDC</c:v>
                </c:pt>
                <c:pt idx="57">
                  <c:v>Selwyn </c:v>
                </c:pt>
                <c:pt idx="58">
                  <c:v>Far North </c:v>
                </c:pt>
                <c:pt idx="59">
                  <c:v>Westland </c:v>
                </c:pt>
                <c:pt idx="60">
                  <c:v>Waikato </c:v>
                </c:pt>
                <c:pt idx="61">
                  <c:v>WBOP</c:v>
                </c:pt>
                <c:pt idx="62">
                  <c:v>Kaipara </c:v>
                </c:pt>
                <c:pt idx="63">
                  <c:v>Manawatu </c:v>
                </c:pt>
                <c:pt idx="64">
                  <c:v>Gisborne </c:v>
                </c:pt>
                <c:pt idx="65">
                  <c:v>Central Hawke's Bay </c:v>
                </c:pt>
                <c:pt idx="66">
                  <c:v>Otorohanga </c:v>
                </c:pt>
              </c:strCache>
            </c:strRef>
          </c:cat>
          <c:val>
            <c:numRef>
              <c:f>'bar chart'!$C$3:$C$69</c:f>
              <c:numCache>
                <c:formatCode>General</c:formatCode>
                <c:ptCount val="67"/>
                <c:pt idx="0">
                  <c:v>0.68441534000000004</c:v>
                </c:pt>
                <c:pt idx="1">
                  <c:v>0.64926218999999996</c:v>
                </c:pt>
                <c:pt idx="2">
                  <c:v>0.64856488000000001</c:v>
                </c:pt>
                <c:pt idx="3">
                  <c:v>0.62292700999999995</c:v>
                </c:pt>
                <c:pt idx="4">
                  <c:v>0.61577439</c:v>
                </c:pt>
                <c:pt idx="5">
                  <c:v>0.58325464000000005</c:v>
                </c:pt>
                <c:pt idx="6">
                  <c:v>0.56657433999999995</c:v>
                </c:pt>
                <c:pt idx="7">
                  <c:v>0.56398820999999999</c:v>
                </c:pt>
                <c:pt idx="8">
                  <c:v>0.52307910000000002</c:v>
                </c:pt>
                <c:pt idx="9">
                  <c:v>0.52129095999999997</c:v>
                </c:pt>
                <c:pt idx="10">
                  <c:v>0.51555156999999996</c:v>
                </c:pt>
                <c:pt idx="11">
                  <c:v>0.51265508000000004</c:v>
                </c:pt>
                <c:pt idx="12">
                  <c:v>0.50904691000000002</c:v>
                </c:pt>
                <c:pt idx="13">
                  <c:v>0.50887287000000003</c:v>
                </c:pt>
                <c:pt idx="14">
                  <c:v>0.50600951999999999</c:v>
                </c:pt>
                <c:pt idx="15">
                  <c:v>0.47477143999999999</c:v>
                </c:pt>
                <c:pt idx="16">
                  <c:v>0.47289521000000001</c:v>
                </c:pt>
                <c:pt idx="17">
                  <c:v>0.47231424</c:v>
                </c:pt>
                <c:pt idx="18">
                  <c:v>0.45954993</c:v>
                </c:pt>
                <c:pt idx="19">
                  <c:v>0.44635101999999999</c:v>
                </c:pt>
                <c:pt idx="20">
                  <c:v>0.44125965</c:v>
                </c:pt>
                <c:pt idx="21">
                  <c:v>0.43432747999999999</c:v>
                </c:pt>
                <c:pt idx="22">
                  <c:v>0.43408805</c:v>
                </c:pt>
                <c:pt idx="23">
                  <c:v>0.43042018999999998</c:v>
                </c:pt>
                <c:pt idx="24">
                  <c:v>0.42656037000000002</c:v>
                </c:pt>
                <c:pt idx="25">
                  <c:v>0.42194375000000001</c:v>
                </c:pt>
                <c:pt idx="26">
                  <c:v>0.40862443999999998</c:v>
                </c:pt>
                <c:pt idx="27">
                  <c:v>0.40843006999999998</c:v>
                </c:pt>
                <c:pt idx="28">
                  <c:v>0.39910023999999999</c:v>
                </c:pt>
                <c:pt idx="29">
                  <c:v>0.39786512000000002</c:v>
                </c:pt>
                <c:pt idx="30">
                  <c:v>0.38140088</c:v>
                </c:pt>
                <c:pt idx="31">
                  <c:v>0.37340786999999998</c:v>
                </c:pt>
                <c:pt idx="32">
                  <c:v>0.37260740999999997</c:v>
                </c:pt>
                <c:pt idx="33">
                  <c:v>0.36811659000000002</c:v>
                </c:pt>
                <c:pt idx="34">
                  <c:v>0.36527377</c:v>
                </c:pt>
                <c:pt idx="35">
                  <c:v>0.36329958000000001</c:v>
                </c:pt>
                <c:pt idx="36">
                  <c:v>0.35144129000000002</c:v>
                </c:pt>
                <c:pt idx="37">
                  <c:v>0.35056665999999997</c:v>
                </c:pt>
                <c:pt idx="38">
                  <c:v>0.34940412999999998</c:v>
                </c:pt>
                <c:pt idx="39">
                  <c:v>0.34902164000000002</c:v>
                </c:pt>
                <c:pt idx="40">
                  <c:v>0.34491158</c:v>
                </c:pt>
                <c:pt idx="41">
                  <c:v>0.34409489999999998</c:v>
                </c:pt>
                <c:pt idx="42">
                  <c:v>0.34183416</c:v>
                </c:pt>
                <c:pt idx="43">
                  <c:v>0.32796296000000003</c:v>
                </c:pt>
                <c:pt idx="44">
                  <c:v>0.32514271</c:v>
                </c:pt>
                <c:pt idx="45">
                  <c:v>0.31959095999999998</c:v>
                </c:pt>
                <c:pt idx="46">
                  <c:v>0.31931274999999998</c:v>
                </c:pt>
                <c:pt idx="47">
                  <c:v>0.31375152000000001</c:v>
                </c:pt>
                <c:pt idx="48">
                  <c:v>0.31161290000000003</c:v>
                </c:pt>
                <c:pt idx="49">
                  <c:v>0.29288307000000002</c:v>
                </c:pt>
                <c:pt idx="50">
                  <c:v>0.28003281000000002</c:v>
                </c:pt>
                <c:pt idx="51">
                  <c:v>0.27609890999999998</c:v>
                </c:pt>
                <c:pt idx="52">
                  <c:v>0.27474964000000002</c:v>
                </c:pt>
                <c:pt idx="53">
                  <c:v>0.26388523000000003</c:v>
                </c:pt>
                <c:pt idx="54">
                  <c:v>0.2631579</c:v>
                </c:pt>
                <c:pt idx="55">
                  <c:v>0.25622749</c:v>
                </c:pt>
                <c:pt idx="56">
                  <c:v>0.25181046000000001</c:v>
                </c:pt>
                <c:pt idx="57">
                  <c:v>0.2453573</c:v>
                </c:pt>
                <c:pt idx="58">
                  <c:v>0.22873788</c:v>
                </c:pt>
                <c:pt idx="59">
                  <c:v>0.22104347999999999</c:v>
                </c:pt>
                <c:pt idx="60">
                  <c:v>0.20769402000000001</c:v>
                </c:pt>
                <c:pt idx="61">
                  <c:v>0.20100677</c:v>
                </c:pt>
                <c:pt idx="62">
                  <c:v>0.18955806</c:v>
                </c:pt>
                <c:pt idx="63">
                  <c:v>0.16798387000000001</c:v>
                </c:pt>
                <c:pt idx="64">
                  <c:v>0.15363146</c:v>
                </c:pt>
                <c:pt idx="65">
                  <c:v>0.14753421999999999</c:v>
                </c:pt>
                <c:pt idx="66">
                  <c:v>0.11820219999999999</c:v>
                </c:pt>
              </c:numCache>
            </c:numRef>
          </c:val>
          <c:extLst>
            <c:ext xmlns:c16="http://schemas.microsoft.com/office/drawing/2014/chart" uri="{C3380CC4-5D6E-409C-BE32-E72D297353CC}">
              <c16:uniqueId val="{00000000-7480-7C45-9E47-B4AA7854A163}"/>
            </c:ext>
          </c:extLst>
        </c:ser>
        <c:dLbls>
          <c:showLegendKey val="0"/>
          <c:showVal val="0"/>
          <c:showCatName val="0"/>
          <c:showSerName val="0"/>
          <c:showPercent val="0"/>
          <c:showBubbleSize val="0"/>
        </c:dLbls>
        <c:gapWidth val="50"/>
        <c:axId val="1324345871"/>
        <c:axId val="1222418447"/>
      </c:barChart>
      <c:catAx>
        <c:axId val="132434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222418447"/>
        <c:crosses val="autoZero"/>
        <c:auto val="0"/>
        <c:lblAlgn val="ctr"/>
        <c:lblOffset val="100"/>
        <c:tickLblSkip val="1"/>
        <c:noMultiLvlLbl val="0"/>
      </c:catAx>
      <c:valAx>
        <c:axId val="12224184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1324345871"/>
        <c:crosses val="autoZero"/>
        <c:crossBetween val="midCat"/>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A5A5A5"/>
    </a:accent1>
    <a:accent2>
      <a:srgbClr val="4472C4"/>
    </a:accent2>
    <a:accent3>
      <a:srgbClr val="FFC000"/>
    </a:accent3>
    <a:accent4>
      <a:srgbClr val="ED7D31"/>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85BC3BFA4C7540B23B9AE323F3136E" ma:contentTypeVersion="9" ma:contentTypeDescription="Create a new document." ma:contentTypeScope="" ma:versionID="fac805c075d3183a8b2f6268dfc876a0">
  <xsd:schema xmlns:xsd="http://www.w3.org/2001/XMLSchema" xmlns:xs="http://www.w3.org/2001/XMLSchema" xmlns:p="http://schemas.microsoft.com/office/2006/metadata/properties" xmlns:ns2="2d99181d-28f8-4632-8635-0b0775982e18" targetNamespace="http://schemas.microsoft.com/office/2006/metadata/properties" ma:root="true" ma:fieldsID="36182239b42325d65a1675c81210d2b6" ns2:_="">
    <xsd:import namespace="2d99181d-28f8-4632-8635-0b0775982e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181d-28f8-4632-8635-0b0775982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CBBD5-B29E-4520-BF32-99D3E9615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181d-28f8-4632-8635-0b0775982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AFD693-6C8A-4A6D-BFD4-24E43A1B1986}">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2d99181d-28f8-4632-8635-0b0775982e18"/>
    <ds:schemaRef ds:uri="http://www.w3.org/XML/1998/namespace"/>
    <ds:schemaRef ds:uri="http://purl.org/dc/dcmitype/"/>
  </ds:schemaRefs>
</ds:datastoreItem>
</file>

<file path=customXml/itemProps3.xml><?xml version="1.0" encoding="utf-8"?>
<ds:datastoreItem xmlns:ds="http://schemas.openxmlformats.org/officeDocument/2006/customXml" ds:itemID="{9D25E0CC-F5E3-4C2A-9EAD-5607973826A0}">
  <ds:schemaRefs>
    <ds:schemaRef ds:uri="http://schemas.microsoft.com/sharepoint/v3/contenttype/forms"/>
  </ds:schemaRefs>
</ds:datastoreItem>
</file>

<file path=customXml/itemProps4.xml><?xml version="1.0" encoding="utf-8"?>
<ds:datastoreItem xmlns:ds="http://schemas.openxmlformats.org/officeDocument/2006/customXml" ds:itemID="{706FF2DF-1030-4DEC-806C-20EFE0D7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44</Pages>
  <Words>12282</Words>
  <Characters>70010</Characters>
  <Application>Microsoft Office Word</Application>
  <DocSecurity>0</DocSecurity>
  <Lines>583</Lines>
  <Paragraphs>164</Paragraphs>
  <ScaleCrop>false</ScaleCrop>
  <Company>AUT University</Company>
  <LinksUpToDate>false</LinksUpToDate>
  <CharactersWithSpaces>82128</CharactersWithSpaces>
  <SharedDoc>false</SharedDoc>
  <HLinks>
    <vt:vector size="270" baseType="variant">
      <vt:variant>
        <vt:i4>7602287</vt:i4>
      </vt:variant>
      <vt:variant>
        <vt:i4>276</vt:i4>
      </vt:variant>
      <vt:variant>
        <vt:i4>0</vt:i4>
      </vt:variant>
      <vt:variant>
        <vt:i4>5</vt:i4>
      </vt:variant>
      <vt:variant>
        <vt:lpwstr>https://www.stuff.co.nz/business/102973747/bankrupt-auckland-builder-squanders-15-million-at-skycity-casino</vt:lpwstr>
      </vt:variant>
      <vt:variant>
        <vt:lpwstr/>
      </vt:variant>
      <vt:variant>
        <vt:i4>917528</vt:i4>
      </vt:variant>
      <vt:variant>
        <vt:i4>273</vt:i4>
      </vt:variant>
      <vt:variant>
        <vt:i4>0</vt:i4>
      </vt:variant>
      <vt:variant>
        <vt:i4>5</vt:i4>
      </vt:variant>
      <vt:variant>
        <vt:lpwstr>https://www.adelaide.edu.au/saces/system/files/media/documents/2019-06/study-of-the-impact-of-caps-on-electronic-gaming-machines.pdf</vt:lpwstr>
      </vt:variant>
      <vt:variant>
        <vt:lpwstr/>
      </vt:variant>
      <vt:variant>
        <vt:i4>1638414</vt:i4>
      </vt:variant>
      <vt:variant>
        <vt:i4>270</vt:i4>
      </vt:variant>
      <vt:variant>
        <vt:i4>0</vt:i4>
      </vt:variant>
      <vt:variant>
        <vt:i4>5</vt:i4>
      </vt:variant>
      <vt:variant>
        <vt:lpwstr>https://www.insolvency.govt.nz/support/about/statistics/statistical-data-reports/</vt:lpwstr>
      </vt:variant>
      <vt:variant>
        <vt:lpwstr/>
      </vt:variant>
      <vt:variant>
        <vt:i4>786449</vt:i4>
      </vt:variant>
      <vt:variant>
        <vt:i4>267</vt:i4>
      </vt:variant>
      <vt:variant>
        <vt:i4>0</vt:i4>
      </vt:variant>
      <vt:variant>
        <vt:i4>5</vt:i4>
      </vt:variant>
      <vt:variant>
        <vt:lpwstr>https://doi.org/10.1007/s10899-009-9127-y</vt:lpwstr>
      </vt:variant>
      <vt:variant>
        <vt:lpwstr/>
      </vt:variant>
      <vt:variant>
        <vt:i4>4653072</vt:i4>
      </vt:variant>
      <vt:variant>
        <vt:i4>264</vt:i4>
      </vt:variant>
      <vt:variant>
        <vt:i4>0</vt:i4>
      </vt:variant>
      <vt:variant>
        <vt:i4>5</vt:i4>
      </vt:variant>
      <vt:variant>
        <vt:lpwstr>https://www2.gov.bc.ca/gov/content/sports-culture/gambling-fundraising/gambling-in-bc/reports-publications-statistics</vt:lpwstr>
      </vt:variant>
      <vt:variant>
        <vt:lpwstr/>
      </vt:variant>
      <vt:variant>
        <vt:i4>2424888</vt:i4>
      </vt:variant>
      <vt:variant>
        <vt:i4>261</vt:i4>
      </vt:variant>
      <vt:variant>
        <vt:i4>0</vt:i4>
      </vt:variant>
      <vt:variant>
        <vt:i4>5</vt:i4>
      </vt:variant>
      <vt:variant>
        <vt:lpwstr>https://professorslots.com/online-resource/</vt:lpwstr>
      </vt:variant>
      <vt:variant>
        <vt:lpwstr/>
      </vt:variant>
      <vt:variant>
        <vt:i4>5242884</vt:i4>
      </vt:variant>
      <vt:variant>
        <vt:i4>258</vt:i4>
      </vt:variant>
      <vt:variant>
        <vt:i4>0</vt:i4>
      </vt:variant>
      <vt:variant>
        <vt:i4>5</vt:i4>
      </vt:variant>
      <vt:variant>
        <vt:lpwstr>https://ideas.repec.org/s/eee/jebusi.html</vt:lpwstr>
      </vt:variant>
      <vt:variant>
        <vt:lpwstr/>
      </vt:variant>
      <vt:variant>
        <vt:i4>1179675</vt:i4>
      </vt:variant>
      <vt:variant>
        <vt:i4>255</vt:i4>
      </vt:variant>
      <vt:variant>
        <vt:i4>0</vt:i4>
      </vt:variant>
      <vt:variant>
        <vt:i4>5</vt:i4>
      </vt:variant>
      <vt:variant>
        <vt:lpwstr>https://ideas.repec.org/a/eee/jebusi/v57y2005i4p339-359.html</vt:lpwstr>
      </vt:variant>
      <vt:variant>
        <vt:lpwstr/>
      </vt:variant>
      <vt:variant>
        <vt:i4>7143532</vt:i4>
      </vt:variant>
      <vt:variant>
        <vt:i4>252</vt:i4>
      </vt:variant>
      <vt:variant>
        <vt:i4>0</vt:i4>
      </vt:variant>
      <vt:variant>
        <vt:i4>5</vt:i4>
      </vt:variant>
      <vt:variant>
        <vt:lpwstr>http://www.easg.org/media/file/vienna2010/presentations/Thursday/1330/P2/4_Jonny_Engebo.pdf</vt:lpwstr>
      </vt:variant>
      <vt:variant>
        <vt:lpwstr/>
      </vt:variant>
      <vt:variant>
        <vt:i4>5046346</vt:i4>
      </vt:variant>
      <vt:variant>
        <vt:i4>249</vt:i4>
      </vt:variant>
      <vt:variant>
        <vt:i4>0</vt:i4>
      </vt:variant>
      <vt:variant>
        <vt:i4>5</vt:i4>
      </vt:variant>
      <vt:variant>
        <vt:lpwstr>https://www.americangaming.org/wp-content/uploads/2020/06/AGA-2020-State_of_the_States_FINAL.pdf</vt:lpwstr>
      </vt:variant>
      <vt:variant>
        <vt:lpwstr/>
      </vt:variant>
      <vt:variant>
        <vt:i4>3866683</vt:i4>
      </vt:variant>
      <vt:variant>
        <vt:i4>246</vt:i4>
      </vt:variant>
      <vt:variant>
        <vt:i4>0</vt:i4>
      </vt:variant>
      <vt:variant>
        <vt:i4>5</vt:i4>
      </vt:variant>
      <vt:variant>
        <vt:lpwstr>https://aglc.ca/documents/liquor-licensee-handbook</vt:lpwstr>
      </vt:variant>
      <vt:variant>
        <vt:lpwstr/>
      </vt:variant>
      <vt:variant>
        <vt:i4>2031667</vt:i4>
      </vt:variant>
      <vt:variant>
        <vt:i4>200</vt:i4>
      </vt:variant>
      <vt:variant>
        <vt:i4>0</vt:i4>
      </vt:variant>
      <vt:variant>
        <vt:i4>5</vt:i4>
      </vt:variant>
      <vt:variant>
        <vt:lpwstr/>
      </vt:variant>
      <vt:variant>
        <vt:lpwstr>_Toc50033358</vt:lpwstr>
      </vt:variant>
      <vt:variant>
        <vt:i4>1048627</vt:i4>
      </vt:variant>
      <vt:variant>
        <vt:i4>194</vt:i4>
      </vt:variant>
      <vt:variant>
        <vt:i4>0</vt:i4>
      </vt:variant>
      <vt:variant>
        <vt:i4>5</vt:i4>
      </vt:variant>
      <vt:variant>
        <vt:lpwstr/>
      </vt:variant>
      <vt:variant>
        <vt:lpwstr>_Toc50033357</vt:lpwstr>
      </vt:variant>
      <vt:variant>
        <vt:i4>1114163</vt:i4>
      </vt:variant>
      <vt:variant>
        <vt:i4>188</vt:i4>
      </vt:variant>
      <vt:variant>
        <vt:i4>0</vt:i4>
      </vt:variant>
      <vt:variant>
        <vt:i4>5</vt:i4>
      </vt:variant>
      <vt:variant>
        <vt:lpwstr/>
      </vt:variant>
      <vt:variant>
        <vt:lpwstr>_Toc50033356</vt:lpwstr>
      </vt:variant>
      <vt:variant>
        <vt:i4>1179699</vt:i4>
      </vt:variant>
      <vt:variant>
        <vt:i4>182</vt:i4>
      </vt:variant>
      <vt:variant>
        <vt:i4>0</vt:i4>
      </vt:variant>
      <vt:variant>
        <vt:i4>5</vt:i4>
      </vt:variant>
      <vt:variant>
        <vt:lpwstr/>
      </vt:variant>
      <vt:variant>
        <vt:lpwstr>_Toc50033355</vt:lpwstr>
      </vt:variant>
      <vt:variant>
        <vt:i4>1245235</vt:i4>
      </vt:variant>
      <vt:variant>
        <vt:i4>176</vt:i4>
      </vt:variant>
      <vt:variant>
        <vt:i4>0</vt:i4>
      </vt:variant>
      <vt:variant>
        <vt:i4>5</vt:i4>
      </vt:variant>
      <vt:variant>
        <vt:lpwstr/>
      </vt:variant>
      <vt:variant>
        <vt:lpwstr>_Toc50033354</vt:lpwstr>
      </vt:variant>
      <vt:variant>
        <vt:i4>1310771</vt:i4>
      </vt:variant>
      <vt:variant>
        <vt:i4>170</vt:i4>
      </vt:variant>
      <vt:variant>
        <vt:i4>0</vt:i4>
      </vt:variant>
      <vt:variant>
        <vt:i4>5</vt:i4>
      </vt:variant>
      <vt:variant>
        <vt:lpwstr/>
      </vt:variant>
      <vt:variant>
        <vt:lpwstr>_Toc50033353</vt:lpwstr>
      </vt:variant>
      <vt:variant>
        <vt:i4>1376307</vt:i4>
      </vt:variant>
      <vt:variant>
        <vt:i4>164</vt:i4>
      </vt:variant>
      <vt:variant>
        <vt:i4>0</vt:i4>
      </vt:variant>
      <vt:variant>
        <vt:i4>5</vt:i4>
      </vt:variant>
      <vt:variant>
        <vt:lpwstr/>
      </vt:variant>
      <vt:variant>
        <vt:lpwstr>_Toc50033352</vt:lpwstr>
      </vt:variant>
      <vt:variant>
        <vt:i4>1441843</vt:i4>
      </vt:variant>
      <vt:variant>
        <vt:i4>158</vt:i4>
      </vt:variant>
      <vt:variant>
        <vt:i4>0</vt:i4>
      </vt:variant>
      <vt:variant>
        <vt:i4>5</vt:i4>
      </vt:variant>
      <vt:variant>
        <vt:lpwstr/>
      </vt:variant>
      <vt:variant>
        <vt:lpwstr>_Toc50033351</vt:lpwstr>
      </vt:variant>
      <vt:variant>
        <vt:i4>1048625</vt:i4>
      </vt:variant>
      <vt:variant>
        <vt:i4>149</vt:i4>
      </vt:variant>
      <vt:variant>
        <vt:i4>0</vt:i4>
      </vt:variant>
      <vt:variant>
        <vt:i4>5</vt:i4>
      </vt:variant>
      <vt:variant>
        <vt:lpwstr/>
      </vt:variant>
      <vt:variant>
        <vt:lpwstr>_Toc50034206</vt:lpwstr>
      </vt:variant>
      <vt:variant>
        <vt:i4>1245233</vt:i4>
      </vt:variant>
      <vt:variant>
        <vt:i4>143</vt:i4>
      </vt:variant>
      <vt:variant>
        <vt:i4>0</vt:i4>
      </vt:variant>
      <vt:variant>
        <vt:i4>5</vt:i4>
      </vt:variant>
      <vt:variant>
        <vt:lpwstr/>
      </vt:variant>
      <vt:variant>
        <vt:lpwstr>_Toc50034205</vt:lpwstr>
      </vt:variant>
      <vt:variant>
        <vt:i4>1179697</vt:i4>
      </vt:variant>
      <vt:variant>
        <vt:i4>137</vt:i4>
      </vt:variant>
      <vt:variant>
        <vt:i4>0</vt:i4>
      </vt:variant>
      <vt:variant>
        <vt:i4>5</vt:i4>
      </vt:variant>
      <vt:variant>
        <vt:lpwstr/>
      </vt:variant>
      <vt:variant>
        <vt:lpwstr>_Toc50034204</vt:lpwstr>
      </vt:variant>
      <vt:variant>
        <vt:i4>1376305</vt:i4>
      </vt:variant>
      <vt:variant>
        <vt:i4>131</vt:i4>
      </vt:variant>
      <vt:variant>
        <vt:i4>0</vt:i4>
      </vt:variant>
      <vt:variant>
        <vt:i4>5</vt:i4>
      </vt:variant>
      <vt:variant>
        <vt:lpwstr/>
      </vt:variant>
      <vt:variant>
        <vt:lpwstr>_Toc50034203</vt:lpwstr>
      </vt:variant>
      <vt:variant>
        <vt:i4>1310769</vt:i4>
      </vt:variant>
      <vt:variant>
        <vt:i4>125</vt:i4>
      </vt:variant>
      <vt:variant>
        <vt:i4>0</vt:i4>
      </vt:variant>
      <vt:variant>
        <vt:i4>5</vt:i4>
      </vt:variant>
      <vt:variant>
        <vt:lpwstr/>
      </vt:variant>
      <vt:variant>
        <vt:lpwstr>_Toc50034202</vt:lpwstr>
      </vt:variant>
      <vt:variant>
        <vt:i4>1507390</vt:i4>
      </vt:variant>
      <vt:variant>
        <vt:i4>116</vt:i4>
      </vt:variant>
      <vt:variant>
        <vt:i4>0</vt:i4>
      </vt:variant>
      <vt:variant>
        <vt:i4>5</vt:i4>
      </vt:variant>
      <vt:variant>
        <vt:lpwstr/>
      </vt:variant>
      <vt:variant>
        <vt:lpwstr>_Toc50033380</vt:lpwstr>
      </vt:variant>
      <vt:variant>
        <vt:i4>1966129</vt:i4>
      </vt:variant>
      <vt:variant>
        <vt:i4>110</vt:i4>
      </vt:variant>
      <vt:variant>
        <vt:i4>0</vt:i4>
      </vt:variant>
      <vt:variant>
        <vt:i4>5</vt:i4>
      </vt:variant>
      <vt:variant>
        <vt:lpwstr/>
      </vt:variant>
      <vt:variant>
        <vt:lpwstr>_Toc50033379</vt:lpwstr>
      </vt:variant>
      <vt:variant>
        <vt:i4>2031665</vt:i4>
      </vt:variant>
      <vt:variant>
        <vt:i4>104</vt:i4>
      </vt:variant>
      <vt:variant>
        <vt:i4>0</vt:i4>
      </vt:variant>
      <vt:variant>
        <vt:i4>5</vt:i4>
      </vt:variant>
      <vt:variant>
        <vt:lpwstr/>
      </vt:variant>
      <vt:variant>
        <vt:lpwstr>_Toc50033378</vt:lpwstr>
      </vt:variant>
      <vt:variant>
        <vt:i4>1048625</vt:i4>
      </vt:variant>
      <vt:variant>
        <vt:i4>98</vt:i4>
      </vt:variant>
      <vt:variant>
        <vt:i4>0</vt:i4>
      </vt:variant>
      <vt:variant>
        <vt:i4>5</vt:i4>
      </vt:variant>
      <vt:variant>
        <vt:lpwstr/>
      </vt:variant>
      <vt:variant>
        <vt:lpwstr>_Toc50033377</vt:lpwstr>
      </vt:variant>
      <vt:variant>
        <vt:i4>1114161</vt:i4>
      </vt:variant>
      <vt:variant>
        <vt:i4>92</vt:i4>
      </vt:variant>
      <vt:variant>
        <vt:i4>0</vt:i4>
      </vt:variant>
      <vt:variant>
        <vt:i4>5</vt:i4>
      </vt:variant>
      <vt:variant>
        <vt:lpwstr/>
      </vt:variant>
      <vt:variant>
        <vt:lpwstr>_Toc50033376</vt:lpwstr>
      </vt:variant>
      <vt:variant>
        <vt:i4>1179697</vt:i4>
      </vt:variant>
      <vt:variant>
        <vt:i4>86</vt:i4>
      </vt:variant>
      <vt:variant>
        <vt:i4>0</vt:i4>
      </vt:variant>
      <vt:variant>
        <vt:i4>5</vt:i4>
      </vt:variant>
      <vt:variant>
        <vt:lpwstr/>
      </vt:variant>
      <vt:variant>
        <vt:lpwstr>_Toc50033375</vt:lpwstr>
      </vt:variant>
      <vt:variant>
        <vt:i4>1245233</vt:i4>
      </vt:variant>
      <vt:variant>
        <vt:i4>80</vt:i4>
      </vt:variant>
      <vt:variant>
        <vt:i4>0</vt:i4>
      </vt:variant>
      <vt:variant>
        <vt:i4>5</vt:i4>
      </vt:variant>
      <vt:variant>
        <vt:lpwstr/>
      </vt:variant>
      <vt:variant>
        <vt:lpwstr>_Toc50033374</vt:lpwstr>
      </vt:variant>
      <vt:variant>
        <vt:i4>1310769</vt:i4>
      </vt:variant>
      <vt:variant>
        <vt:i4>74</vt:i4>
      </vt:variant>
      <vt:variant>
        <vt:i4>0</vt:i4>
      </vt:variant>
      <vt:variant>
        <vt:i4>5</vt:i4>
      </vt:variant>
      <vt:variant>
        <vt:lpwstr/>
      </vt:variant>
      <vt:variant>
        <vt:lpwstr>_Toc50033373</vt:lpwstr>
      </vt:variant>
      <vt:variant>
        <vt:i4>1376305</vt:i4>
      </vt:variant>
      <vt:variant>
        <vt:i4>68</vt:i4>
      </vt:variant>
      <vt:variant>
        <vt:i4>0</vt:i4>
      </vt:variant>
      <vt:variant>
        <vt:i4>5</vt:i4>
      </vt:variant>
      <vt:variant>
        <vt:lpwstr/>
      </vt:variant>
      <vt:variant>
        <vt:lpwstr>_Toc50033372</vt:lpwstr>
      </vt:variant>
      <vt:variant>
        <vt:i4>1441841</vt:i4>
      </vt:variant>
      <vt:variant>
        <vt:i4>62</vt:i4>
      </vt:variant>
      <vt:variant>
        <vt:i4>0</vt:i4>
      </vt:variant>
      <vt:variant>
        <vt:i4>5</vt:i4>
      </vt:variant>
      <vt:variant>
        <vt:lpwstr/>
      </vt:variant>
      <vt:variant>
        <vt:lpwstr>_Toc50033371</vt:lpwstr>
      </vt:variant>
      <vt:variant>
        <vt:i4>1507377</vt:i4>
      </vt:variant>
      <vt:variant>
        <vt:i4>56</vt:i4>
      </vt:variant>
      <vt:variant>
        <vt:i4>0</vt:i4>
      </vt:variant>
      <vt:variant>
        <vt:i4>5</vt:i4>
      </vt:variant>
      <vt:variant>
        <vt:lpwstr/>
      </vt:variant>
      <vt:variant>
        <vt:lpwstr>_Toc50033370</vt:lpwstr>
      </vt:variant>
      <vt:variant>
        <vt:i4>1966128</vt:i4>
      </vt:variant>
      <vt:variant>
        <vt:i4>50</vt:i4>
      </vt:variant>
      <vt:variant>
        <vt:i4>0</vt:i4>
      </vt:variant>
      <vt:variant>
        <vt:i4>5</vt:i4>
      </vt:variant>
      <vt:variant>
        <vt:lpwstr/>
      </vt:variant>
      <vt:variant>
        <vt:lpwstr>_Toc50033369</vt:lpwstr>
      </vt:variant>
      <vt:variant>
        <vt:i4>2031664</vt:i4>
      </vt:variant>
      <vt:variant>
        <vt:i4>44</vt:i4>
      </vt:variant>
      <vt:variant>
        <vt:i4>0</vt:i4>
      </vt:variant>
      <vt:variant>
        <vt:i4>5</vt:i4>
      </vt:variant>
      <vt:variant>
        <vt:lpwstr/>
      </vt:variant>
      <vt:variant>
        <vt:lpwstr>_Toc50033368</vt:lpwstr>
      </vt:variant>
      <vt:variant>
        <vt:i4>1048624</vt:i4>
      </vt:variant>
      <vt:variant>
        <vt:i4>38</vt:i4>
      </vt:variant>
      <vt:variant>
        <vt:i4>0</vt:i4>
      </vt:variant>
      <vt:variant>
        <vt:i4>5</vt:i4>
      </vt:variant>
      <vt:variant>
        <vt:lpwstr/>
      </vt:variant>
      <vt:variant>
        <vt:lpwstr>_Toc50033367</vt:lpwstr>
      </vt:variant>
      <vt:variant>
        <vt:i4>1245232</vt:i4>
      </vt:variant>
      <vt:variant>
        <vt:i4>32</vt:i4>
      </vt:variant>
      <vt:variant>
        <vt:i4>0</vt:i4>
      </vt:variant>
      <vt:variant>
        <vt:i4>5</vt:i4>
      </vt:variant>
      <vt:variant>
        <vt:lpwstr/>
      </vt:variant>
      <vt:variant>
        <vt:lpwstr>_Toc50033364</vt:lpwstr>
      </vt:variant>
      <vt:variant>
        <vt:i4>1310768</vt:i4>
      </vt:variant>
      <vt:variant>
        <vt:i4>26</vt:i4>
      </vt:variant>
      <vt:variant>
        <vt:i4>0</vt:i4>
      </vt:variant>
      <vt:variant>
        <vt:i4>5</vt:i4>
      </vt:variant>
      <vt:variant>
        <vt:lpwstr/>
      </vt:variant>
      <vt:variant>
        <vt:lpwstr>_Toc50033363</vt:lpwstr>
      </vt:variant>
      <vt:variant>
        <vt:i4>1376304</vt:i4>
      </vt:variant>
      <vt:variant>
        <vt:i4>20</vt:i4>
      </vt:variant>
      <vt:variant>
        <vt:i4>0</vt:i4>
      </vt:variant>
      <vt:variant>
        <vt:i4>5</vt:i4>
      </vt:variant>
      <vt:variant>
        <vt:lpwstr/>
      </vt:variant>
      <vt:variant>
        <vt:lpwstr>_Toc50033362</vt:lpwstr>
      </vt:variant>
      <vt:variant>
        <vt:i4>1441840</vt:i4>
      </vt:variant>
      <vt:variant>
        <vt:i4>14</vt:i4>
      </vt:variant>
      <vt:variant>
        <vt:i4>0</vt:i4>
      </vt:variant>
      <vt:variant>
        <vt:i4>5</vt:i4>
      </vt:variant>
      <vt:variant>
        <vt:lpwstr/>
      </vt:variant>
      <vt:variant>
        <vt:lpwstr>_Toc50033361</vt:lpwstr>
      </vt:variant>
      <vt:variant>
        <vt:i4>1507376</vt:i4>
      </vt:variant>
      <vt:variant>
        <vt:i4>8</vt:i4>
      </vt:variant>
      <vt:variant>
        <vt:i4>0</vt:i4>
      </vt:variant>
      <vt:variant>
        <vt:i4>5</vt:i4>
      </vt:variant>
      <vt:variant>
        <vt:lpwstr/>
      </vt:variant>
      <vt:variant>
        <vt:lpwstr>_Toc50033360</vt:lpwstr>
      </vt:variant>
      <vt:variant>
        <vt:i4>1966131</vt:i4>
      </vt:variant>
      <vt:variant>
        <vt:i4>2</vt:i4>
      </vt:variant>
      <vt:variant>
        <vt:i4>0</vt:i4>
      </vt:variant>
      <vt:variant>
        <vt:i4>5</vt:i4>
      </vt:variant>
      <vt:variant>
        <vt:lpwstr/>
      </vt:variant>
      <vt:variant>
        <vt:lpwstr>_Toc50033359</vt:lpwstr>
      </vt:variant>
      <vt:variant>
        <vt:i4>8192054</vt:i4>
      </vt:variant>
      <vt:variant>
        <vt:i4>0</vt:i4>
      </vt:variant>
      <vt:variant>
        <vt:i4>0</vt:i4>
      </vt:variant>
      <vt:variant>
        <vt:i4>5</vt:i4>
      </vt:variant>
      <vt:variant>
        <vt:lpwstr>https://www.mbie.govt.nz/business-and-employment/economic-development/regional-economic-development/modelled-territorial-authority-gross-domestic-product/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Turcu</dc:creator>
  <cp:keywords/>
  <dc:description/>
  <cp:lastModifiedBy>Alexandra Turcu</cp:lastModifiedBy>
  <cp:revision>7</cp:revision>
  <cp:lastPrinted>2020-09-02T20:54:00Z</cp:lastPrinted>
  <dcterms:created xsi:type="dcterms:W3CDTF">2021-09-09T00:47:00Z</dcterms:created>
  <dcterms:modified xsi:type="dcterms:W3CDTF">2021-09-21T18:01:00Z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0x010100DD85BC3BFA4C7540B23B9AE323F3136E</vt:lpwstr>
  </property>
</Properties>
</file>