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ED7EA" w14:textId="04FFD1AD" w:rsidR="008770FC" w:rsidRPr="008770FC" w:rsidRDefault="005F065B" w:rsidP="008770FC">
      <w:pPr>
        <w:spacing w:before="0" w:after="0"/>
        <w:rPr>
          <w:rFonts w:ascii="Times New Roman" w:hAnsi="Times New Roman"/>
          <w:sz w:val="24"/>
        </w:rPr>
      </w:pPr>
      <w:r w:rsidRPr="001B2BC1">
        <w:rPr>
          <w:rFonts w:ascii="Arial Black" w:hAnsi="Arial Black"/>
          <w:b/>
          <w:noProof/>
          <w:color w:val="FFFFFF" w:themeColor="background1"/>
          <w:sz w:val="48"/>
          <w:szCs w:val="48"/>
        </w:rPr>
        <mc:AlternateContent>
          <mc:Choice Requires="wps">
            <w:drawing>
              <wp:anchor distT="0" distB="0" distL="114300" distR="114300" simplePos="0" relativeHeight="251659263" behindDoc="1" locked="0" layoutInCell="1" allowOverlap="1" wp14:anchorId="6C7174DA" wp14:editId="609D5B36">
                <wp:simplePos x="0" y="0"/>
                <wp:positionH relativeFrom="column">
                  <wp:posOffset>-1210310</wp:posOffset>
                </wp:positionH>
                <wp:positionV relativeFrom="paragraph">
                  <wp:posOffset>-917470</wp:posOffset>
                </wp:positionV>
                <wp:extent cx="7620000" cy="10714616"/>
                <wp:effectExtent l="0" t="0" r="12700" b="1714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10714616"/>
                        </a:xfrm>
                        <a:prstGeom prst="rect">
                          <a:avLst/>
                        </a:prstGeom>
                        <a:solidFill>
                          <a:schemeClr val="accent3">
                            <a:lumMod val="50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95FCB" id="Rectangle 4" o:spid="_x0000_s1026" alt="&quot;&quot;" style="position:absolute;margin-left:-95.3pt;margin-top:-72.25pt;width:600pt;height:843.6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" fillcolor="#0b596d [1606]" strokecolor="black [1600]" strokeweight="1pt"/>
            </w:pict>
          </mc:Fallback>
        </mc:AlternateContent>
      </w:r>
    </w:p>
    <w:sdt>
      <w:sdtPr>
        <w:rPr>
          <w:rFonts w:ascii="Arial Black" w:hAnsi="Arial Black"/>
          <w:b/>
          <w:color w:val="FFFFFF" w:themeColor="background1"/>
          <w:sz w:val="48"/>
          <w:szCs w:val="48"/>
        </w:rPr>
        <w:id w:val="-654921946"/>
        <w:docPartObj>
          <w:docPartGallery w:val="Cover Pages"/>
          <w:docPartUnique/>
        </w:docPartObj>
      </w:sdtPr>
      <w:sdtEndPr>
        <w:rPr>
          <w:rFonts w:ascii="Arial Nova Light" w:hAnsi="Arial Nova Light"/>
          <w:color w:val="auto"/>
          <w:sz w:val="20"/>
          <w:szCs w:val="24"/>
        </w:rPr>
      </w:sdtEndPr>
      <w:sdtContent>
        <w:p w14:paraId="644121F5" w14:textId="787D9666" w:rsidR="00EC1903" w:rsidRPr="001B2BC1" w:rsidRDefault="00EC1903">
          <w:pPr>
            <w:rPr>
              <w:rFonts w:ascii="Arial Black" w:hAnsi="Arial Black"/>
              <w:b/>
              <w:color w:val="FFFFFF" w:themeColor="background1"/>
              <w:sz w:val="48"/>
              <w:szCs w:val="48"/>
            </w:rPr>
          </w:pPr>
        </w:p>
        <w:p w14:paraId="23C1FD8A" w14:textId="1A6FFCC3" w:rsidR="001B2BC1" w:rsidRPr="00F7322A" w:rsidRDefault="001B2BC1" w:rsidP="00F7322A">
          <w:pPr>
            <w:pStyle w:val="Title1"/>
          </w:pPr>
          <w:r w:rsidRPr="00F7322A">
            <w:t>More than just a jab</w:t>
          </w:r>
        </w:p>
        <w:p w14:paraId="0C2CB68E" w14:textId="294EBB6A" w:rsidR="001B2BC1" w:rsidRDefault="001B2BC1">
          <w:pPr>
            <w:rPr>
              <w:rFonts w:ascii="Arial Black" w:hAnsi="Arial Black"/>
              <w:b/>
              <w:color w:val="FFFFFF" w:themeColor="background1"/>
              <w:sz w:val="48"/>
              <w:szCs w:val="48"/>
            </w:rPr>
          </w:pPr>
        </w:p>
        <w:p w14:paraId="4C78AD72" w14:textId="77777777" w:rsidR="00FE5AA9" w:rsidRDefault="00FE5AA9">
          <w:pPr>
            <w:rPr>
              <w:rFonts w:ascii="Arial Black" w:hAnsi="Arial Black"/>
              <w:b/>
              <w:color w:val="FFFFFF" w:themeColor="background1"/>
              <w:sz w:val="48"/>
              <w:szCs w:val="48"/>
            </w:rPr>
          </w:pPr>
        </w:p>
        <w:p w14:paraId="5B0BA48A" w14:textId="77777777" w:rsidR="001B2BC1" w:rsidRDefault="00FE5AA9">
          <w:pPr>
            <w:rPr>
              <w:rFonts w:ascii="Arial Black" w:hAnsi="Arial Black"/>
              <w:b/>
              <w:color w:val="FFFFFF" w:themeColor="background1"/>
              <w:sz w:val="48"/>
              <w:szCs w:val="48"/>
            </w:rPr>
          </w:pPr>
          <w:r w:rsidRPr="00FE5AA9">
            <w:rPr>
              <w:rFonts w:ascii="Arial Black" w:hAnsi="Arial Black"/>
              <w:b/>
              <w:noProof/>
              <w:color w:val="FFFFFF" w:themeColor="background1"/>
              <w:sz w:val="48"/>
              <w:szCs w:val="48"/>
            </w:rPr>
            <w:drawing>
              <wp:inline distT="0" distB="0" distL="0" distR="0" wp14:anchorId="39529904" wp14:editId="4DB90220">
                <wp:extent cx="5219700" cy="2936240"/>
                <wp:effectExtent l="0" t="0" r="0" b="0"/>
                <wp:docPr id="13" name="Picture 13" descr="Examples from one provider's delivery of MIVP services. 4 photos show workers in PPE under a tent, with vans nearby; a worker in PPE and hi-viz under an umbrella, managing a crowd; a small group of tamariki next to an outdoor drive-through COVID testing site wave, as workers in PPE talk to whānau behind them; a group of sit down to a m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xamples from one provider's delivery of MIVP services. 4 photos show workers in PPE under a tent, with vans nearby; a worker in PPE and hi-viz under an umbrella, managing a crowd; a small group of tamariki next to an outdoor drive-through COVID testing site wave, as workers in PPE talk to whānau behind them; a group of sit down to a meal. "/>
                        <pic:cNvPicPr/>
                      </pic:nvPicPr>
                      <pic:blipFill>
                        <a:blip r:embed="rId15"/>
                        <a:stretch>
                          <a:fillRect/>
                        </a:stretch>
                      </pic:blipFill>
                      <pic:spPr>
                        <a:xfrm>
                          <a:off x="0" y="0"/>
                          <a:ext cx="5219700" cy="2936240"/>
                        </a:xfrm>
                        <a:prstGeom prst="rect">
                          <a:avLst/>
                        </a:prstGeom>
                      </pic:spPr>
                    </pic:pic>
                  </a:graphicData>
                </a:graphic>
              </wp:inline>
            </w:drawing>
          </w:r>
        </w:p>
        <w:p w14:paraId="2FAD3BE6" w14:textId="77777777" w:rsidR="00FE5AA9" w:rsidRPr="00FE5AA9" w:rsidRDefault="00FE5AA9">
          <w:pPr>
            <w:rPr>
              <w:rFonts w:ascii="Arial Black" w:hAnsi="Arial Black"/>
              <w:b/>
              <w:color w:val="FFFFFF" w:themeColor="background1"/>
              <w:sz w:val="48"/>
              <w:szCs w:val="48"/>
            </w:rPr>
          </w:pPr>
        </w:p>
        <w:p w14:paraId="63C9A14B" w14:textId="07620EA9" w:rsidR="00FE5AA9" w:rsidRPr="00694C8A" w:rsidRDefault="00FE5AA9" w:rsidP="00F7322A">
          <w:pPr>
            <w:pStyle w:val="Subtitle1"/>
          </w:pPr>
          <w:r w:rsidRPr="00694C8A">
            <w:t xml:space="preserve">Evaluation of the Māori </w:t>
          </w:r>
          <w:r w:rsidR="00A32861">
            <w:t>i</w:t>
          </w:r>
          <w:r w:rsidRPr="00694C8A">
            <w:t>nfluenza</w:t>
          </w:r>
          <w:r w:rsidR="00694C8A" w:rsidRPr="00694C8A">
            <w:t xml:space="preserve"> </w:t>
          </w:r>
          <w:r w:rsidRPr="00694C8A">
            <w:t>vaccination programme as part of the COVID-19 Māori health response</w:t>
          </w:r>
        </w:p>
        <w:p w14:paraId="4F3C1CE0" w14:textId="502C8CF3" w:rsidR="00FE5AA9" w:rsidRPr="00FE5AA9" w:rsidRDefault="00FE5AA9">
          <w:pPr>
            <w:rPr>
              <w:color w:val="FFFFFF" w:themeColor="background1"/>
              <w:sz w:val="48"/>
              <w:szCs w:val="48"/>
            </w:rPr>
          </w:pPr>
        </w:p>
        <w:p w14:paraId="58281C5E" w14:textId="77777777" w:rsidR="00FE5AA9" w:rsidRPr="00FE5AA9" w:rsidRDefault="00FE5AA9">
          <w:pPr>
            <w:rPr>
              <w:color w:val="FFFFFF" w:themeColor="background1"/>
              <w:sz w:val="48"/>
              <w:szCs w:val="48"/>
            </w:rPr>
          </w:pPr>
        </w:p>
        <w:p w14:paraId="2D4BEB3C" w14:textId="776E0194" w:rsidR="001B2BC1" w:rsidRPr="00FE5AA9" w:rsidRDefault="001B2BC1">
          <w:pPr>
            <w:rPr>
              <w:color w:val="FFFFFF" w:themeColor="background1"/>
              <w:sz w:val="32"/>
              <w:szCs w:val="32"/>
            </w:rPr>
          </w:pPr>
          <w:r w:rsidRPr="00FE5AA9">
            <w:rPr>
              <w:color w:val="FFFFFF" w:themeColor="background1"/>
              <w:sz w:val="32"/>
              <w:szCs w:val="32"/>
            </w:rPr>
            <w:t>Prepared by Research Evaluation Consultancy</w:t>
          </w:r>
        </w:p>
        <w:p w14:paraId="71A8D374" w14:textId="7BBF711A" w:rsidR="00EC1903" w:rsidRDefault="001B2BC1">
          <w:r w:rsidRPr="00FE5AA9">
            <w:rPr>
              <w:color w:val="FFFFFF" w:themeColor="background1"/>
              <w:sz w:val="32"/>
              <w:szCs w:val="32"/>
            </w:rPr>
            <w:t>December 2020</w:t>
          </w:r>
          <w:r w:rsidR="00EC1903" w:rsidRPr="00FE5AA9">
            <w:rPr>
              <w:b/>
              <w:color w:val="FFFFFF" w:themeColor="background1"/>
            </w:rPr>
            <w:br w:type="page"/>
          </w:r>
        </w:p>
      </w:sdtContent>
    </w:sdt>
    <w:p w14:paraId="74C4F3D6" w14:textId="77777777" w:rsidR="00525907" w:rsidRDefault="00525907" w:rsidP="001C1704">
      <w:pPr>
        <w:pStyle w:val="Heading3"/>
      </w:pPr>
      <w:r w:rsidRPr="005E4A07">
        <w:lastRenderedPageBreak/>
        <w:t>Report</w:t>
      </w:r>
      <w:r>
        <w:t xml:space="preserve"> Information</w:t>
      </w:r>
    </w:p>
    <w:tbl>
      <w:tblPr>
        <w:tblStyle w:val="TableGrid"/>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ayout w:type="fixed"/>
        <w:tblCellMar>
          <w:top w:w="142" w:type="dxa"/>
          <w:bottom w:w="108" w:type="dxa"/>
        </w:tblCellMar>
        <w:tblLook w:val="04A0" w:firstRow="1" w:lastRow="0" w:firstColumn="1" w:lastColumn="0" w:noHBand="0" w:noVBand="1"/>
      </w:tblPr>
      <w:tblGrid>
        <w:gridCol w:w="1696"/>
        <w:gridCol w:w="6514"/>
      </w:tblGrid>
      <w:tr w:rsidR="00525907" w14:paraId="2E501FFF" w14:textId="77777777" w:rsidTr="00525907">
        <w:tc>
          <w:tcPr>
            <w:tcW w:w="1696" w:type="dxa"/>
          </w:tcPr>
          <w:p w14:paraId="42CB4BC2" w14:textId="77777777" w:rsidR="00525907" w:rsidRPr="00DF1989" w:rsidRDefault="00525907" w:rsidP="00525907">
            <w:pPr>
              <w:rPr>
                <w:szCs w:val="20"/>
              </w:rPr>
            </w:pPr>
            <w:r w:rsidRPr="00DF1989">
              <w:rPr>
                <w:szCs w:val="20"/>
              </w:rPr>
              <w:t>Prepared for</w:t>
            </w:r>
          </w:p>
        </w:tc>
        <w:sdt>
          <w:sdtPr>
            <w:rPr>
              <w:szCs w:val="20"/>
            </w:rPr>
            <w:id w:val="-2127148534"/>
            <w:text/>
          </w:sdtPr>
          <w:sdtEndPr/>
          <w:sdtContent>
            <w:tc>
              <w:tcPr>
                <w:tcW w:w="6514" w:type="dxa"/>
              </w:tcPr>
              <w:p w14:paraId="0C26246D" w14:textId="1931B8DB" w:rsidR="00525907" w:rsidRPr="00DF1989" w:rsidRDefault="00C11ADB" w:rsidP="00202AF1">
                <w:pPr>
                  <w:rPr>
                    <w:szCs w:val="20"/>
                  </w:rPr>
                </w:pPr>
                <w:r>
                  <w:rPr>
                    <w:szCs w:val="20"/>
                  </w:rPr>
                  <w:t>The Ministry of Health</w:t>
                </w:r>
              </w:p>
            </w:tc>
          </w:sdtContent>
        </w:sdt>
      </w:tr>
      <w:tr w:rsidR="00525907" w14:paraId="305F04F2" w14:textId="77777777" w:rsidTr="00525907">
        <w:tc>
          <w:tcPr>
            <w:tcW w:w="1696" w:type="dxa"/>
          </w:tcPr>
          <w:p w14:paraId="52E84E88" w14:textId="77777777" w:rsidR="00525907" w:rsidRPr="00DF1989" w:rsidRDefault="00525907" w:rsidP="00525907">
            <w:pPr>
              <w:rPr>
                <w:szCs w:val="20"/>
              </w:rPr>
            </w:pPr>
            <w:r w:rsidRPr="00DF1989">
              <w:rPr>
                <w:szCs w:val="20"/>
              </w:rPr>
              <w:t>Prepared by</w:t>
            </w:r>
          </w:p>
        </w:tc>
        <w:tc>
          <w:tcPr>
            <w:tcW w:w="6514" w:type="dxa"/>
          </w:tcPr>
          <w:p w14:paraId="21CF7F9A" w14:textId="34BE6E67" w:rsidR="00525907" w:rsidRPr="00DF1989" w:rsidRDefault="0039464B" w:rsidP="00525907">
            <w:pPr>
              <w:rPr>
                <w:szCs w:val="20"/>
              </w:rPr>
            </w:pPr>
            <w:r>
              <w:rPr>
                <w:szCs w:val="20"/>
              </w:rPr>
              <w:t xml:space="preserve">Nan </w:t>
            </w:r>
            <w:proofErr w:type="spellStart"/>
            <w:r>
              <w:rPr>
                <w:szCs w:val="20"/>
              </w:rPr>
              <w:t>Wehipeihana</w:t>
            </w:r>
            <w:proofErr w:type="spellEnd"/>
            <w:r>
              <w:rPr>
                <w:szCs w:val="20"/>
              </w:rPr>
              <w:t xml:space="preserve">, Kahiwa Sebire, Kellie </w:t>
            </w:r>
            <w:proofErr w:type="spellStart"/>
            <w:r>
              <w:rPr>
                <w:szCs w:val="20"/>
              </w:rPr>
              <w:t>Spee</w:t>
            </w:r>
            <w:proofErr w:type="spellEnd"/>
            <w:r w:rsidR="0045469C">
              <w:rPr>
                <w:szCs w:val="20"/>
              </w:rPr>
              <w:t xml:space="preserve"> and</w:t>
            </w:r>
            <w:r>
              <w:rPr>
                <w:szCs w:val="20"/>
              </w:rPr>
              <w:t xml:space="preserve"> Judy </w:t>
            </w:r>
            <w:proofErr w:type="spellStart"/>
            <w:r>
              <w:rPr>
                <w:szCs w:val="20"/>
              </w:rPr>
              <w:t>Oakden</w:t>
            </w:r>
            <w:proofErr w:type="spellEnd"/>
          </w:p>
        </w:tc>
      </w:tr>
      <w:tr w:rsidR="00525907" w14:paraId="2D3BABB5" w14:textId="77777777" w:rsidTr="00525907">
        <w:tc>
          <w:tcPr>
            <w:tcW w:w="1696" w:type="dxa"/>
          </w:tcPr>
          <w:p w14:paraId="484D9520" w14:textId="0D70C2D6" w:rsidR="00525907" w:rsidRPr="00DF1989" w:rsidRDefault="001C1704" w:rsidP="00525907">
            <w:pPr>
              <w:rPr>
                <w:szCs w:val="20"/>
              </w:rPr>
            </w:pPr>
            <w:r>
              <w:rPr>
                <w:szCs w:val="20"/>
              </w:rPr>
              <w:t>Date</w:t>
            </w:r>
          </w:p>
        </w:tc>
        <w:tc>
          <w:tcPr>
            <w:tcW w:w="6514" w:type="dxa"/>
          </w:tcPr>
          <w:p w14:paraId="105D6379" w14:textId="0BCB95F9" w:rsidR="00525907" w:rsidRPr="00DF1989" w:rsidRDefault="001C1704" w:rsidP="00525907">
            <w:pPr>
              <w:rPr>
                <w:szCs w:val="20"/>
              </w:rPr>
            </w:pPr>
            <w:r>
              <w:rPr>
                <w:szCs w:val="20"/>
              </w:rPr>
              <w:t>December 2020</w:t>
            </w:r>
          </w:p>
          <w:p w14:paraId="69BDDB0B" w14:textId="77777777" w:rsidR="00525907" w:rsidRPr="00DF1989" w:rsidRDefault="00525907" w:rsidP="00525907">
            <w:pPr>
              <w:rPr>
                <w:szCs w:val="20"/>
              </w:rPr>
            </w:pPr>
          </w:p>
          <w:p w14:paraId="338916C7" w14:textId="02F32C11" w:rsidR="00525907" w:rsidRPr="00DF1989" w:rsidRDefault="00525907" w:rsidP="00525907">
            <w:pPr>
              <w:rPr>
                <w:szCs w:val="20"/>
              </w:rPr>
            </w:pPr>
            <w:r w:rsidRPr="00DF1989">
              <w:rPr>
                <w:szCs w:val="20"/>
              </w:rPr>
              <w:t xml:space="preserve">ISBN </w:t>
            </w:r>
            <w:sdt>
              <w:sdtPr>
                <w:rPr>
                  <w:szCs w:val="20"/>
                </w:rPr>
                <w:id w:val="338282139"/>
                <w:text/>
              </w:sdtPr>
              <w:sdtEndPr/>
              <w:sdtContent>
                <w:r w:rsidR="00CE60C6" w:rsidRPr="00CE60C6">
                  <w:rPr>
                    <w:szCs w:val="20"/>
                  </w:rPr>
                  <w:t>978-1-99-002983-7</w:t>
                </w:r>
              </w:sdtContent>
            </w:sdt>
          </w:p>
        </w:tc>
      </w:tr>
    </w:tbl>
    <w:p w14:paraId="6537094E" w14:textId="77777777" w:rsidR="00525907" w:rsidRDefault="00525907" w:rsidP="00C449EB"/>
    <w:p w14:paraId="0B6CEB47" w14:textId="77777777" w:rsidR="00525907" w:rsidRDefault="00765B8A" w:rsidP="001C1704">
      <w:pPr>
        <w:pStyle w:val="Heading3"/>
      </w:pPr>
      <w:r w:rsidRPr="005E4A07">
        <w:t>Acknowledgements</w:t>
      </w:r>
    </w:p>
    <w:p w14:paraId="54EFC9A6" w14:textId="449025EF" w:rsidR="00BB21AF" w:rsidRDefault="00D56DAB" w:rsidP="005A6F92">
      <w:pPr>
        <w:pStyle w:val="BodyText"/>
        <w:numPr>
          <w:ilvl w:val="0"/>
          <w:numId w:val="0"/>
        </w:numPr>
      </w:pPr>
      <w:bookmarkStart w:id="0" w:name="_Hlk12463049"/>
      <w:r>
        <w:t xml:space="preserve">Our thanks to everyone who has generously </w:t>
      </w:r>
      <w:r w:rsidR="00BB21AF">
        <w:t>given of</w:t>
      </w:r>
      <w:r>
        <w:t xml:space="preserve"> their time and knowledge to this evaluation</w:t>
      </w:r>
      <w:r w:rsidR="00E73B06">
        <w:t>, including</w:t>
      </w:r>
      <w:r>
        <w:t xml:space="preserve"> </w:t>
      </w:r>
      <w:r w:rsidR="00BB21AF">
        <w:t xml:space="preserve">Māori </w:t>
      </w:r>
      <w:r w:rsidR="00E73B06">
        <w:t>h</w:t>
      </w:r>
      <w:r w:rsidR="00BB21AF">
        <w:t xml:space="preserve">ealth and disability providers, </w:t>
      </w:r>
      <w:r w:rsidR="00E73B06">
        <w:t>d</w:t>
      </w:r>
      <w:r w:rsidR="00BB21AF">
        <w:t xml:space="preserve">istrict </w:t>
      </w:r>
      <w:r w:rsidR="00E73B06">
        <w:t>h</w:t>
      </w:r>
      <w:r w:rsidR="00BB21AF">
        <w:t xml:space="preserve">ealth </w:t>
      </w:r>
      <w:r w:rsidR="00E73B06">
        <w:t>b</w:t>
      </w:r>
      <w:r w:rsidR="00BB21AF">
        <w:t xml:space="preserve">oards and the Ministry of Health. </w:t>
      </w:r>
      <w:r>
        <w:t>COVID-19 impacted on your whānau, your colleagues and your wellbeing</w:t>
      </w:r>
      <w:r w:rsidR="00BB21AF">
        <w:t xml:space="preserve">, making your contribution to this evaluation even more valued. </w:t>
      </w:r>
    </w:p>
    <w:p w14:paraId="7B8E4D8F" w14:textId="0098B827" w:rsidR="00705D1A" w:rsidRDefault="004F3095" w:rsidP="005A6F92">
      <w:pPr>
        <w:pStyle w:val="BodyText"/>
        <w:numPr>
          <w:ilvl w:val="0"/>
          <w:numId w:val="0"/>
        </w:numPr>
      </w:pPr>
      <w:r>
        <w:t xml:space="preserve">Tuku mihi </w:t>
      </w:r>
      <w:proofErr w:type="spellStart"/>
      <w:r w:rsidR="00D56DAB">
        <w:t>ki</w:t>
      </w:r>
      <w:proofErr w:type="spellEnd"/>
      <w:r w:rsidR="00D56DAB">
        <w:t xml:space="preserve"> </w:t>
      </w:r>
      <w:r w:rsidR="00BB21AF">
        <w:t xml:space="preserve">a koutou </w:t>
      </w:r>
      <w:proofErr w:type="spellStart"/>
      <w:r w:rsidR="00BB21AF">
        <w:t>katoa</w:t>
      </w:r>
      <w:proofErr w:type="spellEnd"/>
      <w:r w:rsidR="00BB21AF">
        <w:t>.</w:t>
      </w:r>
    </w:p>
    <w:bookmarkEnd w:id="0"/>
    <w:p w14:paraId="207EBC88" w14:textId="77777777" w:rsidR="004F3095" w:rsidRDefault="004F3095" w:rsidP="005A6F92">
      <w:pPr>
        <w:pStyle w:val="BodyText"/>
        <w:numPr>
          <w:ilvl w:val="0"/>
          <w:numId w:val="0"/>
        </w:numPr>
      </w:pPr>
    </w:p>
    <w:p w14:paraId="446A12ED" w14:textId="201216AC" w:rsidR="001C1704" w:rsidRDefault="001C1704" w:rsidP="001C1704">
      <w:pPr>
        <w:pStyle w:val="Heading3"/>
      </w:pPr>
      <w:r>
        <w:t>Citation</w:t>
      </w:r>
    </w:p>
    <w:p w14:paraId="48CBCA1E" w14:textId="4CF18332" w:rsidR="002F1EA9" w:rsidRDefault="002F1EA9" w:rsidP="005A6F92">
      <w:pPr>
        <w:pStyle w:val="BodyText"/>
        <w:numPr>
          <w:ilvl w:val="0"/>
          <w:numId w:val="0"/>
        </w:numPr>
      </w:pPr>
      <w:proofErr w:type="spellStart"/>
      <w:r>
        <w:t>Wehipeihana</w:t>
      </w:r>
      <w:proofErr w:type="spellEnd"/>
      <w:r>
        <w:t>, N., Sebire, K.</w:t>
      </w:r>
      <w:r w:rsidR="005323CD">
        <w:t xml:space="preserve"> W.</w:t>
      </w:r>
      <w:r>
        <w:t xml:space="preserve">, </w:t>
      </w:r>
      <w:proofErr w:type="spellStart"/>
      <w:r>
        <w:t>Spee</w:t>
      </w:r>
      <w:proofErr w:type="spellEnd"/>
      <w:r>
        <w:t xml:space="preserve">, K. &amp; </w:t>
      </w:r>
      <w:proofErr w:type="spellStart"/>
      <w:r>
        <w:t>Oakden</w:t>
      </w:r>
      <w:proofErr w:type="spellEnd"/>
      <w:r>
        <w:t xml:space="preserve">, J. (2020). </w:t>
      </w:r>
      <w:r w:rsidRPr="002F1EA9">
        <w:rPr>
          <w:i/>
          <w:iCs/>
        </w:rPr>
        <w:t xml:space="preserve">More than just a jab: Evaluation of the </w:t>
      </w:r>
      <w:r w:rsidR="003C4CDF">
        <w:rPr>
          <w:i/>
          <w:iCs/>
        </w:rPr>
        <w:t>Māori</w:t>
      </w:r>
      <w:r w:rsidRPr="002F1EA9">
        <w:rPr>
          <w:i/>
          <w:iCs/>
        </w:rPr>
        <w:t xml:space="preserve"> influenza </w:t>
      </w:r>
      <w:r w:rsidR="00ED23E1">
        <w:rPr>
          <w:i/>
          <w:iCs/>
        </w:rPr>
        <w:t>vaccination programme as part of the COVID-19 Māori health response.</w:t>
      </w:r>
      <w:r>
        <w:t xml:space="preserve"> Wellington: </w:t>
      </w:r>
      <w:r w:rsidR="0045469C">
        <w:t>Ministry of Health.</w:t>
      </w:r>
    </w:p>
    <w:p w14:paraId="5D21C67C" w14:textId="77777777" w:rsidR="00FA5DE8" w:rsidRDefault="00FA5DE8" w:rsidP="005A6F92">
      <w:pPr>
        <w:pStyle w:val="BodyText"/>
        <w:numPr>
          <w:ilvl w:val="0"/>
          <w:numId w:val="0"/>
        </w:numPr>
      </w:pPr>
    </w:p>
    <w:p w14:paraId="73C87A08" w14:textId="6206507C" w:rsidR="00FA5DE8" w:rsidRDefault="00FA5DE8" w:rsidP="005A6F92">
      <w:pPr>
        <w:pStyle w:val="BodyText"/>
        <w:numPr>
          <w:ilvl w:val="0"/>
          <w:numId w:val="0"/>
        </w:numPr>
      </w:pPr>
      <w:r>
        <w:t xml:space="preserve">Cover photo: </w:t>
      </w:r>
      <w:r w:rsidR="0045469C">
        <w:t xml:space="preserve">Our thanks to </w:t>
      </w:r>
      <w:proofErr w:type="spellStart"/>
      <w:r w:rsidR="0045469C">
        <w:t>Turuki</w:t>
      </w:r>
      <w:proofErr w:type="spellEnd"/>
      <w:r w:rsidR="0045469C">
        <w:t xml:space="preserve"> Health Care for permission to use their photos on the front cover and throughout this report.</w:t>
      </w:r>
    </w:p>
    <w:p w14:paraId="274A96F1" w14:textId="77777777" w:rsidR="0045469C" w:rsidRPr="00FA5DE8" w:rsidRDefault="0045469C" w:rsidP="005A6F92">
      <w:pPr>
        <w:pStyle w:val="BodyText"/>
        <w:numPr>
          <w:ilvl w:val="0"/>
          <w:numId w:val="0"/>
        </w:numPr>
      </w:pPr>
    </w:p>
    <w:p w14:paraId="6CFE6FD4" w14:textId="77777777" w:rsidR="00705D1A" w:rsidRDefault="00705D1A" w:rsidP="001C1704">
      <w:pPr>
        <w:pStyle w:val="Heading3"/>
      </w:pPr>
      <w:r w:rsidRPr="001C1704">
        <w:t>Disclaimer</w:t>
      </w:r>
    </w:p>
    <w:p w14:paraId="7814F9A5" w14:textId="77777777" w:rsidR="006A7D95" w:rsidRDefault="00705D1A" w:rsidP="005A6F92">
      <w:pPr>
        <w:pStyle w:val="BodyText"/>
        <w:numPr>
          <w:ilvl w:val="0"/>
          <w:numId w:val="0"/>
        </w:numPr>
      </w:pPr>
      <w:r>
        <w:t>We developed t</w:t>
      </w:r>
      <w:r w:rsidRPr="00D93368">
        <w:t>his report</w:t>
      </w:r>
      <w:r>
        <w:t xml:space="preserve"> in</w:t>
      </w:r>
      <w:r w:rsidRPr="00D93368">
        <w:t xml:space="preserve"> good faith us</w:t>
      </w:r>
      <w:r>
        <w:t>ing</w:t>
      </w:r>
      <w:r w:rsidRPr="00D93368">
        <w:t xml:space="preserve"> the information available to us at the time</w:t>
      </w:r>
      <w:r>
        <w:t>.</w:t>
      </w:r>
      <w:r w:rsidRPr="00D93368">
        <w:t xml:space="preserve"> </w:t>
      </w:r>
      <w:r>
        <w:t>We</w:t>
      </w:r>
      <w:r w:rsidRPr="00D93368">
        <w:t xml:space="preserve"> provide </w:t>
      </w:r>
      <w:r>
        <w:t xml:space="preserve">it </w:t>
      </w:r>
      <w:r w:rsidRPr="00D93368">
        <w:t>on th</w:t>
      </w:r>
      <w:r>
        <w:t xml:space="preserve">e </w:t>
      </w:r>
      <w:r w:rsidRPr="00D93368">
        <w:t xml:space="preserve">basis that the authors of the report are not liable to any person or organisation for any damage or loss which may occur </w:t>
      </w:r>
      <w:r w:rsidR="004A2C18">
        <w:t>from</w:t>
      </w:r>
      <w:r>
        <w:t xml:space="preserve"> acting</w:t>
      </w:r>
      <w:r w:rsidRPr="00D93368">
        <w:t xml:space="preserve"> or not acting </w:t>
      </w:r>
      <w:r w:rsidR="004A2C18">
        <w:t>with</w:t>
      </w:r>
      <w:r w:rsidRPr="00D93368">
        <w:t xml:space="preserve"> respect </w:t>
      </w:r>
      <w:r w:rsidR="004A2C18">
        <w:t xml:space="preserve">to </w:t>
      </w:r>
      <w:r w:rsidRPr="00D93368">
        <w:t>any information or advice within this report.</w:t>
      </w:r>
    </w:p>
    <w:p w14:paraId="7283A1B8" w14:textId="77777777" w:rsidR="00DF1989" w:rsidRDefault="00DF1989" w:rsidP="00E12568">
      <w:pPr>
        <w:pStyle w:val="TOCHeading"/>
      </w:pPr>
    </w:p>
    <w:p w14:paraId="31A1330A" w14:textId="77777777" w:rsidR="00DF1989" w:rsidRDefault="00DF1989" w:rsidP="00E12568">
      <w:pPr>
        <w:pStyle w:val="TOCHeading"/>
      </w:pPr>
    </w:p>
    <w:p w14:paraId="179275D5" w14:textId="77777777" w:rsidR="00DF1989" w:rsidRDefault="00DF1989" w:rsidP="00E12568">
      <w:pPr>
        <w:pStyle w:val="TOCHeading"/>
      </w:pPr>
    </w:p>
    <w:p w14:paraId="0624D285" w14:textId="6C887F6A" w:rsidR="00B67F6C" w:rsidRDefault="00B67F6C">
      <w:pPr>
        <w:spacing w:after="160" w:line="259" w:lineRule="auto"/>
        <w:rPr>
          <w:b/>
          <w:color w:val="44546A" w:themeColor="text2"/>
          <w:sz w:val="28"/>
          <w:szCs w:val="48"/>
        </w:rPr>
      </w:pPr>
      <w:r>
        <w:br w:type="page"/>
      </w:r>
    </w:p>
    <w:p w14:paraId="4B8CE4E4" w14:textId="77777777" w:rsidR="00DF1989" w:rsidRDefault="00DF1989" w:rsidP="00E12568">
      <w:pPr>
        <w:pStyle w:val="TOCHeading"/>
      </w:pPr>
    </w:p>
    <w:p w14:paraId="57BA22DB" w14:textId="72530C42" w:rsidR="00735FC8" w:rsidRDefault="78766139" w:rsidP="00E12568">
      <w:pPr>
        <w:pStyle w:val="TOCHeading"/>
      </w:pPr>
      <w:r>
        <w:t>Contents</w:t>
      </w:r>
    </w:p>
    <w:p w14:paraId="76D2752D" w14:textId="0040A281" w:rsidR="00D67D7E" w:rsidRDefault="00360922">
      <w:pPr>
        <w:pStyle w:val="TOC1"/>
        <w:rPr>
          <w:rFonts w:asciiTheme="minorHAnsi" w:eastAsiaTheme="minorEastAsia" w:hAnsiTheme="minorHAnsi" w:cstheme="minorBidi"/>
          <w:b w:val="0"/>
          <w:szCs w:val="22"/>
          <w:lang w:val="en-AU" w:eastAsia="en-AU"/>
        </w:rPr>
      </w:pPr>
      <w:r w:rsidRPr="00724324">
        <w:fldChar w:fldCharType="begin"/>
      </w:r>
      <w:r w:rsidRPr="00724324">
        <w:instrText xml:space="preserve"> TOC \o "1-2" \h \z \u </w:instrText>
      </w:r>
      <w:r w:rsidRPr="00724324">
        <w:fldChar w:fldCharType="separate"/>
      </w:r>
      <w:hyperlink w:anchor="_Toc70763246" w:history="1">
        <w:r w:rsidR="00D67D7E" w:rsidRPr="00DC7DBB">
          <w:rPr>
            <w:rStyle w:val="Hyperlink"/>
          </w:rPr>
          <w:t>Executive summary</w:t>
        </w:r>
        <w:r w:rsidR="00D67D7E">
          <w:rPr>
            <w:webHidden/>
          </w:rPr>
          <w:tab/>
        </w:r>
        <w:r w:rsidR="00D67D7E">
          <w:rPr>
            <w:webHidden/>
          </w:rPr>
          <w:fldChar w:fldCharType="begin"/>
        </w:r>
        <w:r w:rsidR="00D67D7E">
          <w:rPr>
            <w:webHidden/>
          </w:rPr>
          <w:instrText xml:space="preserve"> PAGEREF _Toc70763246 \h </w:instrText>
        </w:r>
        <w:r w:rsidR="00D67D7E">
          <w:rPr>
            <w:webHidden/>
          </w:rPr>
        </w:r>
        <w:r w:rsidR="00D67D7E">
          <w:rPr>
            <w:webHidden/>
          </w:rPr>
          <w:fldChar w:fldCharType="separate"/>
        </w:r>
        <w:r w:rsidR="00D67D7E">
          <w:rPr>
            <w:webHidden/>
          </w:rPr>
          <w:t>5</w:t>
        </w:r>
        <w:r w:rsidR="00D67D7E">
          <w:rPr>
            <w:webHidden/>
          </w:rPr>
          <w:fldChar w:fldCharType="end"/>
        </w:r>
      </w:hyperlink>
    </w:p>
    <w:p w14:paraId="02E628A0" w14:textId="7AC43AB8" w:rsidR="00D67D7E" w:rsidRDefault="00857F0D">
      <w:pPr>
        <w:pStyle w:val="TOC2"/>
        <w:rPr>
          <w:rFonts w:asciiTheme="minorHAnsi" w:eastAsiaTheme="minorEastAsia" w:hAnsiTheme="minorHAnsi" w:cstheme="minorBidi"/>
          <w:sz w:val="22"/>
          <w:szCs w:val="22"/>
          <w:lang w:val="en-AU" w:eastAsia="en-AU"/>
        </w:rPr>
      </w:pPr>
      <w:hyperlink w:anchor="_Toc70763247" w:history="1">
        <w:r w:rsidR="00D67D7E" w:rsidRPr="00DC7DBB">
          <w:rPr>
            <w:rStyle w:val="Hyperlink"/>
          </w:rPr>
          <w:t>Introduction</w:t>
        </w:r>
        <w:r w:rsidR="00D67D7E">
          <w:rPr>
            <w:webHidden/>
          </w:rPr>
          <w:tab/>
        </w:r>
        <w:r w:rsidR="00D67D7E">
          <w:rPr>
            <w:webHidden/>
          </w:rPr>
          <w:fldChar w:fldCharType="begin"/>
        </w:r>
        <w:r w:rsidR="00D67D7E">
          <w:rPr>
            <w:webHidden/>
          </w:rPr>
          <w:instrText xml:space="preserve"> PAGEREF _Toc70763247 \h </w:instrText>
        </w:r>
        <w:r w:rsidR="00D67D7E">
          <w:rPr>
            <w:webHidden/>
          </w:rPr>
        </w:r>
        <w:r w:rsidR="00D67D7E">
          <w:rPr>
            <w:webHidden/>
          </w:rPr>
          <w:fldChar w:fldCharType="separate"/>
        </w:r>
        <w:r w:rsidR="00D67D7E">
          <w:rPr>
            <w:webHidden/>
          </w:rPr>
          <w:t>5</w:t>
        </w:r>
        <w:r w:rsidR="00D67D7E">
          <w:rPr>
            <w:webHidden/>
          </w:rPr>
          <w:fldChar w:fldCharType="end"/>
        </w:r>
      </w:hyperlink>
    </w:p>
    <w:p w14:paraId="52B13D8B" w14:textId="73023477" w:rsidR="00D67D7E" w:rsidRDefault="00857F0D">
      <w:pPr>
        <w:pStyle w:val="TOC2"/>
        <w:rPr>
          <w:rFonts w:asciiTheme="minorHAnsi" w:eastAsiaTheme="minorEastAsia" w:hAnsiTheme="minorHAnsi" w:cstheme="minorBidi"/>
          <w:sz w:val="22"/>
          <w:szCs w:val="22"/>
          <w:lang w:val="en-AU" w:eastAsia="en-AU"/>
        </w:rPr>
      </w:pPr>
      <w:hyperlink w:anchor="_Toc70763248" w:history="1">
        <w:r w:rsidR="00D67D7E" w:rsidRPr="00DC7DBB">
          <w:rPr>
            <w:rStyle w:val="Hyperlink"/>
          </w:rPr>
          <w:t>Key finding</w:t>
        </w:r>
        <w:r w:rsidR="00D67D7E">
          <w:rPr>
            <w:webHidden/>
          </w:rPr>
          <w:tab/>
        </w:r>
        <w:r w:rsidR="00D67D7E">
          <w:rPr>
            <w:webHidden/>
          </w:rPr>
          <w:fldChar w:fldCharType="begin"/>
        </w:r>
        <w:r w:rsidR="00D67D7E">
          <w:rPr>
            <w:webHidden/>
          </w:rPr>
          <w:instrText xml:space="preserve"> PAGEREF _Toc70763248 \h </w:instrText>
        </w:r>
        <w:r w:rsidR="00D67D7E">
          <w:rPr>
            <w:webHidden/>
          </w:rPr>
        </w:r>
        <w:r w:rsidR="00D67D7E">
          <w:rPr>
            <w:webHidden/>
          </w:rPr>
          <w:fldChar w:fldCharType="separate"/>
        </w:r>
        <w:r w:rsidR="00D67D7E">
          <w:rPr>
            <w:webHidden/>
          </w:rPr>
          <w:t>6</w:t>
        </w:r>
        <w:r w:rsidR="00D67D7E">
          <w:rPr>
            <w:webHidden/>
          </w:rPr>
          <w:fldChar w:fldCharType="end"/>
        </w:r>
      </w:hyperlink>
    </w:p>
    <w:p w14:paraId="7492D8E8" w14:textId="06593D9A" w:rsidR="00D67D7E" w:rsidRDefault="00857F0D">
      <w:pPr>
        <w:pStyle w:val="TOC2"/>
        <w:rPr>
          <w:rFonts w:asciiTheme="minorHAnsi" w:eastAsiaTheme="minorEastAsia" w:hAnsiTheme="minorHAnsi" w:cstheme="minorBidi"/>
          <w:sz w:val="22"/>
          <w:szCs w:val="22"/>
          <w:lang w:val="en-AU" w:eastAsia="en-AU"/>
        </w:rPr>
      </w:pPr>
      <w:hyperlink w:anchor="_Toc70763249" w:history="1">
        <w:r w:rsidR="00D67D7E" w:rsidRPr="00DC7DBB">
          <w:rPr>
            <w:rStyle w:val="Hyperlink"/>
          </w:rPr>
          <w:t>Learning, to inform implementation in 2021</w:t>
        </w:r>
        <w:r w:rsidR="00D67D7E">
          <w:rPr>
            <w:webHidden/>
          </w:rPr>
          <w:tab/>
        </w:r>
        <w:r w:rsidR="00D67D7E">
          <w:rPr>
            <w:webHidden/>
          </w:rPr>
          <w:fldChar w:fldCharType="begin"/>
        </w:r>
        <w:r w:rsidR="00D67D7E">
          <w:rPr>
            <w:webHidden/>
          </w:rPr>
          <w:instrText xml:space="preserve"> PAGEREF _Toc70763249 \h </w:instrText>
        </w:r>
        <w:r w:rsidR="00D67D7E">
          <w:rPr>
            <w:webHidden/>
          </w:rPr>
        </w:r>
        <w:r w:rsidR="00D67D7E">
          <w:rPr>
            <w:webHidden/>
          </w:rPr>
          <w:fldChar w:fldCharType="separate"/>
        </w:r>
        <w:r w:rsidR="00D67D7E">
          <w:rPr>
            <w:webHidden/>
          </w:rPr>
          <w:t>6</w:t>
        </w:r>
        <w:r w:rsidR="00D67D7E">
          <w:rPr>
            <w:webHidden/>
          </w:rPr>
          <w:fldChar w:fldCharType="end"/>
        </w:r>
      </w:hyperlink>
    </w:p>
    <w:p w14:paraId="40984434" w14:textId="5C2E8C26" w:rsidR="00D67D7E" w:rsidRDefault="00857F0D">
      <w:pPr>
        <w:pStyle w:val="TOC2"/>
        <w:rPr>
          <w:rFonts w:asciiTheme="minorHAnsi" w:eastAsiaTheme="minorEastAsia" w:hAnsiTheme="minorHAnsi" w:cstheme="minorBidi"/>
          <w:sz w:val="22"/>
          <w:szCs w:val="22"/>
          <w:lang w:val="en-AU" w:eastAsia="en-AU"/>
        </w:rPr>
      </w:pPr>
      <w:hyperlink w:anchor="_Toc70763250" w:history="1">
        <w:r w:rsidR="00D67D7E" w:rsidRPr="00DC7DBB">
          <w:rPr>
            <w:rStyle w:val="Hyperlink"/>
          </w:rPr>
          <w:t>Conclusion</w:t>
        </w:r>
        <w:r w:rsidR="00D67D7E">
          <w:rPr>
            <w:webHidden/>
          </w:rPr>
          <w:tab/>
        </w:r>
        <w:r w:rsidR="00D67D7E">
          <w:rPr>
            <w:webHidden/>
          </w:rPr>
          <w:fldChar w:fldCharType="begin"/>
        </w:r>
        <w:r w:rsidR="00D67D7E">
          <w:rPr>
            <w:webHidden/>
          </w:rPr>
          <w:instrText xml:space="preserve"> PAGEREF _Toc70763250 \h </w:instrText>
        </w:r>
        <w:r w:rsidR="00D67D7E">
          <w:rPr>
            <w:webHidden/>
          </w:rPr>
        </w:r>
        <w:r w:rsidR="00D67D7E">
          <w:rPr>
            <w:webHidden/>
          </w:rPr>
          <w:fldChar w:fldCharType="separate"/>
        </w:r>
        <w:r w:rsidR="00D67D7E">
          <w:rPr>
            <w:webHidden/>
          </w:rPr>
          <w:t>10</w:t>
        </w:r>
        <w:r w:rsidR="00D67D7E">
          <w:rPr>
            <w:webHidden/>
          </w:rPr>
          <w:fldChar w:fldCharType="end"/>
        </w:r>
      </w:hyperlink>
    </w:p>
    <w:p w14:paraId="2C7D458D" w14:textId="44CF4D76" w:rsidR="00D67D7E" w:rsidRDefault="00857F0D">
      <w:pPr>
        <w:pStyle w:val="TOC1"/>
        <w:rPr>
          <w:rFonts w:asciiTheme="minorHAnsi" w:eastAsiaTheme="minorEastAsia" w:hAnsiTheme="minorHAnsi" w:cstheme="minorBidi"/>
          <w:b w:val="0"/>
          <w:szCs w:val="22"/>
          <w:lang w:val="en-AU" w:eastAsia="en-AU"/>
        </w:rPr>
      </w:pPr>
      <w:hyperlink w:anchor="_Toc70763251" w:history="1">
        <w:r w:rsidR="00D67D7E" w:rsidRPr="00DC7DBB">
          <w:rPr>
            <w:rStyle w:val="Hyperlink"/>
          </w:rPr>
          <w:t>The Māori Influenza Vaccination Programme</w:t>
        </w:r>
        <w:r w:rsidR="00D67D7E">
          <w:rPr>
            <w:webHidden/>
          </w:rPr>
          <w:tab/>
        </w:r>
        <w:r w:rsidR="00D67D7E">
          <w:rPr>
            <w:webHidden/>
          </w:rPr>
          <w:fldChar w:fldCharType="begin"/>
        </w:r>
        <w:r w:rsidR="00D67D7E">
          <w:rPr>
            <w:webHidden/>
          </w:rPr>
          <w:instrText xml:space="preserve"> PAGEREF _Toc70763251 \h </w:instrText>
        </w:r>
        <w:r w:rsidR="00D67D7E">
          <w:rPr>
            <w:webHidden/>
          </w:rPr>
        </w:r>
        <w:r w:rsidR="00D67D7E">
          <w:rPr>
            <w:webHidden/>
          </w:rPr>
          <w:fldChar w:fldCharType="separate"/>
        </w:r>
        <w:r w:rsidR="00D67D7E">
          <w:rPr>
            <w:webHidden/>
          </w:rPr>
          <w:t>11</w:t>
        </w:r>
        <w:r w:rsidR="00D67D7E">
          <w:rPr>
            <w:webHidden/>
          </w:rPr>
          <w:fldChar w:fldCharType="end"/>
        </w:r>
      </w:hyperlink>
    </w:p>
    <w:p w14:paraId="5CE1F0B6" w14:textId="38484A17" w:rsidR="00D67D7E" w:rsidRDefault="00857F0D">
      <w:pPr>
        <w:pStyle w:val="TOC2"/>
        <w:rPr>
          <w:rFonts w:asciiTheme="minorHAnsi" w:eastAsiaTheme="minorEastAsia" w:hAnsiTheme="minorHAnsi" w:cstheme="minorBidi"/>
          <w:sz w:val="22"/>
          <w:szCs w:val="22"/>
          <w:lang w:val="en-AU" w:eastAsia="en-AU"/>
        </w:rPr>
      </w:pPr>
      <w:hyperlink w:anchor="_Toc70763252" w:history="1">
        <w:r w:rsidR="00D67D7E" w:rsidRPr="00DC7DBB">
          <w:rPr>
            <w:rStyle w:val="Hyperlink"/>
          </w:rPr>
          <w:t>Introduction</w:t>
        </w:r>
        <w:r w:rsidR="00D67D7E">
          <w:rPr>
            <w:webHidden/>
          </w:rPr>
          <w:tab/>
        </w:r>
        <w:r w:rsidR="00D67D7E">
          <w:rPr>
            <w:webHidden/>
          </w:rPr>
          <w:fldChar w:fldCharType="begin"/>
        </w:r>
        <w:r w:rsidR="00D67D7E">
          <w:rPr>
            <w:webHidden/>
          </w:rPr>
          <w:instrText xml:space="preserve"> PAGEREF _Toc70763252 \h </w:instrText>
        </w:r>
        <w:r w:rsidR="00D67D7E">
          <w:rPr>
            <w:webHidden/>
          </w:rPr>
        </w:r>
        <w:r w:rsidR="00D67D7E">
          <w:rPr>
            <w:webHidden/>
          </w:rPr>
          <w:fldChar w:fldCharType="separate"/>
        </w:r>
        <w:r w:rsidR="00D67D7E">
          <w:rPr>
            <w:webHidden/>
          </w:rPr>
          <w:t>11</w:t>
        </w:r>
        <w:r w:rsidR="00D67D7E">
          <w:rPr>
            <w:webHidden/>
          </w:rPr>
          <w:fldChar w:fldCharType="end"/>
        </w:r>
      </w:hyperlink>
    </w:p>
    <w:p w14:paraId="62DC62B0" w14:textId="7E4D64D2" w:rsidR="00D67D7E" w:rsidRDefault="00857F0D">
      <w:pPr>
        <w:pStyle w:val="TOC2"/>
        <w:rPr>
          <w:rFonts w:asciiTheme="minorHAnsi" w:eastAsiaTheme="minorEastAsia" w:hAnsiTheme="minorHAnsi" w:cstheme="minorBidi"/>
          <w:sz w:val="22"/>
          <w:szCs w:val="22"/>
          <w:lang w:val="en-AU" w:eastAsia="en-AU"/>
        </w:rPr>
      </w:pPr>
      <w:hyperlink w:anchor="_Toc70763253" w:history="1">
        <w:r w:rsidR="00D67D7E" w:rsidRPr="00DC7DBB">
          <w:rPr>
            <w:rStyle w:val="Hyperlink"/>
          </w:rPr>
          <w:t>Context</w:t>
        </w:r>
        <w:r w:rsidR="00D67D7E">
          <w:rPr>
            <w:webHidden/>
          </w:rPr>
          <w:tab/>
        </w:r>
        <w:r w:rsidR="00D67D7E">
          <w:rPr>
            <w:webHidden/>
          </w:rPr>
          <w:fldChar w:fldCharType="begin"/>
        </w:r>
        <w:r w:rsidR="00D67D7E">
          <w:rPr>
            <w:webHidden/>
          </w:rPr>
          <w:instrText xml:space="preserve"> PAGEREF _Toc70763253 \h </w:instrText>
        </w:r>
        <w:r w:rsidR="00D67D7E">
          <w:rPr>
            <w:webHidden/>
          </w:rPr>
        </w:r>
        <w:r w:rsidR="00D67D7E">
          <w:rPr>
            <w:webHidden/>
          </w:rPr>
          <w:fldChar w:fldCharType="separate"/>
        </w:r>
        <w:r w:rsidR="00D67D7E">
          <w:rPr>
            <w:webHidden/>
          </w:rPr>
          <w:t>11</w:t>
        </w:r>
        <w:r w:rsidR="00D67D7E">
          <w:rPr>
            <w:webHidden/>
          </w:rPr>
          <w:fldChar w:fldCharType="end"/>
        </w:r>
      </w:hyperlink>
    </w:p>
    <w:p w14:paraId="3BC2DB58" w14:textId="199B1FAE" w:rsidR="00D67D7E" w:rsidRDefault="00857F0D">
      <w:pPr>
        <w:pStyle w:val="TOC2"/>
        <w:rPr>
          <w:rFonts w:asciiTheme="minorHAnsi" w:eastAsiaTheme="minorEastAsia" w:hAnsiTheme="minorHAnsi" w:cstheme="minorBidi"/>
          <w:sz w:val="22"/>
          <w:szCs w:val="22"/>
          <w:lang w:val="en-AU" w:eastAsia="en-AU"/>
        </w:rPr>
      </w:pPr>
      <w:hyperlink w:anchor="_Toc70763254" w:history="1">
        <w:r w:rsidR="00D67D7E" w:rsidRPr="00DC7DBB">
          <w:rPr>
            <w:rStyle w:val="Hyperlink"/>
          </w:rPr>
          <w:t>MIVP application process and funding</w:t>
        </w:r>
        <w:r w:rsidR="00D67D7E">
          <w:rPr>
            <w:webHidden/>
          </w:rPr>
          <w:tab/>
        </w:r>
        <w:r w:rsidR="00D67D7E">
          <w:rPr>
            <w:webHidden/>
          </w:rPr>
          <w:fldChar w:fldCharType="begin"/>
        </w:r>
        <w:r w:rsidR="00D67D7E">
          <w:rPr>
            <w:webHidden/>
          </w:rPr>
          <w:instrText xml:space="preserve"> PAGEREF _Toc70763254 \h </w:instrText>
        </w:r>
        <w:r w:rsidR="00D67D7E">
          <w:rPr>
            <w:webHidden/>
          </w:rPr>
        </w:r>
        <w:r w:rsidR="00D67D7E">
          <w:rPr>
            <w:webHidden/>
          </w:rPr>
          <w:fldChar w:fldCharType="separate"/>
        </w:r>
        <w:r w:rsidR="00D67D7E">
          <w:rPr>
            <w:webHidden/>
          </w:rPr>
          <w:t>11</w:t>
        </w:r>
        <w:r w:rsidR="00D67D7E">
          <w:rPr>
            <w:webHidden/>
          </w:rPr>
          <w:fldChar w:fldCharType="end"/>
        </w:r>
      </w:hyperlink>
    </w:p>
    <w:p w14:paraId="3D659DE7" w14:textId="1CC7BC13" w:rsidR="00D67D7E" w:rsidRDefault="00857F0D">
      <w:pPr>
        <w:pStyle w:val="TOC2"/>
        <w:rPr>
          <w:rFonts w:asciiTheme="minorHAnsi" w:eastAsiaTheme="minorEastAsia" w:hAnsiTheme="minorHAnsi" w:cstheme="minorBidi"/>
          <w:sz w:val="22"/>
          <w:szCs w:val="22"/>
          <w:lang w:val="en-AU" w:eastAsia="en-AU"/>
        </w:rPr>
      </w:pPr>
      <w:hyperlink w:anchor="_Toc70763255" w:history="1">
        <w:r w:rsidR="00D67D7E" w:rsidRPr="00DC7DBB">
          <w:rPr>
            <w:rStyle w:val="Hyperlink"/>
          </w:rPr>
          <w:t>The evaluation</w:t>
        </w:r>
        <w:r w:rsidR="00D67D7E">
          <w:rPr>
            <w:webHidden/>
          </w:rPr>
          <w:tab/>
        </w:r>
        <w:r w:rsidR="00D67D7E">
          <w:rPr>
            <w:webHidden/>
          </w:rPr>
          <w:fldChar w:fldCharType="begin"/>
        </w:r>
        <w:r w:rsidR="00D67D7E">
          <w:rPr>
            <w:webHidden/>
          </w:rPr>
          <w:instrText xml:space="preserve"> PAGEREF _Toc70763255 \h </w:instrText>
        </w:r>
        <w:r w:rsidR="00D67D7E">
          <w:rPr>
            <w:webHidden/>
          </w:rPr>
        </w:r>
        <w:r w:rsidR="00D67D7E">
          <w:rPr>
            <w:webHidden/>
          </w:rPr>
          <w:fldChar w:fldCharType="separate"/>
        </w:r>
        <w:r w:rsidR="00D67D7E">
          <w:rPr>
            <w:webHidden/>
          </w:rPr>
          <w:t>13</w:t>
        </w:r>
        <w:r w:rsidR="00D67D7E">
          <w:rPr>
            <w:webHidden/>
          </w:rPr>
          <w:fldChar w:fldCharType="end"/>
        </w:r>
      </w:hyperlink>
    </w:p>
    <w:p w14:paraId="7E678613" w14:textId="26D1935A" w:rsidR="00D67D7E" w:rsidRDefault="00857F0D">
      <w:pPr>
        <w:pStyle w:val="TOC2"/>
        <w:rPr>
          <w:rFonts w:asciiTheme="minorHAnsi" w:eastAsiaTheme="minorEastAsia" w:hAnsiTheme="minorHAnsi" w:cstheme="minorBidi"/>
          <w:sz w:val="22"/>
          <w:szCs w:val="22"/>
          <w:lang w:val="en-AU" w:eastAsia="en-AU"/>
        </w:rPr>
      </w:pPr>
      <w:hyperlink w:anchor="_Toc70763256" w:history="1">
        <w:r w:rsidR="00D67D7E" w:rsidRPr="00DC7DBB">
          <w:rPr>
            <w:rStyle w:val="Hyperlink"/>
          </w:rPr>
          <w:t>Limitations of this evaluation</w:t>
        </w:r>
        <w:r w:rsidR="00D67D7E">
          <w:rPr>
            <w:webHidden/>
          </w:rPr>
          <w:tab/>
        </w:r>
        <w:r w:rsidR="00D67D7E">
          <w:rPr>
            <w:webHidden/>
          </w:rPr>
          <w:fldChar w:fldCharType="begin"/>
        </w:r>
        <w:r w:rsidR="00D67D7E">
          <w:rPr>
            <w:webHidden/>
          </w:rPr>
          <w:instrText xml:space="preserve"> PAGEREF _Toc70763256 \h </w:instrText>
        </w:r>
        <w:r w:rsidR="00D67D7E">
          <w:rPr>
            <w:webHidden/>
          </w:rPr>
        </w:r>
        <w:r w:rsidR="00D67D7E">
          <w:rPr>
            <w:webHidden/>
          </w:rPr>
          <w:fldChar w:fldCharType="separate"/>
        </w:r>
        <w:r w:rsidR="00D67D7E">
          <w:rPr>
            <w:webHidden/>
          </w:rPr>
          <w:t>13</w:t>
        </w:r>
        <w:r w:rsidR="00D67D7E">
          <w:rPr>
            <w:webHidden/>
          </w:rPr>
          <w:fldChar w:fldCharType="end"/>
        </w:r>
      </w:hyperlink>
    </w:p>
    <w:p w14:paraId="648F7AF7" w14:textId="4031F478" w:rsidR="00D67D7E" w:rsidRDefault="00857F0D">
      <w:pPr>
        <w:pStyle w:val="TOC1"/>
        <w:rPr>
          <w:rFonts w:asciiTheme="minorHAnsi" w:eastAsiaTheme="minorEastAsia" w:hAnsiTheme="minorHAnsi" w:cstheme="minorBidi"/>
          <w:b w:val="0"/>
          <w:szCs w:val="22"/>
          <w:lang w:val="en-AU" w:eastAsia="en-AU"/>
        </w:rPr>
      </w:pPr>
      <w:hyperlink w:anchor="_Toc70763257" w:history="1">
        <w:r w:rsidR="00D67D7E" w:rsidRPr="00DC7DBB">
          <w:rPr>
            <w:rStyle w:val="Hyperlink"/>
          </w:rPr>
          <w:t>The impact of MIVP on Māori flu vaccination and equity rates</w:t>
        </w:r>
        <w:r w:rsidR="00D67D7E">
          <w:rPr>
            <w:webHidden/>
          </w:rPr>
          <w:tab/>
        </w:r>
        <w:r w:rsidR="00D67D7E">
          <w:rPr>
            <w:webHidden/>
          </w:rPr>
          <w:fldChar w:fldCharType="begin"/>
        </w:r>
        <w:r w:rsidR="00D67D7E">
          <w:rPr>
            <w:webHidden/>
          </w:rPr>
          <w:instrText xml:space="preserve"> PAGEREF _Toc70763257 \h </w:instrText>
        </w:r>
        <w:r w:rsidR="00D67D7E">
          <w:rPr>
            <w:webHidden/>
          </w:rPr>
        </w:r>
        <w:r w:rsidR="00D67D7E">
          <w:rPr>
            <w:webHidden/>
          </w:rPr>
          <w:fldChar w:fldCharType="separate"/>
        </w:r>
        <w:r w:rsidR="00D67D7E">
          <w:rPr>
            <w:webHidden/>
          </w:rPr>
          <w:t>14</w:t>
        </w:r>
        <w:r w:rsidR="00D67D7E">
          <w:rPr>
            <w:webHidden/>
          </w:rPr>
          <w:fldChar w:fldCharType="end"/>
        </w:r>
      </w:hyperlink>
    </w:p>
    <w:p w14:paraId="6F6D3D81" w14:textId="035E77D0" w:rsidR="00D67D7E" w:rsidRDefault="00857F0D">
      <w:pPr>
        <w:pStyle w:val="TOC2"/>
        <w:rPr>
          <w:rFonts w:asciiTheme="minorHAnsi" w:eastAsiaTheme="minorEastAsia" w:hAnsiTheme="minorHAnsi" w:cstheme="minorBidi"/>
          <w:sz w:val="22"/>
          <w:szCs w:val="22"/>
          <w:lang w:val="en-AU" w:eastAsia="en-AU"/>
        </w:rPr>
      </w:pPr>
      <w:hyperlink w:anchor="_Toc70763258" w:history="1">
        <w:r w:rsidR="00D67D7E" w:rsidRPr="00DC7DBB">
          <w:rPr>
            <w:rStyle w:val="Hyperlink"/>
          </w:rPr>
          <w:t>A snapshot</w:t>
        </w:r>
        <w:r w:rsidR="00D67D7E">
          <w:rPr>
            <w:webHidden/>
          </w:rPr>
          <w:tab/>
        </w:r>
        <w:r w:rsidR="00D67D7E">
          <w:rPr>
            <w:webHidden/>
          </w:rPr>
          <w:fldChar w:fldCharType="begin"/>
        </w:r>
        <w:r w:rsidR="00D67D7E">
          <w:rPr>
            <w:webHidden/>
          </w:rPr>
          <w:instrText xml:space="preserve"> PAGEREF _Toc70763258 \h </w:instrText>
        </w:r>
        <w:r w:rsidR="00D67D7E">
          <w:rPr>
            <w:webHidden/>
          </w:rPr>
        </w:r>
        <w:r w:rsidR="00D67D7E">
          <w:rPr>
            <w:webHidden/>
          </w:rPr>
          <w:fldChar w:fldCharType="separate"/>
        </w:r>
        <w:r w:rsidR="00D67D7E">
          <w:rPr>
            <w:webHidden/>
          </w:rPr>
          <w:t>14</w:t>
        </w:r>
        <w:r w:rsidR="00D67D7E">
          <w:rPr>
            <w:webHidden/>
          </w:rPr>
          <w:fldChar w:fldCharType="end"/>
        </w:r>
      </w:hyperlink>
    </w:p>
    <w:p w14:paraId="4CDD6DA8" w14:textId="131671FA" w:rsidR="00D67D7E" w:rsidRDefault="00857F0D">
      <w:pPr>
        <w:pStyle w:val="TOC2"/>
        <w:rPr>
          <w:rFonts w:asciiTheme="minorHAnsi" w:eastAsiaTheme="minorEastAsia" w:hAnsiTheme="minorHAnsi" w:cstheme="minorBidi"/>
          <w:sz w:val="22"/>
          <w:szCs w:val="22"/>
          <w:lang w:val="en-AU" w:eastAsia="en-AU"/>
        </w:rPr>
      </w:pPr>
      <w:hyperlink w:anchor="_Toc70763259" w:history="1">
        <w:r w:rsidR="00D67D7E" w:rsidRPr="00DC7DBB">
          <w:rPr>
            <w:rStyle w:val="Hyperlink"/>
          </w:rPr>
          <w:t>The impact of the Māori Influenza Vaccination Programme on Māori flu vaccination rates</w:t>
        </w:r>
        <w:r w:rsidR="00D67D7E">
          <w:rPr>
            <w:webHidden/>
          </w:rPr>
          <w:tab/>
        </w:r>
        <w:r w:rsidR="00D67D7E">
          <w:rPr>
            <w:webHidden/>
          </w:rPr>
          <w:fldChar w:fldCharType="begin"/>
        </w:r>
        <w:r w:rsidR="00D67D7E">
          <w:rPr>
            <w:webHidden/>
          </w:rPr>
          <w:instrText xml:space="preserve"> PAGEREF _Toc70763259 \h </w:instrText>
        </w:r>
        <w:r w:rsidR="00D67D7E">
          <w:rPr>
            <w:webHidden/>
          </w:rPr>
        </w:r>
        <w:r w:rsidR="00D67D7E">
          <w:rPr>
            <w:webHidden/>
          </w:rPr>
          <w:fldChar w:fldCharType="separate"/>
        </w:r>
        <w:r w:rsidR="00D67D7E">
          <w:rPr>
            <w:webHidden/>
          </w:rPr>
          <w:t>14</w:t>
        </w:r>
        <w:r w:rsidR="00D67D7E">
          <w:rPr>
            <w:webHidden/>
          </w:rPr>
          <w:fldChar w:fldCharType="end"/>
        </w:r>
      </w:hyperlink>
    </w:p>
    <w:p w14:paraId="65C4A02B" w14:textId="720E490C" w:rsidR="00D67D7E" w:rsidRDefault="00857F0D">
      <w:pPr>
        <w:pStyle w:val="TOC2"/>
        <w:rPr>
          <w:rFonts w:asciiTheme="minorHAnsi" w:eastAsiaTheme="minorEastAsia" w:hAnsiTheme="minorHAnsi" w:cstheme="minorBidi"/>
          <w:sz w:val="22"/>
          <w:szCs w:val="22"/>
          <w:lang w:val="en-AU" w:eastAsia="en-AU"/>
        </w:rPr>
      </w:pPr>
      <w:hyperlink w:anchor="_Toc70763260" w:history="1">
        <w:r w:rsidR="00D67D7E" w:rsidRPr="00DC7DBB">
          <w:rPr>
            <w:rStyle w:val="Hyperlink"/>
          </w:rPr>
          <w:t>Vaccination rates up for Māori 65+ in 2020 compared with earlier years</w:t>
        </w:r>
        <w:r w:rsidR="00D67D7E">
          <w:rPr>
            <w:webHidden/>
          </w:rPr>
          <w:tab/>
        </w:r>
        <w:r w:rsidR="00D67D7E">
          <w:rPr>
            <w:webHidden/>
          </w:rPr>
          <w:fldChar w:fldCharType="begin"/>
        </w:r>
        <w:r w:rsidR="00D67D7E">
          <w:rPr>
            <w:webHidden/>
          </w:rPr>
          <w:instrText xml:space="preserve"> PAGEREF _Toc70763260 \h </w:instrText>
        </w:r>
        <w:r w:rsidR="00D67D7E">
          <w:rPr>
            <w:webHidden/>
          </w:rPr>
        </w:r>
        <w:r w:rsidR="00D67D7E">
          <w:rPr>
            <w:webHidden/>
          </w:rPr>
          <w:fldChar w:fldCharType="separate"/>
        </w:r>
        <w:r w:rsidR="00D67D7E">
          <w:rPr>
            <w:webHidden/>
          </w:rPr>
          <w:t>15</w:t>
        </w:r>
        <w:r w:rsidR="00D67D7E">
          <w:rPr>
            <w:webHidden/>
          </w:rPr>
          <w:fldChar w:fldCharType="end"/>
        </w:r>
      </w:hyperlink>
    </w:p>
    <w:p w14:paraId="43417F2B" w14:textId="4BFE8FF7" w:rsidR="00D67D7E" w:rsidRDefault="00857F0D">
      <w:pPr>
        <w:pStyle w:val="TOC2"/>
        <w:rPr>
          <w:rFonts w:asciiTheme="minorHAnsi" w:eastAsiaTheme="minorEastAsia" w:hAnsiTheme="minorHAnsi" w:cstheme="minorBidi"/>
          <w:sz w:val="22"/>
          <w:szCs w:val="22"/>
          <w:lang w:val="en-AU" w:eastAsia="en-AU"/>
        </w:rPr>
      </w:pPr>
      <w:hyperlink w:anchor="_Toc70763261" w:history="1">
        <w:r w:rsidR="00D67D7E" w:rsidRPr="00DC7DBB">
          <w:rPr>
            <w:rStyle w:val="Hyperlink"/>
          </w:rPr>
          <w:t>MIVP positively impacted on flu vaccination rates for Māori over 65 years</w:t>
        </w:r>
        <w:r w:rsidR="00D67D7E">
          <w:rPr>
            <w:webHidden/>
          </w:rPr>
          <w:tab/>
        </w:r>
        <w:r w:rsidR="00D67D7E">
          <w:rPr>
            <w:webHidden/>
          </w:rPr>
          <w:fldChar w:fldCharType="begin"/>
        </w:r>
        <w:r w:rsidR="00D67D7E">
          <w:rPr>
            <w:webHidden/>
          </w:rPr>
          <w:instrText xml:space="preserve"> PAGEREF _Toc70763261 \h </w:instrText>
        </w:r>
        <w:r w:rsidR="00D67D7E">
          <w:rPr>
            <w:webHidden/>
          </w:rPr>
        </w:r>
        <w:r w:rsidR="00D67D7E">
          <w:rPr>
            <w:webHidden/>
          </w:rPr>
          <w:fldChar w:fldCharType="separate"/>
        </w:r>
        <w:r w:rsidR="00D67D7E">
          <w:rPr>
            <w:webHidden/>
          </w:rPr>
          <w:t>15</w:t>
        </w:r>
        <w:r w:rsidR="00D67D7E">
          <w:rPr>
            <w:webHidden/>
          </w:rPr>
          <w:fldChar w:fldCharType="end"/>
        </w:r>
      </w:hyperlink>
    </w:p>
    <w:p w14:paraId="42B85D87" w14:textId="4B788D9F" w:rsidR="00D67D7E" w:rsidRDefault="00857F0D">
      <w:pPr>
        <w:pStyle w:val="TOC2"/>
        <w:rPr>
          <w:rFonts w:asciiTheme="minorHAnsi" w:eastAsiaTheme="minorEastAsia" w:hAnsiTheme="minorHAnsi" w:cstheme="minorBidi"/>
          <w:sz w:val="22"/>
          <w:szCs w:val="22"/>
          <w:lang w:val="en-AU" w:eastAsia="en-AU"/>
        </w:rPr>
      </w:pPr>
      <w:hyperlink w:anchor="_Toc70763262" w:history="1">
        <w:r w:rsidR="00D67D7E" w:rsidRPr="00DC7DBB">
          <w:rPr>
            <w:rStyle w:val="Hyperlink"/>
          </w:rPr>
          <w:t>2020 flu vaccination rates for Māori aged over 65 vary across regions</w:t>
        </w:r>
        <w:r w:rsidR="00D67D7E">
          <w:rPr>
            <w:webHidden/>
          </w:rPr>
          <w:tab/>
        </w:r>
        <w:r w:rsidR="00D67D7E">
          <w:rPr>
            <w:webHidden/>
          </w:rPr>
          <w:fldChar w:fldCharType="begin"/>
        </w:r>
        <w:r w:rsidR="00D67D7E">
          <w:rPr>
            <w:webHidden/>
          </w:rPr>
          <w:instrText xml:space="preserve"> PAGEREF _Toc70763262 \h </w:instrText>
        </w:r>
        <w:r w:rsidR="00D67D7E">
          <w:rPr>
            <w:webHidden/>
          </w:rPr>
        </w:r>
        <w:r w:rsidR="00D67D7E">
          <w:rPr>
            <w:webHidden/>
          </w:rPr>
          <w:fldChar w:fldCharType="separate"/>
        </w:r>
        <w:r w:rsidR="00D67D7E">
          <w:rPr>
            <w:webHidden/>
          </w:rPr>
          <w:t>17</w:t>
        </w:r>
        <w:r w:rsidR="00D67D7E">
          <w:rPr>
            <w:webHidden/>
          </w:rPr>
          <w:fldChar w:fldCharType="end"/>
        </w:r>
      </w:hyperlink>
    </w:p>
    <w:p w14:paraId="35E8D3C5" w14:textId="62551B96" w:rsidR="00D67D7E" w:rsidRDefault="00857F0D">
      <w:pPr>
        <w:pStyle w:val="TOC2"/>
        <w:rPr>
          <w:rFonts w:asciiTheme="minorHAnsi" w:eastAsiaTheme="minorEastAsia" w:hAnsiTheme="minorHAnsi" w:cstheme="minorBidi"/>
          <w:sz w:val="22"/>
          <w:szCs w:val="22"/>
          <w:lang w:val="en-AU" w:eastAsia="en-AU"/>
        </w:rPr>
      </w:pPr>
      <w:hyperlink w:anchor="_Toc70763263" w:history="1">
        <w:r w:rsidR="00D67D7E" w:rsidRPr="00DC7DBB">
          <w:rPr>
            <w:rStyle w:val="Hyperlink"/>
          </w:rPr>
          <w:t>Despite improvements in flu vaccination rates, significant disparity exists in equity rates</w:t>
        </w:r>
        <w:r w:rsidR="00D67D7E">
          <w:rPr>
            <w:webHidden/>
          </w:rPr>
          <w:tab/>
        </w:r>
        <w:r w:rsidR="00D67D7E">
          <w:rPr>
            <w:webHidden/>
          </w:rPr>
          <w:fldChar w:fldCharType="begin"/>
        </w:r>
        <w:r w:rsidR="00D67D7E">
          <w:rPr>
            <w:webHidden/>
          </w:rPr>
          <w:instrText xml:space="preserve"> PAGEREF _Toc70763263 \h </w:instrText>
        </w:r>
        <w:r w:rsidR="00D67D7E">
          <w:rPr>
            <w:webHidden/>
          </w:rPr>
        </w:r>
        <w:r w:rsidR="00D67D7E">
          <w:rPr>
            <w:webHidden/>
          </w:rPr>
          <w:fldChar w:fldCharType="separate"/>
        </w:r>
        <w:r w:rsidR="00D67D7E">
          <w:rPr>
            <w:webHidden/>
          </w:rPr>
          <w:t>18</w:t>
        </w:r>
        <w:r w:rsidR="00D67D7E">
          <w:rPr>
            <w:webHidden/>
          </w:rPr>
          <w:fldChar w:fldCharType="end"/>
        </w:r>
      </w:hyperlink>
    </w:p>
    <w:p w14:paraId="4010EA3C" w14:textId="0FF6D1ED" w:rsidR="00D67D7E" w:rsidRDefault="00857F0D">
      <w:pPr>
        <w:pStyle w:val="TOC1"/>
        <w:rPr>
          <w:rFonts w:asciiTheme="minorHAnsi" w:eastAsiaTheme="minorEastAsia" w:hAnsiTheme="minorHAnsi" w:cstheme="minorBidi"/>
          <w:b w:val="0"/>
          <w:szCs w:val="22"/>
          <w:lang w:val="en-AU" w:eastAsia="en-AU"/>
        </w:rPr>
      </w:pPr>
      <w:hyperlink w:anchor="_Toc70763264" w:history="1">
        <w:r w:rsidR="00D67D7E" w:rsidRPr="00DC7DBB">
          <w:rPr>
            <w:rStyle w:val="Hyperlink"/>
          </w:rPr>
          <w:t>Aspects of the MIVP implementation that made a difference for Māori?</w:t>
        </w:r>
        <w:r w:rsidR="00D67D7E">
          <w:rPr>
            <w:webHidden/>
          </w:rPr>
          <w:tab/>
        </w:r>
        <w:r w:rsidR="00D67D7E">
          <w:rPr>
            <w:webHidden/>
          </w:rPr>
          <w:fldChar w:fldCharType="begin"/>
        </w:r>
        <w:r w:rsidR="00D67D7E">
          <w:rPr>
            <w:webHidden/>
          </w:rPr>
          <w:instrText xml:space="preserve"> PAGEREF _Toc70763264 \h </w:instrText>
        </w:r>
        <w:r w:rsidR="00D67D7E">
          <w:rPr>
            <w:webHidden/>
          </w:rPr>
        </w:r>
        <w:r w:rsidR="00D67D7E">
          <w:rPr>
            <w:webHidden/>
          </w:rPr>
          <w:fldChar w:fldCharType="separate"/>
        </w:r>
        <w:r w:rsidR="00D67D7E">
          <w:rPr>
            <w:webHidden/>
          </w:rPr>
          <w:t>20</w:t>
        </w:r>
        <w:r w:rsidR="00D67D7E">
          <w:rPr>
            <w:webHidden/>
          </w:rPr>
          <w:fldChar w:fldCharType="end"/>
        </w:r>
      </w:hyperlink>
    </w:p>
    <w:p w14:paraId="63F6C614" w14:textId="423AC29D" w:rsidR="00D67D7E" w:rsidRDefault="00857F0D">
      <w:pPr>
        <w:pStyle w:val="TOC2"/>
        <w:rPr>
          <w:rFonts w:asciiTheme="minorHAnsi" w:eastAsiaTheme="minorEastAsia" w:hAnsiTheme="minorHAnsi" w:cstheme="minorBidi"/>
          <w:sz w:val="22"/>
          <w:szCs w:val="22"/>
          <w:lang w:val="en-AU" w:eastAsia="en-AU"/>
        </w:rPr>
      </w:pPr>
      <w:hyperlink w:anchor="_Toc70763265" w:history="1">
        <w:r w:rsidR="00D67D7E" w:rsidRPr="00DC7DBB">
          <w:rPr>
            <w:rStyle w:val="Hyperlink"/>
          </w:rPr>
          <w:t>A snapshot</w:t>
        </w:r>
        <w:r w:rsidR="00D67D7E">
          <w:rPr>
            <w:webHidden/>
          </w:rPr>
          <w:tab/>
        </w:r>
        <w:r w:rsidR="00D67D7E">
          <w:rPr>
            <w:webHidden/>
          </w:rPr>
          <w:fldChar w:fldCharType="begin"/>
        </w:r>
        <w:r w:rsidR="00D67D7E">
          <w:rPr>
            <w:webHidden/>
          </w:rPr>
          <w:instrText xml:space="preserve"> PAGEREF _Toc70763265 \h </w:instrText>
        </w:r>
        <w:r w:rsidR="00D67D7E">
          <w:rPr>
            <w:webHidden/>
          </w:rPr>
        </w:r>
        <w:r w:rsidR="00D67D7E">
          <w:rPr>
            <w:webHidden/>
          </w:rPr>
          <w:fldChar w:fldCharType="separate"/>
        </w:r>
        <w:r w:rsidR="00D67D7E">
          <w:rPr>
            <w:webHidden/>
          </w:rPr>
          <w:t>20</w:t>
        </w:r>
        <w:r w:rsidR="00D67D7E">
          <w:rPr>
            <w:webHidden/>
          </w:rPr>
          <w:fldChar w:fldCharType="end"/>
        </w:r>
      </w:hyperlink>
    </w:p>
    <w:p w14:paraId="0D19D5A5" w14:textId="024594C5" w:rsidR="00D67D7E" w:rsidRDefault="00857F0D">
      <w:pPr>
        <w:pStyle w:val="TOC2"/>
        <w:rPr>
          <w:rFonts w:asciiTheme="minorHAnsi" w:eastAsiaTheme="minorEastAsia" w:hAnsiTheme="minorHAnsi" w:cstheme="minorBidi"/>
          <w:sz w:val="22"/>
          <w:szCs w:val="22"/>
          <w:lang w:val="en-AU" w:eastAsia="en-AU"/>
        </w:rPr>
      </w:pPr>
      <w:hyperlink w:anchor="_Toc70763266" w:history="1">
        <w:r w:rsidR="00D67D7E" w:rsidRPr="00DC7DBB">
          <w:rPr>
            <w:rStyle w:val="Hyperlink"/>
          </w:rPr>
          <w:t>Strategies used</w:t>
        </w:r>
        <w:r w:rsidR="00D67D7E">
          <w:rPr>
            <w:webHidden/>
          </w:rPr>
          <w:tab/>
        </w:r>
        <w:r w:rsidR="00D67D7E">
          <w:rPr>
            <w:webHidden/>
          </w:rPr>
          <w:fldChar w:fldCharType="begin"/>
        </w:r>
        <w:r w:rsidR="00D67D7E">
          <w:rPr>
            <w:webHidden/>
          </w:rPr>
          <w:instrText xml:space="preserve"> PAGEREF _Toc70763266 \h </w:instrText>
        </w:r>
        <w:r w:rsidR="00D67D7E">
          <w:rPr>
            <w:webHidden/>
          </w:rPr>
        </w:r>
        <w:r w:rsidR="00D67D7E">
          <w:rPr>
            <w:webHidden/>
          </w:rPr>
          <w:fldChar w:fldCharType="separate"/>
        </w:r>
        <w:r w:rsidR="00D67D7E">
          <w:rPr>
            <w:webHidden/>
          </w:rPr>
          <w:t>20</w:t>
        </w:r>
        <w:r w:rsidR="00D67D7E">
          <w:rPr>
            <w:webHidden/>
          </w:rPr>
          <w:fldChar w:fldCharType="end"/>
        </w:r>
      </w:hyperlink>
    </w:p>
    <w:p w14:paraId="3325CF64" w14:textId="60D8AC28" w:rsidR="00D67D7E" w:rsidRDefault="00857F0D">
      <w:pPr>
        <w:pStyle w:val="TOC2"/>
        <w:rPr>
          <w:rFonts w:asciiTheme="minorHAnsi" w:eastAsiaTheme="minorEastAsia" w:hAnsiTheme="minorHAnsi" w:cstheme="minorBidi"/>
          <w:sz w:val="22"/>
          <w:szCs w:val="22"/>
          <w:lang w:val="en-AU" w:eastAsia="en-AU"/>
        </w:rPr>
      </w:pPr>
      <w:hyperlink w:anchor="_Toc70763267" w:history="1">
        <w:r w:rsidR="00D67D7E" w:rsidRPr="00DC7DBB">
          <w:rPr>
            <w:rStyle w:val="Hyperlink"/>
          </w:rPr>
          <w:t>GPs administer most funded flu vaccinations</w:t>
        </w:r>
        <w:r w:rsidR="00D67D7E">
          <w:rPr>
            <w:webHidden/>
          </w:rPr>
          <w:tab/>
        </w:r>
        <w:r w:rsidR="00D67D7E">
          <w:rPr>
            <w:webHidden/>
          </w:rPr>
          <w:fldChar w:fldCharType="begin"/>
        </w:r>
        <w:r w:rsidR="00D67D7E">
          <w:rPr>
            <w:webHidden/>
          </w:rPr>
          <w:instrText xml:space="preserve"> PAGEREF _Toc70763267 \h </w:instrText>
        </w:r>
        <w:r w:rsidR="00D67D7E">
          <w:rPr>
            <w:webHidden/>
          </w:rPr>
        </w:r>
        <w:r w:rsidR="00D67D7E">
          <w:rPr>
            <w:webHidden/>
          </w:rPr>
          <w:fldChar w:fldCharType="separate"/>
        </w:r>
        <w:r w:rsidR="00D67D7E">
          <w:rPr>
            <w:webHidden/>
          </w:rPr>
          <w:t>20</w:t>
        </w:r>
        <w:r w:rsidR="00D67D7E">
          <w:rPr>
            <w:webHidden/>
          </w:rPr>
          <w:fldChar w:fldCharType="end"/>
        </w:r>
      </w:hyperlink>
    </w:p>
    <w:p w14:paraId="4C920EDC" w14:textId="14CABA85" w:rsidR="00D67D7E" w:rsidRDefault="00857F0D">
      <w:pPr>
        <w:pStyle w:val="TOC2"/>
        <w:rPr>
          <w:rFonts w:asciiTheme="minorHAnsi" w:eastAsiaTheme="minorEastAsia" w:hAnsiTheme="minorHAnsi" w:cstheme="minorBidi"/>
          <w:sz w:val="22"/>
          <w:szCs w:val="22"/>
          <w:lang w:val="en-AU" w:eastAsia="en-AU"/>
        </w:rPr>
      </w:pPr>
      <w:hyperlink w:anchor="_Toc70763268" w:history="1">
        <w:r w:rsidR="00D67D7E" w:rsidRPr="00DC7DBB">
          <w:rPr>
            <w:rStyle w:val="Hyperlink"/>
          </w:rPr>
          <w:t>Māori experience many barriers to accessing health services through GP’s</w:t>
        </w:r>
        <w:r w:rsidR="00D67D7E">
          <w:rPr>
            <w:webHidden/>
          </w:rPr>
          <w:tab/>
        </w:r>
        <w:r w:rsidR="00D67D7E">
          <w:rPr>
            <w:webHidden/>
          </w:rPr>
          <w:fldChar w:fldCharType="begin"/>
        </w:r>
        <w:r w:rsidR="00D67D7E">
          <w:rPr>
            <w:webHidden/>
          </w:rPr>
          <w:instrText xml:space="preserve"> PAGEREF _Toc70763268 \h </w:instrText>
        </w:r>
        <w:r w:rsidR="00D67D7E">
          <w:rPr>
            <w:webHidden/>
          </w:rPr>
        </w:r>
        <w:r w:rsidR="00D67D7E">
          <w:rPr>
            <w:webHidden/>
          </w:rPr>
          <w:fldChar w:fldCharType="separate"/>
        </w:r>
        <w:r w:rsidR="00D67D7E">
          <w:rPr>
            <w:webHidden/>
          </w:rPr>
          <w:t>21</w:t>
        </w:r>
        <w:r w:rsidR="00D67D7E">
          <w:rPr>
            <w:webHidden/>
          </w:rPr>
          <w:fldChar w:fldCharType="end"/>
        </w:r>
      </w:hyperlink>
    </w:p>
    <w:p w14:paraId="1A50FE77" w14:textId="0D8A561D" w:rsidR="00D67D7E" w:rsidRDefault="00857F0D">
      <w:pPr>
        <w:pStyle w:val="TOC2"/>
        <w:rPr>
          <w:rFonts w:asciiTheme="minorHAnsi" w:eastAsiaTheme="minorEastAsia" w:hAnsiTheme="minorHAnsi" w:cstheme="minorBidi"/>
          <w:sz w:val="22"/>
          <w:szCs w:val="22"/>
          <w:lang w:val="en-AU" w:eastAsia="en-AU"/>
        </w:rPr>
      </w:pPr>
      <w:hyperlink w:anchor="_Toc70763269" w:history="1">
        <w:r w:rsidR="00D67D7E" w:rsidRPr="00DC7DBB">
          <w:rPr>
            <w:rStyle w:val="Hyperlink"/>
          </w:rPr>
          <w:t>MIVP reduced barriers to access</w:t>
        </w:r>
        <w:r w:rsidR="00D67D7E">
          <w:rPr>
            <w:webHidden/>
          </w:rPr>
          <w:tab/>
        </w:r>
        <w:r w:rsidR="00D67D7E">
          <w:rPr>
            <w:webHidden/>
          </w:rPr>
          <w:fldChar w:fldCharType="begin"/>
        </w:r>
        <w:r w:rsidR="00D67D7E">
          <w:rPr>
            <w:webHidden/>
          </w:rPr>
          <w:instrText xml:space="preserve"> PAGEREF _Toc70763269 \h </w:instrText>
        </w:r>
        <w:r w:rsidR="00D67D7E">
          <w:rPr>
            <w:webHidden/>
          </w:rPr>
        </w:r>
        <w:r w:rsidR="00D67D7E">
          <w:rPr>
            <w:webHidden/>
          </w:rPr>
          <w:fldChar w:fldCharType="separate"/>
        </w:r>
        <w:r w:rsidR="00D67D7E">
          <w:rPr>
            <w:webHidden/>
          </w:rPr>
          <w:t>21</w:t>
        </w:r>
        <w:r w:rsidR="00D67D7E">
          <w:rPr>
            <w:webHidden/>
          </w:rPr>
          <w:fldChar w:fldCharType="end"/>
        </w:r>
      </w:hyperlink>
    </w:p>
    <w:p w14:paraId="303EEE54" w14:textId="522DB052" w:rsidR="00D67D7E" w:rsidRDefault="00857F0D">
      <w:pPr>
        <w:pStyle w:val="TOC2"/>
        <w:rPr>
          <w:rFonts w:asciiTheme="minorHAnsi" w:eastAsiaTheme="minorEastAsia" w:hAnsiTheme="minorHAnsi" w:cstheme="minorBidi"/>
          <w:sz w:val="22"/>
          <w:szCs w:val="22"/>
          <w:lang w:val="en-AU" w:eastAsia="en-AU"/>
        </w:rPr>
      </w:pPr>
      <w:hyperlink w:anchor="_Toc70763270" w:history="1">
        <w:r w:rsidR="00D67D7E" w:rsidRPr="00DC7DBB">
          <w:rPr>
            <w:rStyle w:val="Hyperlink"/>
          </w:rPr>
          <w:t>Strategy 1: Mobilising services to go into the community</w:t>
        </w:r>
        <w:r w:rsidR="00D67D7E">
          <w:rPr>
            <w:webHidden/>
          </w:rPr>
          <w:tab/>
        </w:r>
        <w:r w:rsidR="00D67D7E">
          <w:rPr>
            <w:webHidden/>
          </w:rPr>
          <w:fldChar w:fldCharType="begin"/>
        </w:r>
        <w:r w:rsidR="00D67D7E">
          <w:rPr>
            <w:webHidden/>
          </w:rPr>
          <w:instrText xml:space="preserve"> PAGEREF _Toc70763270 \h </w:instrText>
        </w:r>
        <w:r w:rsidR="00D67D7E">
          <w:rPr>
            <w:webHidden/>
          </w:rPr>
        </w:r>
        <w:r w:rsidR="00D67D7E">
          <w:rPr>
            <w:webHidden/>
          </w:rPr>
          <w:fldChar w:fldCharType="separate"/>
        </w:r>
        <w:r w:rsidR="00D67D7E">
          <w:rPr>
            <w:webHidden/>
          </w:rPr>
          <w:t>22</w:t>
        </w:r>
        <w:r w:rsidR="00D67D7E">
          <w:rPr>
            <w:webHidden/>
          </w:rPr>
          <w:fldChar w:fldCharType="end"/>
        </w:r>
      </w:hyperlink>
    </w:p>
    <w:p w14:paraId="7949D0D9" w14:textId="385610AB" w:rsidR="00D67D7E" w:rsidRDefault="00857F0D">
      <w:pPr>
        <w:pStyle w:val="TOC2"/>
        <w:rPr>
          <w:rFonts w:asciiTheme="minorHAnsi" w:eastAsiaTheme="minorEastAsia" w:hAnsiTheme="minorHAnsi" w:cstheme="minorBidi"/>
          <w:sz w:val="22"/>
          <w:szCs w:val="22"/>
          <w:lang w:val="en-AU" w:eastAsia="en-AU"/>
        </w:rPr>
      </w:pPr>
      <w:hyperlink w:anchor="_Toc70763271" w:history="1">
        <w:r w:rsidR="00D67D7E" w:rsidRPr="00DC7DBB">
          <w:rPr>
            <w:rStyle w:val="Hyperlink"/>
          </w:rPr>
          <w:t>Multiple methods used to identify whānau</w:t>
        </w:r>
        <w:r w:rsidR="00D67D7E">
          <w:rPr>
            <w:webHidden/>
          </w:rPr>
          <w:tab/>
        </w:r>
        <w:r w:rsidR="00D67D7E">
          <w:rPr>
            <w:webHidden/>
          </w:rPr>
          <w:fldChar w:fldCharType="begin"/>
        </w:r>
        <w:r w:rsidR="00D67D7E">
          <w:rPr>
            <w:webHidden/>
          </w:rPr>
          <w:instrText xml:space="preserve"> PAGEREF _Toc70763271 \h </w:instrText>
        </w:r>
        <w:r w:rsidR="00D67D7E">
          <w:rPr>
            <w:webHidden/>
          </w:rPr>
        </w:r>
        <w:r w:rsidR="00D67D7E">
          <w:rPr>
            <w:webHidden/>
          </w:rPr>
          <w:fldChar w:fldCharType="separate"/>
        </w:r>
        <w:r w:rsidR="00D67D7E">
          <w:rPr>
            <w:webHidden/>
          </w:rPr>
          <w:t>22</w:t>
        </w:r>
        <w:r w:rsidR="00D67D7E">
          <w:rPr>
            <w:webHidden/>
          </w:rPr>
          <w:fldChar w:fldCharType="end"/>
        </w:r>
      </w:hyperlink>
    </w:p>
    <w:p w14:paraId="1FDE07D9" w14:textId="2523AD4B" w:rsidR="00D67D7E" w:rsidRDefault="00857F0D">
      <w:pPr>
        <w:pStyle w:val="TOC2"/>
        <w:rPr>
          <w:rFonts w:asciiTheme="minorHAnsi" w:eastAsiaTheme="minorEastAsia" w:hAnsiTheme="minorHAnsi" w:cstheme="minorBidi"/>
          <w:sz w:val="22"/>
          <w:szCs w:val="22"/>
          <w:lang w:val="en-AU" w:eastAsia="en-AU"/>
        </w:rPr>
      </w:pPr>
      <w:hyperlink w:anchor="_Toc70763272" w:history="1">
        <w:r w:rsidR="00D67D7E" w:rsidRPr="00DC7DBB">
          <w:rPr>
            <w:rStyle w:val="Hyperlink"/>
          </w:rPr>
          <w:t>Multiple communication channels used to engage whānau</w:t>
        </w:r>
        <w:r w:rsidR="00D67D7E">
          <w:rPr>
            <w:webHidden/>
          </w:rPr>
          <w:tab/>
        </w:r>
        <w:r w:rsidR="00D67D7E">
          <w:rPr>
            <w:webHidden/>
          </w:rPr>
          <w:fldChar w:fldCharType="begin"/>
        </w:r>
        <w:r w:rsidR="00D67D7E">
          <w:rPr>
            <w:webHidden/>
          </w:rPr>
          <w:instrText xml:space="preserve"> PAGEREF _Toc70763272 \h </w:instrText>
        </w:r>
        <w:r w:rsidR="00D67D7E">
          <w:rPr>
            <w:webHidden/>
          </w:rPr>
        </w:r>
        <w:r w:rsidR="00D67D7E">
          <w:rPr>
            <w:webHidden/>
          </w:rPr>
          <w:fldChar w:fldCharType="separate"/>
        </w:r>
        <w:r w:rsidR="00D67D7E">
          <w:rPr>
            <w:webHidden/>
          </w:rPr>
          <w:t>23</w:t>
        </w:r>
        <w:r w:rsidR="00D67D7E">
          <w:rPr>
            <w:webHidden/>
          </w:rPr>
          <w:fldChar w:fldCharType="end"/>
        </w:r>
      </w:hyperlink>
    </w:p>
    <w:p w14:paraId="23DFE2C8" w14:textId="3AFE014A" w:rsidR="00D67D7E" w:rsidRDefault="00857F0D">
      <w:pPr>
        <w:pStyle w:val="TOC2"/>
        <w:rPr>
          <w:rFonts w:asciiTheme="minorHAnsi" w:eastAsiaTheme="minorEastAsia" w:hAnsiTheme="minorHAnsi" w:cstheme="minorBidi"/>
          <w:sz w:val="22"/>
          <w:szCs w:val="22"/>
          <w:lang w:val="en-AU" w:eastAsia="en-AU"/>
        </w:rPr>
      </w:pPr>
      <w:hyperlink w:anchor="_Toc70763273" w:history="1">
        <w:r w:rsidR="00D67D7E" w:rsidRPr="00DC7DBB">
          <w:rPr>
            <w:rStyle w:val="Hyperlink"/>
          </w:rPr>
          <w:t>Strategy 2: Taking a whānau-centred approach</w:t>
        </w:r>
        <w:r w:rsidR="00D67D7E">
          <w:rPr>
            <w:webHidden/>
          </w:rPr>
          <w:tab/>
        </w:r>
        <w:r w:rsidR="00D67D7E">
          <w:rPr>
            <w:webHidden/>
          </w:rPr>
          <w:fldChar w:fldCharType="begin"/>
        </w:r>
        <w:r w:rsidR="00D67D7E">
          <w:rPr>
            <w:webHidden/>
          </w:rPr>
          <w:instrText xml:space="preserve"> PAGEREF _Toc70763273 \h </w:instrText>
        </w:r>
        <w:r w:rsidR="00D67D7E">
          <w:rPr>
            <w:webHidden/>
          </w:rPr>
        </w:r>
        <w:r w:rsidR="00D67D7E">
          <w:rPr>
            <w:webHidden/>
          </w:rPr>
          <w:fldChar w:fldCharType="separate"/>
        </w:r>
        <w:r w:rsidR="00D67D7E">
          <w:rPr>
            <w:webHidden/>
          </w:rPr>
          <w:t>26</w:t>
        </w:r>
        <w:r w:rsidR="00D67D7E">
          <w:rPr>
            <w:webHidden/>
          </w:rPr>
          <w:fldChar w:fldCharType="end"/>
        </w:r>
      </w:hyperlink>
    </w:p>
    <w:p w14:paraId="5F0BC90D" w14:textId="6677760A" w:rsidR="00D67D7E" w:rsidRDefault="00857F0D">
      <w:pPr>
        <w:pStyle w:val="TOC2"/>
        <w:rPr>
          <w:rFonts w:asciiTheme="minorHAnsi" w:eastAsiaTheme="minorEastAsia" w:hAnsiTheme="minorHAnsi" w:cstheme="minorBidi"/>
          <w:sz w:val="22"/>
          <w:szCs w:val="22"/>
          <w:lang w:val="en-AU" w:eastAsia="en-AU"/>
        </w:rPr>
      </w:pPr>
      <w:hyperlink w:anchor="_Toc70763274" w:history="1">
        <w:r w:rsidR="00D67D7E" w:rsidRPr="00DC7DBB">
          <w:rPr>
            <w:rStyle w:val="Hyperlink"/>
          </w:rPr>
          <w:t>MIVP whānau-centred delivery components</w:t>
        </w:r>
        <w:r w:rsidR="00D67D7E">
          <w:rPr>
            <w:webHidden/>
          </w:rPr>
          <w:tab/>
        </w:r>
        <w:r w:rsidR="00D67D7E">
          <w:rPr>
            <w:webHidden/>
          </w:rPr>
          <w:fldChar w:fldCharType="begin"/>
        </w:r>
        <w:r w:rsidR="00D67D7E">
          <w:rPr>
            <w:webHidden/>
          </w:rPr>
          <w:instrText xml:space="preserve"> PAGEREF _Toc70763274 \h </w:instrText>
        </w:r>
        <w:r w:rsidR="00D67D7E">
          <w:rPr>
            <w:webHidden/>
          </w:rPr>
        </w:r>
        <w:r w:rsidR="00D67D7E">
          <w:rPr>
            <w:webHidden/>
          </w:rPr>
          <w:fldChar w:fldCharType="separate"/>
        </w:r>
        <w:r w:rsidR="00D67D7E">
          <w:rPr>
            <w:webHidden/>
          </w:rPr>
          <w:t>28</w:t>
        </w:r>
        <w:r w:rsidR="00D67D7E">
          <w:rPr>
            <w:webHidden/>
          </w:rPr>
          <w:fldChar w:fldCharType="end"/>
        </w:r>
      </w:hyperlink>
    </w:p>
    <w:p w14:paraId="622CF2FA" w14:textId="006CC682" w:rsidR="00D67D7E" w:rsidRDefault="00857F0D">
      <w:pPr>
        <w:pStyle w:val="TOC2"/>
        <w:rPr>
          <w:rFonts w:asciiTheme="minorHAnsi" w:eastAsiaTheme="minorEastAsia" w:hAnsiTheme="minorHAnsi" w:cstheme="minorBidi"/>
          <w:sz w:val="22"/>
          <w:szCs w:val="22"/>
          <w:lang w:val="en-AU" w:eastAsia="en-AU"/>
        </w:rPr>
      </w:pPr>
      <w:hyperlink w:anchor="_Toc70763275" w:history="1">
        <w:r w:rsidR="00D67D7E" w:rsidRPr="00DC7DBB">
          <w:rPr>
            <w:rStyle w:val="Hyperlink"/>
          </w:rPr>
          <w:t>MIVP whānau-centred services are holistic</w:t>
        </w:r>
        <w:r w:rsidR="00D67D7E">
          <w:rPr>
            <w:webHidden/>
          </w:rPr>
          <w:tab/>
        </w:r>
        <w:r w:rsidR="00D67D7E">
          <w:rPr>
            <w:webHidden/>
          </w:rPr>
          <w:fldChar w:fldCharType="begin"/>
        </w:r>
        <w:r w:rsidR="00D67D7E">
          <w:rPr>
            <w:webHidden/>
          </w:rPr>
          <w:instrText xml:space="preserve"> PAGEREF _Toc70763275 \h </w:instrText>
        </w:r>
        <w:r w:rsidR="00D67D7E">
          <w:rPr>
            <w:webHidden/>
          </w:rPr>
        </w:r>
        <w:r w:rsidR="00D67D7E">
          <w:rPr>
            <w:webHidden/>
          </w:rPr>
          <w:fldChar w:fldCharType="separate"/>
        </w:r>
        <w:r w:rsidR="00D67D7E">
          <w:rPr>
            <w:webHidden/>
          </w:rPr>
          <w:t>30</w:t>
        </w:r>
        <w:r w:rsidR="00D67D7E">
          <w:rPr>
            <w:webHidden/>
          </w:rPr>
          <w:fldChar w:fldCharType="end"/>
        </w:r>
      </w:hyperlink>
    </w:p>
    <w:p w14:paraId="7172594D" w14:textId="00309E8F" w:rsidR="00D67D7E" w:rsidRDefault="00857F0D">
      <w:pPr>
        <w:pStyle w:val="TOC2"/>
        <w:rPr>
          <w:rFonts w:asciiTheme="minorHAnsi" w:eastAsiaTheme="minorEastAsia" w:hAnsiTheme="minorHAnsi" w:cstheme="minorBidi"/>
          <w:sz w:val="22"/>
          <w:szCs w:val="22"/>
          <w:lang w:val="en-AU" w:eastAsia="en-AU"/>
        </w:rPr>
      </w:pPr>
      <w:hyperlink w:anchor="_Toc70763276" w:history="1">
        <w:r w:rsidR="00D67D7E" w:rsidRPr="00DC7DBB">
          <w:rPr>
            <w:rStyle w:val="Hyperlink"/>
          </w:rPr>
          <w:t>MIVP whānau-centred services and outreach are effective</w:t>
        </w:r>
        <w:r w:rsidR="00D67D7E">
          <w:rPr>
            <w:webHidden/>
          </w:rPr>
          <w:tab/>
        </w:r>
        <w:r w:rsidR="00D67D7E">
          <w:rPr>
            <w:webHidden/>
          </w:rPr>
          <w:fldChar w:fldCharType="begin"/>
        </w:r>
        <w:r w:rsidR="00D67D7E">
          <w:rPr>
            <w:webHidden/>
          </w:rPr>
          <w:instrText xml:space="preserve"> PAGEREF _Toc70763276 \h </w:instrText>
        </w:r>
        <w:r w:rsidR="00D67D7E">
          <w:rPr>
            <w:webHidden/>
          </w:rPr>
        </w:r>
        <w:r w:rsidR="00D67D7E">
          <w:rPr>
            <w:webHidden/>
          </w:rPr>
          <w:fldChar w:fldCharType="separate"/>
        </w:r>
        <w:r w:rsidR="00D67D7E">
          <w:rPr>
            <w:webHidden/>
          </w:rPr>
          <w:t>30</w:t>
        </w:r>
        <w:r w:rsidR="00D67D7E">
          <w:rPr>
            <w:webHidden/>
          </w:rPr>
          <w:fldChar w:fldCharType="end"/>
        </w:r>
      </w:hyperlink>
    </w:p>
    <w:p w14:paraId="4AD8E22C" w14:textId="19829B5F" w:rsidR="00D67D7E" w:rsidRDefault="00857F0D">
      <w:pPr>
        <w:pStyle w:val="TOC2"/>
        <w:rPr>
          <w:rFonts w:asciiTheme="minorHAnsi" w:eastAsiaTheme="minorEastAsia" w:hAnsiTheme="minorHAnsi" w:cstheme="minorBidi"/>
          <w:sz w:val="22"/>
          <w:szCs w:val="22"/>
          <w:lang w:val="en-AU" w:eastAsia="en-AU"/>
        </w:rPr>
      </w:pPr>
      <w:hyperlink w:anchor="_Toc70763277" w:history="1">
        <w:r w:rsidR="00D67D7E" w:rsidRPr="00DC7DBB">
          <w:rPr>
            <w:rStyle w:val="Hyperlink"/>
          </w:rPr>
          <w:t>Strategy 3: Workforce capability</w:t>
        </w:r>
        <w:r w:rsidR="00D67D7E">
          <w:rPr>
            <w:webHidden/>
          </w:rPr>
          <w:tab/>
        </w:r>
        <w:r w:rsidR="00D67D7E">
          <w:rPr>
            <w:webHidden/>
          </w:rPr>
          <w:fldChar w:fldCharType="begin"/>
        </w:r>
        <w:r w:rsidR="00D67D7E">
          <w:rPr>
            <w:webHidden/>
          </w:rPr>
          <w:instrText xml:space="preserve"> PAGEREF _Toc70763277 \h </w:instrText>
        </w:r>
        <w:r w:rsidR="00D67D7E">
          <w:rPr>
            <w:webHidden/>
          </w:rPr>
        </w:r>
        <w:r w:rsidR="00D67D7E">
          <w:rPr>
            <w:webHidden/>
          </w:rPr>
          <w:fldChar w:fldCharType="separate"/>
        </w:r>
        <w:r w:rsidR="00D67D7E">
          <w:rPr>
            <w:webHidden/>
          </w:rPr>
          <w:t>31</w:t>
        </w:r>
        <w:r w:rsidR="00D67D7E">
          <w:rPr>
            <w:webHidden/>
          </w:rPr>
          <w:fldChar w:fldCharType="end"/>
        </w:r>
      </w:hyperlink>
    </w:p>
    <w:p w14:paraId="7D698DEB" w14:textId="086A4571" w:rsidR="00D67D7E" w:rsidRDefault="00857F0D">
      <w:pPr>
        <w:pStyle w:val="TOC2"/>
        <w:rPr>
          <w:rFonts w:asciiTheme="minorHAnsi" w:eastAsiaTheme="minorEastAsia" w:hAnsiTheme="minorHAnsi" w:cstheme="minorBidi"/>
          <w:sz w:val="22"/>
          <w:szCs w:val="22"/>
          <w:lang w:val="en-AU" w:eastAsia="en-AU"/>
        </w:rPr>
      </w:pPr>
      <w:hyperlink w:anchor="_Toc70763278" w:history="1">
        <w:r w:rsidR="00D67D7E" w:rsidRPr="00DC7DBB">
          <w:rPr>
            <w:rStyle w:val="Hyperlink"/>
          </w:rPr>
          <w:t>Māori providers traditionally underfunded</w:t>
        </w:r>
        <w:r w:rsidR="00D67D7E">
          <w:rPr>
            <w:webHidden/>
          </w:rPr>
          <w:tab/>
        </w:r>
        <w:r w:rsidR="00D67D7E">
          <w:rPr>
            <w:webHidden/>
          </w:rPr>
          <w:fldChar w:fldCharType="begin"/>
        </w:r>
        <w:r w:rsidR="00D67D7E">
          <w:rPr>
            <w:webHidden/>
          </w:rPr>
          <w:instrText xml:space="preserve"> PAGEREF _Toc70763278 \h </w:instrText>
        </w:r>
        <w:r w:rsidR="00D67D7E">
          <w:rPr>
            <w:webHidden/>
          </w:rPr>
        </w:r>
        <w:r w:rsidR="00D67D7E">
          <w:rPr>
            <w:webHidden/>
          </w:rPr>
          <w:fldChar w:fldCharType="separate"/>
        </w:r>
        <w:r w:rsidR="00D67D7E">
          <w:rPr>
            <w:webHidden/>
          </w:rPr>
          <w:t>31</w:t>
        </w:r>
        <w:r w:rsidR="00D67D7E">
          <w:rPr>
            <w:webHidden/>
          </w:rPr>
          <w:fldChar w:fldCharType="end"/>
        </w:r>
      </w:hyperlink>
    </w:p>
    <w:p w14:paraId="55766BB4" w14:textId="2EE88216" w:rsidR="00D67D7E" w:rsidRDefault="00857F0D">
      <w:pPr>
        <w:pStyle w:val="TOC2"/>
        <w:rPr>
          <w:rFonts w:asciiTheme="minorHAnsi" w:eastAsiaTheme="minorEastAsia" w:hAnsiTheme="minorHAnsi" w:cstheme="minorBidi"/>
          <w:sz w:val="22"/>
          <w:szCs w:val="22"/>
          <w:lang w:val="en-AU" w:eastAsia="en-AU"/>
        </w:rPr>
      </w:pPr>
      <w:hyperlink w:anchor="_Toc70763279" w:history="1">
        <w:r w:rsidR="00D67D7E" w:rsidRPr="00DC7DBB">
          <w:rPr>
            <w:rStyle w:val="Hyperlink"/>
          </w:rPr>
          <w:t>An expert and experienced Māori workforce is critical</w:t>
        </w:r>
        <w:r w:rsidR="00D67D7E">
          <w:rPr>
            <w:webHidden/>
          </w:rPr>
          <w:tab/>
        </w:r>
        <w:r w:rsidR="00D67D7E">
          <w:rPr>
            <w:webHidden/>
          </w:rPr>
          <w:fldChar w:fldCharType="begin"/>
        </w:r>
        <w:r w:rsidR="00D67D7E">
          <w:rPr>
            <w:webHidden/>
          </w:rPr>
          <w:instrText xml:space="preserve"> PAGEREF _Toc70763279 \h </w:instrText>
        </w:r>
        <w:r w:rsidR="00D67D7E">
          <w:rPr>
            <w:webHidden/>
          </w:rPr>
        </w:r>
        <w:r w:rsidR="00D67D7E">
          <w:rPr>
            <w:webHidden/>
          </w:rPr>
          <w:fldChar w:fldCharType="separate"/>
        </w:r>
        <w:r w:rsidR="00D67D7E">
          <w:rPr>
            <w:webHidden/>
          </w:rPr>
          <w:t>31</w:t>
        </w:r>
        <w:r w:rsidR="00D67D7E">
          <w:rPr>
            <w:webHidden/>
          </w:rPr>
          <w:fldChar w:fldCharType="end"/>
        </w:r>
      </w:hyperlink>
    </w:p>
    <w:p w14:paraId="3B0EB1A1" w14:textId="1A464915" w:rsidR="00D67D7E" w:rsidRDefault="00857F0D">
      <w:pPr>
        <w:pStyle w:val="TOC2"/>
        <w:rPr>
          <w:rFonts w:asciiTheme="minorHAnsi" w:eastAsiaTheme="minorEastAsia" w:hAnsiTheme="minorHAnsi" w:cstheme="minorBidi"/>
          <w:sz w:val="22"/>
          <w:szCs w:val="22"/>
          <w:lang w:val="en-AU" w:eastAsia="en-AU"/>
        </w:rPr>
      </w:pPr>
      <w:hyperlink w:anchor="_Toc70763280" w:history="1">
        <w:r w:rsidR="00D67D7E" w:rsidRPr="00DC7DBB">
          <w:rPr>
            <w:rStyle w:val="Hyperlink"/>
          </w:rPr>
          <w:t>MIVP funding helped build vaccination and mobilisation capability</w:t>
        </w:r>
        <w:r w:rsidR="00D67D7E">
          <w:rPr>
            <w:webHidden/>
          </w:rPr>
          <w:tab/>
        </w:r>
        <w:r w:rsidR="00D67D7E">
          <w:rPr>
            <w:webHidden/>
          </w:rPr>
          <w:fldChar w:fldCharType="begin"/>
        </w:r>
        <w:r w:rsidR="00D67D7E">
          <w:rPr>
            <w:webHidden/>
          </w:rPr>
          <w:instrText xml:space="preserve"> PAGEREF _Toc70763280 \h </w:instrText>
        </w:r>
        <w:r w:rsidR="00D67D7E">
          <w:rPr>
            <w:webHidden/>
          </w:rPr>
        </w:r>
        <w:r w:rsidR="00D67D7E">
          <w:rPr>
            <w:webHidden/>
          </w:rPr>
          <w:fldChar w:fldCharType="separate"/>
        </w:r>
        <w:r w:rsidR="00D67D7E">
          <w:rPr>
            <w:webHidden/>
          </w:rPr>
          <w:t>32</w:t>
        </w:r>
        <w:r w:rsidR="00D67D7E">
          <w:rPr>
            <w:webHidden/>
          </w:rPr>
          <w:fldChar w:fldCharType="end"/>
        </w:r>
      </w:hyperlink>
    </w:p>
    <w:p w14:paraId="3DC15424" w14:textId="1AA524E1" w:rsidR="00D67D7E" w:rsidRDefault="00857F0D">
      <w:pPr>
        <w:pStyle w:val="TOC2"/>
        <w:rPr>
          <w:rFonts w:asciiTheme="minorHAnsi" w:eastAsiaTheme="minorEastAsia" w:hAnsiTheme="minorHAnsi" w:cstheme="minorBidi"/>
          <w:sz w:val="22"/>
          <w:szCs w:val="22"/>
          <w:lang w:val="en-AU" w:eastAsia="en-AU"/>
        </w:rPr>
      </w:pPr>
      <w:hyperlink w:anchor="_Toc70763281" w:history="1">
        <w:r w:rsidR="00D67D7E" w:rsidRPr="00DC7DBB">
          <w:rPr>
            <w:rStyle w:val="Hyperlink"/>
          </w:rPr>
          <w:t>Data unlocks responsive decision-making, efficiency and effectiveness</w:t>
        </w:r>
        <w:r w:rsidR="00D67D7E">
          <w:rPr>
            <w:webHidden/>
          </w:rPr>
          <w:tab/>
        </w:r>
        <w:r w:rsidR="00D67D7E">
          <w:rPr>
            <w:webHidden/>
          </w:rPr>
          <w:fldChar w:fldCharType="begin"/>
        </w:r>
        <w:r w:rsidR="00D67D7E">
          <w:rPr>
            <w:webHidden/>
          </w:rPr>
          <w:instrText xml:space="preserve"> PAGEREF _Toc70763281 \h </w:instrText>
        </w:r>
        <w:r w:rsidR="00D67D7E">
          <w:rPr>
            <w:webHidden/>
          </w:rPr>
        </w:r>
        <w:r w:rsidR="00D67D7E">
          <w:rPr>
            <w:webHidden/>
          </w:rPr>
          <w:fldChar w:fldCharType="separate"/>
        </w:r>
        <w:r w:rsidR="00D67D7E">
          <w:rPr>
            <w:webHidden/>
          </w:rPr>
          <w:t>32</w:t>
        </w:r>
        <w:r w:rsidR="00D67D7E">
          <w:rPr>
            <w:webHidden/>
          </w:rPr>
          <w:fldChar w:fldCharType="end"/>
        </w:r>
      </w:hyperlink>
    </w:p>
    <w:p w14:paraId="3CC5BD13" w14:textId="7AEE5451" w:rsidR="00D67D7E" w:rsidRDefault="00857F0D">
      <w:pPr>
        <w:pStyle w:val="TOC1"/>
        <w:rPr>
          <w:rFonts w:asciiTheme="minorHAnsi" w:eastAsiaTheme="minorEastAsia" w:hAnsiTheme="minorHAnsi" w:cstheme="minorBidi"/>
          <w:b w:val="0"/>
          <w:szCs w:val="22"/>
          <w:lang w:val="en-AU" w:eastAsia="en-AU"/>
        </w:rPr>
      </w:pPr>
      <w:hyperlink w:anchor="_Toc70763282" w:history="1">
        <w:r w:rsidR="00D67D7E" w:rsidRPr="00DC7DBB">
          <w:rPr>
            <w:rStyle w:val="Hyperlink"/>
          </w:rPr>
          <w:t>The design and implementation of the MIVP</w:t>
        </w:r>
        <w:r w:rsidR="00D67D7E">
          <w:rPr>
            <w:webHidden/>
          </w:rPr>
          <w:tab/>
        </w:r>
        <w:r w:rsidR="00D67D7E">
          <w:rPr>
            <w:webHidden/>
          </w:rPr>
          <w:fldChar w:fldCharType="begin"/>
        </w:r>
        <w:r w:rsidR="00D67D7E">
          <w:rPr>
            <w:webHidden/>
          </w:rPr>
          <w:instrText xml:space="preserve"> PAGEREF _Toc70763282 \h </w:instrText>
        </w:r>
        <w:r w:rsidR="00D67D7E">
          <w:rPr>
            <w:webHidden/>
          </w:rPr>
        </w:r>
        <w:r w:rsidR="00D67D7E">
          <w:rPr>
            <w:webHidden/>
          </w:rPr>
          <w:fldChar w:fldCharType="separate"/>
        </w:r>
        <w:r w:rsidR="00D67D7E">
          <w:rPr>
            <w:webHidden/>
          </w:rPr>
          <w:t>34</w:t>
        </w:r>
        <w:r w:rsidR="00D67D7E">
          <w:rPr>
            <w:webHidden/>
          </w:rPr>
          <w:fldChar w:fldCharType="end"/>
        </w:r>
      </w:hyperlink>
    </w:p>
    <w:p w14:paraId="08F34D22" w14:textId="7FE80684" w:rsidR="00D67D7E" w:rsidRDefault="00857F0D">
      <w:pPr>
        <w:pStyle w:val="TOC2"/>
        <w:rPr>
          <w:rFonts w:asciiTheme="minorHAnsi" w:eastAsiaTheme="minorEastAsia" w:hAnsiTheme="minorHAnsi" w:cstheme="minorBidi"/>
          <w:sz w:val="22"/>
          <w:szCs w:val="22"/>
          <w:lang w:val="en-AU" w:eastAsia="en-AU"/>
        </w:rPr>
      </w:pPr>
      <w:hyperlink w:anchor="_Toc70763283" w:history="1">
        <w:r w:rsidR="00D67D7E" w:rsidRPr="00DC7DBB">
          <w:rPr>
            <w:rStyle w:val="Hyperlink"/>
          </w:rPr>
          <w:t>A snapshot</w:t>
        </w:r>
        <w:r w:rsidR="00D67D7E">
          <w:rPr>
            <w:webHidden/>
          </w:rPr>
          <w:tab/>
        </w:r>
        <w:r w:rsidR="00D67D7E">
          <w:rPr>
            <w:webHidden/>
          </w:rPr>
          <w:fldChar w:fldCharType="begin"/>
        </w:r>
        <w:r w:rsidR="00D67D7E">
          <w:rPr>
            <w:webHidden/>
          </w:rPr>
          <w:instrText xml:space="preserve"> PAGEREF _Toc70763283 \h </w:instrText>
        </w:r>
        <w:r w:rsidR="00D67D7E">
          <w:rPr>
            <w:webHidden/>
          </w:rPr>
        </w:r>
        <w:r w:rsidR="00D67D7E">
          <w:rPr>
            <w:webHidden/>
          </w:rPr>
          <w:fldChar w:fldCharType="separate"/>
        </w:r>
        <w:r w:rsidR="00D67D7E">
          <w:rPr>
            <w:webHidden/>
          </w:rPr>
          <w:t>34</w:t>
        </w:r>
        <w:r w:rsidR="00D67D7E">
          <w:rPr>
            <w:webHidden/>
          </w:rPr>
          <w:fldChar w:fldCharType="end"/>
        </w:r>
      </w:hyperlink>
    </w:p>
    <w:p w14:paraId="78E2D2E9" w14:textId="3E76FF6D" w:rsidR="00D67D7E" w:rsidRDefault="00857F0D">
      <w:pPr>
        <w:pStyle w:val="TOC2"/>
        <w:rPr>
          <w:rFonts w:asciiTheme="minorHAnsi" w:eastAsiaTheme="minorEastAsia" w:hAnsiTheme="minorHAnsi" w:cstheme="minorBidi"/>
          <w:sz w:val="22"/>
          <w:szCs w:val="22"/>
          <w:lang w:val="en-AU" w:eastAsia="en-AU"/>
        </w:rPr>
      </w:pPr>
      <w:hyperlink w:anchor="_Toc70763284" w:history="1">
        <w:r w:rsidR="00D67D7E" w:rsidRPr="00DC7DBB">
          <w:rPr>
            <w:rStyle w:val="Hyperlink"/>
          </w:rPr>
          <w:t>Three main expectations</w:t>
        </w:r>
        <w:r w:rsidR="00D67D7E">
          <w:rPr>
            <w:webHidden/>
          </w:rPr>
          <w:tab/>
        </w:r>
        <w:r w:rsidR="00D67D7E">
          <w:rPr>
            <w:webHidden/>
          </w:rPr>
          <w:fldChar w:fldCharType="begin"/>
        </w:r>
        <w:r w:rsidR="00D67D7E">
          <w:rPr>
            <w:webHidden/>
          </w:rPr>
          <w:instrText xml:space="preserve"> PAGEREF _Toc70763284 \h </w:instrText>
        </w:r>
        <w:r w:rsidR="00D67D7E">
          <w:rPr>
            <w:webHidden/>
          </w:rPr>
        </w:r>
        <w:r w:rsidR="00D67D7E">
          <w:rPr>
            <w:webHidden/>
          </w:rPr>
          <w:fldChar w:fldCharType="separate"/>
        </w:r>
        <w:r w:rsidR="00D67D7E">
          <w:rPr>
            <w:webHidden/>
          </w:rPr>
          <w:t>34</w:t>
        </w:r>
        <w:r w:rsidR="00D67D7E">
          <w:rPr>
            <w:webHidden/>
          </w:rPr>
          <w:fldChar w:fldCharType="end"/>
        </w:r>
      </w:hyperlink>
    </w:p>
    <w:p w14:paraId="30C23260" w14:textId="4A1CE861" w:rsidR="00D67D7E" w:rsidRDefault="00857F0D">
      <w:pPr>
        <w:pStyle w:val="TOC2"/>
        <w:rPr>
          <w:rFonts w:asciiTheme="minorHAnsi" w:eastAsiaTheme="minorEastAsia" w:hAnsiTheme="minorHAnsi" w:cstheme="minorBidi"/>
          <w:sz w:val="22"/>
          <w:szCs w:val="22"/>
          <w:lang w:val="en-AU" w:eastAsia="en-AU"/>
        </w:rPr>
      </w:pPr>
      <w:hyperlink w:anchor="_Toc70763285" w:history="1">
        <w:r w:rsidR="00D67D7E" w:rsidRPr="00DC7DBB">
          <w:rPr>
            <w:rStyle w:val="Hyperlink"/>
          </w:rPr>
          <w:t>Broader MIVP expectations</w:t>
        </w:r>
        <w:r w:rsidR="00D67D7E">
          <w:rPr>
            <w:webHidden/>
          </w:rPr>
          <w:tab/>
        </w:r>
        <w:r w:rsidR="00D67D7E">
          <w:rPr>
            <w:webHidden/>
          </w:rPr>
          <w:fldChar w:fldCharType="begin"/>
        </w:r>
        <w:r w:rsidR="00D67D7E">
          <w:rPr>
            <w:webHidden/>
          </w:rPr>
          <w:instrText xml:space="preserve"> PAGEREF _Toc70763285 \h </w:instrText>
        </w:r>
        <w:r w:rsidR="00D67D7E">
          <w:rPr>
            <w:webHidden/>
          </w:rPr>
        </w:r>
        <w:r w:rsidR="00D67D7E">
          <w:rPr>
            <w:webHidden/>
          </w:rPr>
          <w:fldChar w:fldCharType="separate"/>
        </w:r>
        <w:r w:rsidR="00D67D7E">
          <w:rPr>
            <w:webHidden/>
          </w:rPr>
          <w:t>34</w:t>
        </w:r>
        <w:r w:rsidR="00D67D7E">
          <w:rPr>
            <w:webHidden/>
          </w:rPr>
          <w:fldChar w:fldCharType="end"/>
        </w:r>
      </w:hyperlink>
    </w:p>
    <w:p w14:paraId="25135EEC" w14:textId="63FADDE3" w:rsidR="00D67D7E" w:rsidRDefault="00857F0D">
      <w:pPr>
        <w:pStyle w:val="TOC2"/>
        <w:rPr>
          <w:rFonts w:asciiTheme="minorHAnsi" w:eastAsiaTheme="minorEastAsia" w:hAnsiTheme="minorHAnsi" w:cstheme="minorBidi"/>
          <w:sz w:val="22"/>
          <w:szCs w:val="22"/>
          <w:lang w:val="en-AU" w:eastAsia="en-AU"/>
        </w:rPr>
      </w:pPr>
      <w:hyperlink w:anchor="_Toc70763286" w:history="1">
        <w:r w:rsidR="00D67D7E" w:rsidRPr="00DC7DBB">
          <w:rPr>
            <w:rStyle w:val="Hyperlink"/>
          </w:rPr>
          <w:t>Providers were positive about the application process; DHBs less so</w:t>
        </w:r>
        <w:r w:rsidR="00D67D7E">
          <w:rPr>
            <w:webHidden/>
          </w:rPr>
          <w:tab/>
        </w:r>
        <w:r w:rsidR="00D67D7E">
          <w:rPr>
            <w:webHidden/>
          </w:rPr>
          <w:fldChar w:fldCharType="begin"/>
        </w:r>
        <w:r w:rsidR="00D67D7E">
          <w:rPr>
            <w:webHidden/>
          </w:rPr>
          <w:instrText xml:space="preserve"> PAGEREF _Toc70763286 \h </w:instrText>
        </w:r>
        <w:r w:rsidR="00D67D7E">
          <w:rPr>
            <w:webHidden/>
          </w:rPr>
        </w:r>
        <w:r w:rsidR="00D67D7E">
          <w:rPr>
            <w:webHidden/>
          </w:rPr>
          <w:fldChar w:fldCharType="separate"/>
        </w:r>
        <w:r w:rsidR="00D67D7E">
          <w:rPr>
            <w:webHidden/>
          </w:rPr>
          <w:t>35</w:t>
        </w:r>
        <w:r w:rsidR="00D67D7E">
          <w:rPr>
            <w:webHidden/>
          </w:rPr>
          <w:fldChar w:fldCharType="end"/>
        </w:r>
      </w:hyperlink>
    </w:p>
    <w:p w14:paraId="732D5999" w14:textId="124B2DD2" w:rsidR="00D67D7E" w:rsidRDefault="00857F0D">
      <w:pPr>
        <w:pStyle w:val="TOC2"/>
        <w:rPr>
          <w:rFonts w:asciiTheme="minorHAnsi" w:eastAsiaTheme="minorEastAsia" w:hAnsiTheme="minorHAnsi" w:cstheme="minorBidi"/>
          <w:sz w:val="22"/>
          <w:szCs w:val="22"/>
          <w:lang w:val="en-AU" w:eastAsia="en-AU"/>
        </w:rPr>
      </w:pPr>
      <w:hyperlink w:anchor="_Toc70763287" w:history="1">
        <w:r w:rsidR="00D67D7E" w:rsidRPr="00DC7DBB">
          <w:rPr>
            <w:rStyle w:val="Hyperlink"/>
          </w:rPr>
          <w:t>Reflections and considerations for procurement and contracting of MIVP in 2021</w:t>
        </w:r>
        <w:r w:rsidR="00D67D7E">
          <w:rPr>
            <w:webHidden/>
          </w:rPr>
          <w:tab/>
        </w:r>
        <w:r w:rsidR="00D67D7E">
          <w:rPr>
            <w:webHidden/>
          </w:rPr>
          <w:fldChar w:fldCharType="begin"/>
        </w:r>
        <w:r w:rsidR="00D67D7E">
          <w:rPr>
            <w:webHidden/>
          </w:rPr>
          <w:instrText xml:space="preserve"> PAGEREF _Toc70763287 \h </w:instrText>
        </w:r>
        <w:r w:rsidR="00D67D7E">
          <w:rPr>
            <w:webHidden/>
          </w:rPr>
        </w:r>
        <w:r w:rsidR="00D67D7E">
          <w:rPr>
            <w:webHidden/>
          </w:rPr>
          <w:fldChar w:fldCharType="separate"/>
        </w:r>
        <w:r w:rsidR="00D67D7E">
          <w:rPr>
            <w:webHidden/>
          </w:rPr>
          <w:t>36</w:t>
        </w:r>
        <w:r w:rsidR="00D67D7E">
          <w:rPr>
            <w:webHidden/>
          </w:rPr>
          <w:fldChar w:fldCharType="end"/>
        </w:r>
      </w:hyperlink>
    </w:p>
    <w:p w14:paraId="2DD348EE" w14:textId="50B6B538" w:rsidR="00D67D7E" w:rsidRDefault="00857F0D">
      <w:pPr>
        <w:pStyle w:val="TOC2"/>
        <w:rPr>
          <w:rFonts w:asciiTheme="minorHAnsi" w:eastAsiaTheme="minorEastAsia" w:hAnsiTheme="minorHAnsi" w:cstheme="minorBidi"/>
          <w:sz w:val="22"/>
          <w:szCs w:val="22"/>
          <w:lang w:val="en-AU" w:eastAsia="en-AU"/>
        </w:rPr>
      </w:pPr>
      <w:hyperlink w:anchor="_Toc70763288" w:history="1">
        <w:r w:rsidR="00D67D7E" w:rsidRPr="00DC7DBB">
          <w:rPr>
            <w:rStyle w:val="Hyperlink"/>
          </w:rPr>
          <w:t>Dual funding model</w:t>
        </w:r>
        <w:r w:rsidR="00D67D7E">
          <w:rPr>
            <w:webHidden/>
          </w:rPr>
          <w:tab/>
        </w:r>
        <w:r w:rsidR="00D67D7E">
          <w:rPr>
            <w:webHidden/>
          </w:rPr>
          <w:fldChar w:fldCharType="begin"/>
        </w:r>
        <w:r w:rsidR="00D67D7E">
          <w:rPr>
            <w:webHidden/>
          </w:rPr>
          <w:instrText xml:space="preserve"> PAGEREF _Toc70763288 \h </w:instrText>
        </w:r>
        <w:r w:rsidR="00D67D7E">
          <w:rPr>
            <w:webHidden/>
          </w:rPr>
        </w:r>
        <w:r w:rsidR="00D67D7E">
          <w:rPr>
            <w:webHidden/>
          </w:rPr>
          <w:fldChar w:fldCharType="separate"/>
        </w:r>
        <w:r w:rsidR="00D67D7E">
          <w:rPr>
            <w:webHidden/>
          </w:rPr>
          <w:t>40</w:t>
        </w:r>
        <w:r w:rsidR="00D67D7E">
          <w:rPr>
            <w:webHidden/>
          </w:rPr>
          <w:fldChar w:fldCharType="end"/>
        </w:r>
      </w:hyperlink>
    </w:p>
    <w:p w14:paraId="1DA1A02A" w14:textId="3477BD30" w:rsidR="00D67D7E" w:rsidRDefault="00857F0D">
      <w:pPr>
        <w:pStyle w:val="TOC2"/>
        <w:rPr>
          <w:rFonts w:asciiTheme="minorHAnsi" w:eastAsiaTheme="minorEastAsia" w:hAnsiTheme="minorHAnsi" w:cstheme="minorBidi"/>
          <w:sz w:val="22"/>
          <w:szCs w:val="22"/>
          <w:lang w:val="en-AU" w:eastAsia="en-AU"/>
        </w:rPr>
      </w:pPr>
      <w:hyperlink w:anchor="_Toc70763289" w:history="1">
        <w:r w:rsidR="00D67D7E" w:rsidRPr="00DC7DBB">
          <w:rPr>
            <w:rStyle w:val="Hyperlink"/>
          </w:rPr>
          <w:t>Building relationships between DHBs and providers and within DHBs</w:t>
        </w:r>
        <w:r w:rsidR="00D67D7E">
          <w:rPr>
            <w:webHidden/>
          </w:rPr>
          <w:tab/>
        </w:r>
        <w:r w:rsidR="00D67D7E">
          <w:rPr>
            <w:webHidden/>
          </w:rPr>
          <w:fldChar w:fldCharType="begin"/>
        </w:r>
        <w:r w:rsidR="00D67D7E">
          <w:rPr>
            <w:webHidden/>
          </w:rPr>
          <w:instrText xml:space="preserve"> PAGEREF _Toc70763289 \h </w:instrText>
        </w:r>
        <w:r w:rsidR="00D67D7E">
          <w:rPr>
            <w:webHidden/>
          </w:rPr>
        </w:r>
        <w:r w:rsidR="00D67D7E">
          <w:rPr>
            <w:webHidden/>
          </w:rPr>
          <w:fldChar w:fldCharType="separate"/>
        </w:r>
        <w:r w:rsidR="00D67D7E">
          <w:rPr>
            <w:webHidden/>
          </w:rPr>
          <w:t>42</w:t>
        </w:r>
        <w:r w:rsidR="00D67D7E">
          <w:rPr>
            <w:webHidden/>
          </w:rPr>
          <w:fldChar w:fldCharType="end"/>
        </w:r>
      </w:hyperlink>
    </w:p>
    <w:p w14:paraId="5C8A2C98" w14:textId="2EC32330" w:rsidR="00D67D7E" w:rsidRDefault="00857F0D">
      <w:pPr>
        <w:pStyle w:val="TOC2"/>
        <w:rPr>
          <w:rFonts w:asciiTheme="minorHAnsi" w:eastAsiaTheme="minorEastAsia" w:hAnsiTheme="minorHAnsi" w:cstheme="minorBidi"/>
          <w:sz w:val="22"/>
          <w:szCs w:val="22"/>
          <w:lang w:val="en-AU" w:eastAsia="en-AU"/>
        </w:rPr>
      </w:pPr>
      <w:hyperlink w:anchor="_Toc70763290" w:history="1">
        <w:r w:rsidR="00D67D7E" w:rsidRPr="00DC7DBB">
          <w:rPr>
            <w:rStyle w:val="Hyperlink"/>
          </w:rPr>
          <w:t>Implementing MIVP in 2021 and funding considerations</w:t>
        </w:r>
        <w:r w:rsidR="00D67D7E">
          <w:rPr>
            <w:webHidden/>
          </w:rPr>
          <w:tab/>
        </w:r>
        <w:r w:rsidR="00D67D7E">
          <w:rPr>
            <w:webHidden/>
          </w:rPr>
          <w:fldChar w:fldCharType="begin"/>
        </w:r>
        <w:r w:rsidR="00D67D7E">
          <w:rPr>
            <w:webHidden/>
          </w:rPr>
          <w:instrText xml:space="preserve"> PAGEREF _Toc70763290 \h </w:instrText>
        </w:r>
        <w:r w:rsidR="00D67D7E">
          <w:rPr>
            <w:webHidden/>
          </w:rPr>
        </w:r>
        <w:r w:rsidR="00D67D7E">
          <w:rPr>
            <w:webHidden/>
          </w:rPr>
          <w:fldChar w:fldCharType="separate"/>
        </w:r>
        <w:r w:rsidR="00D67D7E">
          <w:rPr>
            <w:webHidden/>
          </w:rPr>
          <w:t>44</w:t>
        </w:r>
        <w:r w:rsidR="00D67D7E">
          <w:rPr>
            <w:webHidden/>
          </w:rPr>
          <w:fldChar w:fldCharType="end"/>
        </w:r>
      </w:hyperlink>
    </w:p>
    <w:p w14:paraId="3BDDAC0B" w14:textId="5380D3EA" w:rsidR="00D67D7E" w:rsidRDefault="00857F0D">
      <w:pPr>
        <w:pStyle w:val="TOC2"/>
        <w:rPr>
          <w:rFonts w:asciiTheme="minorHAnsi" w:eastAsiaTheme="minorEastAsia" w:hAnsiTheme="minorHAnsi" w:cstheme="minorBidi"/>
          <w:sz w:val="22"/>
          <w:szCs w:val="22"/>
          <w:lang w:val="en-AU" w:eastAsia="en-AU"/>
        </w:rPr>
      </w:pPr>
      <w:hyperlink w:anchor="_Toc70763291" w:history="1">
        <w:r w:rsidR="00D67D7E" w:rsidRPr="00DC7DBB">
          <w:rPr>
            <w:rStyle w:val="Hyperlink"/>
          </w:rPr>
          <w:t>MIVP funding model</w:t>
        </w:r>
        <w:r w:rsidR="00D67D7E">
          <w:rPr>
            <w:webHidden/>
          </w:rPr>
          <w:tab/>
        </w:r>
        <w:r w:rsidR="00D67D7E">
          <w:rPr>
            <w:webHidden/>
          </w:rPr>
          <w:fldChar w:fldCharType="begin"/>
        </w:r>
        <w:r w:rsidR="00D67D7E">
          <w:rPr>
            <w:webHidden/>
          </w:rPr>
          <w:instrText xml:space="preserve"> PAGEREF _Toc70763291 \h </w:instrText>
        </w:r>
        <w:r w:rsidR="00D67D7E">
          <w:rPr>
            <w:webHidden/>
          </w:rPr>
        </w:r>
        <w:r w:rsidR="00D67D7E">
          <w:rPr>
            <w:webHidden/>
          </w:rPr>
          <w:fldChar w:fldCharType="separate"/>
        </w:r>
        <w:r w:rsidR="00D67D7E">
          <w:rPr>
            <w:webHidden/>
          </w:rPr>
          <w:t>45</w:t>
        </w:r>
        <w:r w:rsidR="00D67D7E">
          <w:rPr>
            <w:webHidden/>
          </w:rPr>
          <w:fldChar w:fldCharType="end"/>
        </w:r>
      </w:hyperlink>
    </w:p>
    <w:p w14:paraId="421E0042" w14:textId="5E14F5E4" w:rsidR="00D67D7E" w:rsidRDefault="00857F0D">
      <w:pPr>
        <w:pStyle w:val="TOC2"/>
        <w:rPr>
          <w:rFonts w:asciiTheme="minorHAnsi" w:eastAsiaTheme="minorEastAsia" w:hAnsiTheme="minorHAnsi" w:cstheme="minorBidi"/>
          <w:sz w:val="22"/>
          <w:szCs w:val="22"/>
          <w:lang w:val="en-AU" w:eastAsia="en-AU"/>
        </w:rPr>
      </w:pPr>
      <w:hyperlink w:anchor="_Toc70763292" w:history="1">
        <w:r w:rsidR="00D67D7E" w:rsidRPr="00DC7DBB">
          <w:rPr>
            <w:rStyle w:val="Hyperlink"/>
          </w:rPr>
          <w:t>MIVP services</w:t>
        </w:r>
        <w:r w:rsidR="00D67D7E">
          <w:rPr>
            <w:webHidden/>
          </w:rPr>
          <w:tab/>
        </w:r>
        <w:r w:rsidR="00D67D7E">
          <w:rPr>
            <w:webHidden/>
          </w:rPr>
          <w:fldChar w:fldCharType="begin"/>
        </w:r>
        <w:r w:rsidR="00D67D7E">
          <w:rPr>
            <w:webHidden/>
          </w:rPr>
          <w:instrText xml:space="preserve"> PAGEREF _Toc70763292 \h </w:instrText>
        </w:r>
        <w:r w:rsidR="00D67D7E">
          <w:rPr>
            <w:webHidden/>
          </w:rPr>
        </w:r>
        <w:r w:rsidR="00D67D7E">
          <w:rPr>
            <w:webHidden/>
          </w:rPr>
          <w:fldChar w:fldCharType="separate"/>
        </w:r>
        <w:r w:rsidR="00D67D7E">
          <w:rPr>
            <w:webHidden/>
          </w:rPr>
          <w:t>45</w:t>
        </w:r>
        <w:r w:rsidR="00D67D7E">
          <w:rPr>
            <w:webHidden/>
          </w:rPr>
          <w:fldChar w:fldCharType="end"/>
        </w:r>
      </w:hyperlink>
    </w:p>
    <w:p w14:paraId="13FCAAC9" w14:textId="70A647A1" w:rsidR="00D67D7E" w:rsidRDefault="00857F0D">
      <w:pPr>
        <w:pStyle w:val="TOC2"/>
        <w:rPr>
          <w:rFonts w:asciiTheme="minorHAnsi" w:eastAsiaTheme="minorEastAsia" w:hAnsiTheme="minorHAnsi" w:cstheme="minorBidi"/>
          <w:sz w:val="22"/>
          <w:szCs w:val="22"/>
          <w:lang w:val="en-AU" w:eastAsia="en-AU"/>
        </w:rPr>
      </w:pPr>
      <w:hyperlink w:anchor="_Toc70763293" w:history="1">
        <w:r w:rsidR="00D67D7E" w:rsidRPr="00DC7DBB">
          <w:rPr>
            <w:rStyle w:val="Hyperlink"/>
          </w:rPr>
          <w:t>MIVP Funding needs</w:t>
        </w:r>
        <w:r w:rsidR="00D67D7E">
          <w:rPr>
            <w:webHidden/>
          </w:rPr>
          <w:tab/>
        </w:r>
        <w:r w:rsidR="00D67D7E">
          <w:rPr>
            <w:webHidden/>
          </w:rPr>
          <w:fldChar w:fldCharType="begin"/>
        </w:r>
        <w:r w:rsidR="00D67D7E">
          <w:rPr>
            <w:webHidden/>
          </w:rPr>
          <w:instrText xml:space="preserve"> PAGEREF _Toc70763293 \h </w:instrText>
        </w:r>
        <w:r w:rsidR="00D67D7E">
          <w:rPr>
            <w:webHidden/>
          </w:rPr>
        </w:r>
        <w:r w:rsidR="00D67D7E">
          <w:rPr>
            <w:webHidden/>
          </w:rPr>
          <w:fldChar w:fldCharType="separate"/>
        </w:r>
        <w:r w:rsidR="00D67D7E">
          <w:rPr>
            <w:webHidden/>
          </w:rPr>
          <w:t>46</w:t>
        </w:r>
        <w:r w:rsidR="00D67D7E">
          <w:rPr>
            <w:webHidden/>
          </w:rPr>
          <w:fldChar w:fldCharType="end"/>
        </w:r>
      </w:hyperlink>
    </w:p>
    <w:p w14:paraId="5F30AD72" w14:textId="7D9DC385" w:rsidR="00D67D7E" w:rsidRDefault="00857F0D">
      <w:pPr>
        <w:pStyle w:val="TOC2"/>
        <w:rPr>
          <w:rFonts w:asciiTheme="minorHAnsi" w:eastAsiaTheme="minorEastAsia" w:hAnsiTheme="minorHAnsi" w:cstheme="minorBidi"/>
          <w:sz w:val="22"/>
          <w:szCs w:val="22"/>
          <w:lang w:val="en-AU" w:eastAsia="en-AU"/>
        </w:rPr>
      </w:pPr>
      <w:hyperlink w:anchor="_Toc70763294" w:history="1">
        <w:r w:rsidR="00D67D7E" w:rsidRPr="00DC7DBB">
          <w:rPr>
            <w:rStyle w:val="Hyperlink"/>
          </w:rPr>
          <w:t>MIVP Funding amounts</w:t>
        </w:r>
        <w:r w:rsidR="00D67D7E">
          <w:rPr>
            <w:webHidden/>
          </w:rPr>
          <w:tab/>
        </w:r>
        <w:r w:rsidR="00D67D7E">
          <w:rPr>
            <w:webHidden/>
          </w:rPr>
          <w:fldChar w:fldCharType="begin"/>
        </w:r>
        <w:r w:rsidR="00D67D7E">
          <w:rPr>
            <w:webHidden/>
          </w:rPr>
          <w:instrText xml:space="preserve"> PAGEREF _Toc70763294 \h </w:instrText>
        </w:r>
        <w:r w:rsidR="00D67D7E">
          <w:rPr>
            <w:webHidden/>
          </w:rPr>
        </w:r>
        <w:r w:rsidR="00D67D7E">
          <w:rPr>
            <w:webHidden/>
          </w:rPr>
          <w:fldChar w:fldCharType="separate"/>
        </w:r>
        <w:r w:rsidR="00D67D7E">
          <w:rPr>
            <w:webHidden/>
          </w:rPr>
          <w:t>47</w:t>
        </w:r>
        <w:r w:rsidR="00D67D7E">
          <w:rPr>
            <w:webHidden/>
          </w:rPr>
          <w:fldChar w:fldCharType="end"/>
        </w:r>
      </w:hyperlink>
    </w:p>
    <w:p w14:paraId="697AD2BE" w14:textId="21C40062" w:rsidR="00D67D7E" w:rsidRDefault="00857F0D">
      <w:pPr>
        <w:pStyle w:val="TOC2"/>
        <w:rPr>
          <w:rFonts w:asciiTheme="minorHAnsi" w:eastAsiaTheme="minorEastAsia" w:hAnsiTheme="minorHAnsi" w:cstheme="minorBidi"/>
          <w:sz w:val="22"/>
          <w:szCs w:val="22"/>
          <w:lang w:val="en-AU" w:eastAsia="en-AU"/>
        </w:rPr>
      </w:pPr>
      <w:hyperlink w:anchor="_Toc70763295" w:history="1">
        <w:r w:rsidR="00D67D7E" w:rsidRPr="00DC7DBB">
          <w:rPr>
            <w:rStyle w:val="Hyperlink"/>
          </w:rPr>
          <w:t>Funding implications and considerations for 2021</w:t>
        </w:r>
        <w:r w:rsidR="00D67D7E">
          <w:rPr>
            <w:webHidden/>
          </w:rPr>
          <w:tab/>
        </w:r>
        <w:r w:rsidR="00D67D7E">
          <w:rPr>
            <w:webHidden/>
          </w:rPr>
          <w:fldChar w:fldCharType="begin"/>
        </w:r>
        <w:r w:rsidR="00D67D7E">
          <w:rPr>
            <w:webHidden/>
          </w:rPr>
          <w:instrText xml:space="preserve"> PAGEREF _Toc70763295 \h </w:instrText>
        </w:r>
        <w:r w:rsidR="00D67D7E">
          <w:rPr>
            <w:webHidden/>
          </w:rPr>
        </w:r>
        <w:r w:rsidR="00D67D7E">
          <w:rPr>
            <w:webHidden/>
          </w:rPr>
          <w:fldChar w:fldCharType="separate"/>
        </w:r>
        <w:r w:rsidR="00D67D7E">
          <w:rPr>
            <w:webHidden/>
          </w:rPr>
          <w:t>47</w:t>
        </w:r>
        <w:r w:rsidR="00D67D7E">
          <w:rPr>
            <w:webHidden/>
          </w:rPr>
          <w:fldChar w:fldCharType="end"/>
        </w:r>
      </w:hyperlink>
    </w:p>
    <w:p w14:paraId="27F3A52E" w14:textId="5CBF8757" w:rsidR="00D67D7E" w:rsidRDefault="00857F0D">
      <w:pPr>
        <w:pStyle w:val="TOC1"/>
        <w:rPr>
          <w:rFonts w:asciiTheme="minorHAnsi" w:eastAsiaTheme="minorEastAsia" w:hAnsiTheme="minorHAnsi" w:cstheme="minorBidi"/>
          <w:b w:val="0"/>
          <w:szCs w:val="22"/>
          <w:lang w:val="en-AU" w:eastAsia="en-AU"/>
        </w:rPr>
      </w:pPr>
      <w:hyperlink w:anchor="_Toc70763296" w:history="1">
        <w:r w:rsidR="00D67D7E" w:rsidRPr="00DC7DBB">
          <w:rPr>
            <w:rStyle w:val="Hyperlink"/>
          </w:rPr>
          <w:t>Insights and reflections on MIVP 2020</w:t>
        </w:r>
        <w:r w:rsidR="00D67D7E">
          <w:rPr>
            <w:webHidden/>
          </w:rPr>
          <w:tab/>
        </w:r>
        <w:r w:rsidR="00D67D7E">
          <w:rPr>
            <w:webHidden/>
          </w:rPr>
          <w:fldChar w:fldCharType="begin"/>
        </w:r>
        <w:r w:rsidR="00D67D7E">
          <w:rPr>
            <w:webHidden/>
          </w:rPr>
          <w:instrText xml:space="preserve"> PAGEREF _Toc70763296 \h </w:instrText>
        </w:r>
        <w:r w:rsidR="00D67D7E">
          <w:rPr>
            <w:webHidden/>
          </w:rPr>
        </w:r>
        <w:r w:rsidR="00D67D7E">
          <w:rPr>
            <w:webHidden/>
          </w:rPr>
          <w:fldChar w:fldCharType="separate"/>
        </w:r>
        <w:r w:rsidR="00D67D7E">
          <w:rPr>
            <w:webHidden/>
          </w:rPr>
          <w:t>53</w:t>
        </w:r>
        <w:r w:rsidR="00D67D7E">
          <w:rPr>
            <w:webHidden/>
          </w:rPr>
          <w:fldChar w:fldCharType="end"/>
        </w:r>
      </w:hyperlink>
    </w:p>
    <w:p w14:paraId="4914AD9A" w14:textId="6191FCA8" w:rsidR="00D67D7E" w:rsidRDefault="00857F0D">
      <w:pPr>
        <w:pStyle w:val="TOC2"/>
        <w:rPr>
          <w:rFonts w:asciiTheme="minorHAnsi" w:eastAsiaTheme="minorEastAsia" w:hAnsiTheme="minorHAnsi" w:cstheme="minorBidi"/>
          <w:sz w:val="22"/>
          <w:szCs w:val="22"/>
          <w:lang w:val="en-AU" w:eastAsia="en-AU"/>
        </w:rPr>
      </w:pPr>
      <w:hyperlink w:anchor="_Toc70763297" w:history="1">
        <w:r w:rsidR="00D67D7E" w:rsidRPr="00DC7DBB">
          <w:rPr>
            <w:rStyle w:val="Hyperlink"/>
          </w:rPr>
          <w:t>Implementing MIVP in 2021</w:t>
        </w:r>
        <w:r w:rsidR="00D67D7E">
          <w:rPr>
            <w:webHidden/>
          </w:rPr>
          <w:tab/>
        </w:r>
        <w:r w:rsidR="00D67D7E">
          <w:rPr>
            <w:webHidden/>
          </w:rPr>
          <w:fldChar w:fldCharType="begin"/>
        </w:r>
        <w:r w:rsidR="00D67D7E">
          <w:rPr>
            <w:webHidden/>
          </w:rPr>
          <w:instrText xml:space="preserve"> PAGEREF _Toc70763297 \h </w:instrText>
        </w:r>
        <w:r w:rsidR="00D67D7E">
          <w:rPr>
            <w:webHidden/>
          </w:rPr>
        </w:r>
        <w:r w:rsidR="00D67D7E">
          <w:rPr>
            <w:webHidden/>
          </w:rPr>
          <w:fldChar w:fldCharType="separate"/>
        </w:r>
        <w:r w:rsidR="00D67D7E">
          <w:rPr>
            <w:webHidden/>
          </w:rPr>
          <w:t>54</w:t>
        </w:r>
        <w:r w:rsidR="00D67D7E">
          <w:rPr>
            <w:webHidden/>
          </w:rPr>
          <w:fldChar w:fldCharType="end"/>
        </w:r>
      </w:hyperlink>
    </w:p>
    <w:p w14:paraId="3954C942" w14:textId="5E7324D9" w:rsidR="00D67D7E" w:rsidRDefault="00857F0D">
      <w:pPr>
        <w:pStyle w:val="TOC2"/>
        <w:rPr>
          <w:rFonts w:asciiTheme="minorHAnsi" w:eastAsiaTheme="minorEastAsia" w:hAnsiTheme="minorHAnsi" w:cstheme="minorBidi"/>
          <w:sz w:val="22"/>
          <w:szCs w:val="22"/>
          <w:lang w:val="en-AU" w:eastAsia="en-AU"/>
        </w:rPr>
      </w:pPr>
      <w:hyperlink w:anchor="_Toc70763298" w:history="1">
        <w:r w:rsidR="00D67D7E" w:rsidRPr="00DC7DBB">
          <w:rPr>
            <w:rStyle w:val="Hyperlink"/>
          </w:rPr>
          <w:t>Conclusion</w:t>
        </w:r>
        <w:r w:rsidR="00D67D7E">
          <w:rPr>
            <w:webHidden/>
          </w:rPr>
          <w:tab/>
        </w:r>
        <w:r w:rsidR="00D67D7E">
          <w:rPr>
            <w:webHidden/>
          </w:rPr>
          <w:fldChar w:fldCharType="begin"/>
        </w:r>
        <w:r w:rsidR="00D67D7E">
          <w:rPr>
            <w:webHidden/>
          </w:rPr>
          <w:instrText xml:space="preserve"> PAGEREF _Toc70763298 \h </w:instrText>
        </w:r>
        <w:r w:rsidR="00D67D7E">
          <w:rPr>
            <w:webHidden/>
          </w:rPr>
        </w:r>
        <w:r w:rsidR="00D67D7E">
          <w:rPr>
            <w:webHidden/>
          </w:rPr>
          <w:fldChar w:fldCharType="separate"/>
        </w:r>
        <w:r w:rsidR="00D67D7E">
          <w:rPr>
            <w:webHidden/>
          </w:rPr>
          <w:t>56</w:t>
        </w:r>
        <w:r w:rsidR="00D67D7E">
          <w:rPr>
            <w:webHidden/>
          </w:rPr>
          <w:fldChar w:fldCharType="end"/>
        </w:r>
      </w:hyperlink>
    </w:p>
    <w:p w14:paraId="04B9BA6D" w14:textId="652313A1" w:rsidR="00D67D7E" w:rsidRDefault="00857F0D">
      <w:pPr>
        <w:pStyle w:val="TOC1"/>
        <w:rPr>
          <w:rFonts w:asciiTheme="minorHAnsi" w:eastAsiaTheme="minorEastAsia" w:hAnsiTheme="minorHAnsi" w:cstheme="minorBidi"/>
          <w:b w:val="0"/>
          <w:szCs w:val="22"/>
          <w:lang w:val="en-AU" w:eastAsia="en-AU"/>
        </w:rPr>
      </w:pPr>
      <w:hyperlink w:anchor="_Toc70763299" w:history="1">
        <w:r w:rsidR="00D67D7E" w:rsidRPr="00DC7DBB">
          <w:rPr>
            <w:rStyle w:val="Hyperlink"/>
          </w:rPr>
          <w:t>Appendix 1 – Evaluation Methodology</w:t>
        </w:r>
        <w:r w:rsidR="00D67D7E">
          <w:rPr>
            <w:webHidden/>
          </w:rPr>
          <w:tab/>
        </w:r>
        <w:r w:rsidR="00D67D7E">
          <w:rPr>
            <w:webHidden/>
          </w:rPr>
          <w:fldChar w:fldCharType="begin"/>
        </w:r>
        <w:r w:rsidR="00D67D7E">
          <w:rPr>
            <w:webHidden/>
          </w:rPr>
          <w:instrText xml:space="preserve"> PAGEREF _Toc70763299 \h </w:instrText>
        </w:r>
        <w:r w:rsidR="00D67D7E">
          <w:rPr>
            <w:webHidden/>
          </w:rPr>
        </w:r>
        <w:r w:rsidR="00D67D7E">
          <w:rPr>
            <w:webHidden/>
          </w:rPr>
          <w:fldChar w:fldCharType="separate"/>
        </w:r>
        <w:r w:rsidR="00D67D7E">
          <w:rPr>
            <w:webHidden/>
          </w:rPr>
          <w:t>57</w:t>
        </w:r>
        <w:r w:rsidR="00D67D7E">
          <w:rPr>
            <w:webHidden/>
          </w:rPr>
          <w:fldChar w:fldCharType="end"/>
        </w:r>
      </w:hyperlink>
    </w:p>
    <w:p w14:paraId="6431AC15" w14:textId="74121182" w:rsidR="00D67D7E" w:rsidRDefault="00857F0D">
      <w:pPr>
        <w:pStyle w:val="TOC2"/>
        <w:rPr>
          <w:rFonts w:asciiTheme="minorHAnsi" w:eastAsiaTheme="minorEastAsia" w:hAnsiTheme="minorHAnsi" w:cstheme="minorBidi"/>
          <w:sz w:val="22"/>
          <w:szCs w:val="22"/>
          <w:lang w:val="en-AU" w:eastAsia="en-AU"/>
        </w:rPr>
      </w:pPr>
      <w:hyperlink w:anchor="_Toc70763300" w:history="1">
        <w:r w:rsidR="00D67D7E" w:rsidRPr="00DC7DBB">
          <w:rPr>
            <w:rStyle w:val="Hyperlink"/>
          </w:rPr>
          <w:t>Limitations</w:t>
        </w:r>
        <w:r w:rsidR="00D67D7E">
          <w:rPr>
            <w:webHidden/>
          </w:rPr>
          <w:tab/>
        </w:r>
        <w:r w:rsidR="00D67D7E">
          <w:rPr>
            <w:webHidden/>
          </w:rPr>
          <w:fldChar w:fldCharType="begin"/>
        </w:r>
        <w:r w:rsidR="00D67D7E">
          <w:rPr>
            <w:webHidden/>
          </w:rPr>
          <w:instrText xml:space="preserve"> PAGEREF _Toc70763300 \h </w:instrText>
        </w:r>
        <w:r w:rsidR="00D67D7E">
          <w:rPr>
            <w:webHidden/>
          </w:rPr>
        </w:r>
        <w:r w:rsidR="00D67D7E">
          <w:rPr>
            <w:webHidden/>
          </w:rPr>
          <w:fldChar w:fldCharType="separate"/>
        </w:r>
        <w:r w:rsidR="00D67D7E">
          <w:rPr>
            <w:webHidden/>
          </w:rPr>
          <w:t>58</w:t>
        </w:r>
        <w:r w:rsidR="00D67D7E">
          <w:rPr>
            <w:webHidden/>
          </w:rPr>
          <w:fldChar w:fldCharType="end"/>
        </w:r>
      </w:hyperlink>
    </w:p>
    <w:p w14:paraId="60A37C37" w14:textId="37E06E69" w:rsidR="00D67D7E" w:rsidRDefault="00857F0D">
      <w:pPr>
        <w:pStyle w:val="TOC1"/>
        <w:rPr>
          <w:rFonts w:asciiTheme="minorHAnsi" w:eastAsiaTheme="minorEastAsia" w:hAnsiTheme="minorHAnsi" w:cstheme="minorBidi"/>
          <w:b w:val="0"/>
          <w:szCs w:val="22"/>
          <w:lang w:val="en-AU" w:eastAsia="en-AU"/>
        </w:rPr>
      </w:pPr>
      <w:hyperlink w:anchor="_Toc70763301" w:history="1">
        <w:r w:rsidR="00D67D7E" w:rsidRPr="00DC7DBB">
          <w:rPr>
            <w:rStyle w:val="Hyperlink"/>
          </w:rPr>
          <w:t>Appendix 2 – Additional Data, Tables and Graphs</w:t>
        </w:r>
        <w:r w:rsidR="00D67D7E">
          <w:rPr>
            <w:webHidden/>
          </w:rPr>
          <w:tab/>
        </w:r>
        <w:r w:rsidR="00D67D7E">
          <w:rPr>
            <w:webHidden/>
          </w:rPr>
          <w:fldChar w:fldCharType="begin"/>
        </w:r>
        <w:r w:rsidR="00D67D7E">
          <w:rPr>
            <w:webHidden/>
          </w:rPr>
          <w:instrText xml:space="preserve"> PAGEREF _Toc70763301 \h </w:instrText>
        </w:r>
        <w:r w:rsidR="00D67D7E">
          <w:rPr>
            <w:webHidden/>
          </w:rPr>
        </w:r>
        <w:r w:rsidR="00D67D7E">
          <w:rPr>
            <w:webHidden/>
          </w:rPr>
          <w:fldChar w:fldCharType="separate"/>
        </w:r>
        <w:r w:rsidR="00D67D7E">
          <w:rPr>
            <w:webHidden/>
          </w:rPr>
          <w:t>59</w:t>
        </w:r>
        <w:r w:rsidR="00D67D7E">
          <w:rPr>
            <w:webHidden/>
          </w:rPr>
          <w:fldChar w:fldCharType="end"/>
        </w:r>
      </w:hyperlink>
    </w:p>
    <w:p w14:paraId="7AE13AF8" w14:textId="4C6BF732" w:rsidR="00D67D7E" w:rsidRDefault="00857F0D">
      <w:pPr>
        <w:pStyle w:val="TOC1"/>
        <w:rPr>
          <w:rFonts w:asciiTheme="minorHAnsi" w:eastAsiaTheme="minorEastAsia" w:hAnsiTheme="minorHAnsi" w:cstheme="minorBidi"/>
          <w:b w:val="0"/>
          <w:szCs w:val="22"/>
          <w:lang w:val="en-AU" w:eastAsia="en-AU"/>
        </w:rPr>
      </w:pPr>
      <w:hyperlink w:anchor="_Toc70763302" w:history="1">
        <w:r w:rsidR="00D67D7E" w:rsidRPr="00DC7DBB">
          <w:rPr>
            <w:rStyle w:val="Hyperlink"/>
          </w:rPr>
          <w:t>References</w:t>
        </w:r>
        <w:r w:rsidR="00D67D7E">
          <w:rPr>
            <w:webHidden/>
          </w:rPr>
          <w:tab/>
        </w:r>
        <w:r w:rsidR="00D67D7E">
          <w:rPr>
            <w:webHidden/>
          </w:rPr>
          <w:fldChar w:fldCharType="begin"/>
        </w:r>
        <w:r w:rsidR="00D67D7E">
          <w:rPr>
            <w:webHidden/>
          </w:rPr>
          <w:instrText xml:space="preserve"> PAGEREF _Toc70763302 \h </w:instrText>
        </w:r>
        <w:r w:rsidR="00D67D7E">
          <w:rPr>
            <w:webHidden/>
          </w:rPr>
        </w:r>
        <w:r w:rsidR="00D67D7E">
          <w:rPr>
            <w:webHidden/>
          </w:rPr>
          <w:fldChar w:fldCharType="separate"/>
        </w:r>
        <w:r w:rsidR="00D67D7E">
          <w:rPr>
            <w:webHidden/>
          </w:rPr>
          <w:t>64</w:t>
        </w:r>
        <w:r w:rsidR="00D67D7E">
          <w:rPr>
            <w:webHidden/>
          </w:rPr>
          <w:fldChar w:fldCharType="end"/>
        </w:r>
      </w:hyperlink>
    </w:p>
    <w:p w14:paraId="76D1E464" w14:textId="2DA03900" w:rsidR="00480E99" w:rsidRPr="00076A6F" w:rsidRDefault="00360922" w:rsidP="00076A6F">
      <w:pPr>
        <w:pStyle w:val="TableofFigures"/>
        <w:tabs>
          <w:tab w:val="right" w:leader="dot" w:pos="8210"/>
        </w:tabs>
      </w:pPr>
      <w:r w:rsidRPr="00724324">
        <w:fldChar w:fldCharType="end"/>
      </w:r>
    </w:p>
    <w:p w14:paraId="35ED4224" w14:textId="77777777" w:rsidR="00453EA8" w:rsidRDefault="00453EA8" w:rsidP="006A7D95">
      <w:pPr>
        <w:pStyle w:val="TOCHeading"/>
      </w:pPr>
    </w:p>
    <w:p w14:paraId="258235D6" w14:textId="5EE297FA" w:rsidR="006A7D95" w:rsidRPr="00F313C5" w:rsidRDefault="006A7D95" w:rsidP="006A7D95">
      <w:pPr>
        <w:pStyle w:val="TOCHeading"/>
        <w:rPr>
          <w:sz w:val="20"/>
          <w:szCs w:val="20"/>
        </w:rPr>
      </w:pPr>
      <w:r w:rsidRPr="00F313C5">
        <w:rPr>
          <w:sz w:val="20"/>
          <w:szCs w:val="20"/>
        </w:rPr>
        <w:t>Tables</w:t>
      </w:r>
    </w:p>
    <w:p w14:paraId="057226ED" w14:textId="734DD751" w:rsidR="00856454" w:rsidRDefault="00325DAB">
      <w:pPr>
        <w:pStyle w:val="TableofFigures"/>
        <w:tabs>
          <w:tab w:val="right" w:leader="dot" w:pos="8210"/>
        </w:tabs>
        <w:rPr>
          <w:rFonts w:asciiTheme="minorHAnsi" w:eastAsiaTheme="minorEastAsia" w:hAnsiTheme="minorHAnsi" w:cstheme="minorBidi"/>
          <w:noProof/>
          <w:sz w:val="24"/>
        </w:rPr>
      </w:pPr>
      <w:r w:rsidRPr="00F313C5">
        <w:rPr>
          <w:szCs w:val="20"/>
        </w:rPr>
        <w:fldChar w:fldCharType="begin"/>
      </w:r>
      <w:r w:rsidRPr="00F313C5">
        <w:rPr>
          <w:szCs w:val="20"/>
        </w:rPr>
        <w:instrText xml:space="preserve"> TOC \h \z \c "Table" </w:instrText>
      </w:r>
      <w:r w:rsidRPr="00F313C5">
        <w:rPr>
          <w:szCs w:val="20"/>
        </w:rPr>
        <w:fldChar w:fldCharType="separate"/>
      </w:r>
      <w:hyperlink w:anchor="_Toc62703557" w:history="1">
        <w:r w:rsidR="00856454" w:rsidRPr="006954AA">
          <w:rPr>
            <w:rStyle w:val="Hyperlink"/>
            <w:rFonts w:eastAsiaTheme="majorEastAsia"/>
            <w:noProof/>
          </w:rPr>
          <w:t>Table 1. MIVP total funding allocation by DHB regions; and the split between DHB and Direct Funded providers</w:t>
        </w:r>
        <w:r w:rsidR="00856454">
          <w:rPr>
            <w:noProof/>
            <w:webHidden/>
          </w:rPr>
          <w:tab/>
        </w:r>
        <w:r w:rsidR="00856454">
          <w:rPr>
            <w:noProof/>
            <w:webHidden/>
          </w:rPr>
          <w:fldChar w:fldCharType="begin"/>
        </w:r>
        <w:r w:rsidR="00856454">
          <w:rPr>
            <w:noProof/>
            <w:webHidden/>
          </w:rPr>
          <w:instrText xml:space="preserve"> PAGEREF _Toc62703557 \h </w:instrText>
        </w:r>
        <w:r w:rsidR="00856454">
          <w:rPr>
            <w:noProof/>
            <w:webHidden/>
          </w:rPr>
        </w:r>
        <w:r w:rsidR="00856454">
          <w:rPr>
            <w:noProof/>
            <w:webHidden/>
          </w:rPr>
          <w:fldChar w:fldCharType="separate"/>
        </w:r>
        <w:r w:rsidR="00213CA8">
          <w:rPr>
            <w:noProof/>
            <w:webHidden/>
          </w:rPr>
          <w:t>12</w:t>
        </w:r>
        <w:r w:rsidR="00856454">
          <w:rPr>
            <w:noProof/>
            <w:webHidden/>
          </w:rPr>
          <w:fldChar w:fldCharType="end"/>
        </w:r>
      </w:hyperlink>
    </w:p>
    <w:p w14:paraId="074BFB76" w14:textId="16B09668" w:rsidR="00856454" w:rsidRDefault="00857F0D">
      <w:pPr>
        <w:pStyle w:val="TableofFigures"/>
        <w:tabs>
          <w:tab w:val="right" w:leader="dot" w:pos="8210"/>
        </w:tabs>
        <w:rPr>
          <w:rFonts w:asciiTheme="minorHAnsi" w:eastAsiaTheme="minorEastAsia" w:hAnsiTheme="minorHAnsi" w:cstheme="minorBidi"/>
          <w:noProof/>
          <w:sz w:val="24"/>
        </w:rPr>
      </w:pPr>
      <w:hyperlink w:anchor="_Toc62703558" w:history="1">
        <w:r w:rsidR="00856454" w:rsidRPr="006954AA">
          <w:rPr>
            <w:rStyle w:val="Hyperlink"/>
            <w:rFonts w:eastAsiaTheme="majorEastAsia"/>
            <w:noProof/>
          </w:rPr>
          <w:t>Table 2. Differences in flu vaccination rates between 2020 and 2019 for both Māori and non-Māori, non-Pacific aged 65+ (as at Week 46). Results presented by highest-to-lowest difference for Māori.</w:t>
        </w:r>
        <w:r w:rsidR="00856454">
          <w:rPr>
            <w:noProof/>
            <w:webHidden/>
          </w:rPr>
          <w:tab/>
        </w:r>
        <w:r w:rsidR="00856454">
          <w:rPr>
            <w:noProof/>
            <w:webHidden/>
          </w:rPr>
          <w:fldChar w:fldCharType="begin"/>
        </w:r>
        <w:r w:rsidR="00856454">
          <w:rPr>
            <w:noProof/>
            <w:webHidden/>
          </w:rPr>
          <w:instrText xml:space="preserve"> PAGEREF _Toc62703558 \h </w:instrText>
        </w:r>
        <w:r w:rsidR="00856454">
          <w:rPr>
            <w:noProof/>
            <w:webHidden/>
          </w:rPr>
        </w:r>
        <w:r w:rsidR="00856454">
          <w:rPr>
            <w:noProof/>
            <w:webHidden/>
          </w:rPr>
          <w:fldChar w:fldCharType="separate"/>
        </w:r>
        <w:r w:rsidR="00213CA8">
          <w:rPr>
            <w:noProof/>
            <w:webHidden/>
          </w:rPr>
          <w:t>18</w:t>
        </w:r>
        <w:r w:rsidR="00856454">
          <w:rPr>
            <w:noProof/>
            <w:webHidden/>
          </w:rPr>
          <w:fldChar w:fldCharType="end"/>
        </w:r>
      </w:hyperlink>
    </w:p>
    <w:p w14:paraId="08FA9B89" w14:textId="4500ADD3" w:rsidR="00856454" w:rsidRDefault="00857F0D">
      <w:pPr>
        <w:pStyle w:val="TableofFigures"/>
        <w:tabs>
          <w:tab w:val="right" w:leader="dot" w:pos="8210"/>
        </w:tabs>
        <w:rPr>
          <w:rFonts w:asciiTheme="minorHAnsi" w:eastAsiaTheme="minorEastAsia" w:hAnsiTheme="minorHAnsi" w:cstheme="minorBidi"/>
          <w:noProof/>
          <w:sz w:val="24"/>
        </w:rPr>
      </w:pPr>
      <w:hyperlink w:anchor="_Toc62703559" w:history="1">
        <w:r w:rsidR="00856454" w:rsidRPr="006954AA">
          <w:rPr>
            <w:rStyle w:val="Hyperlink"/>
            <w:rFonts w:eastAsiaTheme="majorEastAsia"/>
            <w:noProof/>
          </w:rPr>
          <w:t>Table 3. Biggest changes in equity between Māori and non-Maori, non-Pacific from week 13 to week 45 in 2020</w:t>
        </w:r>
        <w:r w:rsidR="00856454">
          <w:rPr>
            <w:noProof/>
            <w:webHidden/>
          </w:rPr>
          <w:tab/>
        </w:r>
        <w:r w:rsidR="00856454">
          <w:rPr>
            <w:noProof/>
            <w:webHidden/>
          </w:rPr>
          <w:fldChar w:fldCharType="begin"/>
        </w:r>
        <w:r w:rsidR="00856454">
          <w:rPr>
            <w:noProof/>
            <w:webHidden/>
          </w:rPr>
          <w:instrText xml:space="preserve"> PAGEREF _Toc62703559 \h </w:instrText>
        </w:r>
        <w:r w:rsidR="00856454">
          <w:rPr>
            <w:noProof/>
            <w:webHidden/>
          </w:rPr>
        </w:r>
        <w:r w:rsidR="00856454">
          <w:rPr>
            <w:noProof/>
            <w:webHidden/>
          </w:rPr>
          <w:fldChar w:fldCharType="separate"/>
        </w:r>
        <w:r w:rsidR="00213CA8">
          <w:rPr>
            <w:noProof/>
            <w:webHidden/>
          </w:rPr>
          <w:t>19</w:t>
        </w:r>
        <w:r w:rsidR="00856454">
          <w:rPr>
            <w:noProof/>
            <w:webHidden/>
          </w:rPr>
          <w:fldChar w:fldCharType="end"/>
        </w:r>
      </w:hyperlink>
    </w:p>
    <w:p w14:paraId="112D9D0E" w14:textId="5307CF93" w:rsidR="00856454" w:rsidRDefault="00857F0D">
      <w:pPr>
        <w:pStyle w:val="TableofFigures"/>
        <w:tabs>
          <w:tab w:val="right" w:leader="dot" w:pos="8210"/>
        </w:tabs>
        <w:rPr>
          <w:rFonts w:asciiTheme="minorHAnsi" w:eastAsiaTheme="minorEastAsia" w:hAnsiTheme="minorHAnsi" w:cstheme="minorBidi"/>
          <w:noProof/>
          <w:sz w:val="24"/>
        </w:rPr>
      </w:pPr>
      <w:hyperlink w:anchor="_Toc62703560" w:history="1">
        <w:r w:rsidR="00856454" w:rsidRPr="006954AA">
          <w:rPr>
            <w:rStyle w:val="Hyperlink"/>
            <w:rFonts w:eastAsiaTheme="majorEastAsia"/>
            <w:noProof/>
          </w:rPr>
          <w:t>Table 4. Provider examples of whānau-centred services</w:t>
        </w:r>
        <w:r w:rsidR="00856454">
          <w:rPr>
            <w:noProof/>
            <w:webHidden/>
          </w:rPr>
          <w:tab/>
        </w:r>
        <w:r w:rsidR="00856454">
          <w:rPr>
            <w:noProof/>
            <w:webHidden/>
          </w:rPr>
          <w:fldChar w:fldCharType="begin"/>
        </w:r>
        <w:r w:rsidR="00856454">
          <w:rPr>
            <w:noProof/>
            <w:webHidden/>
          </w:rPr>
          <w:instrText xml:space="preserve"> PAGEREF _Toc62703560 \h </w:instrText>
        </w:r>
        <w:r w:rsidR="00856454">
          <w:rPr>
            <w:noProof/>
            <w:webHidden/>
          </w:rPr>
        </w:r>
        <w:r w:rsidR="00856454">
          <w:rPr>
            <w:noProof/>
            <w:webHidden/>
          </w:rPr>
          <w:fldChar w:fldCharType="separate"/>
        </w:r>
        <w:r w:rsidR="00213CA8">
          <w:rPr>
            <w:noProof/>
            <w:webHidden/>
          </w:rPr>
          <w:t>26</w:t>
        </w:r>
        <w:r w:rsidR="00856454">
          <w:rPr>
            <w:noProof/>
            <w:webHidden/>
          </w:rPr>
          <w:fldChar w:fldCharType="end"/>
        </w:r>
      </w:hyperlink>
    </w:p>
    <w:p w14:paraId="1DEEE41A" w14:textId="0D4F9B57" w:rsidR="00856454" w:rsidRDefault="00857F0D">
      <w:pPr>
        <w:pStyle w:val="TableofFigures"/>
        <w:tabs>
          <w:tab w:val="right" w:leader="dot" w:pos="8210"/>
        </w:tabs>
        <w:rPr>
          <w:rFonts w:asciiTheme="minorHAnsi" w:eastAsiaTheme="minorEastAsia" w:hAnsiTheme="minorHAnsi" w:cstheme="minorBidi"/>
          <w:noProof/>
          <w:sz w:val="24"/>
        </w:rPr>
      </w:pPr>
      <w:hyperlink w:anchor="_Toc62703561" w:history="1">
        <w:r w:rsidR="00856454" w:rsidRPr="006954AA">
          <w:rPr>
            <w:rStyle w:val="Hyperlink"/>
            <w:rFonts w:eastAsiaTheme="majorEastAsia"/>
            <w:noProof/>
          </w:rPr>
          <w:t>Table 5. Reflections on the 2020 MIVP procurement and contracting process: Considerations to inform the application process in 2021</w:t>
        </w:r>
        <w:r w:rsidR="00856454">
          <w:rPr>
            <w:noProof/>
            <w:webHidden/>
          </w:rPr>
          <w:tab/>
        </w:r>
        <w:r w:rsidR="00856454">
          <w:rPr>
            <w:noProof/>
            <w:webHidden/>
          </w:rPr>
          <w:fldChar w:fldCharType="begin"/>
        </w:r>
        <w:r w:rsidR="00856454">
          <w:rPr>
            <w:noProof/>
            <w:webHidden/>
          </w:rPr>
          <w:instrText xml:space="preserve"> PAGEREF _Toc62703561 \h </w:instrText>
        </w:r>
        <w:r w:rsidR="00856454">
          <w:rPr>
            <w:noProof/>
            <w:webHidden/>
          </w:rPr>
        </w:r>
        <w:r w:rsidR="00856454">
          <w:rPr>
            <w:noProof/>
            <w:webHidden/>
          </w:rPr>
          <w:fldChar w:fldCharType="separate"/>
        </w:r>
        <w:r w:rsidR="00213CA8">
          <w:rPr>
            <w:noProof/>
            <w:webHidden/>
          </w:rPr>
          <w:t>36</w:t>
        </w:r>
        <w:r w:rsidR="00856454">
          <w:rPr>
            <w:noProof/>
            <w:webHidden/>
          </w:rPr>
          <w:fldChar w:fldCharType="end"/>
        </w:r>
      </w:hyperlink>
    </w:p>
    <w:p w14:paraId="70B16DE4" w14:textId="258F3A79" w:rsidR="00856454" w:rsidRDefault="00857F0D">
      <w:pPr>
        <w:pStyle w:val="TableofFigures"/>
        <w:tabs>
          <w:tab w:val="right" w:leader="dot" w:pos="8210"/>
        </w:tabs>
        <w:rPr>
          <w:rFonts w:asciiTheme="minorHAnsi" w:eastAsiaTheme="minorEastAsia" w:hAnsiTheme="minorHAnsi" w:cstheme="minorBidi"/>
          <w:noProof/>
          <w:sz w:val="24"/>
        </w:rPr>
      </w:pPr>
      <w:hyperlink w:anchor="_Toc62703562" w:history="1">
        <w:r w:rsidR="00856454" w:rsidRPr="006954AA">
          <w:rPr>
            <w:rStyle w:val="Hyperlink"/>
            <w:rFonts w:eastAsiaTheme="majorEastAsia"/>
            <w:noProof/>
          </w:rPr>
          <w:t>Table 6. Perspectives on relationships between providers and DHBs</w:t>
        </w:r>
        <w:r w:rsidR="00856454">
          <w:rPr>
            <w:noProof/>
            <w:webHidden/>
          </w:rPr>
          <w:tab/>
        </w:r>
        <w:r w:rsidR="00856454">
          <w:rPr>
            <w:noProof/>
            <w:webHidden/>
          </w:rPr>
          <w:fldChar w:fldCharType="begin"/>
        </w:r>
        <w:r w:rsidR="00856454">
          <w:rPr>
            <w:noProof/>
            <w:webHidden/>
          </w:rPr>
          <w:instrText xml:space="preserve"> PAGEREF _Toc62703562 \h </w:instrText>
        </w:r>
        <w:r w:rsidR="00856454">
          <w:rPr>
            <w:noProof/>
            <w:webHidden/>
          </w:rPr>
        </w:r>
        <w:r w:rsidR="00856454">
          <w:rPr>
            <w:noProof/>
            <w:webHidden/>
          </w:rPr>
          <w:fldChar w:fldCharType="separate"/>
        </w:r>
        <w:r w:rsidR="00213CA8">
          <w:rPr>
            <w:noProof/>
            <w:webHidden/>
          </w:rPr>
          <w:t>43</w:t>
        </w:r>
        <w:r w:rsidR="00856454">
          <w:rPr>
            <w:noProof/>
            <w:webHidden/>
          </w:rPr>
          <w:fldChar w:fldCharType="end"/>
        </w:r>
      </w:hyperlink>
    </w:p>
    <w:p w14:paraId="61D1C9B9" w14:textId="0C4C06F2" w:rsidR="00856454" w:rsidRDefault="00857F0D">
      <w:pPr>
        <w:pStyle w:val="TableofFigures"/>
        <w:tabs>
          <w:tab w:val="right" w:leader="dot" w:pos="8210"/>
        </w:tabs>
        <w:rPr>
          <w:rFonts w:asciiTheme="minorHAnsi" w:eastAsiaTheme="minorEastAsia" w:hAnsiTheme="minorHAnsi" w:cstheme="minorBidi"/>
          <w:noProof/>
          <w:sz w:val="24"/>
        </w:rPr>
      </w:pPr>
      <w:hyperlink w:anchor="_Toc62703563" w:history="1">
        <w:r w:rsidR="00856454" w:rsidRPr="006954AA">
          <w:rPr>
            <w:rStyle w:val="Hyperlink"/>
            <w:rFonts w:eastAsiaTheme="majorEastAsia"/>
            <w:noProof/>
          </w:rPr>
          <w:t>Table 7. Funding awarded by DHB region (assuming equal split allocation for collaborative applications) with corresponding population and equity gap data</w:t>
        </w:r>
        <w:r w:rsidR="00856454">
          <w:rPr>
            <w:noProof/>
            <w:webHidden/>
          </w:rPr>
          <w:tab/>
        </w:r>
        <w:r w:rsidR="00856454">
          <w:rPr>
            <w:noProof/>
            <w:webHidden/>
          </w:rPr>
          <w:fldChar w:fldCharType="begin"/>
        </w:r>
        <w:r w:rsidR="00856454">
          <w:rPr>
            <w:noProof/>
            <w:webHidden/>
          </w:rPr>
          <w:instrText xml:space="preserve"> PAGEREF _Toc62703563 \h </w:instrText>
        </w:r>
        <w:r w:rsidR="00856454">
          <w:rPr>
            <w:noProof/>
            <w:webHidden/>
          </w:rPr>
        </w:r>
        <w:r w:rsidR="00856454">
          <w:rPr>
            <w:noProof/>
            <w:webHidden/>
          </w:rPr>
          <w:fldChar w:fldCharType="separate"/>
        </w:r>
        <w:r w:rsidR="00213CA8">
          <w:rPr>
            <w:noProof/>
            <w:webHidden/>
          </w:rPr>
          <w:t>48</w:t>
        </w:r>
        <w:r w:rsidR="00856454">
          <w:rPr>
            <w:noProof/>
            <w:webHidden/>
          </w:rPr>
          <w:fldChar w:fldCharType="end"/>
        </w:r>
      </w:hyperlink>
    </w:p>
    <w:p w14:paraId="4834AED3" w14:textId="02B9D57B" w:rsidR="00856454" w:rsidRDefault="00857F0D">
      <w:pPr>
        <w:pStyle w:val="TableofFigures"/>
        <w:tabs>
          <w:tab w:val="right" w:leader="dot" w:pos="8210"/>
        </w:tabs>
        <w:rPr>
          <w:rFonts w:asciiTheme="minorHAnsi" w:eastAsiaTheme="minorEastAsia" w:hAnsiTheme="minorHAnsi" w:cstheme="minorBidi"/>
          <w:noProof/>
          <w:sz w:val="24"/>
        </w:rPr>
      </w:pPr>
      <w:hyperlink w:anchor="_Toc62703564" w:history="1">
        <w:r w:rsidR="00856454" w:rsidRPr="006954AA">
          <w:rPr>
            <w:rStyle w:val="Hyperlink"/>
            <w:rFonts w:eastAsiaTheme="majorEastAsia"/>
            <w:noProof/>
          </w:rPr>
          <w:t>Table 8. Funding awarded by DHB region (assuming equal split allocation for collaborative applications) with corresponding percentage of Māori over 65 years population vaccinated and equity gap as at Week 46 2020</w:t>
        </w:r>
        <w:r w:rsidR="00856454">
          <w:rPr>
            <w:noProof/>
            <w:webHidden/>
          </w:rPr>
          <w:tab/>
        </w:r>
        <w:r w:rsidR="00856454">
          <w:rPr>
            <w:noProof/>
            <w:webHidden/>
          </w:rPr>
          <w:fldChar w:fldCharType="begin"/>
        </w:r>
        <w:r w:rsidR="00856454">
          <w:rPr>
            <w:noProof/>
            <w:webHidden/>
          </w:rPr>
          <w:instrText xml:space="preserve"> PAGEREF _Toc62703564 \h </w:instrText>
        </w:r>
        <w:r w:rsidR="00856454">
          <w:rPr>
            <w:noProof/>
            <w:webHidden/>
          </w:rPr>
        </w:r>
        <w:r w:rsidR="00856454">
          <w:rPr>
            <w:noProof/>
            <w:webHidden/>
          </w:rPr>
          <w:fldChar w:fldCharType="separate"/>
        </w:r>
        <w:r w:rsidR="00213CA8">
          <w:rPr>
            <w:noProof/>
            <w:webHidden/>
          </w:rPr>
          <w:t>49</w:t>
        </w:r>
        <w:r w:rsidR="00856454">
          <w:rPr>
            <w:noProof/>
            <w:webHidden/>
          </w:rPr>
          <w:fldChar w:fldCharType="end"/>
        </w:r>
      </w:hyperlink>
    </w:p>
    <w:p w14:paraId="2823AEB8" w14:textId="5527729D" w:rsidR="00856454" w:rsidRDefault="00857F0D">
      <w:pPr>
        <w:pStyle w:val="TableofFigures"/>
        <w:tabs>
          <w:tab w:val="right" w:leader="dot" w:pos="8210"/>
        </w:tabs>
        <w:rPr>
          <w:rFonts w:asciiTheme="minorHAnsi" w:eastAsiaTheme="minorEastAsia" w:hAnsiTheme="minorHAnsi" w:cstheme="minorBidi"/>
          <w:noProof/>
          <w:sz w:val="24"/>
        </w:rPr>
      </w:pPr>
      <w:hyperlink w:anchor="_Toc62703565" w:history="1">
        <w:r w:rsidR="00856454" w:rsidRPr="006954AA">
          <w:rPr>
            <w:rStyle w:val="Hyperlink"/>
            <w:rFonts w:eastAsiaTheme="majorEastAsia"/>
            <w:noProof/>
          </w:rPr>
          <w:t>Table 9. Funding awarded by DHB region (assuming equal split allocation for collaborative applications), separated by DHB and direct-funded provider allocations, with corresponding percentage of Māori over 65 years population vaccinated and equity gap as at Week 46 2020</w:t>
        </w:r>
        <w:r w:rsidR="00856454">
          <w:rPr>
            <w:noProof/>
            <w:webHidden/>
          </w:rPr>
          <w:tab/>
        </w:r>
        <w:r w:rsidR="00856454">
          <w:rPr>
            <w:noProof/>
            <w:webHidden/>
          </w:rPr>
          <w:fldChar w:fldCharType="begin"/>
        </w:r>
        <w:r w:rsidR="00856454">
          <w:rPr>
            <w:noProof/>
            <w:webHidden/>
          </w:rPr>
          <w:instrText xml:space="preserve"> PAGEREF _Toc62703565 \h </w:instrText>
        </w:r>
        <w:r w:rsidR="00856454">
          <w:rPr>
            <w:noProof/>
            <w:webHidden/>
          </w:rPr>
        </w:r>
        <w:r w:rsidR="00856454">
          <w:rPr>
            <w:noProof/>
            <w:webHidden/>
          </w:rPr>
          <w:fldChar w:fldCharType="separate"/>
        </w:r>
        <w:r w:rsidR="00213CA8">
          <w:rPr>
            <w:noProof/>
            <w:webHidden/>
          </w:rPr>
          <w:t>50</w:t>
        </w:r>
        <w:r w:rsidR="00856454">
          <w:rPr>
            <w:noProof/>
            <w:webHidden/>
          </w:rPr>
          <w:fldChar w:fldCharType="end"/>
        </w:r>
      </w:hyperlink>
    </w:p>
    <w:p w14:paraId="7BF2890E" w14:textId="658013CA" w:rsidR="00856454" w:rsidRDefault="00857F0D">
      <w:pPr>
        <w:pStyle w:val="TableofFigures"/>
        <w:tabs>
          <w:tab w:val="right" w:leader="dot" w:pos="8210"/>
        </w:tabs>
        <w:rPr>
          <w:rFonts w:asciiTheme="minorHAnsi" w:eastAsiaTheme="minorEastAsia" w:hAnsiTheme="minorHAnsi" w:cstheme="minorBidi"/>
          <w:noProof/>
          <w:sz w:val="24"/>
        </w:rPr>
      </w:pPr>
      <w:hyperlink w:anchor="_Toc62703566" w:history="1">
        <w:r w:rsidR="00856454" w:rsidRPr="006954AA">
          <w:rPr>
            <w:rStyle w:val="Hyperlink"/>
            <w:rFonts w:eastAsiaTheme="majorEastAsia"/>
            <w:noProof/>
          </w:rPr>
          <w:t>Table 10. Funding awarded by DHB region (assuming equal split allocation for collaborative applications) with 2019 equity gap, population of Māori 65+, corresponding cumulative sum of Māori over 65 years population vaccinated in 2020 and equity gap as at Week 46 2020</w:t>
        </w:r>
        <w:r w:rsidR="00856454">
          <w:rPr>
            <w:noProof/>
            <w:webHidden/>
          </w:rPr>
          <w:tab/>
        </w:r>
        <w:r w:rsidR="00856454">
          <w:rPr>
            <w:noProof/>
            <w:webHidden/>
          </w:rPr>
          <w:fldChar w:fldCharType="begin"/>
        </w:r>
        <w:r w:rsidR="00856454">
          <w:rPr>
            <w:noProof/>
            <w:webHidden/>
          </w:rPr>
          <w:instrText xml:space="preserve"> PAGEREF _Toc62703566 \h </w:instrText>
        </w:r>
        <w:r w:rsidR="00856454">
          <w:rPr>
            <w:noProof/>
            <w:webHidden/>
          </w:rPr>
        </w:r>
        <w:r w:rsidR="00856454">
          <w:rPr>
            <w:noProof/>
            <w:webHidden/>
          </w:rPr>
          <w:fldChar w:fldCharType="separate"/>
        </w:r>
        <w:r w:rsidR="00213CA8">
          <w:rPr>
            <w:noProof/>
            <w:webHidden/>
          </w:rPr>
          <w:t>51</w:t>
        </w:r>
        <w:r w:rsidR="00856454">
          <w:rPr>
            <w:noProof/>
            <w:webHidden/>
          </w:rPr>
          <w:fldChar w:fldCharType="end"/>
        </w:r>
      </w:hyperlink>
    </w:p>
    <w:p w14:paraId="2280D17A" w14:textId="4E487ADC" w:rsidR="00856454" w:rsidRDefault="00857F0D">
      <w:pPr>
        <w:pStyle w:val="TableofFigures"/>
        <w:tabs>
          <w:tab w:val="right" w:leader="dot" w:pos="8210"/>
        </w:tabs>
        <w:rPr>
          <w:rFonts w:asciiTheme="minorHAnsi" w:eastAsiaTheme="minorEastAsia" w:hAnsiTheme="minorHAnsi" w:cstheme="minorBidi"/>
          <w:noProof/>
          <w:sz w:val="24"/>
        </w:rPr>
      </w:pPr>
      <w:hyperlink w:anchor="_Toc62703567" w:history="1">
        <w:r w:rsidR="00856454" w:rsidRPr="006954AA">
          <w:rPr>
            <w:rStyle w:val="Hyperlink"/>
            <w:rFonts w:eastAsiaTheme="majorEastAsia"/>
            <w:noProof/>
          </w:rPr>
          <w:t>Table 11. How providers and DHBs reduced barriers and increased access to vaccination and other support and services</w:t>
        </w:r>
        <w:r w:rsidR="00856454">
          <w:rPr>
            <w:noProof/>
            <w:webHidden/>
          </w:rPr>
          <w:tab/>
        </w:r>
        <w:r w:rsidR="00856454">
          <w:rPr>
            <w:noProof/>
            <w:webHidden/>
          </w:rPr>
          <w:fldChar w:fldCharType="begin"/>
        </w:r>
        <w:r w:rsidR="00856454">
          <w:rPr>
            <w:noProof/>
            <w:webHidden/>
          </w:rPr>
          <w:instrText xml:space="preserve"> PAGEREF _Toc62703567 \h </w:instrText>
        </w:r>
        <w:r w:rsidR="00856454">
          <w:rPr>
            <w:noProof/>
            <w:webHidden/>
          </w:rPr>
        </w:r>
        <w:r w:rsidR="00856454">
          <w:rPr>
            <w:noProof/>
            <w:webHidden/>
          </w:rPr>
          <w:fldChar w:fldCharType="separate"/>
        </w:r>
        <w:r w:rsidR="00213CA8">
          <w:rPr>
            <w:noProof/>
            <w:webHidden/>
          </w:rPr>
          <w:t>53</w:t>
        </w:r>
        <w:r w:rsidR="00856454">
          <w:rPr>
            <w:noProof/>
            <w:webHidden/>
          </w:rPr>
          <w:fldChar w:fldCharType="end"/>
        </w:r>
      </w:hyperlink>
    </w:p>
    <w:p w14:paraId="42F104AB" w14:textId="47643AC9" w:rsidR="00856454" w:rsidRDefault="00857F0D">
      <w:pPr>
        <w:pStyle w:val="TableofFigures"/>
        <w:tabs>
          <w:tab w:val="right" w:leader="dot" w:pos="8210"/>
        </w:tabs>
        <w:rPr>
          <w:rFonts w:asciiTheme="minorHAnsi" w:eastAsiaTheme="minorEastAsia" w:hAnsiTheme="minorHAnsi" w:cstheme="minorBidi"/>
          <w:noProof/>
          <w:sz w:val="24"/>
        </w:rPr>
      </w:pPr>
      <w:hyperlink w:anchor="_Toc62703568" w:history="1">
        <w:r w:rsidR="00856454" w:rsidRPr="006954AA">
          <w:rPr>
            <w:rStyle w:val="Hyperlink"/>
            <w:rFonts w:eastAsiaTheme="majorEastAsia"/>
            <w:noProof/>
          </w:rPr>
          <w:t>Table 12. Evaluation phase and activities</w:t>
        </w:r>
        <w:r w:rsidR="00856454">
          <w:rPr>
            <w:noProof/>
            <w:webHidden/>
          </w:rPr>
          <w:tab/>
        </w:r>
        <w:r w:rsidR="00856454">
          <w:rPr>
            <w:noProof/>
            <w:webHidden/>
          </w:rPr>
          <w:fldChar w:fldCharType="begin"/>
        </w:r>
        <w:r w:rsidR="00856454">
          <w:rPr>
            <w:noProof/>
            <w:webHidden/>
          </w:rPr>
          <w:instrText xml:space="preserve"> PAGEREF _Toc62703568 \h </w:instrText>
        </w:r>
        <w:r w:rsidR="00856454">
          <w:rPr>
            <w:noProof/>
            <w:webHidden/>
          </w:rPr>
        </w:r>
        <w:r w:rsidR="00856454">
          <w:rPr>
            <w:noProof/>
            <w:webHidden/>
          </w:rPr>
          <w:fldChar w:fldCharType="separate"/>
        </w:r>
        <w:r w:rsidR="00213CA8">
          <w:rPr>
            <w:noProof/>
            <w:webHidden/>
          </w:rPr>
          <w:t>57</w:t>
        </w:r>
        <w:r w:rsidR="00856454">
          <w:rPr>
            <w:noProof/>
            <w:webHidden/>
          </w:rPr>
          <w:fldChar w:fldCharType="end"/>
        </w:r>
      </w:hyperlink>
    </w:p>
    <w:p w14:paraId="334CFBAC" w14:textId="2F6D90F4" w:rsidR="00856454" w:rsidRDefault="00857F0D">
      <w:pPr>
        <w:pStyle w:val="TableofFigures"/>
        <w:tabs>
          <w:tab w:val="right" w:leader="dot" w:pos="8210"/>
        </w:tabs>
        <w:rPr>
          <w:rFonts w:asciiTheme="minorHAnsi" w:eastAsiaTheme="minorEastAsia" w:hAnsiTheme="minorHAnsi" w:cstheme="minorBidi"/>
          <w:noProof/>
          <w:sz w:val="24"/>
        </w:rPr>
      </w:pPr>
      <w:hyperlink w:anchor="_Toc62703569" w:history="1">
        <w:r w:rsidR="00856454" w:rsidRPr="006954AA">
          <w:rPr>
            <w:rStyle w:val="Hyperlink"/>
            <w:rFonts w:eastAsiaTheme="majorEastAsia"/>
            <w:noProof/>
          </w:rPr>
          <w:t>Table 13. Data collection activities and regional coverage</w:t>
        </w:r>
        <w:r w:rsidR="00856454">
          <w:rPr>
            <w:noProof/>
            <w:webHidden/>
          </w:rPr>
          <w:tab/>
        </w:r>
        <w:r w:rsidR="00856454">
          <w:rPr>
            <w:noProof/>
            <w:webHidden/>
          </w:rPr>
          <w:fldChar w:fldCharType="begin"/>
        </w:r>
        <w:r w:rsidR="00856454">
          <w:rPr>
            <w:noProof/>
            <w:webHidden/>
          </w:rPr>
          <w:instrText xml:space="preserve"> PAGEREF _Toc62703569 \h </w:instrText>
        </w:r>
        <w:r w:rsidR="00856454">
          <w:rPr>
            <w:noProof/>
            <w:webHidden/>
          </w:rPr>
        </w:r>
        <w:r w:rsidR="00856454">
          <w:rPr>
            <w:noProof/>
            <w:webHidden/>
          </w:rPr>
          <w:fldChar w:fldCharType="separate"/>
        </w:r>
        <w:r w:rsidR="00213CA8">
          <w:rPr>
            <w:noProof/>
            <w:webHidden/>
          </w:rPr>
          <w:t>58</w:t>
        </w:r>
        <w:r w:rsidR="00856454">
          <w:rPr>
            <w:noProof/>
            <w:webHidden/>
          </w:rPr>
          <w:fldChar w:fldCharType="end"/>
        </w:r>
      </w:hyperlink>
    </w:p>
    <w:p w14:paraId="2B5FD060" w14:textId="6155DBAA" w:rsidR="00856454" w:rsidRDefault="00857F0D">
      <w:pPr>
        <w:pStyle w:val="TableofFigures"/>
        <w:tabs>
          <w:tab w:val="right" w:leader="dot" w:pos="8210"/>
        </w:tabs>
        <w:rPr>
          <w:rFonts w:asciiTheme="minorHAnsi" w:eastAsiaTheme="minorEastAsia" w:hAnsiTheme="minorHAnsi" w:cstheme="minorBidi"/>
          <w:noProof/>
          <w:sz w:val="24"/>
        </w:rPr>
      </w:pPr>
      <w:hyperlink w:anchor="_Toc62703570" w:history="1">
        <w:r w:rsidR="00856454" w:rsidRPr="006954AA">
          <w:rPr>
            <w:rStyle w:val="Hyperlink"/>
            <w:rFonts w:eastAsiaTheme="majorEastAsia"/>
            <w:noProof/>
          </w:rPr>
          <w:t>Table 14. Ways MIVP has enabled relational approaches between the different parties</w:t>
        </w:r>
        <w:r w:rsidR="00856454">
          <w:rPr>
            <w:noProof/>
            <w:webHidden/>
          </w:rPr>
          <w:tab/>
        </w:r>
        <w:r w:rsidR="00856454">
          <w:rPr>
            <w:noProof/>
            <w:webHidden/>
          </w:rPr>
          <w:fldChar w:fldCharType="begin"/>
        </w:r>
        <w:r w:rsidR="00856454">
          <w:rPr>
            <w:noProof/>
            <w:webHidden/>
          </w:rPr>
          <w:instrText xml:space="preserve"> PAGEREF _Toc62703570 \h </w:instrText>
        </w:r>
        <w:r w:rsidR="00856454">
          <w:rPr>
            <w:noProof/>
            <w:webHidden/>
          </w:rPr>
        </w:r>
        <w:r w:rsidR="00856454">
          <w:rPr>
            <w:noProof/>
            <w:webHidden/>
          </w:rPr>
          <w:fldChar w:fldCharType="separate"/>
        </w:r>
        <w:r w:rsidR="00213CA8">
          <w:rPr>
            <w:noProof/>
            <w:webHidden/>
          </w:rPr>
          <w:t>59</w:t>
        </w:r>
        <w:r w:rsidR="00856454">
          <w:rPr>
            <w:noProof/>
            <w:webHidden/>
          </w:rPr>
          <w:fldChar w:fldCharType="end"/>
        </w:r>
      </w:hyperlink>
    </w:p>
    <w:p w14:paraId="15C9B304" w14:textId="60A16967" w:rsidR="00856454" w:rsidRDefault="00857F0D">
      <w:pPr>
        <w:pStyle w:val="TableofFigures"/>
        <w:tabs>
          <w:tab w:val="right" w:leader="dot" w:pos="8210"/>
        </w:tabs>
        <w:rPr>
          <w:rFonts w:asciiTheme="minorHAnsi" w:eastAsiaTheme="minorEastAsia" w:hAnsiTheme="minorHAnsi" w:cstheme="minorBidi"/>
          <w:noProof/>
          <w:sz w:val="24"/>
        </w:rPr>
      </w:pPr>
      <w:hyperlink w:anchor="_Toc62703571" w:history="1">
        <w:r w:rsidR="00856454" w:rsidRPr="006954AA">
          <w:rPr>
            <w:rStyle w:val="Hyperlink"/>
            <w:rFonts w:eastAsiaTheme="majorEastAsia"/>
            <w:noProof/>
          </w:rPr>
          <w:t>Table 15. Funding allocations, context for funding decisions and outcomes observed by DHB region</w:t>
        </w:r>
        <w:r w:rsidR="00856454">
          <w:rPr>
            <w:noProof/>
            <w:webHidden/>
          </w:rPr>
          <w:tab/>
        </w:r>
        <w:r w:rsidR="00856454">
          <w:rPr>
            <w:noProof/>
            <w:webHidden/>
          </w:rPr>
          <w:fldChar w:fldCharType="begin"/>
        </w:r>
        <w:r w:rsidR="00856454">
          <w:rPr>
            <w:noProof/>
            <w:webHidden/>
          </w:rPr>
          <w:instrText xml:space="preserve"> PAGEREF _Toc62703571 \h </w:instrText>
        </w:r>
        <w:r w:rsidR="00856454">
          <w:rPr>
            <w:noProof/>
            <w:webHidden/>
          </w:rPr>
        </w:r>
        <w:r w:rsidR="00856454">
          <w:rPr>
            <w:noProof/>
            <w:webHidden/>
          </w:rPr>
          <w:fldChar w:fldCharType="separate"/>
        </w:r>
        <w:r w:rsidR="00213CA8">
          <w:rPr>
            <w:noProof/>
            <w:webHidden/>
          </w:rPr>
          <w:t>62</w:t>
        </w:r>
        <w:r w:rsidR="00856454">
          <w:rPr>
            <w:noProof/>
            <w:webHidden/>
          </w:rPr>
          <w:fldChar w:fldCharType="end"/>
        </w:r>
      </w:hyperlink>
    </w:p>
    <w:p w14:paraId="75E56682" w14:textId="08D81B9E" w:rsidR="00856454" w:rsidRDefault="00857F0D">
      <w:pPr>
        <w:pStyle w:val="TableofFigures"/>
        <w:tabs>
          <w:tab w:val="right" w:leader="dot" w:pos="8210"/>
        </w:tabs>
        <w:rPr>
          <w:rFonts w:asciiTheme="minorHAnsi" w:eastAsiaTheme="minorEastAsia" w:hAnsiTheme="minorHAnsi" w:cstheme="minorBidi"/>
          <w:noProof/>
          <w:sz w:val="24"/>
        </w:rPr>
      </w:pPr>
      <w:hyperlink w:anchor="_Toc62703572" w:history="1">
        <w:r w:rsidR="00856454" w:rsidRPr="006954AA">
          <w:rPr>
            <w:rStyle w:val="Hyperlink"/>
            <w:rFonts w:eastAsiaTheme="majorEastAsia"/>
            <w:noProof/>
          </w:rPr>
          <w:t>Table 16. Percentage vaccination rate of Māori 65+ by DHB region, as at Week 38 2015-2020</w:t>
        </w:r>
        <w:r w:rsidR="00856454">
          <w:rPr>
            <w:noProof/>
            <w:webHidden/>
          </w:rPr>
          <w:tab/>
        </w:r>
        <w:r w:rsidR="00856454">
          <w:rPr>
            <w:noProof/>
            <w:webHidden/>
          </w:rPr>
          <w:fldChar w:fldCharType="begin"/>
        </w:r>
        <w:r w:rsidR="00856454">
          <w:rPr>
            <w:noProof/>
            <w:webHidden/>
          </w:rPr>
          <w:instrText xml:space="preserve"> PAGEREF _Toc62703572 \h </w:instrText>
        </w:r>
        <w:r w:rsidR="00856454">
          <w:rPr>
            <w:noProof/>
            <w:webHidden/>
          </w:rPr>
        </w:r>
        <w:r w:rsidR="00856454">
          <w:rPr>
            <w:noProof/>
            <w:webHidden/>
          </w:rPr>
          <w:fldChar w:fldCharType="separate"/>
        </w:r>
        <w:r w:rsidR="00213CA8">
          <w:rPr>
            <w:noProof/>
            <w:webHidden/>
          </w:rPr>
          <w:t>63</w:t>
        </w:r>
        <w:r w:rsidR="00856454">
          <w:rPr>
            <w:noProof/>
            <w:webHidden/>
          </w:rPr>
          <w:fldChar w:fldCharType="end"/>
        </w:r>
      </w:hyperlink>
    </w:p>
    <w:p w14:paraId="2B356AE6" w14:textId="7C9A830E" w:rsidR="006A7D95" w:rsidRPr="00F313C5" w:rsidRDefault="00325DAB" w:rsidP="006A7D95">
      <w:pPr>
        <w:rPr>
          <w:szCs w:val="20"/>
        </w:rPr>
      </w:pPr>
      <w:r w:rsidRPr="00F313C5">
        <w:rPr>
          <w:b/>
          <w:bCs/>
          <w:noProof/>
          <w:szCs w:val="20"/>
          <w:lang w:val="en-US"/>
        </w:rPr>
        <w:fldChar w:fldCharType="end"/>
      </w:r>
    </w:p>
    <w:p w14:paraId="3B52C1C9" w14:textId="77777777" w:rsidR="006A7D95" w:rsidRPr="00F313C5" w:rsidRDefault="006A7D95" w:rsidP="006A7D95">
      <w:pPr>
        <w:pStyle w:val="TOCHeading"/>
        <w:rPr>
          <w:sz w:val="20"/>
          <w:szCs w:val="20"/>
        </w:rPr>
      </w:pPr>
      <w:r w:rsidRPr="00F313C5">
        <w:rPr>
          <w:sz w:val="20"/>
          <w:szCs w:val="20"/>
        </w:rPr>
        <w:t>Figures</w:t>
      </w:r>
    </w:p>
    <w:p w14:paraId="57A1B1FE" w14:textId="7E58CC07" w:rsidR="00856454" w:rsidRDefault="000774B4">
      <w:pPr>
        <w:pStyle w:val="TableofFigures"/>
        <w:tabs>
          <w:tab w:val="right" w:leader="dot" w:pos="8210"/>
        </w:tabs>
        <w:rPr>
          <w:rFonts w:asciiTheme="minorHAnsi" w:eastAsiaTheme="minorEastAsia" w:hAnsiTheme="minorHAnsi" w:cstheme="minorBidi"/>
          <w:noProof/>
          <w:sz w:val="24"/>
        </w:rPr>
      </w:pPr>
      <w:r w:rsidRPr="00F313C5">
        <w:rPr>
          <w:szCs w:val="20"/>
        </w:rPr>
        <w:fldChar w:fldCharType="begin"/>
      </w:r>
      <w:r w:rsidRPr="00F313C5">
        <w:rPr>
          <w:szCs w:val="20"/>
        </w:rPr>
        <w:instrText xml:space="preserve"> TOC \h \z \c "Figure" </w:instrText>
      </w:r>
      <w:r w:rsidRPr="00F313C5">
        <w:rPr>
          <w:szCs w:val="20"/>
        </w:rPr>
        <w:fldChar w:fldCharType="separate"/>
      </w:r>
      <w:hyperlink w:anchor="_Toc62703573" w:history="1">
        <w:r w:rsidR="00856454" w:rsidRPr="00D562AD">
          <w:rPr>
            <w:rStyle w:val="Hyperlink"/>
            <w:rFonts w:eastAsiaTheme="majorEastAsia"/>
            <w:noProof/>
          </w:rPr>
          <w:t>Figure 1. National flu vaccination rates for Māori and non-Māori over 65 years for 2020 and 2019</w:t>
        </w:r>
        <w:r w:rsidR="00856454">
          <w:rPr>
            <w:noProof/>
            <w:webHidden/>
          </w:rPr>
          <w:tab/>
        </w:r>
        <w:r w:rsidR="00856454">
          <w:rPr>
            <w:noProof/>
            <w:webHidden/>
          </w:rPr>
          <w:fldChar w:fldCharType="begin"/>
        </w:r>
        <w:r w:rsidR="00856454">
          <w:rPr>
            <w:noProof/>
            <w:webHidden/>
          </w:rPr>
          <w:instrText xml:space="preserve"> PAGEREF _Toc62703573 \h </w:instrText>
        </w:r>
        <w:r w:rsidR="00856454">
          <w:rPr>
            <w:noProof/>
            <w:webHidden/>
          </w:rPr>
        </w:r>
        <w:r w:rsidR="00856454">
          <w:rPr>
            <w:noProof/>
            <w:webHidden/>
          </w:rPr>
          <w:fldChar w:fldCharType="separate"/>
        </w:r>
        <w:r w:rsidR="00213CA8">
          <w:rPr>
            <w:noProof/>
            <w:webHidden/>
          </w:rPr>
          <w:t>15</w:t>
        </w:r>
        <w:r w:rsidR="00856454">
          <w:rPr>
            <w:noProof/>
            <w:webHidden/>
          </w:rPr>
          <w:fldChar w:fldCharType="end"/>
        </w:r>
      </w:hyperlink>
    </w:p>
    <w:p w14:paraId="71363CE1" w14:textId="7CCFE894" w:rsidR="00856454" w:rsidRDefault="00857F0D">
      <w:pPr>
        <w:pStyle w:val="TableofFigures"/>
        <w:tabs>
          <w:tab w:val="right" w:leader="dot" w:pos="8210"/>
        </w:tabs>
        <w:rPr>
          <w:rFonts w:asciiTheme="minorHAnsi" w:eastAsiaTheme="minorEastAsia" w:hAnsiTheme="minorHAnsi" w:cstheme="minorBidi"/>
          <w:noProof/>
          <w:sz w:val="24"/>
        </w:rPr>
      </w:pPr>
      <w:hyperlink w:anchor="_Toc62703574" w:history="1">
        <w:r w:rsidR="00856454" w:rsidRPr="00D562AD">
          <w:rPr>
            <w:rStyle w:val="Hyperlink"/>
            <w:rFonts w:eastAsiaTheme="majorEastAsia"/>
            <w:noProof/>
          </w:rPr>
          <w:t>Figure 2. Flu vaccination rates for Māori 65+ in 2020 compared with 2019</w:t>
        </w:r>
        <w:r w:rsidR="00856454">
          <w:rPr>
            <w:noProof/>
            <w:webHidden/>
          </w:rPr>
          <w:tab/>
        </w:r>
        <w:r w:rsidR="00856454">
          <w:rPr>
            <w:noProof/>
            <w:webHidden/>
          </w:rPr>
          <w:fldChar w:fldCharType="begin"/>
        </w:r>
        <w:r w:rsidR="00856454">
          <w:rPr>
            <w:noProof/>
            <w:webHidden/>
          </w:rPr>
          <w:instrText xml:space="preserve"> PAGEREF _Toc62703574 \h </w:instrText>
        </w:r>
        <w:r w:rsidR="00856454">
          <w:rPr>
            <w:noProof/>
            <w:webHidden/>
          </w:rPr>
        </w:r>
        <w:r w:rsidR="00856454">
          <w:rPr>
            <w:noProof/>
            <w:webHidden/>
          </w:rPr>
          <w:fldChar w:fldCharType="separate"/>
        </w:r>
        <w:r w:rsidR="00213CA8">
          <w:rPr>
            <w:noProof/>
            <w:webHidden/>
          </w:rPr>
          <w:t>16</w:t>
        </w:r>
        <w:r w:rsidR="00856454">
          <w:rPr>
            <w:noProof/>
            <w:webHidden/>
          </w:rPr>
          <w:fldChar w:fldCharType="end"/>
        </w:r>
      </w:hyperlink>
    </w:p>
    <w:p w14:paraId="48CA7B40" w14:textId="41D6C353" w:rsidR="00856454" w:rsidRDefault="00857F0D">
      <w:pPr>
        <w:pStyle w:val="TableofFigures"/>
        <w:tabs>
          <w:tab w:val="right" w:leader="dot" w:pos="8210"/>
        </w:tabs>
        <w:rPr>
          <w:rFonts w:asciiTheme="minorHAnsi" w:eastAsiaTheme="minorEastAsia" w:hAnsiTheme="minorHAnsi" w:cstheme="minorBidi"/>
          <w:noProof/>
          <w:sz w:val="24"/>
        </w:rPr>
      </w:pPr>
      <w:hyperlink w:anchor="_Toc62703575" w:history="1">
        <w:r w:rsidR="00856454" w:rsidRPr="00D562AD">
          <w:rPr>
            <w:rStyle w:val="Hyperlink"/>
            <w:rFonts w:eastAsiaTheme="majorEastAsia"/>
            <w:noProof/>
          </w:rPr>
          <w:t>Figure 3. Flu vaccination trends for Māori 65+ across the different DHB's for 2020</w:t>
        </w:r>
        <w:r w:rsidR="00856454">
          <w:rPr>
            <w:noProof/>
            <w:webHidden/>
          </w:rPr>
          <w:tab/>
        </w:r>
        <w:r w:rsidR="00856454">
          <w:rPr>
            <w:noProof/>
            <w:webHidden/>
          </w:rPr>
          <w:fldChar w:fldCharType="begin"/>
        </w:r>
        <w:r w:rsidR="00856454">
          <w:rPr>
            <w:noProof/>
            <w:webHidden/>
          </w:rPr>
          <w:instrText xml:space="preserve"> PAGEREF _Toc62703575 \h </w:instrText>
        </w:r>
        <w:r w:rsidR="00856454">
          <w:rPr>
            <w:noProof/>
            <w:webHidden/>
          </w:rPr>
        </w:r>
        <w:r w:rsidR="00856454">
          <w:rPr>
            <w:noProof/>
            <w:webHidden/>
          </w:rPr>
          <w:fldChar w:fldCharType="separate"/>
        </w:r>
        <w:r w:rsidR="00213CA8">
          <w:rPr>
            <w:noProof/>
            <w:webHidden/>
          </w:rPr>
          <w:t>17</w:t>
        </w:r>
        <w:r w:rsidR="00856454">
          <w:rPr>
            <w:noProof/>
            <w:webHidden/>
          </w:rPr>
          <w:fldChar w:fldCharType="end"/>
        </w:r>
      </w:hyperlink>
    </w:p>
    <w:p w14:paraId="1AE7154D" w14:textId="72471100" w:rsidR="00856454" w:rsidRDefault="00857F0D">
      <w:pPr>
        <w:pStyle w:val="TableofFigures"/>
        <w:tabs>
          <w:tab w:val="right" w:leader="dot" w:pos="8210"/>
        </w:tabs>
        <w:rPr>
          <w:rFonts w:asciiTheme="minorHAnsi" w:eastAsiaTheme="minorEastAsia" w:hAnsiTheme="minorHAnsi" w:cstheme="minorBidi"/>
          <w:noProof/>
          <w:sz w:val="24"/>
        </w:rPr>
      </w:pPr>
      <w:hyperlink w:anchor="_Toc62703576" w:history="1">
        <w:r w:rsidR="00856454" w:rsidRPr="00D562AD">
          <w:rPr>
            <w:rStyle w:val="Hyperlink"/>
            <w:rFonts w:eastAsiaTheme="majorEastAsia"/>
            <w:noProof/>
          </w:rPr>
          <w:t>Figure 4. Providers use a range of approaches to find whānau</w:t>
        </w:r>
        <w:r w:rsidR="00856454">
          <w:rPr>
            <w:noProof/>
            <w:webHidden/>
          </w:rPr>
          <w:tab/>
        </w:r>
        <w:r w:rsidR="00856454">
          <w:rPr>
            <w:noProof/>
            <w:webHidden/>
          </w:rPr>
          <w:fldChar w:fldCharType="begin"/>
        </w:r>
        <w:r w:rsidR="00856454">
          <w:rPr>
            <w:noProof/>
            <w:webHidden/>
          </w:rPr>
          <w:instrText xml:space="preserve"> PAGEREF _Toc62703576 \h </w:instrText>
        </w:r>
        <w:r w:rsidR="00856454">
          <w:rPr>
            <w:noProof/>
            <w:webHidden/>
          </w:rPr>
        </w:r>
        <w:r w:rsidR="00856454">
          <w:rPr>
            <w:noProof/>
            <w:webHidden/>
          </w:rPr>
          <w:fldChar w:fldCharType="separate"/>
        </w:r>
        <w:r w:rsidR="00213CA8">
          <w:rPr>
            <w:noProof/>
            <w:webHidden/>
          </w:rPr>
          <w:t>23</w:t>
        </w:r>
        <w:r w:rsidR="00856454">
          <w:rPr>
            <w:noProof/>
            <w:webHidden/>
          </w:rPr>
          <w:fldChar w:fldCharType="end"/>
        </w:r>
      </w:hyperlink>
    </w:p>
    <w:p w14:paraId="2E28F6A7" w14:textId="3CAB5B20" w:rsidR="00856454" w:rsidRDefault="00857F0D">
      <w:pPr>
        <w:pStyle w:val="TableofFigures"/>
        <w:tabs>
          <w:tab w:val="right" w:leader="dot" w:pos="8210"/>
        </w:tabs>
        <w:rPr>
          <w:rFonts w:asciiTheme="minorHAnsi" w:eastAsiaTheme="minorEastAsia" w:hAnsiTheme="minorHAnsi" w:cstheme="minorBidi"/>
          <w:noProof/>
          <w:sz w:val="24"/>
        </w:rPr>
      </w:pPr>
      <w:hyperlink w:anchor="_Toc62703577" w:history="1">
        <w:r w:rsidR="00856454" w:rsidRPr="00D562AD">
          <w:rPr>
            <w:rStyle w:val="Hyperlink"/>
            <w:rFonts w:eastAsiaTheme="majorEastAsia"/>
            <w:noProof/>
          </w:rPr>
          <w:t>Figure 5. Communication approaches that are effective ways to reach Māori</w:t>
        </w:r>
        <w:r w:rsidR="00856454">
          <w:rPr>
            <w:noProof/>
            <w:webHidden/>
          </w:rPr>
          <w:tab/>
        </w:r>
        <w:r w:rsidR="00856454">
          <w:rPr>
            <w:noProof/>
            <w:webHidden/>
          </w:rPr>
          <w:fldChar w:fldCharType="begin"/>
        </w:r>
        <w:r w:rsidR="00856454">
          <w:rPr>
            <w:noProof/>
            <w:webHidden/>
          </w:rPr>
          <w:instrText xml:space="preserve"> PAGEREF _Toc62703577 \h </w:instrText>
        </w:r>
        <w:r w:rsidR="00856454">
          <w:rPr>
            <w:noProof/>
            <w:webHidden/>
          </w:rPr>
        </w:r>
        <w:r w:rsidR="00856454">
          <w:rPr>
            <w:noProof/>
            <w:webHidden/>
          </w:rPr>
          <w:fldChar w:fldCharType="separate"/>
        </w:r>
        <w:r w:rsidR="00213CA8">
          <w:rPr>
            <w:noProof/>
            <w:webHidden/>
          </w:rPr>
          <w:t>24</w:t>
        </w:r>
        <w:r w:rsidR="00856454">
          <w:rPr>
            <w:noProof/>
            <w:webHidden/>
          </w:rPr>
          <w:fldChar w:fldCharType="end"/>
        </w:r>
      </w:hyperlink>
    </w:p>
    <w:p w14:paraId="748B29AD" w14:textId="167D44E6" w:rsidR="00856454" w:rsidRDefault="00857F0D">
      <w:pPr>
        <w:pStyle w:val="TableofFigures"/>
        <w:tabs>
          <w:tab w:val="right" w:leader="dot" w:pos="8210"/>
        </w:tabs>
        <w:rPr>
          <w:rFonts w:asciiTheme="minorHAnsi" w:eastAsiaTheme="minorEastAsia" w:hAnsiTheme="minorHAnsi" w:cstheme="minorBidi"/>
          <w:noProof/>
          <w:sz w:val="24"/>
        </w:rPr>
      </w:pPr>
      <w:hyperlink w:anchor="_Toc62703578" w:history="1">
        <w:r w:rsidR="00856454" w:rsidRPr="00D562AD">
          <w:rPr>
            <w:rStyle w:val="Hyperlink"/>
            <w:rFonts w:eastAsiaTheme="majorEastAsia"/>
            <w:noProof/>
          </w:rPr>
          <w:t>Figure 6. MIVP activities focused on going out to whānau and communities</w:t>
        </w:r>
        <w:r w:rsidR="00856454">
          <w:rPr>
            <w:noProof/>
            <w:webHidden/>
          </w:rPr>
          <w:tab/>
        </w:r>
        <w:r w:rsidR="00856454">
          <w:rPr>
            <w:noProof/>
            <w:webHidden/>
          </w:rPr>
          <w:fldChar w:fldCharType="begin"/>
        </w:r>
        <w:r w:rsidR="00856454">
          <w:rPr>
            <w:noProof/>
            <w:webHidden/>
          </w:rPr>
          <w:instrText xml:space="preserve"> PAGEREF _Toc62703578 \h </w:instrText>
        </w:r>
        <w:r w:rsidR="00856454">
          <w:rPr>
            <w:noProof/>
            <w:webHidden/>
          </w:rPr>
        </w:r>
        <w:r w:rsidR="00856454">
          <w:rPr>
            <w:noProof/>
            <w:webHidden/>
          </w:rPr>
          <w:fldChar w:fldCharType="separate"/>
        </w:r>
        <w:r w:rsidR="00213CA8">
          <w:rPr>
            <w:noProof/>
            <w:webHidden/>
          </w:rPr>
          <w:t>25</w:t>
        </w:r>
        <w:r w:rsidR="00856454">
          <w:rPr>
            <w:noProof/>
            <w:webHidden/>
          </w:rPr>
          <w:fldChar w:fldCharType="end"/>
        </w:r>
      </w:hyperlink>
    </w:p>
    <w:p w14:paraId="19CAB6DB" w14:textId="5E76C12B" w:rsidR="00856454" w:rsidRDefault="00857F0D">
      <w:pPr>
        <w:pStyle w:val="TableofFigures"/>
        <w:tabs>
          <w:tab w:val="right" w:leader="dot" w:pos="8210"/>
        </w:tabs>
        <w:rPr>
          <w:rFonts w:asciiTheme="minorHAnsi" w:eastAsiaTheme="minorEastAsia" w:hAnsiTheme="minorHAnsi" w:cstheme="minorBidi"/>
          <w:noProof/>
          <w:sz w:val="24"/>
        </w:rPr>
      </w:pPr>
      <w:hyperlink w:anchor="_Toc62703579" w:history="1">
        <w:r w:rsidR="00856454" w:rsidRPr="00D562AD">
          <w:rPr>
            <w:rStyle w:val="Hyperlink"/>
            <w:rFonts w:eastAsiaTheme="majorEastAsia"/>
            <w:noProof/>
          </w:rPr>
          <w:t>Figure 7.</w:t>
        </w:r>
        <w:r w:rsidR="00856454" w:rsidRPr="00D562AD">
          <w:rPr>
            <w:rStyle w:val="Hyperlink"/>
            <w:rFonts w:eastAsia="Arial Nova Light"/>
            <w:noProof/>
          </w:rPr>
          <w:t xml:space="preserve"> Additional services offered together with flu vaccinations to eligible Māori</w:t>
        </w:r>
        <w:r w:rsidR="00856454">
          <w:rPr>
            <w:noProof/>
            <w:webHidden/>
          </w:rPr>
          <w:tab/>
        </w:r>
        <w:r w:rsidR="00856454">
          <w:rPr>
            <w:noProof/>
            <w:webHidden/>
          </w:rPr>
          <w:fldChar w:fldCharType="begin"/>
        </w:r>
        <w:r w:rsidR="00856454">
          <w:rPr>
            <w:noProof/>
            <w:webHidden/>
          </w:rPr>
          <w:instrText xml:space="preserve"> PAGEREF _Toc62703579 \h </w:instrText>
        </w:r>
        <w:r w:rsidR="00856454">
          <w:rPr>
            <w:noProof/>
            <w:webHidden/>
          </w:rPr>
        </w:r>
        <w:r w:rsidR="00856454">
          <w:rPr>
            <w:noProof/>
            <w:webHidden/>
          </w:rPr>
          <w:fldChar w:fldCharType="separate"/>
        </w:r>
        <w:r w:rsidR="00213CA8">
          <w:rPr>
            <w:noProof/>
            <w:webHidden/>
          </w:rPr>
          <w:t>30</w:t>
        </w:r>
        <w:r w:rsidR="00856454">
          <w:rPr>
            <w:noProof/>
            <w:webHidden/>
          </w:rPr>
          <w:fldChar w:fldCharType="end"/>
        </w:r>
      </w:hyperlink>
    </w:p>
    <w:p w14:paraId="10D59D58" w14:textId="2578E2FB" w:rsidR="00856454" w:rsidRDefault="00857F0D">
      <w:pPr>
        <w:pStyle w:val="TableofFigures"/>
        <w:tabs>
          <w:tab w:val="right" w:leader="dot" w:pos="8210"/>
        </w:tabs>
        <w:rPr>
          <w:rFonts w:asciiTheme="minorHAnsi" w:eastAsiaTheme="minorEastAsia" w:hAnsiTheme="minorHAnsi" w:cstheme="minorBidi"/>
          <w:noProof/>
          <w:sz w:val="24"/>
        </w:rPr>
      </w:pPr>
      <w:hyperlink w:anchor="_Toc62703580" w:history="1">
        <w:r w:rsidR="00856454" w:rsidRPr="00D562AD">
          <w:rPr>
            <w:rStyle w:val="Hyperlink"/>
            <w:rFonts w:eastAsiaTheme="majorEastAsia"/>
            <w:noProof/>
          </w:rPr>
          <w:t>Figure 8. The degree to which the following approaches were effective for getting whānau in provider communities vaccinated?</w:t>
        </w:r>
        <w:r w:rsidR="00856454">
          <w:rPr>
            <w:noProof/>
            <w:webHidden/>
          </w:rPr>
          <w:tab/>
        </w:r>
        <w:r w:rsidR="00856454">
          <w:rPr>
            <w:noProof/>
            <w:webHidden/>
          </w:rPr>
          <w:fldChar w:fldCharType="begin"/>
        </w:r>
        <w:r w:rsidR="00856454">
          <w:rPr>
            <w:noProof/>
            <w:webHidden/>
          </w:rPr>
          <w:instrText xml:space="preserve"> PAGEREF _Toc62703580 \h </w:instrText>
        </w:r>
        <w:r w:rsidR="00856454">
          <w:rPr>
            <w:noProof/>
            <w:webHidden/>
          </w:rPr>
        </w:r>
        <w:r w:rsidR="00856454">
          <w:rPr>
            <w:noProof/>
            <w:webHidden/>
          </w:rPr>
          <w:fldChar w:fldCharType="separate"/>
        </w:r>
        <w:r w:rsidR="00213CA8">
          <w:rPr>
            <w:noProof/>
            <w:webHidden/>
          </w:rPr>
          <w:t>31</w:t>
        </w:r>
        <w:r w:rsidR="00856454">
          <w:rPr>
            <w:noProof/>
            <w:webHidden/>
          </w:rPr>
          <w:fldChar w:fldCharType="end"/>
        </w:r>
      </w:hyperlink>
    </w:p>
    <w:p w14:paraId="6E01EBC5" w14:textId="3F2FEEA0" w:rsidR="00856454" w:rsidRDefault="00857F0D">
      <w:pPr>
        <w:pStyle w:val="TableofFigures"/>
        <w:tabs>
          <w:tab w:val="right" w:leader="dot" w:pos="8210"/>
        </w:tabs>
        <w:rPr>
          <w:rFonts w:asciiTheme="minorHAnsi" w:eastAsiaTheme="minorEastAsia" w:hAnsiTheme="minorHAnsi" w:cstheme="minorBidi"/>
          <w:noProof/>
          <w:sz w:val="24"/>
        </w:rPr>
      </w:pPr>
      <w:hyperlink w:anchor="_Toc62703581" w:history="1">
        <w:r w:rsidR="00856454" w:rsidRPr="00D562AD">
          <w:rPr>
            <w:rStyle w:val="Hyperlink"/>
            <w:rFonts w:eastAsiaTheme="majorEastAsia"/>
            <w:noProof/>
          </w:rPr>
          <w:t xml:space="preserve">Figure 9. </w:t>
        </w:r>
        <w:r w:rsidR="00856454" w:rsidRPr="00D562AD">
          <w:rPr>
            <w:rStyle w:val="Hyperlink"/>
            <w:rFonts w:eastAsia="Arial Nova Light"/>
            <w:noProof/>
          </w:rPr>
          <w:t>Feedback from providers and DHBs on the administration and implementation of the MIVP by the Ministry</w:t>
        </w:r>
        <w:r w:rsidR="00856454">
          <w:rPr>
            <w:noProof/>
            <w:webHidden/>
          </w:rPr>
          <w:tab/>
        </w:r>
        <w:r w:rsidR="00856454">
          <w:rPr>
            <w:noProof/>
            <w:webHidden/>
          </w:rPr>
          <w:fldChar w:fldCharType="begin"/>
        </w:r>
        <w:r w:rsidR="00856454">
          <w:rPr>
            <w:noProof/>
            <w:webHidden/>
          </w:rPr>
          <w:instrText xml:space="preserve"> PAGEREF _Toc62703581 \h </w:instrText>
        </w:r>
        <w:r w:rsidR="00856454">
          <w:rPr>
            <w:noProof/>
            <w:webHidden/>
          </w:rPr>
        </w:r>
        <w:r w:rsidR="00856454">
          <w:rPr>
            <w:noProof/>
            <w:webHidden/>
          </w:rPr>
          <w:fldChar w:fldCharType="separate"/>
        </w:r>
        <w:r w:rsidR="00213CA8">
          <w:rPr>
            <w:noProof/>
            <w:webHidden/>
          </w:rPr>
          <w:t>36</w:t>
        </w:r>
        <w:r w:rsidR="00856454">
          <w:rPr>
            <w:noProof/>
            <w:webHidden/>
          </w:rPr>
          <w:fldChar w:fldCharType="end"/>
        </w:r>
      </w:hyperlink>
    </w:p>
    <w:p w14:paraId="5ABEC440" w14:textId="7E6D8F38" w:rsidR="00856454" w:rsidRDefault="00857F0D">
      <w:pPr>
        <w:pStyle w:val="TableofFigures"/>
        <w:tabs>
          <w:tab w:val="right" w:leader="dot" w:pos="8210"/>
        </w:tabs>
        <w:rPr>
          <w:rFonts w:asciiTheme="minorHAnsi" w:eastAsiaTheme="minorEastAsia" w:hAnsiTheme="minorHAnsi" w:cstheme="minorBidi"/>
          <w:noProof/>
          <w:sz w:val="24"/>
        </w:rPr>
      </w:pPr>
      <w:hyperlink w:anchor="_Toc62703582" w:history="1">
        <w:r w:rsidR="00856454" w:rsidRPr="00D562AD">
          <w:rPr>
            <w:rStyle w:val="Hyperlink"/>
            <w:rFonts w:eastAsiaTheme="majorEastAsia"/>
            <w:noProof/>
          </w:rPr>
          <w:t>Figure 10. The degree to which allowing funding applications from DHBs and providers was a good idea.</w:t>
        </w:r>
        <w:r w:rsidR="00856454">
          <w:rPr>
            <w:noProof/>
            <w:webHidden/>
          </w:rPr>
          <w:tab/>
        </w:r>
        <w:r w:rsidR="00856454">
          <w:rPr>
            <w:noProof/>
            <w:webHidden/>
          </w:rPr>
          <w:fldChar w:fldCharType="begin"/>
        </w:r>
        <w:r w:rsidR="00856454">
          <w:rPr>
            <w:noProof/>
            <w:webHidden/>
          </w:rPr>
          <w:instrText xml:space="preserve"> PAGEREF _Toc62703582 \h </w:instrText>
        </w:r>
        <w:r w:rsidR="00856454">
          <w:rPr>
            <w:noProof/>
            <w:webHidden/>
          </w:rPr>
        </w:r>
        <w:r w:rsidR="00856454">
          <w:rPr>
            <w:noProof/>
            <w:webHidden/>
          </w:rPr>
          <w:fldChar w:fldCharType="separate"/>
        </w:r>
        <w:r w:rsidR="00213CA8">
          <w:rPr>
            <w:noProof/>
            <w:webHidden/>
          </w:rPr>
          <w:t>41</w:t>
        </w:r>
        <w:r w:rsidR="00856454">
          <w:rPr>
            <w:noProof/>
            <w:webHidden/>
          </w:rPr>
          <w:fldChar w:fldCharType="end"/>
        </w:r>
      </w:hyperlink>
    </w:p>
    <w:p w14:paraId="637BA370" w14:textId="77F834C7" w:rsidR="00856454" w:rsidRDefault="00857F0D">
      <w:pPr>
        <w:pStyle w:val="TableofFigures"/>
        <w:tabs>
          <w:tab w:val="right" w:leader="dot" w:pos="8210"/>
        </w:tabs>
        <w:rPr>
          <w:rFonts w:asciiTheme="minorHAnsi" w:eastAsiaTheme="minorEastAsia" w:hAnsiTheme="minorHAnsi" w:cstheme="minorBidi"/>
          <w:noProof/>
          <w:sz w:val="24"/>
        </w:rPr>
      </w:pPr>
      <w:hyperlink w:anchor="_Toc62703583" w:history="1">
        <w:r w:rsidR="00856454" w:rsidRPr="00D562AD">
          <w:rPr>
            <w:rStyle w:val="Hyperlink"/>
            <w:rFonts w:eastAsiaTheme="majorEastAsia"/>
            <w:noProof/>
          </w:rPr>
          <w:t>Figure 11. Support for funding to go to both DHBs and providers</w:t>
        </w:r>
        <w:r w:rsidR="00856454">
          <w:rPr>
            <w:noProof/>
            <w:webHidden/>
          </w:rPr>
          <w:tab/>
        </w:r>
        <w:r w:rsidR="00856454">
          <w:rPr>
            <w:noProof/>
            <w:webHidden/>
          </w:rPr>
          <w:fldChar w:fldCharType="begin"/>
        </w:r>
        <w:r w:rsidR="00856454">
          <w:rPr>
            <w:noProof/>
            <w:webHidden/>
          </w:rPr>
          <w:instrText xml:space="preserve"> PAGEREF _Toc62703583 \h </w:instrText>
        </w:r>
        <w:r w:rsidR="00856454">
          <w:rPr>
            <w:noProof/>
            <w:webHidden/>
          </w:rPr>
        </w:r>
        <w:r w:rsidR="00856454">
          <w:rPr>
            <w:noProof/>
            <w:webHidden/>
          </w:rPr>
          <w:fldChar w:fldCharType="separate"/>
        </w:r>
        <w:r w:rsidR="00213CA8">
          <w:rPr>
            <w:noProof/>
            <w:webHidden/>
          </w:rPr>
          <w:t>45</w:t>
        </w:r>
        <w:r w:rsidR="00856454">
          <w:rPr>
            <w:noProof/>
            <w:webHidden/>
          </w:rPr>
          <w:fldChar w:fldCharType="end"/>
        </w:r>
      </w:hyperlink>
    </w:p>
    <w:p w14:paraId="1939F7E0" w14:textId="0DBDBEE4" w:rsidR="00856454" w:rsidRDefault="00857F0D">
      <w:pPr>
        <w:pStyle w:val="TableofFigures"/>
        <w:tabs>
          <w:tab w:val="right" w:leader="dot" w:pos="8210"/>
        </w:tabs>
        <w:rPr>
          <w:rFonts w:asciiTheme="minorHAnsi" w:eastAsiaTheme="minorEastAsia" w:hAnsiTheme="minorHAnsi" w:cstheme="minorBidi"/>
          <w:noProof/>
          <w:sz w:val="24"/>
        </w:rPr>
      </w:pPr>
      <w:hyperlink w:anchor="_Toc62703584" w:history="1">
        <w:r w:rsidR="00856454" w:rsidRPr="00D562AD">
          <w:rPr>
            <w:rStyle w:val="Hyperlink"/>
            <w:rFonts w:eastAsiaTheme="majorEastAsia"/>
            <w:noProof/>
          </w:rPr>
          <w:t>Figure 12. Interest in delivering MIVP activities again in 2021, if funding were available</w:t>
        </w:r>
        <w:r w:rsidR="00856454">
          <w:rPr>
            <w:noProof/>
            <w:webHidden/>
          </w:rPr>
          <w:tab/>
        </w:r>
        <w:r w:rsidR="00856454">
          <w:rPr>
            <w:noProof/>
            <w:webHidden/>
          </w:rPr>
          <w:fldChar w:fldCharType="begin"/>
        </w:r>
        <w:r w:rsidR="00856454">
          <w:rPr>
            <w:noProof/>
            <w:webHidden/>
          </w:rPr>
          <w:instrText xml:space="preserve"> PAGEREF _Toc62703584 \h </w:instrText>
        </w:r>
        <w:r w:rsidR="00856454">
          <w:rPr>
            <w:noProof/>
            <w:webHidden/>
          </w:rPr>
        </w:r>
        <w:r w:rsidR="00856454">
          <w:rPr>
            <w:noProof/>
            <w:webHidden/>
          </w:rPr>
          <w:fldChar w:fldCharType="separate"/>
        </w:r>
        <w:r w:rsidR="00213CA8">
          <w:rPr>
            <w:noProof/>
            <w:webHidden/>
          </w:rPr>
          <w:t>45</w:t>
        </w:r>
        <w:r w:rsidR="00856454">
          <w:rPr>
            <w:noProof/>
            <w:webHidden/>
          </w:rPr>
          <w:fldChar w:fldCharType="end"/>
        </w:r>
      </w:hyperlink>
    </w:p>
    <w:p w14:paraId="5FE70D56" w14:textId="0F848AD5" w:rsidR="00856454" w:rsidRDefault="00857F0D">
      <w:pPr>
        <w:pStyle w:val="TableofFigures"/>
        <w:tabs>
          <w:tab w:val="right" w:leader="dot" w:pos="8210"/>
        </w:tabs>
        <w:rPr>
          <w:rFonts w:asciiTheme="minorHAnsi" w:eastAsiaTheme="minorEastAsia" w:hAnsiTheme="minorHAnsi" w:cstheme="minorBidi"/>
          <w:noProof/>
          <w:sz w:val="24"/>
        </w:rPr>
      </w:pPr>
      <w:hyperlink w:anchor="_Toc62703585" w:history="1">
        <w:r w:rsidR="00856454" w:rsidRPr="00D562AD">
          <w:rPr>
            <w:rStyle w:val="Hyperlink"/>
            <w:rFonts w:eastAsiaTheme="majorEastAsia"/>
            <w:noProof/>
          </w:rPr>
          <w:t>Figure 13. Support needed by providers to deliver MIVP in 2021</w:t>
        </w:r>
        <w:r w:rsidR="00856454">
          <w:rPr>
            <w:noProof/>
            <w:webHidden/>
          </w:rPr>
          <w:tab/>
        </w:r>
        <w:r w:rsidR="00856454">
          <w:rPr>
            <w:noProof/>
            <w:webHidden/>
          </w:rPr>
          <w:fldChar w:fldCharType="begin"/>
        </w:r>
        <w:r w:rsidR="00856454">
          <w:rPr>
            <w:noProof/>
            <w:webHidden/>
          </w:rPr>
          <w:instrText xml:space="preserve"> PAGEREF _Toc62703585 \h </w:instrText>
        </w:r>
        <w:r w:rsidR="00856454">
          <w:rPr>
            <w:noProof/>
            <w:webHidden/>
          </w:rPr>
        </w:r>
        <w:r w:rsidR="00856454">
          <w:rPr>
            <w:noProof/>
            <w:webHidden/>
          </w:rPr>
          <w:fldChar w:fldCharType="separate"/>
        </w:r>
        <w:r w:rsidR="00213CA8">
          <w:rPr>
            <w:noProof/>
            <w:webHidden/>
          </w:rPr>
          <w:t>46</w:t>
        </w:r>
        <w:r w:rsidR="00856454">
          <w:rPr>
            <w:noProof/>
            <w:webHidden/>
          </w:rPr>
          <w:fldChar w:fldCharType="end"/>
        </w:r>
      </w:hyperlink>
    </w:p>
    <w:p w14:paraId="3DF78897" w14:textId="1A6A307B" w:rsidR="00856454" w:rsidRDefault="00857F0D">
      <w:pPr>
        <w:pStyle w:val="TableofFigures"/>
        <w:tabs>
          <w:tab w:val="right" w:leader="dot" w:pos="8210"/>
        </w:tabs>
        <w:rPr>
          <w:rFonts w:asciiTheme="minorHAnsi" w:eastAsiaTheme="minorEastAsia" w:hAnsiTheme="minorHAnsi" w:cstheme="minorBidi"/>
          <w:noProof/>
          <w:sz w:val="24"/>
        </w:rPr>
      </w:pPr>
      <w:hyperlink w:anchor="_Toc62703586" w:history="1">
        <w:r w:rsidR="00856454" w:rsidRPr="00D562AD">
          <w:rPr>
            <w:rStyle w:val="Hyperlink"/>
            <w:rFonts w:eastAsiaTheme="majorEastAsia"/>
            <w:noProof/>
          </w:rPr>
          <w:t>Figure 14. Support needed by DHBs to deliver MIVP in 2021</w:t>
        </w:r>
        <w:r w:rsidR="00856454">
          <w:rPr>
            <w:noProof/>
            <w:webHidden/>
          </w:rPr>
          <w:tab/>
        </w:r>
        <w:r w:rsidR="00856454">
          <w:rPr>
            <w:noProof/>
            <w:webHidden/>
          </w:rPr>
          <w:fldChar w:fldCharType="begin"/>
        </w:r>
        <w:r w:rsidR="00856454">
          <w:rPr>
            <w:noProof/>
            <w:webHidden/>
          </w:rPr>
          <w:instrText xml:space="preserve"> PAGEREF _Toc62703586 \h </w:instrText>
        </w:r>
        <w:r w:rsidR="00856454">
          <w:rPr>
            <w:noProof/>
            <w:webHidden/>
          </w:rPr>
        </w:r>
        <w:r w:rsidR="00856454">
          <w:rPr>
            <w:noProof/>
            <w:webHidden/>
          </w:rPr>
          <w:fldChar w:fldCharType="separate"/>
        </w:r>
        <w:r w:rsidR="00213CA8">
          <w:rPr>
            <w:noProof/>
            <w:webHidden/>
          </w:rPr>
          <w:t>46</w:t>
        </w:r>
        <w:r w:rsidR="00856454">
          <w:rPr>
            <w:noProof/>
            <w:webHidden/>
          </w:rPr>
          <w:fldChar w:fldCharType="end"/>
        </w:r>
      </w:hyperlink>
    </w:p>
    <w:p w14:paraId="5C3FD55B" w14:textId="099F6527" w:rsidR="00856454" w:rsidRDefault="00857F0D">
      <w:pPr>
        <w:pStyle w:val="TableofFigures"/>
        <w:tabs>
          <w:tab w:val="right" w:leader="dot" w:pos="8210"/>
        </w:tabs>
        <w:rPr>
          <w:rFonts w:asciiTheme="minorHAnsi" w:eastAsiaTheme="minorEastAsia" w:hAnsiTheme="minorHAnsi" w:cstheme="minorBidi"/>
          <w:noProof/>
          <w:sz w:val="24"/>
        </w:rPr>
      </w:pPr>
      <w:hyperlink w:anchor="_Toc62703587" w:history="1">
        <w:r w:rsidR="00856454" w:rsidRPr="00D562AD">
          <w:rPr>
            <w:rStyle w:val="Hyperlink"/>
            <w:rFonts w:eastAsiaTheme="majorEastAsia"/>
            <w:noProof/>
          </w:rPr>
          <w:t>Figure 15. Funding needed by DHBs and providers to deliver MIVP in 2021, in comparison to funding received in 2020</w:t>
        </w:r>
        <w:r w:rsidR="00856454">
          <w:rPr>
            <w:noProof/>
            <w:webHidden/>
          </w:rPr>
          <w:tab/>
        </w:r>
        <w:r w:rsidR="00856454">
          <w:rPr>
            <w:noProof/>
            <w:webHidden/>
          </w:rPr>
          <w:fldChar w:fldCharType="begin"/>
        </w:r>
        <w:r w:rsidR="00856454">
          <w:rPr>
            <w:noProof/>
            <w:webHidden/>
          </w:rPr>
          <w:instrText xml:space="preserve"> PAGEREF _Toc62703587 \h </w:instrText>
        </w:r>
        <w:r w:rsidR="00856454">
          <w:rPr>
            <w:noProof/>
            <w:webHidden/>
          </w:rPr>
        </w:r>
        <w:r w:rsidR="00856454">
          <w:rPr>
            <w:noProof/>
            <w:webHidden/>
          </w:rPr>
          <w:fldChar w:fldCharType="separate"/>
        </w:r>
        <w:r w:rsidR="00213CA8">
          <w:rPr>
            <w:noProof/>
            <w:webHidden/>
          </w:rPr>
          <w:t>47</w:t>
        </w:r>
        <w:r w:rsidR="00856454">
          <w:rPr>
            <w:noProof/>
            <w:webHidden/>
          </w:rPr>
          <w:fldChar w:fldCharType="end"/>
        </w:r>
      </w:hyperlink>
    </w:p>
    <w:p w14:paraId="7C8F5194" w14:textId="17E8EF5C" w:rsidR="006A7D95" w:rsidRDefault="000774B4" w:rsidP="006A7D95">
      <w:r w:rsidRPr="00F313C5">
        <w:rPr>
          <w:b/>
          <w:bCs/>
          <w:noProof/>
          <w:szCs w:val="20"/>
          <w:lang w:val="en-US"/>
        </w:rPr>
        <w:fldChar w:fldCharType="end"/>
      </w:r>
    </w:p>
    <w:p w14:paraId="213983AB" w14:textId="77777777" w:rsidR="009E5E38" w:rsidRDefault="009E5E38" w:rsidP="00C449EB">
      <w:pPr>
        <w:sectPr w:rsidR="009E5E38" w:rsidSect="00232942">
          <w:footerReference w:type="default" r:id="rId16"/>
          <w:type w:val="continuous"/>
          <w:pgSz w:w="11906" w:h="16838"/>
          <w:pgMar w:top="1440" w:right="1843" w:bottom="1440" w:left="1843" w:header="709" w:footer="709" w:gutter="0"/>
          <w:pgNumType w:start="0"/>
          <w:cols w:space="1230"/>
          <w:titlePg/>
          <w:docGrid w:linePitch="360"/>
        </w:sectPr>
      </w:pPr>
    </w:p>
    <w:p w14:paraId="367CF5FD" w14:textId="01A52E51" w:rsidR="008521BF" w:rsidRDefault="16E24460" w:rsidP="00760524">
      <w:pPr>
        <w:pStyle w:val="Heading1"/>
      </w:pPr>
      <w:bookmarkStart w:id="1" w:name="_Toc70763246"/>
      <w:r>
        <w:lastRenderedPageBreak/>
        <w:t>Executive summary</w:t>
      </w:r>
      <w:bookmarkEnd w:id="1"/>
    </w:p>
    <w:p w14:paraId="072D6833" w14:textId="2C38FF9D" w:rsidR="00EA11DD" w:rsidRDefault="00922BC3" w:rsidP="00922BC3">
      <w:pPr>
        <w:pStyle w:val="SectionHeading"/>
      </w:pPr>
      <w:bookmarkStart w:id="2" w:name="_Toc70763247"/>
      <w:r>
        <w:t>Introduction</w:t>
      </w:r>
      <w:bookmarkEnd w:id="2"/>
      <w:r>
        <w:t xml:space="preserve"> </w:t>
      </w:r>
    </w:p>
    <w:p w14:paraId="46850A64" w14:textId="456B308E" w:rsidR="00C20F49" w:rsidRDefault="001B2BC1" w:rsidP="00BF5E38">
      <w:pPr>
        <w:pStyle w:val="BodyText"/>
      </w:pPr>
      <w:r>
        <w:t>The Ministry of Health (the Ministry) developed the Māori Influenza Vaccine Programme (</w:t>
      </w:r>
      <w:r w:rsidR="00EC6371">
        <w:t>MIVP</w:t>
      </w:r>
      <w:r>
        <w:t xml:space="preserve">) in response to COVID-19. </w:t>
      </w:r>
      <w:r w:rsidR="00C20F49">
        <w:t xml:space="preserve">MIVP is one of </w:t>
      </w:r>
      <w:proofErr w:type="gramStart"/>
      <w:r w:rsidR="00C20F49">
        <w:t>a number of</w:t>
      </w:r>
      <w:proofErr w:type="gramEnd"/>
      <w:r w:rsidR="00C20F49">
        <w:t xml:space="preserve"> initiatives that responds to </w:t>
      </w:r>
      <w:proofErr w:type="spellStart"/>
      <w:r w:rsidR="00C20F49">
        <w:t>Whakamaua</w:t>
      </w:r>
      <w:proofErr w:type="spellEnd"/>
      <w:r w:rsidR="00C20F49">
        <w:t>: the Māori Health Plan 2020-2025</w:t>
      </w:r>
      <w:r w:rsidR="00C20F49">
        <w:rPr>
          <w:rStyle w:val="FootnoteReference"/>
        </w:rPr>
        <w:footnoteReference w:id="2"/>
      </w:r>
      <w:r w:rsidR="00C20F49">
        <w:t>.</w:t>
      </w:r>
    </w:p>
    <w:p w14:paraId="1E49F476" w14:textId="0EAE0F13" w:rsidR="001B2BC1" w:rsidRDefault="00E73B06" w:rsidP="00BF5E38">
      <w:pPr>
        <w:pStyle w:val="BodyText"/>
      </w:pPr>
      <w:r>
        <w:t xml:space="preserve">The </w:t>
      </w:r>
      <w:r w:rsidR="001B2BC1">
        <w:t xml:space="preserve">Government set aside up to $9.5m for </w:t>
      </w:r>
      <w:r>
        <w:t>d</w:t>
      </w:r>
      <w:r w:rsidR="001B2BC1">
        <w:t xml:space="preserve">istrict </w:t>
      </w:r>
      <w:r>
        <w:t>h</w:t>
      </w:r>
      <w:r w:rsidR="001B2BC1">
        <w:t xml:space="preserve">ealth </w:t>
      </w:r>
      <w:r>
        <w:t>b</w:t>
      </w:r>
      <w:r w:rsidR="001B2BC1">
        <w:t xml:space="preserve">oards (DHBs) and Māori health and disability providers. The </w:t>
      </w:r>
      <w:r w:rsidR="008770FC">
        <w:t xml:space="preserve">programme </w:t>
      </w:r>
      <w:r w:rsidR="001B2BC1">
        <w:t xml:space="preserve">aimed to increase access to the influenza (flu) vaccine for vulnerable Māori groups </w:t>
      </w:r>
      <w:r w:rsidR="00593B29">
        <w:t>entitled to</w:t>
      </w:r>
      <w:r w:rsidR="001B2BC1">
        <w:t xml:space="preserve"> free vaccinations</w:t>
      </w:r>
      <w:r w:rsidR="006B2F9D">
        <w:t xml:space="preserve">, particularly </w:t>
      </w:r>
      <w:proofErr w:type="spellStart"/>
      <w:r w:rsidR="001B2BC1">
        <w:t>kaumātua</w:t>
      </w:r>
      <w:proofErr w:type="spellEnd"/>
      <w:r w:rsidR="001B2BC1">
        <w:t xml:space="preserve"> over 65 years</w:t>
      </w:r>
      <w:r w:rsidR="006B2F9D">
        <w:t xml:space="preserve">. </w:t>
      </w:r>
      <w:r w:rsidR="00C66C11">
        <w:t>Improving e</w:t>
      </w:r>
      <w:r w:rsidR="001B2BC1">
        <w:t xml:space="preserve">quity </w:t>
      </w:r>
      <w:r w:rsidR="00C66C11">
        <w:t xml:space="preserve">for Māori </w:t>
      </w:r>
      <w:r w:rsidR="001B2BC1">
        <w:t>was the driving principle</w:t>
      </w:r>
      <w:r>
        <w:t xml:space="preserve"> for the funding allocation</w:t>
      </w:r>
      <w:r w:rsidR="00C66C11">
        <w:t>.</w:t>
      </w:r>
    </w:p>
    <w:p w14:paraId="38FAFBA8" w14:textId="3D0D0649" w:rsidR="008770FC" w:rsidRDefault="001B2BC1" w:rsidP="008770FC">
      <w:pPr>
        <w:pStyle w:val="BodyText"/>
      </w:pPr>
      <w:r>
        <w:t xml:space="preserve">The Ministry </w:t>
      </w:r>
      <w:r w:rsidR="008770FC">
        <w:t>allocated</w:t>
      </w:r>
      <w:r w:rsidR="00E73B06">
        <w:t xml:space="preserve"> </w:t>
      </w:r>
      <w:proofErr w:type="gramStart"/>
      <w:r>
        <w:t>$6.972 million</w:t>
      </w:r>
      <w:r w:rsidR="008770FC">
        <w:t>,</w:t>
      </w:r>
      <w:proofErr w:type="gramEnd"/>
      <w:r w:rsidR="008770FC">
        <w:t xml:space="preserve"> of the total available funding,</w:t>
      </w:r>
      <w:r>
        <w:t xml:space="preserve"> across 19 DHB regions. Eighteen providers received direct funding of $2,061,618</w:t>
      </w:r>
      <w:r w:rsidR="008770FC">
        <w:t xml:space="preserve">, while in eight DHB regions a further 40 providers were allocated $4,910,845. </w:t>
      </w:r>
    </w:p>
    <w:p w14:paraId="5861D023" w14:textId="22CB65CA" w:rsidR="006552F8" w:rsidRDefault="001B2BC1" w:rsidP="00C65DE4">
      <w:pPr>
        <w:pStyle w:val="BodyText"/>
      </w:pPr>
      <w:r>
        <w:t>The evaluation</w:t>
      </w:r>
      <w:r w:rsidR="000414E3">
        <w:t xml:space="preserve"> aimed</w:t>
      </w:r>
      <w:r>
        <w:t xml:space="preserve"> to understand the impact of </w:t>
      </w:r>
      <w:r w:rsidR="008770FC">
        <w:t xml:space="preserve">the programme </w:t>
      </w:r>
      <w:r>
        <w:t xml:space="preserve">on Māori </w:t>
      </w:r>
      <w:r w:rsidR="000A22E5">
        <w:t>f</w:t>
      </w:r>
      <w:r>
        <w:t xml:space="preserve">lu </w:t>
      </w:r>
      <w:r w:rsidR="00350509">
        <w:t xml:space="preserve">vaccination </w:t>
      </w:r>
      <w:r>
        <w:t xml:space="preserve">rates and more broadly on equity. At an operational </w:t>
      </w:r>
      <w:r w:rsidR="000A22E5">
        <w:t>level,</w:t>
      </w:r>
      <w:r>
        <w:t xml:space="preserve"> the</w:t>
      </w:r>
      <w:r w:rsidR="0026075E">
        <w:t>re was a further</w:t>
      </w:r>
      <w:r>
        <w:t xml:space="preserve"> </w:t>
      </w:r>
      <w:r w:rsidR="006B2F9D">
        <w:t xml:space="preserve">objective </w:t>
      </w:r>
      <w:r w:rsidR="0026075E">
        <w:t>of</w:t>
      </w:r>
      <w:r>
        <w:t xml:space="preserve"> test</w:t>
      </w:r>
      <w:r w:rsidR="0026075E">
        <w:t>ing</w:t>
      </w:r>
      <w:r>
        <w:t xml:space="preserve"> </w:t>
      </w:r>
      <w:r w:rsidR="006B2F9D">
        <w:t xml:space="preserve">new </w:t>
      </w:r>
      <w:r>
        <w:t>funding approaches and processes.</w:t>
      </w:r>
    </w:p>
    <w:p w14:paraId="1743D170" w14:textId="700CAAFB" w:rsidR="001B2BC1" w:rsidRDefault="001B2BC1" w:rsidP="006552F8">
      <w:pPr>
        <w:pStyle w:val="BodyText"/>
      </w:pPr>
      <w:r>
        <w:t xml:space="preserve">The evaluation used a mixed-methods, rapid insight cycle approach. </w:t>
      </w:r>
      <w:r w:rsidR="002208B9">
        <w:t>Methods included two online surveys</w:t>
      </w:r>
      <w:r w:rsidR="006552F8">
        <w:t>, qualitative</w:t>
      </w:r>
      <w:r w:rsidR="002208B9">
        <w:t xml:space="preserve"> interviews and </w:t>
      </w:r>
      <w:r>
        <w:t xml:space="preserve">review of </w:t>
      </w:r>
      <w:r w:rsidR="008770FC">
        <w:t xml:space="preserve">the programme </w:t>
      </w:r>
      <w:r>
        <w:t xml:space="preserve">application and monitoring data. Flu vaccination data from the National Immunisation </w:t>
      </w:r>
      <w:r w:rsidR="004A723D">
        <w:t>R</w:t>
      </w:r>
      <w:r>
        <w:t xml:space="preserve">egister (NIR) was used to track changes in flu rates and equity. </w:t>
      </w:r>
    </w:p>
    <w:p w14:paraId="2C41282D" w14:textId="77777777" w:rsidR="00127CF1" w:rsidRPr="00FD4376" w:rsidRDefault="00127CF1" w:rsidP="00922BC3">
      <w:pPr>
        <w:pStyle w:val="Heading3"/>
      </w:pPr>
      <w:r w:rsidRPr="00FD4376">
        <w:t>Addressing the need</w:t>
      </w:r>
      <w:r>
        <w:t xml:space="preserve">s of Māori </w:t>
      </w:r>
    </w:p>
    <w:p w14:paraId="5AAF0E0D" w14:textId="7516E975" w:rsidR="00127CF1" w:rsidRDefault="00127CF1" w:rsidP="00127CF1">
      <w:pPr>
        <w:pStyle w:val="BodyText"/>
      </w:pPr>
      <w:r>
        <w:t>There are significant barriers</w:t>
      </w:r>
      <w:r w:rsidR="00EC6371">
        <w:t xml:space="preserve"> </w:t>
      </w:r>
      <w:r>
        <w:t xml:space="preserve">to Māori accessing GPs and primary healthcare services. </w:t>
      </w:r>
      <w:r w:rsidR="00EC6371">
        <w:t>MIVP aimed to address these barriers. T</w:t>
      </w:r>
      <w:r>
        <w:t xml:space="preserve">hese well-known and well-documented barriers </w:t>
      </w:r>
      <w:r w:rsidR="00EC6371">
        <w:t xml:space="preserve">are listed </w:t>
      </w:r>
      <w:r>
        <w:t>below. They include:</w:t>
      </w:r>
    </w:p>
    <w:p w14:paraId="08BB0269" w14:textId="0C551221" w:rsidR="00127CF1" w:rsidRDefault="00127CF1" w:rsidP="00127CF1">
      <w:pPr>
        <w:pStyle w:val="Bullet"/>
      </w:pPr>
      <w:r w:rsidRPr="008770FC">
        <w:rPr>
          <w:b/>
          <w:bCs/>
        </w:rPr>
        <w:t>Cost</w:t>
      </w:r>
      <w:r w:rsidR="008770FC">
        <w:t xml:space="preserve"> such as </w:t>
      </w:r>
      <w:r>
        <w:t xml:space="preserve">consultation costs and prescriptions charges, and the loss of income due to having to take time off work to seek </w:t>
      </w:r>
      <w:proofErr w:type="gramStart"/>
      <w:r>
        <w:t>care</w:t>
      </w:r>
      <w:proofErr w:type="gramEnd"/>
    </w:p>
    <w:p w14:paraId="09582906" w14:textId="0B2C3874" w:rsidR="00127CF1" w:rsidRDefault="00127CF1" w:rsidP="00127CF1">
      <w:pPr>
        <w:pStyle w:val="Bullet"/>
      </w:pPr>
      <w:r w:rsidRPr="008770FC">
        <w:rPr>
          <w:b/>
          <w:bCs/>
        </w:rPr>
        <w:t>Access to services</w:t>
      </w:r>
      <w:r w:rsidR="008770FC">
        <w:t xml:space="preserve"> such as </w:t>
      </w:r>
      <w:r>
        <w:t>service locations and the distance to travel for care, suitable appointment times, long waiting times, lack of transport including public transport</w:t>
      </w:r>
      <w:r w:rsidR="002A44F0">
        <w:t>,</w:t>
      </w:r>
      <w:r>
        <w:t xml:space="preserve"> and childcare availability and </w:t>
      </w:r>
      <w:proofErr w:type="gramStart"/>
      <w:r>
        <w:t>cost</w:t>
      </w:r>
      <w:proofErr w:type="gramEnd"/>
    </w:p>
    <w:p w14:paraId="162A8B79" w14:textId="628A1B2A" w:rsidR="00127CF1" w:rsidRDefault="00127CF1" w:rsidP="00127CF1">
      <w:pPr>
        <w:pStyle w:val="Bullet"/>
      </w:pPr>
      <w:r w:rsidRPr="008770FC">
        <w:rPr>
          <w:b/>
          <w:bCs/>
        </w:rPr>
        <w:t>Poor service experienc</w:t>
      </w:r>
      <w:r w:rsidR="008770FC">
        <w:t xml:space="preserve">e such as </w:t>
      </w:r>
      <w:r>
        <w:t xml:space="preserve">whānau </w:t>
      </w:r>
      <w:proofErr w:type="gramStart"/>
      <w:r>
        <w:t>feeling</w:t>
      </w:r>
      <w:r w:rsidR="002A44F0">
        <w:t>:</w:t>
      </w:r>
      <w:proofErr w:type="gramEnd"/>
      <w:r>
        <w:t xml:space="preserve"> unwelcome or disrespected (typically by reception staff), </w:t>
      </w:r>
      <w:proofErr w:type="spellStart"/>
      <w:r>
        <w:t>whakamā</w:t>
      </w:r>
      <w:proofErr w:type="spellEnd"/>
      <w:r>
        <w:t xml:space="preserve"> (embarrassed) because of poor compliance with prescribed treatment, </w:t>
      </w:r>
      <w:r w:rsidR="002A44F0">
        <w:t>or</w:t>
      </w:r>
      <w:r>
        <w:t xml:space="preserve"> </w:t>
      </w:r>
      <w:r w:rsidR="002A44F0">
        <w:t xml:space="preserve">of </w:t>
      </w:r>
      <w:r>
        <w:t>being rushed or pressured to keep the appointment brief</w:t>
      </w:r>
    </w:p>
    <w:p w14:paraId="79354E96" w14:textId="5CCA9E45" w:rsidR="00127CF1" w:rsidRDefault="00127CF1" w:rsidP="00127CF1">
      <w:pPr>
        <w:pStyle w:val="Bullet"/>
      </w:pPr>
      <w:r w:rsidRPr="008770FC">
        <w:rPr>
          <w:b/>
          <w:bCs/>
        </w:rPr>
        <w:t>Cultural barriers</w:t>
      </w:r>
      <w:r w:rsidR="008770FC">
        <w:t xml:space="preserve"> such as </w:t>
      </w:r>
      <w:r>
        <w:t>whānau shyness, reticence to challenge authority, a ‘wait and see’ attitude towards sickness or injury that is often related to cost and prior bad experience</w:t>
      </w:r>
      <w:r w:rsidR="008770FC">
        <w:t xml:space="preserve"> and a </w:t>
      </w:r>
      <w:r>
        <w:t xml:space="preserve">preference for Māori clinicians or Māori </w:t>
      </w:r>
      <w:proofErr w:type="gramStart"/>
      <w:r>
        <w:t>providers</w:t>
      </w:r>
      <w:proofErr w:type="gramEnd"/>
    </w:p>
    <w:p w14:paraId="3214AB32" w14:textId="23C2B1B9" w:rsidR="00127CF1" w:rsidRDefault="00127CF1" w:rsidP="00127CF1">
      <w:pPr>
        <w:pStyle w:val="Bullet"/>
      </w:pPr>
      <w:r w:rsidRPr="008770FC">
        <w:rPr>
          <w:b/>
          <w:bCs/>
        </w:rPr>
        <w:t>Poor health literacy</w:t>
      </w:r>
      <w:r w:rsidR="008770FC">
        <w:t xml:space="preserve"> such as </w:t>
      </w:r>
      <w:r>
        <w:t xml:space="preserve">whānau feeling </w:t>
      </w:r>
      <w:proofErr w:type="spellStart"/>
      <w:r>
        <w:t>whakamā</w:t>
      </w:r>
      <w:proofErr w:type="spellEnd"/>
      <w:r>
        <w:t xml:space="preserve"> </w:t>
      </w:r>
      <w:r w:rsidR="002A44F0">
        <w:t xml:space="preserve">because they do </w:t>
      </w:r>
      <w:r>
        <w:t xml:space="preserve">not understand the questions asked or the information shared with </w:t>
      </w:r>
      <w:proofErr w:type="gramStart"/>
      <w:r>
        <w:t>them</w:t>
      </w:r>
      <w:proofErr w:type="gramEnd"/>
    </w:p>
    <w:p w14:paraId="157B0A27" w14:textId="59976197" w:rsidR="00127CF1" w:rsidRDefault="00127CF1" w:rsidP="00127CF1">
      <w:pPr>
        <w:pStyle w:val="Bullet"/>
      </w:pPr>
      <w:r w:rsidRPr="008770FC">
        <w:rPr>
          <w:b/>
          <w:bCs/>
        </w:rPr>
        <w:t>A clash between western and Māori models</w:t>
      </w:r>
      <w:r w:rsidR="008770FC">
        <w:t xml:space="preserve"> such as </w:t>
      </w:r>
      <w:r>
        <w:t>Māori models of wellbeing and the medical, disease-oriented model</w:t>
      </w:r>
      <w:r w:rsidR="002A44F0">
        <w:t>, which</w:t>
      </w:r>
      <w:r>
        <w:t xml:space="preserve"> can result in whānau and non-Māori clinicians talking past each other and having differing perspectives on patient needs and the </w:t>
      </w:r>
      <w:r w:rsidR="002A44F0">
        <w:t>appropriate</w:t>
      </w:r>
      <w:r>
        <w:t xml:space="preserve"> course of action</w:t>
      </w:r>
      <w:r w:rsidR="000F2275">
        <w:t>.</w:t>
      </w:r>
    </w:p>
    <w:p w14:paraId="1DA72DCF" w14:textId="3BD2C0A3" w:rsidR="00127CF1" w:rsidRPr="00127CF1" w:rsidRDefault="00127CF1" w:rsidP="00922BC3">
      <w:pPr>
        <w:pStyle w:val="Heading2"/>
      </w:pPr>
      <w:bookmarkStart w:id="3" w:name="_Toc70763248"/>
      <w:r w:rsidRPr="00127CF1">
        <w:lastRenderedPageBreak/>
        <w:t>Key finding</w:t>
      </w:r>
      <w:bookmarkEnd w:id="3"/>
    </w:p>
    <w:p w14:paraId="59C19A87" w14:textId="463D7606" w:rsidR="00FD4376" w:rsidRDefault="000A22E5" w:rsidP="00127CF1">
      <w:pPr>
        <w:pStyle w:val="BodyText"/>
      </w:pPr>
      <w:r w:rsidRPr="00FA3F15">
        <w:t xml:space="preserve">The evaluation found that overall, </w:t>
      </w:r>
      <w:r w:rsidRPr="00FA3F15">
        <w:rPr>
          <w:b/>
          <w:bCs/>
        </w:rPr>
        <w:t xml:space="preserve">the </w:t>
      </w:r>
      <w:r w:rsidR="008770FC">
        <w:rPr>
          <w:b/>
          <w:bCs/>
        </w:rPr>
        <w:t xml:space="preserve">Māori Influenza Vaccination Programme </w:t>
      </w:r>
      <w:r w:rsidRPr="00FA3F15">
        <w:rPr>
          <w:b/>
          <w:bCs/>
        </w:rPr>
        <w:t xml:space="preserve">made a worthwhile and valuable contribution to improving </w:t>
      </w:r>
      <w:r w:rsidR="000414E3" w:rsidRPr="00FA3F15">
        <w:rPr>
          <w:b/>
          <w:bCs/>
        </w:rPr>
        <w:t>Māori</w:t>
      </w:r>
      <w:r w:rsidRPr="00FA3F15">
        <w:rPr>
          <w:b/>
          <w:bCs/>
        </w:rPr>
        <w:t xml:space="preserve"> flu vaccination equity rates</w:t>
      </w:r>
      <w:r w:rsidR="00127CF1">
        <w:rPr>
          <w:b/>
          <w:bCs/>
        </w:rPr>
        <w:t xml:space="preserve">. </w:t>
      </w:r>
      <w:r w:rsidR="00457B51">
        <w:t>In</w:t>
      </w:r>
      <w:r w:rsidR="00C66C11">
        <w:t xml:space="preserve"> 2020 </w:t>
      </w:r>
      <w:r w:rsidR="00DE41F8">
        <w:t>NIR recorded significantly higher vaccination rates for Māori than in previous years</w:t>
      </w:r>
      <w:r w:rsidR="00127CF1">
        <w:t xml:space="preserve">. </w:t>
      </w:r>
      <w:r w:rsidR="00457B51">
        <w:t>Flu</w:t>
      </w:r>
      <w:r w:rsidR="00C66C11">
        <w:t xml:space="preserve"> </w:t>
      </w:r>
      <w:r w:rsidR="00C66C11" w:rsidRPr="00027143">
        <w:t xml:space="preserve">vaccination rates for Māori </w:t>
      </w:r>
      <w:r w:rsidR="00956E88">
        <w:t xml:space="preserve">aged over </w:t>
      </w:r>
      <w:r w:rsidR="00C66C11">
        <w:t xml:space="preserve">65 increased </w:t>
      </w:r>
      <w:r w:rsidR="00C66C11" w:rsidRPr="00553D7B">
        <w:t>from 45.8% in 2019 to 59% in 2020</w:t>
      </w:r>
      <w:r w:rsidR="00956E88">
        <w:t>. This increase</w:t>
      </w:r>
      <w:r w:rsidR="00C66C11">
        <w:t xml:space="preserve"> is </w:t>
      </w:r>
      <w:r w:rsidR="00C66C11" w:rsidRPr="00027143">
        <w:t>significant</w:t>
      </w:r>
      <w:r w:rsidR="00C66C11">
        <w:t>, given the small improvement observed between 2015 and 2019</w:t>
      </w:r>
      <w:r w:rsidR="00127CF1">
        <w:t xml:space="preserve">. </w:t>
      </w:r>
      <w:r w:rsidR="00457B51">
        <w:t>The</w:t>
      </w:r>
      <w:r w:rsidR="00C66C11" w:rsidRPr="00DE41F8">
        <w:t xml:space="preserve"> overall flu equity gap for Māori </w:t>
      </w:r>
      <w:r w:rsidR="00956E88">
        <w:t xml:space="preserve">aged over </w:t>
      </w:r>
      <w:r w:rsidR="00C66C11" w:rsidRPr="00DE41F8">
        <w:t xml:space="preserve">65 </w:t>
      </w:r>
      <w:r w:rsidR="000276C3">
        <w:t>improved</w:t>
      </w:r>
      <w:r w:rsidR="00C66C11" w:rsidRPr="00DE41F8">
        <w:t xml:space="preserve"> </w:t>
      </w:r>
      <w:r w:rsidR="00EA11DD">
        <w:t xml:space="preserve">by </w:t>
      </w:r>
      <w:r w:rsidR="000276C3">
        <w:t>3.7 percentage points</w:t>
      </w:r>
      <w:r w:rsidR="00EA11DD">
        <w:t xml:space="preserve"> </w:t>
      </w:r>
      <w:r w:rsidR="00C66C11" w:rsidRPr="00DE41F8">
        <w:t>from -12.1% to -8.4%</w:t>
      </w:r>
      <w:r w:rsidR="00127CF1">
        <w:t xml:space="preserve">. </w:t>
      </w:r>
      <w:r w:rsidR="00EA11DD">
        <w:t xml:space="preserve">While </w:t>
      </w:r>
      <w:r w:rsidR="00C66C11" w:rsidRPr="00027143">
        <w:t xml:space="preserve">some of this </w:t>
      </w:r>
      <w:r w:rsidR="00956E88">
        <w:t>chang</w:t>
      </w:r>
      <w:r w:rsidR="00C66C11" w:rsidRPr="00027143">
        <w:t xml:space="preserve">e will be due </w:t>
      </w:r>
      <w:r w:rsidR="00C66C11">
        <w:t xml:space="preserve">to </w:t>
      </w:r>
      <w:r w:rsidR="00C66C11" w:rsidRPr="00027143">
        <w:t>COVID-19, the evidence suggests that the MIVP also contributed to th</w:t>
      </w:r>
      <w:r w:rsidR="00956E88">
        <w:t>e</w:t>
      </w:r>
      <w:r w:rsidR="00C66C11" w:rsidRPr="00027143">
        <w:t xml:space="preserve"> increase</w:t>
      </w:r>
      <w:r w:rsidR="00C66C11">
        <w:t>.</w:t>
      </w:r>
    </w:p>
    <w:p w14:paraId="3517C615" w14:textId="66D4C649" w:rsidR="00FD4376" w:rsidRPr="00FD4376" w:rsidRDefault="00FD4376" w:rsidP="00922BC3">
      <w:pPr>
        <w:pStyle w:val="Heading3"/>
      </w:pPr>
      <w:r w:rsidRPr="00FD4376">
        <w:t>Strategies that made a difference</w:t>
      </w:r>
    </w:p>
    <w:p w14:paraId="68EA6F6F" w14:textId="58F00E37" w:rsidR="000414E3" w:rsidRDefault="00C66C11" w:rsidP="00003FF0">
      <w:pPr>
        <w:pStyle w:val="BodyText"/>
      </w:pPr>
      <w:r>
        <w:t>T</w:t>
      </w:r>
      <w:r w:rsidR="00003FF0">
        <w:t>hree core strategies</w:t>
      </w:r>
      <w:r>
        <w:t xml:space="preserve"> </w:t>
      </w:r>
      <w:r w:rsidR="00344312">
        <w:t xml:space="preserve">used by providers </w:t>
      </w:r>
      <w:r w:rsidR="00C65DE4">
        <w:t xml:space="preserve">and DHBs </w:t>
      </w:r>
      <w:r w:rsidR="00344312">
        <w:t xml:space="preserve">as part of </w:t>
      </w:r>
      <w:r w:rsidR="00EC6371">
        <w:t xml:space="preserve">the </w:t>
      </w:r>
      <w:r w:rsidR="00344312">
        <w:t xml:space="preserve">MIVP </w:t>
      </w:r>
      <w:r>
        <w:t>made a difference for Māori</w:t>
      </w:r>
      <w:r w:rsidR="00003FF0">
        <w:t xml:space="preserve">: </w:t>
      </w:r>
      <w:r w:rsidR="00583E08">
        <w:t xml:space="preserve">mobilisation, taking a whānau-centred approach and </w:t>
      </w:r>
      <w:r w:rsidR="00003FF0">
        <w:t xml:space="preserve">a </w:t>
      </w:r>
      <w:r w:rsidR="00583E08">
        <w:t>focus on Māori workforce capability.</w:t>
      </w:r>
    </w:p>
    <w:p w14:paraId="11C53FDC" w14:textId="3ED9AF20" w:rsidR="0007148D" w:rsidRDefault="0007148D" w:rsidP="0007148D">
      <w:pPr>
        <w:pStyle w:val="BodyText"/>
      </w:pPr>
      <w:r>
        <w:t xml:space="preserve">First, </w:t>
      </w:r>
      <w:r w:rsidRPr="00FD4376">
        <w:rPr>
          <w:b/>
          <w:bCs/>
        </w:rPr>
        <w:t>providers mobilised their services</w:t>
      </w:r>
      <w:r>
        <w:t xml:space="preserve">. They went out into communities to vaccinate whānau. </w:t>
      </w:r>
      <w:r w:rsidR="00956E88">
        <w:t xml:space="preserve">They used </w:t>
      </w:r>
      <w:r w:rsidR="00583E08">
        <w:t xml:space="preserve">a combination of </w:t>
      </w:r>
      <w:r w:rsidR="00C66C11">
        <w:t>data and community networks</w:t>
      </w:r>
      <w:r w:rsidR="00956E88">
        <w:t xml:space="preserve"> to</w:t>
      </w:r>
      <w:r w:rsidR="00583E08">
        <w:t xml:space="preserve"> identif</w:t>
      </w:r>
      <w:r w:rsidR="00956E88">
        <w:t>y</w:t>
      </w:r>
      <w:r w:rsidR="00583E08">
        <w:t xml:space="preserve"> unvaccinated whānau. They reduced barriers by </w:t>
      </w:r>
      <w:r w:rsidR="00C66C11">
        <w:t xml:space="preserve">offering </w:t>
      </w:r>
      <w:r w:rsidR="00583E08">
        <w:t>multiple access points</w:t>
      </w:r>
      <w:r w:rsidR="00FC4132">
        <w:t>,</w:t>
      </w:r>
      <w:r w:rsidR="00583E08">
        <w:t xml:space="preserve"> going to where whānau </w:t>
      </w:r>
      <w:r w:rsidR="005F0F3D">
        <w:t>gather or live, and transporting them to clinics</w:t>
      </w:r>
      <w:r w:rsidR="00583E08">
        <w:t xml:space="preserve">. </w:t>
      </w:r>
      <w:r w:rsidR="00583E08" w:rsidRPr="00FD4376">
        <w:rPr>
          <w:b/>
          <w:bCs/>
        </w:rPr>
        <w:t>Importantly</w:t>
      </w:r>
      <w:r w:rsidR="005F0F3D" w:rsidRPr="00FD4376">
        <w:rPr>
          <w:b/>
          <w:bCs/>
        </w:rPr>
        <w:t>,</w:t>
      </w:r>
      <w:r w:rsidR="00583E08" w:rsidRPr="00FD4376">
        <w:rPr>
          <w:b/>
          <w:bCs/>
        </w:rPr>
        <w:t xml:space="preserve"> </w:t>
      </w:r>
      <w:r w:rsidR="00344312">
        <w:rPr>
          <w:b/>
          <w:bCs/>
        </w:rPr>
        <w:t xml:space="preserve">the evaluation found </w:t>
      </w:r>
      <w:r w:rsidR="00583E08" w:rsidRPr="00FD4376">
        <w:rPr>
          <w:b/>
          <w:bCs/>
        </w:rPr>
        <w:t>there is no one</w:t>
      </w:r>
      <w:r w:rsidR="00956E88">
        <w:rPr>
          <w:b/>
          <w:bCs/>
        </w:rPr>
        <w:t>-</w:t>
      </w:r>
      <w:r w:rsidR="00583E08" w:rsidRPr="00FD4376">
        <w:rPr>
          <w:b/>
          <w:bCs/>
        </w:rPr>
        <w:t>size</w:t>
      </w:r>
      <w:r w:rsidR="00956E88">
        <w:rPr>
          <w:b/>
          <w:bCs/>
        </w:rPr>
        <w:t>-</w:t>
      </w:r>
      <w:r w:rsidR="00583E08" w:rsidRPr="00FD4376">
        <w:rPr>
          <w:b/>
          <w:bCs/>
        </w:rPr>
        <w:t>fits</w:t>
      </w:r>
      <w:r w:rsidR="00956E88">
        <w:rPr>
          <w:b/>
          <w:bCs/>
        </w:rPr>
        <w:t>-</w:t>
      </w:r>
      <w:r w:rsidR="00583E08" w:rsidRPr="00FD4376">
        <w:rPr>
          <w:b/>
          <w:bCs/>
        </w:rPr>
        <w:t>all</w:t>
      </w:r>
      <w:r w:rsidR="00956E88">
        <w:rPr>
          <w:b/>
          <w:bCs/>
        </w:rPr>
        <w:t xml:space="preserve"> method</w:t>
      </w:r>
      <w:r w:rsidR="00956E88">
        <w:t>: e</w:t>
      </w:r>
      <w:r w:rsidR="00583E08">
        <w:t xml:space="preserve">ach </w:t>
      </w:r>
      <w:r>
        <w:t xml:space="preserve">region did their outreach differently. </w:t>
      </w:r>
      <w:r w:rsidR="005F0F3D">
        <w:t xml:space="preserve">There is an opportunity </w:t>
      </w:r>
      <w:r>
        <w:t xml:space="preserve">to collate the range of different approaches </w:t>
      </w:r>
      <w:r w:rsidR="00C66C11">
        <w:t xml:space="preserve">and </w:t>
      </w:r>
      <w:r>
        <w:t>facilitat</w:t>
      </w:r>
      <w:r w:rsidR="00C66C11">
        <w:t xml:space="preserve">e </w:t>
      </w:r>
      <w:r>
        <w:t>regions learn</w:t>
      </w:r>
      <w:r w:rsidR="00956E88">
        <w:t>ing</w:t>
      </w:r>
      <w:r>
        <w:t xml:space="preserve"> from each other</w:t>
      </w:r>
      <w:r w:rsidR="005F0F3D">
        <w:t xml:space="preserve"> (almost as a form of backbone support).</w:t>
      </w:r>
    </w:p>
    <w:p w14:paraId="1E3781C3" w14:textId="2F10397D" w:rsidR="000414E3" w:rsidRDefault="0007148D" w:rsidP="00BC78BC">
      <w:pPr>
        <w:pStyle w:val="BodyText"/>
      </w:pPr>
      <w:bookmarkStart w:id="4" w:name="_Hlk58505213"/>
      <w:r>
        <w:t>Second</w:t>
      </w:r>
      <w:r w:rsidR="00BC78BC">
        <w:t xml:space="preserve">, </w:t>
      </w:r>
      <w:r w:rsidR="002C6EAA" w:rsidRPr="00FD4376">
        <w:rPr>
          <w:b/>
          <w:bCs/>
        </w:rPr>
        <w:t>successful DHBs and providers took</w:t>
      </w:r>
      <w:r w:rsidR="000A22E5" w:rsidRPr="00FD4376">
        <w:rPr>
          <w:b/>
          <w:bCs/>
        </w:rPr>
        <w:t xml:space="preserve"> a whānau</w:t>
      </w:r>
      <w:r w:rsidR="000414E3" w:rsidRPr="00FD4376">
        <w:rPr>
          <w:b/>
          <w:bCs/>
        </w:rPr>
        <w:t>-</w:t>
      </w:r>
      <w:r w:rsidR="000A22E5" w:rsidRPr="00FD4376">
        <w:rPr>
          <w:b/>
          <w:bCs/>
        </w:rPr>
        <w:t>centric approach</w:t>
      </w:r>
      <w:r w:rsidR="008308E1">
        <w:rPr>
          <w:b/>
          <w:bCs/>
        </w:rPr>
        <w:t>.</w:t>
      </w:r>
      <w:r w:rsidR="000A22E5">
        <w:t xml:space="preserve"> </w:t>
      </w:r>
      <w:r w:rsidR="00344312">
        <w:t>Wh</w:t>
      </w:r>
      <w:r w:rsidR="00956E88">
        <w:t>ā</w:t>
      </w:r>
      <w:r w:rsidR="00344312">
        <w:t>nau needs drove engagement</w:t>
      </w:r>
      <w:r w:rsidR="00956E88">
        <w:t>;</w:t>
      </w:r>
      <w:r w:rsidR="00344312">
        <w:t xml:space="preserve"> provider approaches were intentional and inclusive and took a long-term view. Māori staff were at the forefront of wh</w:t>
      </w:r>
      <w:r w:rsidR="00956E88">
        <w:t>ā</w:t>
      </w:r>
      <w:r w:rsidR="00344312">
        <w:t xml:space="preserve">nau </w:t>
      </w:r>
      <w:proofErr w:type="gramStart"/>
      <w:r w:rsidR="00344312">
        <w:t>engagement</w:t>
      </w:r>
      <w:proofErr w:type="gramEnd"/>
      <w:r w:rsidR="00344312">
        <w:t xml:space="preserve"> and </w:t>
      </w:r>
      <w:r w:rsidR="00956E88">
        <w:t>their</w:t>
      </w:r>
      <w:r w:rsidR="00344312">
        <w:t xml:space="preserve"> cultural and clinical knowledge create</w:t>
      </w:r>
      <w:r w:rsidR="00956E88">
        <w:t>d</w:t>
      </w:r>
      <w:r w:rsidR="00344312">
        <w:t xml:space="preserve"> a welcoming and safe environment for wh</w:t>
      </w:r>
      <w:r w:rsidR="00956E88">
        <w:t>ā</w:t>
      </w:r>
      <w:r w:rsidR="00344312">
        <w:t>nau</w:t>
      </w:r>
      <w:r w:rsidR="00FD4376">
        <w:t xml:space="preserve">. </w:t>
      </w:r>
      <w:r w:rsidR="00344312">
        <w:t>These providers</w:t>
      </w:r>
      <w:r w:rsidR="00FD4376">
        <w:t xml:space="preserve"> extended eligibility to all </w:t>
      </w:r>
      <w:r w:rsidR="00EC6371">
        <w:t>whānau</w:t>
      </w:r>
      <w:r w:rsidR="008308E1">
        <w:t xml:space="preserve"> rather than an individualised focus</w:t>
      </w:r>
      <w:r w:rsidR="00956E88">
        <w:t>,</w:t>
      </w:r>
      <w:r w:rsidR="00FD4376">
        <w:t xml:space="preserve"> prioritising </w:t>
      </w:r>
      <w:r w:rsidR="00344312">
        <w:t>Māori</w:t>
      </w:r>
      <w:r w:rsidR="00FD4376">
        <w:t xml:space="preserve"> </w:t>
      </w:r>
      <w:r w:rsidR="00344312">
        <w:t xml:space="preserve">flu </w:t>
      </w:r>
      <w:r w:rsidR="00FD4376">
        <w:t xml:space="preserve">vaccination equity rates </w:t>
      </w:r>
      <w:r w:rsidR="00344312">
        <w:t>overall over</w:t>
      </w:r>
      <w:r w:rsidR="00FD4376">
        <w:t xml:space="preserve"> cost recover</w:t>
      </w:r>
      <w:r w:rsidR="00344312">
        <w:t xml:space="preserve">y. </w:t>
      </w:r>
      <w:r w:rsidR="008770FC">
        <w:t xml:space="preserve">Adaptive and agile leadership within Māori providers meant they were responsive and took a holistic approach, offering a range of health and support services as well as the flu immunisation. </w:t>
      </w:r>
    </w:p>
    <w:p w14:paraId="0F5E8896" w14:textId="1F6B36AB" w:rsidR="00A47102" w:rsidRDefault="002C6EAA" w:rsidP="00A47102">
      <w:pPr>
        <w:pStyle w:val="BodyText"/>
      </w:pPr>
      <w:r>
        <w:t xml:space="preserve">Third, </w:t>
      </w:r>
      <w:r w:rsidR="000414E3">
        <w:t xml:space="preserve">some </w:t>
      </w:r>
      <w:r w:rsidR="000414E3" w:rsidRPr="00FD4376">
        <w:rPr>
          <w:b/>
          <w:bCs/>
        </w:rPr>
        <w:t xml:space="preserve">providers </w:t>
      </w:r>
      <w:r w:rsidR="00583E08" w:rsidRPr="00FD4376">
        <w:rPr>
          <w:b/>
          <w:bCs/>
        </w:rPr>
        <w:t xml:space="preserve">and DHBs </w:t>
      </w:r>
      <w:r w:rsidR="000414E3" w:rsidRPr="00FD4376">
        <w:rPr>
          <w:b/>
          <w:bCs/>
        </w:rPr>
        <w:t xml:space="preserve">focused on building </w:t>
      </w:r>
      <w:r w:rsidR="003C4CDF" w:rsidRPr="00FD4376">
        <w:rPr>
          <w:b/>
          <w:bCs/>
        </w:rPr>
        <w:t>Māori</w:t>
      </w:r>
      <w:r w:rsidR="00583E08" w:rsidRPr="00FD4376">
        <w:rPr>
          <w:b/>
          <w:bCs/>
        </w:rPr>
        <w:t xml:space="preserve"> </w:t>
      </w:r>
      <w:r w:rsidR="000414E3" w:rsidRPr="00FD4376">
        <w:rPr>
          <w:b/>
          <w:bCs/>
        </w:rPr>
        <w:t xml:space="preserve">workforce </w:t>
      </w:r>
      <w:r w:rsidR="007B6419" w:rsidRPr="00FD4376">
        <w:rPr>
          <w:b/>
          <w:bCs/>
        </w:rPr>
        <w:t>capability and capacity</w:t>
      </w:r>
      <w:r w:rsidR="000414E3">
        <w:t xml:space="preserve">. </w:t>
      </w:r>
      <w:r w:rsidR="008308E1">
        <w:t xml:space="preserve">Some providers had a limited pool of Māori nurses and staff who could vaccinate. </w:t>
      </w:r>
      <w:r w:rsidR="00A47102">
        <w:t>Māori health providers have historically been underfunded, given the strategic importance of their work to support and increase health outcomes for Māori in their communities. Constrained funding means provider leadership often faces tough decisions: whether, for example, to hire more staff, deliver staff training, offer higher wages (often to match DHB or non-Māori, non-Pacific organisations), or reimburse petrol costs for home visits in rural areas. Providers often prioritise initiatives for whānau over activities that would improve their</w:t>
      </w:r>
      <w:r w:rsidR="008308E1">
        <w:t xml:space="preserve"> own</w:t>
      </w:r>
      <w:r w:rsidR="00A47102">
        <w:t xml:space="preserve"> longer-term </w:t>
      </w:r>
      <w:r w:rsidR="008308E1">
        <w:t xml:space="preserve">organisational </w:t>
      </w:r>
      <w:r w:rsidR="00A47102">
        <w:t>sustainability, such as workforce development.</w:t>
      </w:r>
      <w:r w:rsidR="008308E1">
        <w:t xml:space="preserve"> </w:t>
      </w:r>
    </w:p>
    <w:p w14:paraId="38AAA075" w14:textId="50635CA5" w:rsidR="00A47102" w:rsidRDefault="00A47102" w:rsidP="00A47102">
      <w:pPr>
        <w:pStyle w:val="BodyText"/>
      </w:pPr>
      <w:r>
        <w:t xml:space="preserve">The limited pools of suitable staff </w:t>
      </w:r>
      <w:r w:rsidR="00883DCE">
        <w:t>became more of a factor</w:t>
      </w:r>
      <w:r>
        <w:t xml:space="preserve"> when delivering mobile outreach services. </w:t>
      </w:r>
      <w:r w:rsidR="008770FC">
        <w:t xml:space="preserve">The programme </w:t>
      </w:r>
      <w:r>
        <w:t>helped augment the workforce of vaccinators</w:t>
      </w:r>
      <w:r w:rsidR="008770FC">
        <w:t xml:space="preserve"> who can work with Māori communities</w:t>
      </w:r>
      <w:r>
        <w:t xml:space="preserve">, and the free online vaccination training for flu and other </w:t>
      </w:r>
      <w:r w:rsidR="008308E1">
        <w:t xml:space="preserve">selected </w:t>
      </w:r>
      <w:r>
        <w:t>immunisations was useful</w:t>
      </w:r>
      <w:r w:rsidR="008308E1">
        <w:t xml:space="preserve"> i</w:t>
      </w:r>
      <w:r w:rsidR="001F5EFE">
        <w:t xml:space="preserve">n some regions. </w:t>
      </w:r>
      <w:r w:rsidR="001F5EFE" w:rsidRPr="001F5EFE">
        <w:t xml:space="preserve">In some </w:t>
      </w:r>
      <w:r w:rsidR="000F2275" w:rsidRPr="001F5EFE">
        <w:t>instances,</w:t>
      </w:r>
      <w:r w:rsidR="001F5EFE" w:rsidRPr="001F5EFE">
        <w:t xml:space="preserve"> the DHB acted as a coordinator of activities and vaccines</w:t>
      </w:r>
      <w:r w:rsidR="001F5EFE">
        <w:t xml:space="preserve"> and this was also valued</w:t>
      </w:r>
      <w:r w:rsidR="001F5EFE" w:rsidRPr="001F5EFE">
        <w:t>.</w:t>
      </w:r>
    </w:p>
    <w:p w14:paraId="0498C811" w14:textId="13ACE6D8" w:rsidR="001F5EFE" w:rsidRDefault="001F5EFE" w:rsidP="001F5EFE">
      <w:pPr>
        <w:pStyle w:val="BodyText"/>
      </w:pPr>
      <w:r>
        <w:t xml:space="preserve">Continuing to build the capacity and capability of the Māori health workforce to </w:t>
      </w:r>
      <w:r w:rsidR="008308E1">
        <w:t xml:space="preserve">provide </w:t>
      </w:r>
      <w:r>
        <w:t>vaccinat</w:t>
      </w:r>
      <w:r w:rsidR="008308E1">
        <w:t>ions</w:t>
      </w:r>
      <w:r>
        <w:t xml:space="preserve"> will need ongoing resourcing and support. </w:t>
      </w:r>
      <w:r w:rsidR="00A47102">
        <w:t xml:space="preserve">Almost half of providers and DHBs signalled that to deliver similar </w:t>
      </w:r>
      <w:r w:rsidR="008770FC">
        <w:t xml:space="preserve">programme </w:t>
      </w:r>
      <w:r w:rsidR="00A47102">
        <w:t>activit</w:t>
      </w:r>
      <w:r w:rsidR="008770FC">
        <w:t xml:space="preserve">ies </w:t>
      </w:r>
      <w:r w:rsidR="00A47102">
        <w:t xml:space="preserve">in 2021, they will need </w:t>
      </w:r>
      <w:r w:rsidR="008308E1">
        <w:t xml:space="preserve">to offer staff </w:t>
      </w:r>
      <w:r w:rsidR="00A47102">
        <w:t xml:space="preserve">vaccination training </w:t>
      </w:r>
      <w:proofErr w:type="gramStart"/>
      <w:r w:rsidR="00A47102">
        <w:t xml:space="preserve">and </w:t>
      </w:r>
      <w:r w:rsidR="008308E1">
        <w:t>also</w:t>
      </w:r>
      <w:proofErr w:type="gramEnd"/>
      <w:r w:rsidR="008308E1">
        <w:t xml:space="preserve"> </w:t>
      </w:r>
      <w:r w:rsidR="00A47102">
        <w:t xml:space="preserve">training on vaccine storage and management. </w:t>
      </w:r>
    </w:p>
    <w:p w14:paraId="622A1FA5" w14:textId="00E8A5DB" w:rsidR="001F5EFE" w:rsidRDefault="00922BC3" w:rsidP="00922BC3">
      <w:pPr>
        <w:pStyle w:val="Heading2"/>
      </w:pPr>
      <w:bookmarkStart w:id="5" w:name="_Toc70763249"/>
      <w:r w:rsidRPr="001F5EFE">
        <w:t>Learning</w:t>
      </w:r>
      <w:r w:rsidR="00883DCE">
        <w:t>,</w:t>
      </w:r>
      <w:r w:rsidRPr="001F5EFE">
        <w:t xml:space="preserve"> to inform implementation in </w:t>
      </w:r>
      <w:proofErr w:type="gramStart"/>
      <w:r w:rsidRPr="001F5EFE">
        <w:t>2021</w:t>
      </w:r>
      <w:bookmarkEnd w:id="5"/>
      <w:proofErr w:type="gramEnd"/>
    </w:p>
    <w:p w14:paraId="62223F26" w14:textId="189FFD03" w:rsidR="00E63C87" w:rsidRDefault="00E63C87" w:rsidP="00922BC3">
      <w:pPr>
        <w:pStyle w:val="BodyText"/>
      </w:pPr>
      <w:r>
        <w:t>P</w:t>
      </w:r>
      <w:r w:rsidRPr="00E63C87">
        <w:t xml:space="preserve">roviders and DHBs see a need for additional funding to operationalise </w:t>
      </w:r>
      <w:r w:rsidR="00883DCE">
        <w:t>delivery of</w:t>
      </w:r>
      <w:r w:rsidR="00883DCE" w:rsidRPr="00E63C87">
        <w:t xml:space="preserve"> </w:t>
      </w:r>
      <w:r w:rsidRPr="00E63C87">
        <w:t xml:space="preserve">the outreach and other initiatives funded through the </w:t>
      </w:r>
      <w:r w:rsidR="00EC6371">
        <w:t xml:space="preserve">MIVP </w:t>
      </w:r>
      <w:r w:rsidRPr="00E63C87">
        <w:t>in 2020. In particular</w:t>
      </w:r>
      <w:r w:rsidR="00883DCE">
        <w:t xml:space="preserve">, the funding would enable them to recruit </w:t>
      </w:r>
      <w:r>
        <w:t xml:space="preserve">more </w:t>
      </w:r>
      <w:r w:rsidRPr="00E63C87">
        <w:t>staff to run the programme, extend</w:t>
      </w:r>
      <w:r w:rsidR="00883DCE">
        <w:t xml:space="preserve"> the</w:t>
      </w:r>
      <w:r w:rsidRPr="00E63C87">
        <w:t xml:space="preserve"> </w:t>
      </w:r>
      <w:proofErr w:type="gramStart"/>
      <w:r w:rsidRPr="00E63C87">
        <w:t>hours of service</w:t>
      </w:r>
      <w:proofErr w:type="gramEnd"/>
      <w:r w:rsidRPr="00E63C87">
        <w:t xml:space="preserve"> delivery, acquir</w:t>
      </w:r>
      <w:r w:rsidR="00883DCE">
        <w:t>e</w:t>
      </w:r>
      <w:r w:rsidRPr="00E63C87">
        <w:t xml:space="preserve"> vaccine and </w:t>
      </w:r>
      <w:r w:rsidR="00883DCE">
        <w:t xml:space="preserve">organise </w:t>
      </w:r>
      <w:r w:rsidRPr="00E63C87">
        <w:t>transport</w:t>
      </w:r>
      <w:r w:rsidR="00883DCE">
        <w:t>ation</w:t>
      </w:r>
      <w:r w:rsidRPr="00E63C87">
        <w:t xml:space="preserve"> to reach whānau.</w:t>
      </w:r>
    </w:p>
    <w:p w14:paraId="187117CC" w14:textId="1886C444" w:rsidR="00922BC3" w:rsidRPr="00D258A0" w:rsidRDefault="00D258A0" w:rsidP="00922BC3">
      <w:pPr>
        <w:pStyle w:val="BodyText"/>
      </w:pPr>
      <w:r>
        <w:t>If the Ministry decide</w:t>
      </w:r>
      <w:r w:rsidR="00883DCE">
        <w:t>s</w:t>
      </w:r>
      <w:r>
        <w:t xml:space="preserve"> to fund </w:t>
      </w:r>
      <w:r w:rsidR="008770FC">
        <w:t xml:space="preserve">the </w:t>
      </w:r>
      <w:r w:rsidR="00EC6371">
        <w:t xml:space="preserve">MIVP </w:t>
      </w:r>
      <w:r>
        <w:t>in 2021, l</w:t>
      </w:r>
      <w:r w:rsidR="00922BC3" w:rsidRPr="00D258A0">
        <w:t>earning to inform implementation include</w:t>
      </w:r>
      <w:r w:rsidR="0024276D" w:rsidRPr="00D258A0">
        <w:t>s</w:t>
      </w:r>
      <w:r w:rsidR="00922BC3" w:rsidRPr="00D258A0">
        <w:t>:</w:t>
      </w:r>
    </w:p>
    <w:p w14:paraId="41DEBE20" w14:textId="43371E5A" w:rsidR="00922BC3" w:rsidRPr="00D258A0" w:rsidRDefault="00922BC3" w:rsidP="00922BC3">
      <w:pPr>
        <w:pStyle w:val="Bullet"/>
        <w:spacing w:before="0" w:after="0"/>
      </w:pPr>
      <w:r w:rsidRPr="00D258A0">
        <w:rPr>
          <w:b/>
          <w:bCs/>
        </w:rPr>
        <w:lastRenderedPageBreak/>
        <w:t xml:space="preserve">Offer the </w:t>
      </w:r>
      <w:r w:rsidR="00883DCE">
        <w:rPr>
          <w:b/>
          <w:bCs/>
        </w:rPr>
        <w:t>P</w:t>
      </w:r>
      <w:r w:rsidRPr="00D258A0">
        <w:rPr>
          <w:b/>
          <w:bCs/>
        </w:rPr>
        <w:t>rogramme earlier in the year</w:t>
      </w:r>
      <w:r w:rsidRPr="00D258A0">
        <w:t xml:space="preserve">, so DHBs and providers have more time to </w:t>
      </w:r>
      <w:proofErr w:type="gramStart"/>
      <w:r w:rsidRPr="00D258A0">
        <w:t>plan</w:t>
      </w:r>
      <w:proofErr w:type="gramEnd"/>
      <w:r w:rsidRPr="00D258A0">
        <w:t xml:space="preserve"> </w:t>
      </w:r>
    </w:p>
    <w:p w14:paraId="1930A1BA" w14:textId="77777777" w:rsidR="00922BC3" w:rsidRPr="00D258A0" w:rsidRDefault="00922BC3" w:rsidP="00922BC3">
      <w:pPr>
        <w:pStyle w:val="Bullet"/>
        <w:spacing w:before="0" w:after="0"/>
        <w:rPr>
          <w:b/>
          <w:bCs/>
        </w:rPr>
      </w:pPr>
      <w:r w:rsidRPr="00D258A0">
        <w:rPr>
          <w:b/>
          <w:bCs/>
        </w:rPr>
        <w:t xml:space="preserve">Get funding out </w:t>
      </w:r>
      <w:proofErr w:type="gramStart"/>
      <w:r w:rsidRPr="00D258A0">
        <w:rPr>
          <w:b/>
          <w:bCs/>
        </w:rPr>
        <w:t>earlier</w:t>
      </w:r>
      <w:proofErr w:type="gramEnd"/>
    </w:p>
    <w:p w14:paraId="79B916B6" w14:textId="37AF10C0" w:rsidR="00922BC3" w:rsidRPr="00D258A0" w:rsidRDefault="00922BC3" w:rsidP="00922BC3">
      <w:pPr>
        <w:pStyle w:val="Bullet"/>
        <w:spacing w:before="0" w:after="0"/>
      </w:pPr>
      <w:r w:rsidRPr="00D258A0">
        <w:rPr>
          <w:b/>
          <w:bCs/>
        </w:rPr>
        <w:t>Continu</w:t>
      </w:r>
      <w:r w:rsidR="00883DCE">
        <w:rPr>
          <w:b/>
          <w:bCs/>
        </w:rPr>
        <w:t>e</w:t>
      </w:r>
      <w:r w:rsidRPr="00D258A0">
        <w:rPr>
          <w:b/>
          <w:bCs/>
        </w:rPr>
        <w:t xml:space="preserve"> the dual funding options </w:t>
      </w:r>
      <w:r w:rsidRPr="00D258A0">
        <w:t xml:space="preserve">to get funding to the </w:t>
      </w:r>
      <w:proofErr w:type="gramStart"/>
      <w:r w:rsidRPr="00D258A0">
        <w:t>sector</w:t>
      </w:r>
      <w:proofErr w:type="gramEnd"/>
    </w:p>
    <w:p w14:paraId="4CA94285" w14:textId="40712650" w:rsidR="00922BC3" w:rsidRPr="00D258A0" w:rsidRDefault="00D258A0" w:rsidP="00922BC3">
      <w:pPr>
        <w:pStyle w:val="Bullet"/>
        <w:spacing w:before="0" w:after="0"/>
      </w:pPr>
      <w:r w:rsidRPr="008770FC">
        <w:rPr>
          <w:b/>
          <w:bCs/>
        </w:rPr>
        <w:t>A</w:t>
      </w:r>
      <w:r w:rsidR="00922BC3" w:rsidRPr="008770FC">
        <w:rPr>
          <w:b/>
          <w:bCs/>
        </w:rPr>
        <w:t>ttach performance criteria to DHB contracts</w:t>
      </w:r>
      <w:r w:rsidR="00922BC3" w:rsidRPr="00D258A0">
        <w:t xml:space="preserve">, so funding is more rapidly </w:t>
      </w:r>
      <w:proofErr w:type="gramStart"/>
      <w:r w:rsidR="00922BC3" w:rsidRPr="00D258A0">
        <w:t>distributed</w:t>
      </w:r>
      <w:proofErr w:type="gramEnd"/>
      <w:r w:rsidR="00922BC3" w:rsidRPr="00D258A0">
        <w:t xml:space="preserve"> and providers do not miss opportunities to vaccinate whānau </w:t>
      </w:r>
    </w:p>
    <w:p w14:paraId="1469D2A5" w14:textId="200EB5E2" w:rsidR="00922BC3" w:rsidRPr="00D258A0" w:rsidRDefault="00922BC3" w:rsidP="00922BC3">
      <w:pPr>
        <w:pStyle w:val="Bullet"/>
        <w:spacing w:before="0" w:after="0"/>
        <w:rPr>
          <w:b/>
          <w:bCs/>
        </w:rPr>
      </w:pPr>
      <w:r w:rsidRPr="00D258A0">
        <w:rPr>
          <w:b/>
          <w:bCs/>
        </w:rPr>
        <w:t>Provid</w:t>
      </w:r>
      <w:r w:rsidR="00883DCE">
        <w:rPr>
          <w:b/>
          <w:bCs/>
        </w:rPr>
        <w:t>e</w:t>
      </w:r>
      <w:r w:rsidRPr="00D258A0">
        <w:rPr>
          <w:b/>
          <w:bCs/>
        </w:rPr>
        <w:t xml:space="preserve"> more targeted support to regions where </w:t>
      </w:r>
      <w:r w:rsidR="00D258A0">
        <w:rPr>
          <w:b/>
          <w:bCs/>
        </w:rPr>
        <w:t xml:space="preserve">vaccination rates </w:t>
      </w:r>
      <w:r w:rsidRPr="00D258A0">
        <w:rPr>
          <w:b/>
          <w:bCs/>
        </w:rPr>
        <w:t xml:space="preserve">have been static or slow to </w:t>
      </w:r>
      <w:proofErr w:type="gramStart"/>
      <w:r w:rsidRPr="00D258A0">
        <w:rPr>
          <w:b/>
          <w:bCs/>
        </w:rPr>
        <w:t>increase</w:t>
      </w:r>
      <w:proofErr w:type="gramEnd"/>
      <w:r w:rsidRPr="00D258A0">
        <w:rPr>
          <w:b/>
          <w:bCs/>
        </w:rPr>
        <w:t xml:space="preserve"> </w:t>
      </w:r>
    </w:p>
    <w:p w14:paraId="0445AD55" w14:textId="09B40D8E" w:rsidR="00127CF1" w:rsidRPr="00D258A0" w:rsidRDefault="00922BC3" w:rsidP="00922BC3">
      <w:pPr>
        <w:pStyle w:val="Bullet"/>
        <w:spacing w:before="0" w:after="0"/>
      </w:pPr>
      <w:r w:rsidRPr="00D258A0">
        <w:rPr>
          <w:b/>
          <w:bCs/>
        </w:rPr>
        <w:t>Revisit</w:t>
      </w:r>
      <w:r w:rsidR="0024276D" w:rsidRPr="00D258A0">
        <w:rPr>
          <w:b/>
          <w:bCs/>
        </w:rPr>
        <w:t xml:space="preserve"> </w:t>
      </w:r>
      <w:r w:rsidRPr="00D258A0">
        <w:rPr>
          <w:b/>
          <w:bCs/>
        </w:rPr>
        <w:t>the funding allocation model</w:t>
      </w:r>
      <w:r w:rsidRPr="00D258A0">
        <w:t xml:space="preserve"> to </w:t>
      </w:r>
      <w:r w:rsidR="00883DCE">
        <w:t>incorporate</w:t>
      </w:r>
      <w:r w:rsidRPr="00D258A0">
        <w:t xml:space="preserve"> a more nuanced </w:t>
      </w:r>
      <w:r w:rsidR="00883DCE">
        <w:t>understanding</w:t>
      </w:r>
      <w:r w:rsidR="00883DCE" w:rsidRPr="00D258A0">
        <w:t xml:space="preserve"> </w:t>
      </w:r>
      <w:r w:rsidRPr="00D258A0">
        <w:t xml:space="preserve">of the complexity of </w:t>
      </w:r>
      <w:r w:rsidR="00883DCE">
        <w:t xml:space="preserve">the </w:t>
      </w:r>
      <w:r w:rsidRPr="00D258A0">
        <w:t xml:space="preserve">regional Māori population, </w:t>
      </w:r>
      <w:proofErr w:type="gramStart"/>
      <w:r w:rsidRPr="00D258A0">
        <w:t>equity</w:t>
      </w:r>
      <w:proofErr w:type="gramEnd"/>
      <w:r w:rsidRPr="00D258A0">
        <w:t xml:space="preserve"> and equity trends, </w:t>
      </w:r>
      <w:r w:rsidR="00883DCE">
        <w:t xml:space="preserve">and </w:t>
      </w:r>
      <w:r w:rsidRPr="00D258A0">
        <w:t xml:space="preserve">demonstrated provider and DHB performance or lack thereof. </w:t>
      </w:r>
    </w:p>
    <w:p w14:paraId="3EBA0CD7" w14:textId="0870A231" w:rsidR="001F5EFE" w:rsidRDefault="001F5EFE" w:rsidP="00922BC3">
      <w:pPr>
        <w:pStyle w:val="Heading3"/>
      </w:pPr>
      <w:r>
        <w:t xml:space="preserve">Key learnings for the Ministry </w:t>
      </w:r>
    </w:p>
    <w:p w14:paraId="640AF9E1" w14:textId="4C4DCDCB" w:rsidR="0024276D" w:rsidRPr="0024276D" w:rsidRDefault="00883DCE" w:rsidP="0024276D">
      <w:pPr>
        <w:pStyle w:val="BodyText"/>
      </w:pPr>
      <w:r>
        <w:t xml:space="preserve">Following </w:t>
      </w:r>
      <w:r w:rsidR="0024276D">
        <w:t>are the key learnings for the Ministry and some suggested action points.</w:t>
      </w:r>
    </w:p>
    <w:tbl>
      <w:tblPr>
        <w:tblStyle w:val="TableGrid"/>
        <w:tblW w:w="0" w:type="auto"/>
        <w:tblInd w:w="-5" w:type="dxa"/>
        <w:tblLook w:val="04A0" w:firstRow="1" w:lastRow="0" w:firstColumn="1" w:lastColumn="0" w:noHBand="0" w:noVBand="1"/>
      </w:tblPr>
      <w:tblGrid>
        <w:gridCol w:w="4176"/>
        <w:gridCol w:w="4176"/>
      </w:tblGrid>
      <w:tr w:rsidR="001F5EFE" w14:paraId="14359947" w14:textId="77777777" w:rsidTr="001F5EFE">
        <w:tc>
          <w:tcPr>
            <w:tcW w:w="4176" w:type="dxa"/>
          </w:tcPr>
          <w:p w14:paraId="2243C9D7" w14:textId="13FEE6B5" w:rsidR="001F5EFE" w:rsidRPr="001F5EFE" w:rsidRDefault="001F5EFE" w:rsidP="005323CD">
            <w:pPr>
              <w:pStyle w:val="Bullet"/>
              <w:numPr>
                <w:ilvl w:val="0"/>
                <w:numId w:val="0"/>
              </w:numPr>
              <w:spacing w:before="0" w:after="0"/>
              <w:rPr>
                <w:b/>
                <w:bCs/>
              </w:rPr>
            </w:pPr>
            <w:r w:rsidRPr="001F5EFE">
              <w:rPr>
                <w:b/>
                <w:bCs/>
              </w:rPr>
              <w:t>What we found</w:t>
            </w:r>
          </w:p>
        </w:tc>
        <w:tc>
          <w:tcPr>
            <w:tcW w:w="4176" w:type="dxa"/>
          </w:tcPr>
          <w:p w14:paraId="1DA313A6" w14:textId="77777777" w:rsidR="001F5EFE" w:rsidRPr="001F5EFE" w:rsidRDefault="001F5EFE" w:rsidP="005323CD">
            <w:pPr>
              <w:pStyle w:val="Bullet"/>
              <w:numPr>
                <w:ilvl w:val="0"/>
                <w:numId w:val="0"/>
              </w:numPr>
              <w:spacing w:before="0" w:after="0"/>
              <w:rPr>
                <w:b/>
                <w:bCs/>
              </w:rPr>
            </w:pPr>
            <w:r w:rsidRPr="001F5EFE">
              <w:rPr>
                <w:b/>
                <w:bCs/>
              </w:rPr>
              <w:t>Action points</w:t>
            </w:r>
          </w:p>
        </w:tc>
      </w:tr>
      <w:tr w:rsidR="001F5EFE" w:rsidRPr="001F5EFE" w14:paraId="1A7ECFD4" w14:textId="77777777" w:rsidTr="001F5EFE">
        <w:trPr>
          <w:trHeight w:val="1200"/>
        </w:trPr>
        <w:tc>
          <w:tcPr>
            <w:tcW w:w="4176" w:type="dxa"/>
            <w:hideMark/>
          </w:tcPr>
          <w:p w14:paraId="1461364E" w14:textId="20048E3E" w:rsidR="00E63C87" w:rsidRDefault="001F5EFE" w:rsidP="008770FC">
            <w:pPr>
              <w:pStyle w:val="Bullet"/>
              <w:rPr>
                <w:lang w:eastAsia="en-NZ"/>
              </w:rPr>
            </w:pPr>
            <w:r w:rsidRPr="001F5EFE">
              <w:rPr>
                <w:lang w:eastAsia="en-NZ"/>
              </w:rPr>
              <w:t xml:space="preserve">The </w:t>
            </w:r>
            <w:r w:rsidR="008770FC">
              <w:rPr>
                <w:lang w:eastAsia="en-NZ"/>
              </w:rPr>
              <w:t>programme</w:t>
            </w:r>
            <w:r w:rsidR="008770FC" w:rsidRPr="001F5EFE">
              <w:rPr>
                <w:lang w:eastAsia="en-NZ"/>
              </w:rPr>
              <w:t xml:space="preserve"> </w:t>
            </w:r>
            <w:r w:rsidRPr="001F5EFE">
              <w:rPr>
                <w:lang w:eastAsia="en-NZ"/>
              </w:rPr>
              <w:t xml:space="preserve">timing </w:t>
            </w:r>
            <w:r w:rsidR="00883DCE">
              <w:rPr>
                <w:lang w:eastAsia="en-NZ"/>
              </w:rPr>
              <w:t xml:space="preserve">in 2020 </w:t>
            </w:r>
            <w:r w:rsidRPr="001F5EFE">
              <w:rPr>
                <w:lang w:eastAsia="en-NZ"/>
              </w:rPr>
              <w:t xml:space="preserve">was sub optimal. </w:t>
            </w:r>
            <w:r w:rsidR="00D258A0">
              <w:rPr>
                <w:lang w:eastAsia="en-NZ"/>
              </w:rPr>
              <w:t>Planning by s</w:t>
            </w:r>
            <w:r w:rsidRPr="001F5EFE">
              <w:rPr>
                <w:lang w:eastAsia="en-NZ"/>
              </w:rPr>
              <w:t xml:space="preserve">ome DHBs and providers </w:t>
            </w:r>
            <w:r w:rsidR="00D258A0">
              <w:rPr>
                <w:lang w:eastAsia="en-NZ"/>
              </w:rPr>
              <w:t xml:space="preserve">was undertaken </w:t>
            </w:r>
            <w:r w:rsidRPr="001F5EFE">
              <w:rPr>
                <w:lang w:eastAsia="en-NZ"/>
              </w:rPr>
              <w:t xml:space="preserve">in November and December 2019. </w:t>
            </w:r>
          </w:p>
          <w:p w14:paraId="17A611DB" w14:textId="03593BEC" w:rsidR="0024276D" w:rsidRPr="001F5EFE" w:rsidRDefault="00E63C87" w:rsidP="008770FC">
            <w:pPr>
              <w:pStyle w:val="Bullet"/>
              <w:rPr>
                <w:lang w:eastAsia="en-NZ"/>
              </w:rPr>
            </w:pPr>
            <w:r>
              <w:t xml:space="preserve">Awareness of eligibility for </w:t>
            </w:r>
            <w:r w:rsidR="00442446">
              <w:t xml:space="preserve">programme </w:t>
            </w:r>
            <w:r>
              <w:t xml:space="preserve">funding was mixed. Communication to providers was primarily the responsibility of DHBs, on behalf of the Ministry. </w:t>
            </w:r>
          </w:p>
        </w:tc>
        <w:tc>
          <w:tcPr>
            <w:tcW w:w="4176" w:type="dxa"/>
            <w:hideMark/>
          </w:tcPr>
          <w:p w14:paraId="061464BA" w14:textId="105F7F55" w:rsidR="001F5EFE" w:rsidRDefault="001F5EFE" w:rsidP="002429C8">
            <w:pPr>
              <w:pStyle w:val="Bullet"/>
              <w:ind w:left="357" w:hanging="357"/>
              <w:contextualSpacing w:val="0"/>
              <w:rPr>
                <w:lang w:eastAsia="en-NZ"/>
              </w:rPr>
            </w:pPr>
            <w:r w:rsidRPr="001F5EFE">
              <w:rPr>
                <w:lang w:eastAsia="en-NZ"/>
              </w:rPr>
              <w:t>Providers and DHBs benefit from having as much notice as possible</w:t>
            </w:r>
            <w:r w:rsidR="00883DCE">
              <w:rPr>
                <w:lang w:eastAsia="en-NZ"/>
              </w:rPr>
              <w:t>,</w:t>
            </w:r>
            <w:r w:rsidRPr="001F5EFE">
              <w:rPr>
                <w:lang w:eastAsia="en-NZ"/>
              </w:rPr>
              <w:t xml:space="preserve"> assuming the Ministry elects to roll out </w:t>
            </w:r>
            <w:r w:rsidR="008770FC">
              <w:rPr>
                <w:lang w:eastAsia="en-NZ"/>
              </w:rPr>
              <w:t>the programme</w:t>
            </w:r>
            <w:r w:rsidR="008770FC" w:rsidRPr="001F5EFE">
              <w:rPr>
                <w:lang w:eastAsia="en-NZ"/>
              </w:rPr>
              <w:t xml:space="preserve"> </w:t>
            </w:r>
            <w:r w:rsidRPr="001F5EFE">
              <w:rPr>
                <w:lang w:eastAsia="en-NZ"/>
              </w:rPr>
              <w:t xml:space="preserve">in 2021. </w:t>
            </w:r>
          </w:p>
          <w:p w14:paraId="5C0ED792" w14:textId="77777777" w:rsidR="001F5EFE" w:rsidRDefault="001F5EFE" w:rsidP="002429C8">
            <w:pPr>
              <w:pStyle w:val="Bullet"/>
              <w:ind w:left="357" w:hanging="357"/>
              <w:contextualSpacing w:val="0"/>
              <w:rPr>
                <w:lang w:eastAsia="en-NZ"/>
              </w:rPr>
            </w:pPr>
            <w:r w:rsidRPr="001F5EFE">
              <w:rPr>
                <w:lang w:eastAsia="en-NZ"/>
              </w:rPr>
              <w:t xml:space="preserve">Allow more time for more planning, collaboration, sharing of ideas, staff training and engaging with leaders, </w:t>
            </w:r>
            <w:proofErr w:type="gramStart"/>
            <w:r w:rsidRPr="001F5EFE">
              <w:rPr>
                <w:lang w:eastAsia="en-NZ"/>
              </w:rPr>
              <w:t>networks</w:t>
            </w:r>
            <w:proofErr w:type="gramEnd"/>
            <w:r w:rsidRPr="001F5EFE">
              <w:rPr>
                <w:lang w:eastAsia="en-NZ"/>
              </w:rPr>
              <w:t xml:space="preserve"> and communities. Start the process as soon as possible</w:t>
            </w:r>
            <w:r w:rsidR="00E63C87">
              <w:rPr>
                <w:lang w:eastAsia="en-NZ"/>
              </w:rPr>
              <w:t>.</w:t>
            </w:r>
          </w:p>
          <w:p w14:paraId="5907C78A" w14:textId="4590DDD0" w:rsidR="00E63C87" w:rsidRPr="001F5EFE" w:rsidRDefault="00E63C87" w:rsidP="002429C8">
            <w:pPr>
              <w:pStyle w:val="Bullet"/>
              <w:ind w:left="357" w:hanging="357"/>
              <w:contextualSpacing w:val="0"/>
              <w:rPr>
                <w:lang w:eastAsia="en-NZ"/>
              </w:rPr>
            </w:pPr>
            <w:r>
              <w:rPr>
                <w:lang w:eastAsia="en-NZ"/>
              </w:rPr>
              <w:t>Make sure communication is widespread to ensure all those who could support the initiative know of it and have time to apply.</w:t>
            </w:r>
          </w:p>
        </w:tc>
      </w:tr>
      <w:tr w:rsidR="001F5EFE" w:rsidRPr="001F5EFE" w14:paraId="742FB9F2" w14:textId="77777777" w:rsidTr="001F5EFE">
        <w:trPr>
          <w:trHeight w:val="1800"/>
        </w:trPr>
        <w:tc>
          <w:tcPr>
            <w:tcW w:w="4176" w:type="dxa"/>
            <w:hideMark/>
          </w:tcPr>
          <w:p w14:paraId="4F0D6361" w14:textId="77777777" w:rsidR="00127CF1" w:rsidRDefault="00127CF1" w:rsidP="002429C8">
            <w:pPr>
              <w:pStyle w:val="Bullet"/>
              <w:ind w:left="357" w:hanging="357"/>
              <w:contextualSpacing w:val="0"/>
              <w:rPr>
                <w:lang w:eastAsia="en-NZ"/>
              </w:rPr>
            </w:pPr>
            <w:r w:rsidRPr="001F5EFE">
              <w:rPr>
                <w:lang w:eastAsia="en-NZ"/>
              </w:rPr>
              <w:t xml:space="preserve">Direct funding of providers by the Ministry was timely. </w:t>
            </w:r>
          </w:p>
          <w:p w14:paraId="58BE2F96" w14:textId="63217337" w:rsidR="001F5EFE" w:rsidRDefault="001F5EFE" w:rsidP="002429C8">
            <w:pPr>
              <w:pStyle w:val="Bullet"/>
              <w:ind w:left="357" w:hanging="357"/>
              <w:contextualSpacing w:val="0"/>
              <w:rPr>
                <w:lang w:eastAsia="en-NZ"/>
              </w:rPr>
            </w:pPr>
            <w:r w:rsidRPr="001F5EFE">
              <w:rPr>
                <w:lang w:eastAsia="en-NZ"/>
              </w:rPr>
              <w:t xml:space="preserve">Funding DHBs adds another layer of bureaucracy </w:t>
            </w:r>
            <w:r w:rsidR="00883DCE">
              <w:rPr>
                <w:lang w:eastAsia="en-NZ"/>
              </w:rPr>
              <w:t>which can slow down</w:t>
            </w:r>
            <w:r w:rsidR="00883DCE" w:rsidRPr="001F5EFE">
              <w:rPr>
                <w:lang w:eastAsia="en-NZ"/>
              </w:rPr>
              <w:t xml:space="preserve"> </w:t>
            </w:r>
            <w:r w:rsidRPr="001F5EFE">
              <w:rPr>
                <w:lang w:eastAsia="en-NZ"/>
              </w:rPr>
              <w:t>the deployment of funds and services.</w:t>
            </w:r>
            <w:r>
              <w:rPr>
                <w:lang w:eastAsia="en-NZ"/>
              </w:rPr>
              <w:t xml:space="preserve"> </w:t>
            </w:r>
          </w:p>
          <w:p w14:paraId="76126585" w14:textId="77777777" w:rsidR="001F5EFE" w:rsidRDefault="001F5EFE" w:rsidP="002429C8">
            <w:pPr>
              <w:pStyle w:val="Bullet"/>
              <w:ind w:left="357" w:hanging="357"/>
              <w:contextualSpacing w:val="0"/>
              <w:rPr>
                <w:lang w:eastAsia="en-NZ"/>
              </w:rPr>
            </w:pPr>
            <w:r w:rsidRPr="001F5EFE">
              <w:rPr>
                <w:lang w:eastAsia="en-NZ"/>
              </w:rPr>
              <w:t xml:space="preserve">Some DHBs were slow to get funding out to providers, </w:t>
            </w:r>
            <w:r w:rsidR="00883DCE">
              <w:rPr>
                <w:lang w:eastAsia="en-NZ"/>
              </w:rPr>
              <w:t xml:space="preserve">and </w:t>
            </w:r>
            <w:r w:rsidR="00D258A0">
              <w:rPr>
                <w:lang w:eastAsia="en-NZ"/>
              </w:rPr>
              <w:t xml:space="preserve">vaccination </w:t>
            </w:r>
            <w:r w:rsidRPr="001F5EFE">
              <w:rPr>
                <w:lang w:eastAsia="en-NZ"/>
              </w:rPr>
              <w:t xml:space="preserve">opportunities </w:t>
            </w:r>
            <w:r w:rsidR="002A5746">
              <w:rPr>
                <w:lang w:eastAsia="en-NZ"/>
              </w:rPr>
              <w:t>wer</w:t>
            </w:r>
            <w:r w:rsidR="00883DCE">
              <w:rPr>
                <w:lang w:eastAsia="en-NZ"/>
              </w:rPr>
              <w:t>e missed</w:t>
            </w:r>
            <w:r w:rsidRPr="001F5EFE">
              <w:rPr>
                <w:lang w:eastAsia="en-NZ"/>
              </w:rPr>
              <w:t xml:space="preserve">. </w:t>
            </w:r>
          </w:p>
          <w:p w14:paraId="0DF7B190" w14:textId="2903450E" w:rsidR="008770FC" w:rsidRPr="001F5EFE" w:rsidRDefault="008770FC" w:rsidP="002429C8">
            <w:pPr>
              <w:pStyle w:val="Bullet"/>
              <w:ind w:left="357" w:hanging="357"/>
              <w:contextualSpacing w:val="0"/>
              <w:rPr>
                <w:lang w:eastAsia="en-NZ"/>
              </w:rPr>
            </w:pPr>
            <w:r>
              <w:rPr>
                <w:lang w:eastAsia="en-NZ"/>
              </w:rPr>
              <w:t xml:space="preserve">There is an </w:t>
            </w:r>
            <w:r w:rsidRPr="001F5EFE">
              <w:rPr>
                <w:lang w:eastAsia="en-NZ"/>
              </w:rPr>
              <w:t>underlying aspiration for Māori providers to receive direct funding.</w:t>
            </w:r>
          </w:p>
        </w:tc>
        <w:tc>
          <w:tcPr>
            <w:tcW w:w="4176" w:type="dxa"/>
            <w:hideMark/>
          </w:tcPr>
          <w:p w14:paraId="03107319" w14:textId="68F30EF7" w:rsidR="001F5EFE" w:rsidRDefault="00127CF1" w:rsidP="002429C8">
            <w:pPr>
              <w:pStyle w:val="Bullet"/>
              <w:ind w:left="357" w:hanging="357"/>
              <w:contextualSpacing w:val="0"/>
              <w:rPr>
                <w:lang w:eastAsia="en-NZ"/>
              </w:rPr>
            </w:pPr>
            <w:r>
              <w:rPr>
                <w:lang w:eastAsia="en-NZ"/>
              </w:rPr>
              <w:t>Retain d</w:t>
            </w:r>
            <w:r w:rsidR="001F5EFE" w:rsidRPr="001F5EFE">
              <w:rPr>
                <w:lang w:eastAsia="en-NZ"/>
              </w:rPr>
              <w:t>ual funding</w:t>
            </w:r>
            <w:r>
              <w:rPr>
                <w:lang w:eastAsia="en-NZ"/>
              </w:rPr>
              <w:t xml:space="preserve"> as it</w:t>
            </w:r>
            <w:r w:rsidR="001F5EFE" w:rsidRPr="001F5EFE">
              <w:rPr>
                <w:lang w:eastAsia="en-NZ"/>
              </w:rPr>
              <w:t xml:space="preserve"> offers two </w:t>
            </w:r>
            <w:r w:rsidR="002A5746">
              <w:rPr>
                <w:lang w:eastAsia="en-NZ"/>
              </w:rPr>
              <w:t>possibl</w:t>
            </w:r>
            <w:r w:rsidR="001F5EFE" w:rsidRPr="001F5EFE">
              <w:rPr>
                <w:lang w:eastAsia="en-NZ"/>
              </w:rPr>
              <w:t xml:space="preserve">e channels to get funding out quickly into the community. </w:t>
            </w:r>
          </w:p>
          <w:p w14:paraId="3C37A4D9" w14:textId="3CA025C0" w:rsidR="001F5EFE" w:rsidRDefault="001F5EFE" w:rsidP="002429C8">
            <w:pPr>
              <w:pStyle w:val="Bullet"/>
              <w:ind w:left="357" w:hanging="357"/>
              <w:contextualSpacing w:val="0"/>
              <w:rPr>
                <w:lang w:eastAsia="en-NZ"/>
              </w:rPr>
            </w:pPr>
            <w:r w:rsidRPr="001F5EFE">
              <w:rPr>
                <w:lang w:eastAsia="en-NZ"/>
              </w:rPr>
              <w:t>Explore having service</w:t>
            </w:r>
            <w:r w:rsidR="002A5746">
              <w:rPr>
                <w:lang w:eastAsia="en-NZ"/>
              </w:rPr>
              <w:t>-</w:t>
            </w:r>
            <w:r w:rsidRPr="001F5EFE">
              <w:rPr>
                <w:lang w:eastAsia="en-NZ"/>
              </w:rPr>
              <w:t>level agreements with DHBs which commit them to agreed</w:t>
            </w:r>
            <w:r w:rsidR="00257CC8">
              <w:rPr>
                <w:lang w:eastAsia="en-NZ"/>
              </w:rPr>
              <w:t xml:space="preserve"> funding </w:t>
            </w:r>
            <w:r w:rsidRPr="001F5EFE">
              <w:rPr>
                <w:lang w:eastAsia="en-NZ"/>
              </w:rPr>
              <w:t>delivery timeframes</w:t>
            </w:r>
            <w:r w:rsidR="002A5746">
              <w:rPr>
                <w:lang w:eastAsia="en-NZ"/>
              </w:rPr>
              <w:t xml:space="preserve"> for the </w:t>
            </w:r>
            <w:r w:rsidR="00EC6371">
              <w:rPr>
                <w:lang w:eastAsia="en-NZ"/>
              </w:rPr>
              <w:t>p</w:t>
            </w:r>
            <w:r w:rsidR="002A5746">
              <w:rPr>
                <w:lang w:eastAsia="en-NZ"/>
              </w:rPr>
              <w:t>rogramme</w:t>
            </w:r>
            <w:r w:rsidRPr="001F5EFE">
              <w:rPr>
                <w:lang w:eastAsia="en-NZ"/>
              </w:rPr>
              <w:t xml:space="preserve">. </w:t>
            </w:r>
          </w:p>
          <w:p w14:paraId="7263A7F8" w14:textId="18656626" w:rsidR="001F5EFE" w:rsidRPr="001F5EFE" w:rsidRDefault="001F5EFE" w:rsidP="002429C8">
            <w:pPr>
              <w:pStyle w:val="Bullet"/>
              <w:ind w:left="357" w:hanging="357"/>
              <w:contextualSpacing w:val="0"/>
              <w:rPr>
                <w:lang w:eastAsia="en-NZ"/>
              </w:rPr>
            </w:pPr>
            <w:r w:rsidRPr="001F5EFE">
              <w:rPr>
                <w:lang w:eastAsia="en-NZ"/>
              </w:rPr>
              <w:t>Identify what further support the Ministry could offer to DHBs to achieve more timely contracting</w:t>
            </w:r>
            <w:r w:rsidR="00257CC8">
              <w:rPr>
                <w:lang w:eastAsia="en-NZ"/>
              </w:rPr>
              <w:t xml:space="preserve"> with providers</w:t>
            </w:r>
            <w:r w:rsidRPr="001F5EFE">
              <w:rPr>
                <w:lang w:eastAsia="en-NZ"/>
              </w:rPr>
              <w:t xml:space="preserve">. </w:t>
            </w:r>
          </w:p>
        </w:tc>
      </w:tr>
      <w:tr w:rsidR="001F5EFE" w:rsidRPr="001F5EFE" w14:paraId="00251FBB" w14:textId="77777777" w:rsidTr="008770FC">
        <w:trPr>
          <w:trHeight w:val="1408"/>
        </w:trPr>
        <w:tc>
          <w:tcPr>
            <w:tcW w:w="4176" w:type="dxa"/>
            <w:hideMark/>
          </w:tcPr>
          <w:p w14:paraId="1592C9FD" w14:textId="192665A7" w:rsidR="00127CF1" w:rsidRPr="00127CF1" w:rsidRDefault="00127CF1" w:rsidP="001F5EFE">
            <w:pPr>
              <w:pStyle w:val="Bullet"/>
              <w:rPr>
                <w:rFonts w:cs="Calibri"/>
                <w:color w:val="000000"/>
                <w:szCs w:val="20"/>
                <w:lang w:eastAsia="en-NZ"/>
              </w:rPr>
            </w:pPr>
            <w:r w:rsidRPr="001F5EFE">
              <w:rPr>
                <w:b/>
                <w:bCs/>
                <w:lang w:eastAsia="en-NZ"/>
              </w:rPr>
              <w:t>No one funding model is more strongly associated with positive outcomes than another</w:t>
            </w:r>
            <w:r w:rsidRPr="001F5EFE">
              <w:rPr>
                <w:lang w:eastAsia="en-NZ"/>
              </w:rPr>
              <w:t>. There is no one best way to fund for success</w:t>
            </w:r>
            <w:r w:rsidR="0024276D">
              <w:rPr>
                <w:lang w:eastAsia="en-NZ"/>
              </w:rPr>
              <w:t>.</w:t>
            </w:r>
            <w:r w:rsidRPr="001F5EFE">
              <w:rPr>
                <w:lang w:eastAsia="en-NZ"/>
              </w:rPr>
              <w:t xml:space="preserve"> </w:t>
            </w:r>
          </w:p>
          <w:p w14:paraId="68E43C00" w14:textId="130AD9E1" w:rsidR="001F5EFE" w:rsidRPr="00127CF1" w:rsidRDefault="001F5EFE" w:rsidP="00127CF1">
            <w:pPr>
              <w:pStyle w:val="Bullet"/>
              <w:rPr>
                <w:rFonts w:cs="Calibri"/>
                <w:color w:val="000000"/>
                <w:szCs w:val="20"/>
                <w:lang w:eastAsia="en-NZ"/>
              </w:rPr>
            </w:pPr>
            <w:r w:rsidRPr="001F5EFE">
              <w:rPr>
                <w:lang w:eastAsia="en-NZ"/>
              </w:rPr>
              <w:t xml:space="preserve">There is no clear relationship between the contracting approach and flu vaccination rate increases; whether funding providers directly, funding through DHBs, or a combination of </w:t>
            </w:r>
            <w:r w:rsidR="002A5746">
              <w:rPr>
                <w:lang w:eastAsia="en-NZ"/>
              </w:rPr>
              <w:t>the two</w:t>
            </w:r>
            <w:r w:rsidR="0024276D">
              <w:rPr>
                <w:lang w:eastAsia="en-NZ"/>
              </w:rPr>
              <w:t>.</w:t>
            </w:r>
            <w:r w:rsidRPr="001F5EFE">
              <w:rPr>
                <w:lang w:eastAsia="en-NZ"/>
              </w:rPr>
              <w:t xml:space="preserve"> </w:t>
            </w:r>
          </w:p>
          <w:p w14:paraId="65FD65A2" w14:textId="0419F2D0" w:rsidR="001F5EFE" w:rsidRPr="001F5EFE" w:rsidRDefault="001F5EFE" w:rsidP="001F5EFE">
            <w:pPr>
              <w:pStyle w:val="Bullet"/>
              <w:rPr>
                <w:rFonts w:cs="Calibri"/>
                <w:color w:val="000000"/>
                <w:szCs w:val="20"/>
                <w:lang w:eastAsia="en-NZ"/>
              </w:rPr>
            </w:pPr>
            <w:r w:rsidRPr="001F5EFE">
              <w:rPr>
                <w:lang w:eastAsia="en-NZ"/>
              </w:rPr>
              <w:t xml:space="preserve">The </w:t>
            </w:r>
            <w:r w:rsidR="008770FC">
              <w:rPr>
                <w:lang w:eastAsia="en-NZ"/>
              </w:rPr>
              <w:t>programme</w:t>
            </w:r>
            <w:r w:rsidR="008770FC" w:rsidRPr="001F5EFE">
              <w:rPr>
                <w:lang w:eastAsia="en-NZ"/>
              </w:rPr>
              <w:t xml:space="preserve"> </w:t>
            </w:r>
            <w:r w:rsidRPr="001F5EFE">
              <w:rPr>
                <w:lang w:eastAsia="en-NZ"/>
              </w:rPr>
              <w:t xml:space="preserve">needs to respond to the variable levels of provider and DHB </w:t>
            </w:r>
            <w:proofErr w:type="gramStart"/>
            <w:r w:rsidRPr="001F5EFE">
              <w:rPr>
                <w:lang w:eastAsia="en-NZ"/>
              </w:rPr>
              <w:t>capability, and</w:t>
            </w:r>
            <w:proofErr w:type="gramEnd"/>
            <w:r w:rsidRPr="001F5EFE">
              <w:rPr>
                <w:lang w:eastAsia="en-NZ"/>
              </w:rPr>
              <w:t xml:space="preserve"> offer support as part of any future roll-out of </w:t>
            </w:r>
            <w:r w:rsidR="008770FC">
              <w:rPr>
                <w:lang w:eastAsia="en-NZ"/>
              </w:rPr>
              <w:t>the programme</w:t>
            </w:r>
            <w:r w:rsidRPr="001F5EFE">
              <w:rPr>
                <w:lang w:eastAsia="en-NZ"/>
              </w:rPr>
              <w:t>.</w:t>
            </w:r>
            <w:r w:rsidRPr="001F5EFE">
              <w:rPr>
                <w:rFonts w:cs="Calibri"/>
                <w:color w:val="000000"/>
                <w:szCs w:val="20"/>
                <w:lang w:eastAsia="en-NZ"/>
              </w:rPr>
              <w:t xml:space="preserve"> </w:t>
            </w:r>
          </w:p>
        </w:tc>
        <w:tc>
          <w:tcPr>
            <w:tcW w:w="4176" w:type="dxa"/>
            <w:hideMark/>
          </w:tcPr>
          <w:p w14:paraId="4DB5873D" w14:textId="20F17A3B" w:rsidR="001F5EFE" w:rsidRDefault="00127CF1" w:rsidP="002429C8">
            <w:pPr>
              <w:pStyle w:val="Bullet"/>
              <w:ind w:left="357" w:hanging="357"/>
              <w:contextualSpacing w:val="0"/>
              <w:rPr>
                <w:lang w:eastAsia="en-NZ"/>
              </w:rPr>
            </w:pPr>
            <w:r>
              <w:rPr>
                <w:lang w:eastAsia="en-NZ"/>
              </w:rPr>
              <w:t>C</w:t>
            </w:r>
            <w:r w:rsidR="001F5EFE" w:rsidRPr="001F5EFE">
              <w:rPr>
                <w:lang w:eastAsia="en-NZ"/>
              </w:rPr>
              <w:t>onsider facilitating sharing</w:t>
            </w:r>
            <w:r w:rsidR="002A5746">
              <w:rPr>
                <w:lang w:eastAsia="en-NZ"/>
              </w:rPr>
              <w:t xml:space="preserve"> of</w:t>
            </w:r>
            <w:r>
              <w:rPr>
                <w:lang w:eastAsia="en-NZ"/>
              </w:rPr>
              <w:t xml:space="preserve"> knowledge about</w:t>
            </w:r>
            <w:r w:rsidR="001F5EFE" w:rsidRPr="001F5EFE">
              <w:rPr>
                <w:lang w:eastAsia="en-NZ"/>
              </w:rPr>
              <w:t xml:space="preserve"> what worked on the ground to offer valuable insights for</w:t>
            </w:r>
            <w:r>
              <w:rPr>
                <w:lang w:eastAsia="en-NZ"/>
              </w:rPr>
              <w:t xml:space="preserve"> DHBs and</w:t>
            </w:r>
            <w:r w:rsidR="001F5EFE" w:rsidRPr="001F5EFE">
              <w:rPr>
                <w:lang w:eastAsia="en-NZ"/>
              </w:rPr>
              <w:t xml:space="preserve"> providers. </w:t>
            </w:r>
            <w:r w:rsidR="002A5746">
              <w:rPr>
                <w:lang w:eastAsia="en-NZ"/>
              </w:rPr>
              <w:t>Possible methods</w:t>
            </w:r>
            <w:r w:rsidR="001F5EFE" w:rsidRPr="001F5EFE">
              <w:rPr>
                <w:lang w:eastAsia="en-NZ"/>
              </w:rPr>
              <w:t xml:space="preserve"> </w:t>
            </w:r>
            <w:r>
              <w:rPr>
                <w:lang w:eastAsia="en-NZ"/>
              </w:rPr>
              <w:t>include</w:t>
            </w:r>
            <w:r w:rsidR="0024276D">
              <w:rPr>
                <w:lang w:eastAsia="en-NZ"/>
              </w:rPr>
              <w:t>:</w:t>
            </w:r>
            <w:r w:rsidR="001F5EFE" w:rsidRPr="001F5EFE">
              <w:rPr>
                <w:lang w:eastAsia="en-NZ"/>
              </w:rPr>
              <w:t xml:space="preserve"> </w:t>
            </w:r>
          </w:p>
          <w:p w14:paraId="79894E7F" w14:textId="00370979" w:rsidR="001F5EFE" w:rsidRDefault="001F5EFE" w:rsidP="001F5EFE">
            <w:pPr>
              <w:pStyle w:val="Bullet"/>
              <w:numPr>
                <w:ilvl w:val="1"/>
                <w:numId w:val="2"/>
              </w:numPr>
              <w:ind w:left="673" w:hanging="284"/>
              <w:rPr>
                <w:lang w:eastAsia="en-NZ"/>
              </w:rPr>
            </w:pPr>
            <w:r w:rsidRPr="001F5EFE">
              <w:rPr>
                <w:lang w:eastAsia="en-NZ"/>
              </w:rPr>
              <w:t xml:space="preserve">developing top tips, practice examples, and case studies </w:t>
            </w:r>
          </w:p>
          <w:p w14:paraId="311AE657" w14:textId="6AEAED77" w:rsidR="001F5EFE" w:rsidRDefault="001F5EFE" w:rsidP="001F5EFE">
            <w:pPr>
              <w:pStyle w:val="Bullet"/>
              <w:numPr>
                <w:ilvl w:val="1"/>
                <w:numId w:val="2"/>
              </w:numPr>
              <w:ind w:left="673" w:hanging="284"/>
              <w:rPr>
                <w:lang w:eastAsia="en-NZ"/>
              </w:rPr>
            </w:pPr>
            <w:r w:rsidRPr="001F5EFE">
              <w:rPr>
                <w:lang w:eastAsia="en-NZ"/>
              </w:rPr>
              <w:t>facilitate connections between representatives of high-performing regions and those needing more support</w:t>
            </w:r>
            <w:r w:rsidR="002A5746">
              <w:rPr>
                <w:lang w:eastAsia="en-NZ"/>
              </w:rPr>
              <w:t>,</w:t>
            </w:r>
            <w:r w:rsidRPr="001F5EFE">
              <w:rPr>
                <w:lang w:eastAsia="en-NZ"/>
              </w:rPr>
              <w:t xml:space="preserve"> </w:t>
            </w:r>
            <w:r w:rsidR="002A5746">
              <w:rPr>
                <w:lang w:eastAsia="en-NZ"/>
              </w:rPr>
              <w:t>or</w:t>
            </w:r>
            <w:r w:rsidRPr="001F5EFE">
              <w:rPr>
                <w:lang w:eastAsia="en-NZ"/>
              </w:rPr>
              <w:t xml:space="preserve"> </w:t>
            </w:r>
            <w:r w:rsidR="002A5746">
              <w:rPr>
                <w:lang w:eastAsia="en-NZ"/>
              </w:rPr>
              <w:t xml:space="preserve">between </w:t>
            </w:r>
            <w:r w:rsidRPr="001F5EFE">
              <w:rPr>
                <w:lang w:eastAsia="en-NZ"/>
              </w:rPr>
              <w:t xml:space="preserve">regions with similar </w:t>
            </w:r>
            <w:proofErr w:type="gramStart"/>
            <w:r w:rsidRPr="001F5EFE">
              <w:rPr>
                <w:lang w:eastAsia="en-NZ"/>
              </w:rPr>
              <w:t>contexts</w:t>
            </w:r>
            <w:proofErr w:type="gramEnd"/>
          </w:p>
          <w:p w14:paraId="4E85DB33" w14:textId="0EC0EF5E" w:rsidR="001F5EFE" w:rsidRDefault="001F5EFE" w:rsidP="001F5EFE">
            <w:pPr>
              <w:pStyle w:val="Bullet"/>
              <w:numPr>
                <w:ilvl w:val="1"/>
                <w:numId w:val="2"/>
              </w:numPr>
              <w:ind w:left="673" w:hanging="284"/>
              <w:rPr>
                <w:lang w:eastAsia="en-NZ"/>
              </w:rPr>
            </w:pPr>
            <w:r w:rsidRPr="001F5EFE">
              <w:rPr>
                <w:lang w:eastAsia="en-NZ"/>
              </w:rPr>
              <w:t>facilitate sharing ideas and data, where possible, between regions</w:t>
            </w:r>
          </w:p>
          <w:p w14:paraId="27D5750A" w14:textId="3EF46EBA" w:rsidR="001F5EFE" w:rsidRDefault="001F5EFE" w:rsidP="001F5EFE">
            <w:pPr>
              <w:pStyle w:val="Bullet"/>
              <w:numPr>
                <w:ilvl w:val="1"/>
                <w:numId w:val="2"/>
              </w:numPr>
              <w:ind w:left="673" w:hanging="284"/>
              <w:rPr>
                <w:lang w:eastAsia="en-NZ"/>
              </w:rPr>
            </w:pPr>
            <w:r w:rsidRPr="001F5EFE">
              <w:rPr>
                <w:lang w:eastAsia="en-NZ"/>
              </w:rPr>
              <w:lastRenderedPageBreak/>
              <w:t xml:space="preserve">fund knowledge sharing and mentoring (formally or informally), to recognise the additional effort and time this can </w:t>
            </w:r>
            <w:proofErr w:type="gramStart"/>
            <w:r w:rsidRPr="001F5EFE">
              <w:rPr>
                <w:lang w:eastAsia="en-NZ"/>
              </w:rPr>
              <w:t>take</w:t>
            </w:r>
            <w:proofErr w:type="gramEnd"/>
            <w:r w:rsidRPr="001F5EFE">
              <w:rPr>
                <w:lang w:eastAsia="en-NZ"/>
              </w:rPr>
              <w:t xml:space="preserve"> </w:t>
            </w:r>
          </w:p>
          <w:p w14:paraId="4530E745" w14:textId="13D2117B" w:rsidR="00C1583B" w:rsidRPr="001F5EFE" w:rsidRDefault="002A5746" w:rsidP="008770FC">
            <w:pPr>
              <w:pStyle w:val="Bullet"/>
              <w:rPr>
                <w:lang w:eastAsia="en-NZ"/>
              </w:rPr>
            </w:pPr>
            <w:r>
              <w:rPr>
                <w:lang w:eastAsia="en-NZ"/>
              </w:rPr>
              <w:t>Fund p</w:t>
            </w:r>
            <w:r w:rsidR="00C1583B">
              <w:rPr>
                <w:lang w:eastAsia="en-NZ"/>
              </w:rPr>
              <w:t xml:space="preserve">roviders and DHBs to </w:t>
            </w:r>
            <w:r>
              <w:rPr>
                <w:lang w:eastAsia="en-NZ"/>
              </w:rPr>
              <w:t>build their capability to deliver</w:t>
            </w:r>
            <w:r w:rsidR="00C1583B">
              <w:rPr>
                <w:lang w:eastAsia="en-NZ"/>
              </w:rPr>
              <w:t xml:space="preserve"> </w:t>
            </w:r>
            <w:r w:rsidR="008770FC">
              <w:rPr>
                <w:lang w:eastAsia="en-NZ"/>
              </w:rPr>
              <w:t xml:space="preserve">programme </w:t>
            </w:r>
            <w:r w:rsidR="00C1583B">
              <w:rPr>
                <w:lang w:eastAsia="en-NZ"/>
              </w:rPr>
              <w:t xml:space="preserve">outreach and other funded initiatives. </w:t>
            </w:r>
            <w:proofErr w:type="gramStart"/>
            <w:r w:rsidR="00C1583B">
              <w:rPr>
                <w:lang w:eastAsia="en-NZ"/>
              </w:rPr>
              <w:t>In particular</w:t>
            </w:r>
            <w:r>
              <w:rPr>
                <w:lang w:eastAsia="en-NZ"/>
              </w:rPr>
              <w:t>, they</w:t>
            </w:r>
            <w:proofErr w:type="gramEnd"/>
            <w:r>
              <w:rPr>
                <w:lang w:eastAsia="en-NZ"/>
              </w:rPr>
              <w:t xml:space="preserve"> need additional</w:t>
            </w:r>
            <w:r w:rsidR="00C1583B">
              <w:rPr>
                <w:lang w:eastAsia="en-NZ"/>
              </w:rPr>
              <w:t xml:space="preserve"> </w:t>
            </w:r>
            <w:r>
              <w:rPr>
                <w:lang w:eastAsia="en-NZ"/>
              </w:rPr>
              <w:t xml:space="preserve">trained </w:t>
            </w:r>
            <w:r w:rsidR="00C1583B">
              <w:rPr>
                <w:lang w:eastAsia="en-NZ"/>
              </w:rPr>
              <w:t xml:space="preserve">staff to run the </w:t>
            </w:r>
            <w:r>
              <w:rPr>
                <w:lang w:eastAsia="en-NZ"/>
              </w:rPr>
              <w:t>P</w:t>
            </w:r>
            <w:r w:rsidR="00C1583B">
              <w:rPr>
                <w:lang w:eastAsia="en-NZ"/>
              </w:rPr>
              <w:t xml:space="preserve">rogramme, </w:t>
            </w:r>
            <w:r>
              <w:rPr>
                <w:lang w:eastAsia="en-NZ"/>
              </w:rPr>
              <w:t xml:space="preserve">to </w:t>
            </w:r>
            <w:r w:rsidR="00C1583B">
              <w:rPr>
                <w:lang w:eastAsia="en-NZ"/>
              </w:rPr>
              <w:t xml:space="preserve">extend hours of service delivery, </w:t>
            </w:r>
            <w:r>
              <w:rPr>
                <w:lang w:eastAsia="en-NZ"/>
              </w:rPr>
              <w:t xml:space="preserve">and to </w:t>
            </w:r>
            <w:r w:rsidR="00C1583B">
              <w:rPr>
                <w:lang w:eastAsia="en-NZ"/>
              </w:rPr>
              <w:t>acquir</w:t>
            </w:r>
            <w:r>
              <w:rPr>
                <w:lang w:eastAsia="en-NZ"/>
              </w:rPr>
              <w:t>e</w:t>
            </w:r>
            <w:r w:rsidR="00C1583B">
              <w:rPr>
                <w:lang w:eastAsia="en-NZ"/>
              </w:rPr>
              <w:t xml:space="preserve"> vaccine and transport</w:t>
            </w:r>
            <w:r>
              <w:rPr>
                <w:lang w:eastAsia="en-NZ"/>
              </w:rPr>
              <w:t>ation</w:t>
            </w:r>
            <w:r w:rsidR="00C1583B">
              <w:rPr>
                <w:lang w:eastAsia="en-NZ"/>
              </w:rPr>
              <w:t xml:space="preserve"> to reach whānau.</w:t>
            </w:r>
          </w:p>
        </w:tc>
      </w:tr>
      <w:tr w:rsidR="001F5EFE" w:rsidRPr="001F5EFE" w14:paraId="5D200FDB" w14:textId="77777777" w:rsidTr="001F5EFE">
        <w:trPr>
          <w:trHeight w:val="1020"/>
        </w:trPr>
        <w:tc>
          <w:tcPr>
            <w:tcW w:w="4176" w:type="dxa"/>
            <w:hideMark/>
          </w:tcPr>
          <w:p w14:paraId="2B3EFE5C" w14:textId="5C44FB27" w:rsidR="001F5EFE" w:rsidRPr="001F5EFE" w:rsidRDefault="001F5EFE" w:rsidP="001F5EFE">
            <w:pPr>
              <w:pStyle w:val="Bullet"/>
              <w:rPr>
                <w:lang w:eastAsia="en-NZ"/>
              </w:rPr>
            </w:pPr>
            <w:r w:rsidRPr="001F5EFE">
              <w:rPr>
                <w:lang w:eastAsia="en-NZ"/>
              </w:rPr>
              <w:lastRenderedPageBreak/>
              <w:t xml:space="preserve">The current funding approach takes account of Māori regional population and equity rates. </w:t>
            </w:r>
          </w:p>
        </w:tc>
        <w:tc>
          <w:tcPr>
            <w:tcW w:w="4176" w:type="dxa"/>
            <w:noWrap/>
            <w:hideMark/>
          </w:tcPr>
          <w:p w14:paraId="2AB0D675" w14:textId="6B509ECF" w:rsidR="00C1583B" w:rsidRPr="001F5EFE" w:rsidRDefault="001F5EFE" w:rsidP="002429C8">
            <w:pPr>
              <w:pStyle w:val="Bullet"/>
              <w:ind w:left="357" w:hanging="357"/>
              <w:contextualSpacing w:val="0"/>
              <w:rPr>
                <w:lang w:eastAsia="en-NZ"/>
              </w:rPr>
            </w:pPr>
            <w:r w:rsidRPr="001F5EFE">
              <w:rPr>
                <w:lang w:eastAsia="en-NZ"/>
              </w:rPr>
              <w:t>Revisit the funding allocation formula</w:t>
            </w:r>
            <w:r w:rsidR="00922BC3">
              <w:rPr>
                <w:lang w:eastAsia="en-NZ"/>
              </w:rPr>
              <w:t xml:space="preserve"> to take a more </w:t>
            </w:r>
            <w:r w:rsidR="00922BC3" w:rsidRPr="001F5EFE">
              <w:rPr>
                <w:lang w:eastAsia="en-NZ"/>
              </w:rPr>
              <w:t>nuanced approach</w:t>
            </w:r>
            <w:r w:rsidR="002A5746">
              <w:rPr>
                <w:lang w:eastAsia="en-NZ"/>
              </w:rPr>
              <w:t>, including</w:t>
            </w:r>
            <w:r w:rsidR="00922BC3" w:rsidRPr="001F5EFE">
              <w:rPr>
                <w:lang w:eastAsia="en-NZ"/>
              </w:rPr>
              <w:t xml:space="preserve"> tak</w:t>
            </w:r>
            <w:r w:rsidR="002A5746">
              <w:rPr>
                <w:lang w:eastAsia="en-NZ"/>
              </w:rPr>
              <w:t>ing</w:t>
            </w:r>
            <w:r w:rsidR="00922BC3" w:rsidRPr="001F5EFE">
              <w:rPr>
                <w:lang w:eastAsia="en-NZ"/>
              </w:rPr>
              <w:t xml:space="preserve"> account of vaccination and equity trends, provider and DHB performance in 2020 (and historically), and their capability to use the funding to best effect.</w:t>
            </w:r>
          </w:p>
        </w:tc>
      </w:tr>
      <w:tr w:rsidR="001F5EFE" w:rsidRPr="001F5EFE" w14:paraId="3405B0B6" w14:textId="77777777" w:rsidTr="001F5EFE">
        <w:trPr>
          <w:trHeight w:val="780"/>
        </w:trPr>
        <w:tc>
          <w:tcPr>
            <w:tcW w:w="4176" w:type="dxa"/>
            <w:hideMark/>
          </w:tcPr>
          <w:p w14:paraId="320D3E18" w14:textId="37CA5C37" w:rsidR="001F5EFE" w:rsidRPr="001F5EFE" w:rsidRDefault="00E63C87" w:rsidP="002A5746">
            <w:pPr>
              <w:pStyle w:val="Bullet"/>
              <w:rPr>
                <w:lang w:eastAsia="en-NZ"/>
              </w:rPr>
            </w:pPr>
            <w:r>
              <w:t>There were some regions that made little movement in flu vaccinations and equity, regardless of the amount of funding allocated.</w:t>
            </w:r>
            <w:r w:rsidRPr="001F5EFE">
              <w:rPr>
                <w:lang w:eastAsia="en-NZ"/>
              </w:rPr>
              <w:t xml:space="preserve"> </w:t>
            </w:r>
            <w:r w:rsidR="001F5EFE" w:rsidRPr="001F5EFE">
              <w:rPr>
                <w:lang w:eastAsia="en-NZ"/>
              </w:rPr>
              <w:t>Th</w:t>
            </w:r>
            <w:r w:rsidR="002A5746">
              <w:rPr>
                <w:lang w:eastAsia="en-NZ"/>
              </w:rPr>
              <w:t>is</w:t>
            </w:r>
            <w:r w:rsidR="001F5EFE" w:rsidRPr="001F5EFE">
              <w:rPr>
                <w:lang w:eastAsia="en-NZ"/>
              </w:rPr>
              <w:t xml:space="preserve"> inability to </w:t>
            </w:r>
            <w:r w:rsidR="002A5746">
              <w:rPr>
                <w:lang w:eastAsia="en-NZ"/>
              </w:rPr>
              <w:t>lift outcomes</w:t>
            </w:r>
            <w:r w:rsidR="001F5EFE" w:rsidRPr="001F5EFE">
              <w:rPr>
                <w:lang w:eastAsia="en-NZ"/>
              </w:rPr>
              <w:t xml:space="preserve"> suggests that extra funding is insufficient to make progress. They appear to be struggling and may need other forms of support.</w:t>
            </w:r>
          </w:p>
        </w:tc>
        <w:tc>
          <w:tcPr>
            <w:tcW w:w="4176" w:type="dxa"/>
            <w:hideMark/>
          </w:tcPr>
          <w:p w14:paraId="3C2158C1" w14:textId="77777777" w:rsidR="00E63C87" w:rsidRDefault="00E63C87" w:rsidP="002429C8">
            <w:pPr>
              <w:pStyle w:val="Bullet"/>
              <w:ind w:left="357" w:hanging="357"/>
              <w:contextualSpacing w:val="0"/>
              <w:rPr>
                <w:lang w:eastAsia="en-NZ"/>
              </w:rPr>
            </w:pPr>
            <w:r w:rsidRPr="001F5EFE">
              <w:rPr>
                <w:lang w:eastAsia="en-NZ"/>
              </w:rPr>
              <w:t xml:space="preserve">Focus on the regions where little movement in </w:t>
            </w:r>
            <w:r>
              <w:rPr>
                <w:lang w:eastAsia="en-NZ"/>
              </w:rPr>
              <w:t xml:space="preserve">flu vaccinations and </w:t>
            </w:r>
            <w:r w:rsidRPr="001F5EFE">
              <w:rPr>
                <w:lang w:eastAsia="en-NZ"/>
              </w:rPr>
              <w:t xml:space="preserve">equity rates and trends. </w:t>
            </w:r>
          </w:p>
          <w:p w14:paraId="4113EA06" w14:textId="217B4736" w:rsidR="001F5EFE" w:rsidRPr="001F5EFE" w:rsidRDefault="00127CF1" w:rsidP="002429C8">
            <w:pPr>
              <w:pStyle w:val="Bullet"/>
              <w:ind w:left="357" w:hanging="357"/>
              <w:contextualSpacing w:val="0"/>
              <w:rPr>
                <w:lang w:eastAsia="en-NZ"/>
              </w:rPr>
            </w:pPr>
            <w:r>
              <w:rPr>
                <w:lang w:eastAsia="en-NZ"/>
              </w:rPr>
              <w:t xml:space="preserve">Consider </w:t>
            </w:r>
            <w:r w:rsidRPr="001F5EFE">
              <w:rPr>
                <w:lang w:eastAsia="en-NZ"/>
              </w:rPr>
              <w:t>offer</w:t>
            </w:r>
            <w:r>
              <w:rPr>
                <w:lang w:eastAsia="en-NZ"/>
              </w:rPr>
              <w:t>ing</w:t>
            </w:r>
            <w:r w:rsidRPr="001F5EFE">
              <w:rPr>
                <w:lang w:eastAsia="en-NZ"/>
              </w:rPr>
              <w:t xml:space="preserve"> </w:t>
            </w:r>
            <w:r w:rsidR="002A5746">
              <w:rPr>
                <w:lang w:eastAsia="en-NZ"/>
              </w:rPr>
              <w:t>struggl</w:t>
            </w:r>
            <w:r w:rsidR="001F5EFE" w:rsidRPr="001F5EFE">
              <w:rPr>
                <w:lang w:eastAsia="en-NZ"/>
              </w:rPr>
              <w:t>ing regions</w:t>
            </w:r>
            <w:r w:rsidR="00922BC3">
              <w:rPr>
                <w:lang w:eastAsia="en-NZ"/>
              </w:rPr>
              <w:t xml:space="preserve"> more targeted and</w:t>
            </w:r>
            <w:r w:rsidR="001F5EFE" w:rsidRPr="001F5EFE">
              <w:rPr>
                <w:lang w:eastAsia="en-NZ"/>
              </w:rPr>
              <w:t xml:space="preserve"> tailored support to unpack the</w:t>
            </w:r>
            <w:r>
              <w:rPr>
                <w:lang w:eastAsia="en-NZ"/>
              </w:rPr>
              <w:t>ir</w:t>
            </w:r>
            <w:r w:rsidR="001F5EFE" w:rsidRPr="001F5EFE">
              <w:rPr>
                <w:lang w:eastAsia="en-NZ"/>
              </w:rPr>
              <w:t xml:space="preserve"> regional context </w:t>
            </w:r>
            <w:r w:rsidR="002A5746">
              <w:rPr>
                <w:lang w:eastAsia="en-NZ"/>
              </w:rPr>
              <w:t>and seek to</w:t>
            </w:r>
            <w:r w:rsidR="001F5EFE" w:rsidRPr="001F5EFE">
              <w:rPr>
                <w:lang w:eastAsia="en-NZ"/>
              </w:rPr>
              <w:t xml:space="preserve"> identify what might work, given the unique</w:t>
            </w:r>
            <w:r w:rsidR="002A5746">
              <w:rPr>
                <w:lang w:eastAsia="en-NZ"/>
              </w:rPr>
              <w:t xml:space="preserve"> features</w:t>
            </w:r>
            <w:r w:rsidR="001F5EFE" w:rsidRPr="001F5EFE">
              <w:rPr>
                <w:lang w:eastAsia="en-NZ"/>
              </w:rPr>
              <w:t xml:space="preserve"> of the region, its people, </w:t>
            </w:r>
            <w:proofErr w:type="gramStart"/>
            <w:r w:rsidR="001F5EFE" w:rsidRPr="001F5EFE">
              <w:rPr>
                <w:lang w:eastAsia="en-NZ"/>
              </w:rPr>
              <w:t>resources</w:t>
            </w:r>
            <w:proofErr w:type="gramEnd"/>
            <w:r w:rsidR="001F5EFE" w:rsidRPr="001F5EFE">
              <w:rPr>
                <w:lang w:eastAsia="en-NZ"/>
              </w:rPr>
              <w:t xml:space="preserve"> and relationships.</w:t>
            </w:r>
          </w:p>
        </w:tc>
      </w:tr>
      <w:tr w:rsidR="001F5EFE" w:rsidRPr="001F5EFE" w14:paraId="06208EDD" w14:textId="77777777" w:rsidTr="001F5EFE">
        <w:trPr>
          <w:trHeight w:val="416"/>
        </w:trPr>
        <w:tc>
          <w:tcPr>
            <w:tcW w:w="4176" w:type="dxa"/>
            <w:hideMark/>
          </w:tcPr>
          <w:p w14:paraId="5959095C" w14:textId="052CB681" w:rsidR="001F5EFE" w:rsidRPr="001F5EFE" w:rsidRDefault="00E63C87" w:rsidP="002429C8">
            <w:pPr>
              <w:pStyle w:val="Bullet"/>
            </w:pPr>
            <w:r>
              <w:rPr>
                <w:lang w:eastAsia="en-NZ"/>
              </w:rPr>
              <w:t>There</w:t>
            </w:r>
            <w:r>
              <w:t xml:space="preserve"> were regions that performed well, including those that built on strong foundations of previous years’ efforts and some who made significant gains in 2020. </w:t>
            </w:r>
          </w:p>
        </w:tc>
        <w:tc>
          <w:tcPr>
            <w:tcW w:w="4176" w:type="dxa"/>
            <w:hideMark/>
          </w:tcPr>
          <w:p w14:paraId="47C9070E" w14:textId="344B5B0B" w:rsidR="001F5EFE" w:rsidRPr="002429C8" w:rsidRDefault="00E63C87" w:rsidP="002429C8">
            <w:pPr>
              <w:pStyle w:val="Bullet"/>
              <w:ind w:left="357" w:hanging="357"/>
              <w:contextualSpacing w:val="0"/>
              <w:rPr>
                <w:lang w:eastAsia="en-NZ"/>
              </w:rPr>
            </w:pPr>
            <w:r w:rsidRPr="001F5EFE">
              <w:rPr>
                <w:lang w:eastAsia="en-NZ"/>
              </w:rPr>
              <w:t xml:space="preserve">Recognise the regions who </w:t>
            </w:r>
            <w:r w:rsidR="002A5746">
              <w:rPr>
                <w:lang w:eastAsia="en-NZ"/>
              </w:rPr>
              <w:t>have succeeded in lifting outcomes</w:t>
            </w:r>
            <w:r w:rsidRPr="001F5EFE">
              <w:rPr>
                <w:lang w:eastAsia="en-NZ"/>
              </w:rPr>
              <w:t xml:space="preserve"> and continue to support their endeavours and learn from their successes</w:t>
            </w:r>
            <w:r>
              <w:rPr>
                <w:lang w:eastAsia="en-NZ"/>
              </w:rPr>
              <w:t xml:space="preserve">. </w:t>
            </w:r>
            <w:r w:rsidR="001F5EFE" w:rsidRPr="001F5EFE">
              <w:rPr>
                <w:lang w:eastAsia="en-NZ"/>
              </w:rPr>
              <w:t xml:space="preserve">In regions that are performing well, beyond due diligence, </w:t>
            </w:r>
            <w:r w:rsidR="00127CF1">
              <w:rPr>
                <w:lang w:eastAsia="en-NZ"/>
              </w:rPr>
              <w:t xml:space="preserve">consider </w:t>
            </w:r>
            <w:r w:rsidR="001F5EFE" w:rsidRPr="001F5EFE">
              <w:rPr>
                <w:lang w:eastAsia="en-NZ"/>
              </w:rPr>
              <w:t>offer</w:t>
            </w:r>
            <w:r w:rsidR="00127CF1">
              <w:rPr>
                <w:lang w:eastAsia="en-NZ"/>
              </w:rPr>
              <w:t>ing</w:t>
            </w:r>
            <w:r w:rsidR="001F5EFE" w:rsidRPr="001F5EFE">
              <w:rPr>
                <w:lang w:eastAsia="en-NZ"/>
              </w:rPr>
              <w:t xml:space="preserve"> sufficient funding and the autonomy to use it responsively. These DHBs and providers know what they are doing and have demonstrated they are competent and trustworthy.</w:t>
            </w:r>
            <w:r w:rsidR="001F5EFE" w:rsidRPr="002429C8">
              <w:rPr>
                <w:lang w:eastAsia="en-NZ"/>
              </w:rPr>
              <w:t xml:space="preserve"> </w:t>
            </w:r>
          </w:p>
        </w:tc>
      </w:tr>
      <w:tr w:rsidR="001F5EFE" w:rsidRPr="001F5EFE" w14:paraId="26E6A70E" w14:textId="77777777" w:rsidTr="001F5EFE">
        <w:trPr>
          <w:trHeight w:val="525"/>
        </w:trPr>
        <w:tc>
          <w:tcPr>
            <w:tcW w:w="4176" w:type="dxa"/>
            <w:hideMark/>
          </w:tcPr>
          <w:p w14:paraId="617A87D4" w14:textId="57C5085A" w:rsidR="001F5EFE" w:rsidRDefault="001F5EFE" w:rsidP="001F5EFE">
            <w:pPr>
              <w:pStyle w:val="Bullet"/>
              <w:rPr>
                <w:lang w:eastAsia="en-NZ"/>
              </w:rPr>
            </w:pPr>
            <w:r w:rsidRPr="001F5EFE">
              <w:rPr>
                <w:lang w:eastAsia="en-NZ"/>
              </w:rPr>
              <w:t xml:space="preserve">It is difficult to </w:t>
            </w:r>
            <w:r w:rsidR="00D96B9B">
              <w:rPr>
                <w:lang w:eastAsia="en-NZ"/>
              </w:rPr>
              <w:t>distinguish</w:t>
            </w:r>
            <w:r w:rsidR="00D96B9B" w:rsidRPr="001F5EFE">
              <w:rPr>
                <w:lang w:eastAsia="en-NZ"/>
              </w:rPr>
              <w:t xml:space="preserve"> </w:t>
            </w:r>
            <w:r w:rsidRPr="001F5EFE">
              <w:rPr>
                <w:lang w:eastAsia="en-NZ"/>
              </w:rPr>
              <w:t xml:space="preserve">the attribution of </w:t>
            </w:r>
            <w:r w:rsidR="008770FC">
              <w:rPr>
                <w:lang w:eastAsia="en-NZ"/>
              </w:rPr>
              <w:t>programme</w:t>
            </w:r>
            <w:r w:rsidR="00D96B9B">
              <w:rPr>
                <w:lang w:eastAsia="en-NZ"/>
              </w:rPr>
              <w:t>-</w:t>
            </w:r>
            <w:r w:rsidRPr="001F5EFE">
              <w:rPr>
                <w:lang w:eastAsia="en-NZ"/>
              </w:rPr>
              <w:t>administered vaccinations from those delivered by non-Māori</w:t>
            </w:r>
            <w:r w:rsidR="00D96B9B">
              <w:rPr>
                <w:lang w:eastAsia="en-NZ"/>
              </w:rPr>
              <w:t>,</w:t>
            </w:r>
            <w:r w:rsidRPr="001F5EFE">
              <w:rPr>
                <w:lang w:eastAsia="en-NZ"/>
              </w:rPr>
              <w:t xml:space="preserve"> non-Pacific </w:t>
            </w:r>
            <w:r w:rsidR="0024276D" w:rsidRPr="001F5EFE">
              <w:rPr>
                <w:lang w:eastAsia="en-NZ"/>
              </w:rPr>
              <w:t>organisations</w:t>
            </w:r>
            <w:r w:rsidRPr="001F5EFE">
              <w:rPr>
                <w:lang w:eastAsia="en-NZ"/>
              </w:rPr>
              <w:t xml:space="preserve"> and </w:t>
            </w:r>
            <w:r w:rsidR="00D96B9B">
              <w:rPr>
                <w:lang w:eastAsia="en-NZ"/>
              </w:rPr>
              <w:t xml:space="preserve">thereby achieve </w:t>
            </w:r>
            <w:r w:rsidRPr="001F5EFE">
              <w:rPr>
                <w:lang w:eastAsia="en-NZ"/>
              </w:rPr>
              <w:t>a strong assessment of impact</w:t>
            </w:r>
            <w:r w:rsidR="00887795">
              <w:rPr>
                <w:lang w:eastAsia="en-NZ"/>
              </w:rPr>
              <w:t>.</w:t>
            </w:r>
          </w:p>
          <w:p w14:paraId="2A15618B" w14:textId="0B7520F5" w:rsidR="00887795" w:rsidRPr="001F5EFE" w:rsidRDefault="0024276D" w:rsidP="008770FC">
            <w:pPr>
              <w:pStyle w:val="Bullet"/>
              <w:rPr>
                <w:lang w:eastAsia="en-NZ"/>
              </w:rPr>
            </w:pPr>
            <w:r>
              <w:rPr>
                <w:lang w:eastAsia="en-NZ"/>
              </w:rPr>
              <w:t>Providers and DHB staff at times find accessing the NIR challenging, particularly when they are out in the field.</w:t>
            </w:r>
          </w:p>
        </w:tc>
        <w:tc>
          <w:tcPr>
            <w:tcW w:w="4176" w:type="dxa"/>
            <w:hideMark/>
          </w:tcPr>
          <w:p w14:paraId="03BBEA7C" w14:textId="7619EAB8" w:rsidR="001F5EFE" w:rsidRDefault="001F5EFE" w:rsidP="002429C8">
            <w:pPr>
              <w:pStyle w:val="Bullet"/>
              <w:ind w:left="357" w:hanging="357"/>
              <w:contextualSpacing w:val="0"/>
              <w:rPr>
                <w:lang w:eastAsia="en-NZ"/>
              </w:rPr>
            </w:pPr>
            <w:r w:rsidRPr="001F5EFE">
              <w:rPr>
                <w:lang w:eastAsia="en-NZ"/>
              </w:rPr>
              <w:t>Consider developing an online form for providers and DHBs to enter the total number of immunisations completed on a weekly basis</w:t>
            </w:r>
            <w:r w:rsidR="0024276D">
              <w:rPr>
                <w:lang w:eastAsia="en-NZ"/>
              </w:rPr>
              <w:t>.</w:t>
            </w:r>
          </w:p>
          <w:p w14:paraId="114BE040" w14:textId="37D3CB2D" w:rsidR="0024276D" w:rsidRPr="001F5EFE" w:rsidRDefault="0024276D" w:rsidP="002429C8">
            <w:pPr>
              <w:pStyle w:val="Bullet"/>
              <w:ind w:left="357" w:hanging="357"/>
              <w:contextualSpacing w:val="0"/>
              <w:rPr>
                <w:lang w:eastAsia="en-NZ"/>
              </w:rPr>
            </w:pPr>
            <w:r>
              <w:rPr>
                <w:lang w:eastAsia="en-NZ"/>
              </w:rPr>
              <w:t>Consider how providers and DHBs may better access the NIR.</w:t>
            </w:r>
          </w:p>
        </w:tc>
      </w:tr>
    </w:tbl>
    <w:p w14:paraId="611BF797" w14:textId="77777777" w:rsidR="003C3B72" w:rsidRDefault="003C3B72" w:rsidP="00F7322A"/>
    <w:p w14:paraId="7E326CD0" w14:textId="08F64595" w:rsidR="00127CF1" w:rsidRDefault="00127CF1" w:rsidP="00922BC3">
      <w:pPr>
        <w:pStyle w:val="Heading3"/>
      </w:pPr>
      <w:r w:rsidRPr="00127CF1">
        <w:t>Key learnings for DHB’s</w:t>
      </w:r>
    </w:p>
    <w:p w14:paraId="3F2D804D" w14:textId="3834EBCC" w:rsidR="00D861E3" w:rsidRPr="00257CC8" w:rsidRDefault="00257CC8" w:rsidP="00856454">
      <w:pPr>
        <w:pStyle w:val="BodyText"/>
      </w:pPr>
      <w:r>
        <w:t>These are the key learnings for DHBs and some suggested action points.</w:t>
      </w:r>
    </w:p>
    <w:tbl>
      <w:tblPr>
        <w:tblStyle w:val="TableGrid"/>
        <w:tblW w:w="0" w:type="auto"/>
        <w:tblInd w:w="-5" w:type="dxa"/>
        <w:tblLook w:val="04A0" w:firstRow="1" w:lastRow="0" w:firstColumn="1" w:lastColumn="0" w:noHBand="0" w:noVBand="1"/>
      </w:tblPr>
      <w:tblGrid>
        <w:gridCol w:w="4176"/>
        <w:gridCol w:w="4176"/>
      </w:tblGrid>
      <w:tr w:rsidR="00127CF1" w:rsidRPr="00856454" w14:paraId="5D1EB5D4" w14:textId="77777777" w:rsidTr="00D861E3">
        <w:tc>
          <w:tcPr>
            <w:tcW w:w="4176" w:type="dxa"/>
          </w:tcPr>
          <w:p w14:paraId="64238AD1" w14:textId="4EE0CE7D" w:rsidR="00127CF1" w:rsidRPr="00856454" w:rsidRDefault="00127CF1" w:rsidP="00D861E3">
            <w:pPr>
              <w:rPr>
                <w:b/>
                <w:bCs/>
                <w:highlight w:val="yellow"/>
              </w:rPr>
            </w:pPr>
            <w:r w:rsidRPr="00856454">
              <w:rPr>
                <w:b/>
                <w:bCs/>
              </w:rPr>
              <w:lastRenderedPageBreak/>
              <w:t>What we found</w:t>
            </w:r>
          </w:p>
        </w:tc>
        <w:tc>
          <w:tcPr>
            <w:tcW w:w="4176" w:type="dxa"/>
          </w:tcPr>
          <w:p w14:paraId="42915961" w14:textId="215E5FCA" w:rsidR="00127CF1" w:rsidRPr="00856454" w:rsidRDefault="00127CF1" w:rsidP="00D861E3">
            <w:pPr>
              <w:rPr>
                <w:b/>
                <w:bCs/>
                <w:highlight w:val="yellow"/>
              </w:rPr>
            </w:pPr>
            <w:r w:rsidRPr="00856454">
              <w:rPr>
                <w:b/>
                <w:bCs/>
              </w:rPr>
              <w:t>Action points</w:t>
            </w:r>
          </w:p>
        </w:tc>
      </w:tr>
      <w:tr w:rsidR="00887795" w:rsidRPr="00D861E3" w14:paraId="1139025F" w14:textId="77777777" w:rsidTr="00D861E3">
        <w:trPr>
          <w:trHeight w:val="990"/>
        </w:trPr>
        <w:tc>
          <w:tcPr>
            <w:tcW w:w="4176" w:type="dxa"/>
          </w:tcPr>
          <w:p w14:paraId="10421B5A" w14:textId="4FDAC69A" w:rsidR="00887795" w:rsidRPr="00D861E3" w:rsidRDefault="00887795" w:rsidP="00B14BA5">
            <w:pPr>
              <w:pStyle w:val="ListParagraph"/>
              <w:numPr>
                <w:ilvl w:val="0"/>
                <w:numId w:val="12"/>
              </w:numPr>
              <w:ind w:left="390" w:hanging="390"/>
            </w:pPr>
            <w:r w:rsidRPr="00D861E3">
              <w:t xml:space="preserve">DHB applications did not </w:t>
            </w:r>
            <w:r w:rsidR="00D258A0" w:rsidRPr="00D861E3">
              <w:t xml:space="preserve">always </w:t>
            </w:r>
            <w:r w:rsidRPr="00D861E3">
              <w:t xml:space="preserve">list providers who were part of the application. This means the evaluators could not accurately gauge and report on programme </w:t>
            </w:r>
            <w:proofErr w:type="gramStart"/>
            <w:r w:rsidRPr="00D861E3">
              <w:t>reach</w:t>
            </w:r>
            <w:r w:rsidR="00D96B9B" w:rsidRPr="00D861E3">
              <w:t>,</w:t>
            </w:r>
            <w:r w:rsidRPr="00D861E3">
              <w:t xml:space="preserve"> or</w:t>
            </w:r>
            <w:proofErr w:type="gramEnd"/>
            <w:r w:rsidRPr="00D861E3">
              <w:t xml:space="preserve"> elicit feedback from this group of providers. </w:t>
            </w:r>
          </w:p>
        </w:tc>
        <w:tc>
          <w:tcPr>
            <w:tcW w:w="4176" w:type="dxa"/>
          </w:tcPr>
          <w:p w14:paraId="532017AC" w14:textId="2FC557F2" w:rsidR="00887795" w:rsidRPr="009644A0" w:rsidRDefault="00887795" w:rsidP="009644A0">
            <w:pPr>
              <w:pStyle w:val="Bullet"/>
            </w:pPr>
            <w:r w:rsidRPr="009644A0">
              <w:t xml:space="preserve">Revise the application form and reporting systems to be able to clearly attribute </w:t>
            </w:r>
            <w:r w:rsidR="00442446" w:rsidRPr="009644A0">
              <w:t xml:space="preserve">the programme </w:t>
            </w:r>
            <w:r w:rsidRPr="009644A0">
              <w:t xml:space="preserve">outcomes and impact to </w:t>
            </w:r>
            <w:r w:rsidR="00257CC8" w:rsidRPr="009644A0">
              <w:t xml:space="preserve">the </w:t>
            </w:r>
            <w:r w:rsidRPr="009644A0">
              <w:t>providers and DHBs involved.</w:t>
            </w:r>
          </w:p>
        </w:tc>
      </w:tr>
      <w:tr w:rsidR="00127CF1" w:rsidRPr="00D861E3" w14:paraId="13DEF2F7" w14:textId="77777777" w:rsidTr="00D861E3">
        <w:trPr>
          <w:trHeight w:val="990"/>
        </w:trPr>
        <w:tc>
          <w:tcPr>
            <w:tcW w:w="4176" w:type="dxa"/>
          </w:tcPr>
          <w:p w14:paraId="25F6D69B" w14:textId="7BCFBE14" w:rsidR="00127CF1" w:rsidRPr="00D861E3" w:rsidRDefault="00127CF1" w:rsidP="00B14BA5">
            <w:pPr>
              <w:pStyle w:val="ListParagraph"/>
              <w:numPr>
                <w:ilvl w:val="0"/>
                <w:numId w:val="12"/>
              </w:numPr>
              <w:ind w:left="390" w:hanging="390"/>
            </w:pPr>
            <w:r w:rsidRPr="00D861E3">
              <w:t xml:space="preserve">Some DHBs did not get </w:t>
            </w:r>
            <w:r w:rsidR="00887795" w:rsidRPr="00D861E3">
              <w:t>MIVP funding</w:t>
            </w:r>
            <w:r w:rsidRPr="00D861E3">
              <w:t xml:space="preserve"> out to providers </w:t>
            </w:r>
            <w:r w:rsidR="00D96B9B" w:rsidRPr="00D861E3">
              <w:t>un</w:t>
            </w:r>
            <w:r w:rsidRPr="00D861E3">
              <w:t xml:space="preserve">til </w:t>
            </w:r>
            <w:r w:rsidR="00887795" w:rsidRPr="00D861E3">
              <w:t>August or September 2020</w:t>
            </w:r>
            <w:r w:rsidRPr="00D861E3">
              <w:t xml:space="preserve">. This undermined the intended impact of the MIVP. </w:t>
            </w:r>
          </w:p>
          <w:p w14:paraId="7B258626" w14:textId="45DC0D4B" w:rsidR="00887795" w:rsidRPr="00D861E3" w:rsidRDefault="00887795" w:rsidP="00D861E3"/>
        </w:tc>
        <w:tc>
          <w:tcPr>
            <w:tcW w:w="4176" w:type="dxa"/>
          </w:tcPr>
          <w:p w14:paraId="69985417" w14:textId="3349E8CC" w:rsidR="00887795" w:rsidRPr="009644A0" w:rsidRDefault="00887795" w:rsidP="009644A0">
            <w:pPr>
              <w:pStyle w:val="Bullet"/>
            </w:pPr>
            <w:r w:rsidRPr="009644A0">
              <w:t>Identify any system barriers to contracting</w:t>
            </w:r>
            <w:r w:rsidR="00257CC8" w:rsidRPr="009644A0">
              <w:t xml:space="preserve"> out quickly.</w:t>
            </w:r>
            <w:r w:rsidRPr="009644A0">
              <w:t xml:space="preserve"> </w:t>
            </w:r>
            <w:r w:rsidR="00257CC8" w:rsidRPr="009644A0">
              <w:t>F</w:t>
            </w:r>
            <w:r w:rsidR="00127CF1" w:rsidRPr="009644A0">
              <w:t xml:space="preserve">ind ways to get </w:t>
            </w:r>
            <w:r w:rsidR="00922BC3" w:rsidRPr="009644A0">
              <w:t>funding</w:t>
            </w:r>
            <w:r w:rsidR="00127CF1" w:rsidRPr="009644A0">
              <w:t xml:space="preserve"> out to providers in a timelier fashion so that opportunities are not lost</w:t>
            </w:r>
            <w:r w:rsidRPr="009644A0">
              <w:t>.</w:t>
            </w:r>
          </w:p>
        </w:tc>
      </w:tr>
      <w:tr w:rsidR="003C3B72" w:rsidRPr="00D861E3" w14:paraId="785953FB" w14:textId="77777777" w:rsidTr="00D861E3">
        <w:trPr>
          <w:trHeight w:val="990"/>
        </w:trPr>
        <w:tc>
          <w:tcPr>
            <w:tcW w:w="4176" w:type="dxa"/>
          </w:tcPr>
          <w:p w14:paraId="06357701" w14:textId="09F66BC0" w:rsidR="003C3B72" w:rsidRPr="00D861E3" w:rsidRDefault="003C3B72" w:rsidP="00B14BA5">
            <w:pPr>
              <w:pStyle w:val="ListParagraph"/>
              <w:numPr>
                <w:ilvl w:val="0"/>
                <w:numId w:val="12"/>
              </w:numPr>
              <w:ind w:left="390" w:hanging="390"/>
            </w:pPr>
            <w:r w:rsidRPr="00D861E3">
              <w:t>Providers and DHBs need vaccination training and training on vaccine storage and management.</w:t>
            </w:r>
          </w:p>
        </w:tc>
        <w:tc>
          <w:tcPr>
            <w:tcW w:w="4176" w:type="dxa"/>
          </w:tcPr>
          <w:p w14:paraId="56FA92FD" w14:textId="119A811C" w:rsidR="003C3B72" w:rsidRPr="009644A0" w:rsidRDefault="003C3B72" w:rsidP="009644A0">
            <w:pPr>
              <w:pStyle w:val="Bullet"/>
            </w:pPr>
            <w:r w:rsidRPr="009644A0">
              <w:t>DHBs can provide longer-term, ongoing support and training to build a Māori workforce to undertake vaccinations.</w:t>
            </w:r>
          </w:p>
          <w:p w14:paraId="4C23113E" w14:textId="08EE33C7" w:rsidR="003C3B72" w:rsidRPr="009644A0" w:rsidRDefault="003C3B72" w:rsidP="009644A0">
            <w:pPr>
              <w:pStyle w:val="Bullet"/>
            </w:pPr>
            <w:r w:rsidRPr="009644A0">
              <w:t>Investigate what other funding might be accessed for this training</w:t>
            </w:r>
          </w:p>
        </w:tc>
      </w:tr>
      <w:tr w:rsidR="0024276D" w:rsidRPr="00D861E3" w14:paraId="2CA13419" w14:textId="77777777" w:rsidTr="00D861E3">
        <w:tc>
          <w:tcPr>
            <w:tcW w:w="4176" w:type="dxa"/>
          </w:tcPr>
          <w:p w14:paraId="5B91C0CC" w14:textId="21EE742C" w:rsidR="0024276D" w:rsidRPr="00D861E3" w:rsidRDefault="0024276D" w:rsidP="00B14BA5">
            <w:pPr>
              <w:pStyle w:val="ListParagraph"/>
              <w:numPr>
                <w:ilvl w:val="0"/>
                <w:numId w:val="12"/>
              </w:numPr>
              <w:ind w:left="390" w:hanging="390"/>
            </w:pPr>
            <w:r w:rsidRPr="00D861E3">
              <w:t>More timely and accurate data about outreach activities (delivered and planned), vaccine stock location and vaccinations delivered enabled DHBs to forecast vaccine demand and source vaccine as needed for planned activities. As a result, they could more efficiently manage their limited vaccine stock overall.</w:t>
            </w:r>
          </w:p>
        </w:tc>
        <w:tc>
          <w:tcPr>
            <w:tcW w:w="4176" w:type="dxa"/>
          </w:tcPr>
          <w:p w14:paraId="019E2FEC" w14:textId="2E3A897F" w:rsidR="0024276D" w:rsidRPr="009644A0" w:rsidRDefault="0024276D" w:rsidP="009644A0">
            <w:pPr>
              <w:pStyle w:val="Bullet"/>
            </w:pPr>
            <w:r w:rsidRPr="009644A0">
              <w:t xml:space="preserve">There is a critical coordination role for the DHBs. </w:t>
            </w:r>
            <w:r w:rsidR="00D96B9B" w:rsidRPr="009644A0">
              <w:t>Investigate h</w:t>
            </w:r>
            <w:r w:rsidRPr="009644A0">
              <w:t xml:space="preserve">ow the learnings from some DHB regions </w:t>
            </w:r>
            <w:r w:rsidR="00D96B9B" w:rsidRPr="009644A0">
              <w:t xml:space="preserve">might </w:t>
            </w:r>
            <w:r w:rsidRPr="009644A0">
              <w:t>be shared with other regions</w:t>
            </w:r>
            <w:r w:rsidR="00D96B9B" w:rsidRPr="009644A0">
              <w:t>.</w:t>
            </w:r>
          </w:p>
        </w:tc>
      </w:tr>
      <w:tr w:rsidR="00127CF1" w:rsidRPr="00D861E3" w14:paraId="3F2319C6" w14:textId="77777777" w:rsidTr="00D861E3">
        <w:trPr>
          <w:trHeight w:val="1639"/>
        </w:trPr>
        <w:tc>
          <w:tcPr>
            <w:tcW w:w="4176" w:type="dxa"/>
          </w:tcPr>
          <w:p w14:paraId="37B5BABC" w14:textId="4D905B1D" w:rsidR="00127CF1" w:rsidRPr="00D861E3" w:rsidRDefault="00D96B9B" w:rsidP="00B14BA5">
            <w:pPr>
              <w:pStyle w:val="ListParagraph"/>
              <w:numPr>
                <w:ilvl w:val="0"/>
                <w:numId w:val="12"/>
              </w:numPr>
              <w:ind w:left="390" w:hanging="390"/>
            </w:pPr>
            <w:r w:rsidRPr="00D861E3">
              <w:t>One</w:t>
            </w:r>
            <w:r w:rsidR="00887795" w:rsidRPr="00D861E3">
              <w:t xml:space="preserve"> DHB set up a central store of vaccines that providers could access with notice, for any outreach activities. This allowed providers to deliver vaccinations in community sites</w:t>
            </w:r>
            <w:r w:rsidRPr="00D861E3">
              <w:t xml:space="preserve"> that had limited or no suitable storage</w:t>
            </w:r>
            <w:r w:rsidR="00887795" w:rsidRPr="00D861E3">
              <w:t>, such as churches</w:t>
            </w:r>
            <w:r w:rsidRPr="00D861E3">
              <w:t>.</w:t>
            </w:r>
          </w:p>
        </w:tc>
        <w:tc>
          <w:tcPr>
            <w:tcW w:w="4176" w:type="dxa"/>
          </w:tcPr>
          <w:p w14:paraId="51C9A09A" w14:textId="44C6CAD6" w:rsidR="00887795" w:rsidRPr="009644A0" w:rsidRDefault="00887795" w:rsidP="009644A0">
            <w:pPr>
              <w:pStyle w:val="Bullet"/>
            </w:pPr>
            <w:r w:rsidRPr="009644A0">
              <w:t>Determine if this is possible in all regions.</w:t>
            </w:r>
          </w:p>
        </w:tc>
      </w:tr>
      <w:tr w:rsidR="001F5EFE" w:rsidRPr="00D861E3" w14:paraId="66895E42" w14:textId="77777777" w:rsidTr="00D861E3">
        <w:tc>
          <w:tcPr>
            <w:tcW w:w="4176" w:type="dxa"/>
          </w:tcPr>
          <w:p w14:paraId="1735689B" w14:textId="698000C0" w:rsidR="00922BC3" w:rsidRPr="00D861E3" w:rsidRDefault="00922BC3" w:rsidP="00B14BA5">
            <w:pPr>
              <w:pStyle w:val="ListParagraph"/>
              <w:numPr>
                <w:ilvl w:val="0"/>
                <w:numId w:val="12"/>
              </w:numPr>
              <w:ind w:left="390" w:hanging="390"/>
            </w:pPr>
            <w:r w:rsidRPr="00D861E3">
              <w:t>Some providers and DHBs spoke of the physical assets needed to deliver temporary clinics or mobile services and used the funding to buy needed</w:t>
            </w:r>
            <w:r w:rsidR="00D861E3">
              <w:t xml:space="preserve"> </w:t>
            </w:r>
            <w:r w:rsidRPr="00D861E3">
              <w:t xml:space="preserve">resources. </w:t>
            </w:r>
          </w:p>
          <w:p w14:paraId="12A8A77D" w14:textId="121DAAFD" w:rsidR="001F5EFE" w:rsidRPr="00D861E3" w:rsidRDefault="00922BC3" w:rsidP="00B14BA5">
            <w:pPr>
              <w:pStyle w:val="ListParagraph"/>
              <w:numPr>
                <w:ilvl w:val="0"/>
                <w:numId w:val="12"/>
              </w:numPr>
              <w:ind w:left="390" w:hanging="390"/>
            </w:pPr>
            <w:r w:rsidRPr="00D861E3">
              <w:t xml:space="preserve">Purchases included cold chain resources such as chilly bins and fridges or physical assets needed to run a pop-up clinic. </w:t>
            </w:r>
          </w:p>
        </w:tc>
        <w:tc>
          <w:tcPr>
            <w:tcW w:w="4176" w:type="dxa"/>
          </w:tcPr>
          <w:p w14:paraId="6B2E33E2" w14:textId="0D37C09F" w:rsidR="00C1583B" w:rsidRPr="009644A0" w:rsidRDefault="00922BC3" w:rsidP="009644A0">
            <w:pPr>
              <w:pStyle w:val="Bullet"/>
            </w:pPr>
            <w:r w:rsidRPr="009644A0">
              <w:t>DHBs can support providers in sourcing equipment for outreach activities and equipment to manage vaccines.</w:t>
            </w:r>
          </w:p>
        </w:tc>
      </w:tr>
      <w:tr w:rsidR="00922BC3" w:rsidRPr="00D861E3" w14:paraId="7D77FFB9" w14:textId="77777777" w:rsidTr="00D861E3">
        <w:tc>
          <w:tcPr>
            <w:tcW w:w="4176" w:type="dxa"/>
          </w:tcPr>
          <w:p w14:paraId="5A08C5E4" w14:textId="3DC04E26" w:rsidR="0024276D" w:rsidRPr="00D861E3" w:rsidRDefault="00922BC3" w:rsidP="00B14BA5">
            <w:pPr>
              <w:pStyle w:val="ListParagraph"/>
              <w:numPr>
                <w:ilvl w:val="0"/>
                <w:numId w:val="12"/>
              </w:numPr>
              <w:ind w:left="390" w:hanging="390"/>
            </w:pPr>
            <w:r w:rsidRPr="00D861E3">
              <w:t xml:space="preserve">There is </w:t>
            </w:r>
            <w:r w:rsidR="00442446" w:rsidRPr="00D861E3">
              <w:t xml:space="preserve">no process for capturing information about </w:t>
            </w:r>
            <w:r w:rsidRPr="00D861E3">
              <w:t xml:space="preserve">whānau that decline vaccinations, particularly in outreach activities. </w:t>
            </w:r>
          </w:p>
          <w:p w14:paraId="5AFE9668" w14:textId="4B8A090E" w:rsidR="00922BC3" w:rsidRPr="00D861E3" w:rsidRDefault="00922BC3" w:rsidP="00B14BA5">
            <w:pPr>
              <w:pStyle w:val="ListParagraph"/>
              <w:numPr>
                <w:ilvl w:val="0"/>
                <w:numId w:val="12"/>
              </w:numPr>
              <w:ind w:left="390" w:hanging="390"/>
            </w:pPr>
            <w:r w:rsidRPr="00D861E3">
              <w:t xml:space="preserve">Without a consistent way to record an individual’s decline to receive a vaccine, they may receive repeat targeted </w:t>
            </w:r>
            <w:proofErr w:type="gramStart"/>
            <w:r w:rsidRPr="00D861E3">
              <w:t>communications</w:t>
            </w:r>
            <w:proofErr w:type="gramEnd"/>
            <w:r w:rsidRPr="00D861E3">
              <w:t xml:space="preserve"> and</w:t>
            </w:r>
            <w:r w:rsidR="00D96B9B" w:rsidRPr="00D861E3">
              <w:t xml:space="preserve"> this</w:t>
            </w:r>
            <w:r w:rsidRPr="00D861E3">
              <w:t xml:space="preserve"> increase</w:t>
            </w:r>
            <w:r w:rsidR="00D96B9B" w:rsidRPr="00D861E3">
              <w:t>s</w:t>
            </w:r>
            <w:r w:rsidRPr="00D861E3">
              <w:t xml:space="preserve"> the </w:t>
            </w:r>
            <w:r w:rsidRPr="00D861E3">
              <w:lastRenderedPageBreak/>
              <w:t xml:space="preserve">risk of </w:t>
            </w:r>
            <w:r w:rsidR="00D96B9B" w:rsidRPr="00D861E3">
              <w:t xml:space="preserve">frustration and </w:t>
            </w:r>
            <w:r w:rsidRPr="00D861E3">
              <w:t>disengagement from health providers.</w:t>
            </w:r>
          </w:p>
        </w:tc>
        <w:tc>
          <w:tcPr>
            <w:tcW w:w="4176" w:type="dxa"/>
          </w:tcPr>
          <w:p w14:paraId="73DCECDE" w14:textId="205BCDB4" w:rsidR="00922BC3" w:rsidRPr="001770F7" w:rsidRDefault="00D96B9B" w:rsidP="001770F7">
            <w:pPr>
              <w:pStyle w:val="Bullet"/>
            </w:pPr>
            <w:r w:rsidRPr="001770F7">
              <w:lastRenderedPageBreak/>
              <w:t>Investigate h</w:t>
            </w:r>
            <w:r w:rsidR="00922BC3" w:rsidRPr="001770F7">
              <w:t>ow</w:t>
            </w:r>
            <w:r w:rsidRPr="001770F7">
              <w:t xml:space="preserve"> </w:t>
            </w:r>
            <w:r w:rsidR="00922BC3" w:rsidRPr="001770F7">
              <w:t xml:space="preserve">a record of vaccination declines </w:t>
            </w:r>
            <w:r w:rsidRPr="001770F7">
              <w:t xml:space="preserve">might </w:t>
            </w:r>
            <w:r w:rsidR="00922BC3" w:rsidRPr="001770F7">
              <w:t>be developed</w:t>
            </w:r>
            <w:r w:rsidR="0024276D" w:rsidRPr="001770F7">
              <w:t xml:space="preserve"> for all regions</w:t>
            </w:r>
            <w:r w:rsidRPr="001770F7">
              <w:t>.</w:t>
            </w:r>
          </w:p>
        </w:tc>
      </w:tr>
    </w:tbl>
    <w:p w14:paraId="15A8D470" w14:textId="31386E88" w:rsidR="005055C0" w:rsidRDefault="005055C0" w:rsidP="0024276D">
      <w:pPr>
        <w:pStyle w:val="Bullet"/>
        <w:numPr>
          <w:ilvl w:val="0"/>
          <w:numId w:val="0"/>
        </w:numPr>
        <w:spacing w:before="0" w:after="0"/>
        <w:rPr>
          <w:highlight w:val="yellow"/>
        </w:rPr>
      </w:pPr>
      <w:bookmarkStart w:id="6" w:name="_Toc58347865"/>
      <w:bookmarkStart w:id="7" w:name="_Hlk58505081"/>
      <w:bookmarkEnd w:id="4"/>
    </w:p>
    <w:p w14:paraId="5CF52A5A" w14:textId="0A42E42F" w:rsidR="005055C0" w:rsidRDefault="005055C0" w:rsidP="005055C0">
      <w:pPr>
        <w:pStyle w:val="Heading2"/>
      </w:pPr>
      <w:bookmarkStart w:id="8" w:name="_Toc70763250"/>
      <w:r w:rsidRPr="005055C0">
        <w:t>Conclusion</w:t>
      </w:r>
      <w:bookmarkEnd w:id="8"/>
    </w:p>
    <w:p w14:paraId="33C86757" w14:textId="245BED63" w:rsidR="005055C0" w:rsidRPr="005055C0" w:rsidRDefault="00442446" w:rsidP="005055C0">
      <w:pPr>
        <w:pStyle w:val="BodyText"/>
        <w:rPr>
          <w:color w:val="404040" w:themeColor="text1" w:themeTint="BF"/>
          <w:szCs w:val="18"/>
        </w:rPr>
      </w:pPr>
      <w:r>
        <w:t>The Māori Influenza Vaccination Programme</w:t>
      </w:r>
      <w:r w:rsidRPr="005055C0">
        <w:t xml:space="preserve"> </w:t>
      </w:r>
      <w:r w:rsidR="005055C0" w:rsidRPr="005055C0">
        <w:t>responded to long-standing inequity as part of a COVID-19 Māori health response. It contributed to increased Māori flu vaccination rates and improved equity.</w:t>
      </w:r>
      <w:r w:rsidR="005055C0" w:rsidRPr="005055C0">
        <w:rPr>
          <w:color w:val="404040" w:themeColor="text1" w:themeTint="BF"/>
          <w:szCs w:val="18"/>
        </w:rPr>
        <w:t xml:space="preserve"> </w:t>
      </w:r>
      <w:r w:rsidR="005055C0" w:rsidRPr="005055C0">
        <w:t xml:space="preserve">More than just increased flu vaccinations, as valuable as these are, </w:t>
      </w:r>
      <w:r>
        <w:t xml:space="preserve">the programme </w:t>
      </w:r>
      <w:r w:rsidR="005055C0" w:rsidRPr="005055C0">
        <w:t>provided the opportunity for providers and DHBS to innovate</w:t>
      </w:r>
      <w:r w:rsidR="00D96B9B">
        <w:t>,</w:t>
      </w:r>
      <w:r w:rsidR="005055C0" w:rsidRPr="005055C0">
        <w:t xml:space="preserve"> design new service responses and to adapt existing services. It identified key strategies, </w:t>
      </w:r>
      <w:proofErr w:type="gramStart"/>
      <w:r w:rsidR="005055C0" w:rsidRPr="005055C0">
        <w:t>principles</w:t>
      </w:r>
      <w:proofErr w:type="gramEnd"/>
      <w:r w:rsidR="005055C0" w:rsidRPr="005055C0">
        <w:t xml:space="preserve"> and core service elements.</w:t>
      </w:r>
    </w:p>
    <w:p w14:paraId="2A313CD7" w14:textId="07AEDEB8" w:rsidR="005055C0" w:rsidRDefault="005055C0" w:rsidP="005055C0">
      <w:pPr>
        <w:pStyle w:val="BodyText"/>
      </w:pPr>
      <w:r w:rsidRPr="005055C0">
        <w:t xml:space="preserve">What made the difference was the </w:t>
      </w:r>
      <w:r w:rsidR="00353BA9">
        <w:t>programme</w:t>
      </w:r>
      <w:r w:rsidR="00353BA9" w:rsidRPr="005055C0">
        <w:t xml:space="preserve"> </w:t>
      </w:r>
      <w:r w:rsidRPr="005055C0">
        <w:t>reduced barriers and improved access. Most flu vaccinations are administered by GP services</w:t>
      </w:r>
      <w:r w:rsidR="00353BA9">
        <w:t xml:space="preserve"> and </w:t>
      </w:r>
      <w:r w:rsidRPr="005055C0">
        <w:t>Māori providers and DHBs responded to the well-known barriers for M</w:t>
      </w:r>
      <w:r w:rsidR="00D96B9B" w:rsidRPr="005055C0">
        <w:t>ā</w:t>
      </w:r>
      <w:r w:rsidRPr="005055C0">
        <w:t xml:space="preserve">ori of access to services, cost, poor service experience, cultural barriers, poor health literacy and the clash of Western and Māori worlds. </w:t>
      </w:r>
      <w:r w:rsidR="00353BA9">
        <w:t xml:space="preserve">The programme </w:t>
      </w:r>
      <w:r w:rsidRPr="005055C0">
        <w:t xml:space="preserve">displayed the effectiveness of mobilising primary care services, in combination with a whānau-centred approach, alongside Māori workforce development, to reduce barriers and improve access to flu vaccinations for Māori. </w:t>
      </w:r>
    </w:p>
    <w:p w14:paraId="4AAA0206" w14:textId="60D04B77" w:rsidR="00D258A0" w:rsidRDefault="00353BA9" w:rsidP="00D258A0">
      <w:pPr>
        <w:pStyle w:val="BodyText"/>
      </w:pPr>
      <w:r>
        <w:t xml:space="preserve">The </w:t>
      </w:r>
      <w:r w:rsidR="00EC6371">
        <w:t xml:space="preserve">MIVP </w:t>
      </w:r>
      <w:r w:rsidR="00D258A0">
        <w:t xml:space="preserve">demonstrated the effectiveness of mobilising primary care services, in combination with a whānau-centred approach, to reduce barriers and improve access to flu vaccinations for Māori. </w:t>
      </w:r>
    </w:p>
    <w:p w14:paraId="3DF7BB7A" w14:textId="77777777" w:rsidR="005055C0" w:rsidRPr="005055C0" w:rsidRDefault="005055C0" w:rsidP="00EC6371">
      <w:pPr>
        <w:pStyle w:val="QuoteSmallBlue"/>
      </w:pPr>
      <w:r w:rsidRPr="005055C0">
        <w:t>A mobilised, whānau-centred approach offers a new lever in the health delivery system alongside GPs and pharmacies. Over and above flu vaccinations it has the potential, to make a radical difference to Māori experiences of primary health care, Māori health outcomes and equity.</w:t>
      </w:r>
    </w:p>
    <w:p w14:paraId="465811A9" w14:textId="41E525A8" w:rsidR="00353BA9" w:rsidRDefault="005055C0" w:rsidP="00353BA9">
      <w:pPr>
        <w:pStyle w:val="BodyText"/>
        <w:rPr>
          <w:b/>
          <w:bCs/>
        </w:rPr>
      </w:pPr>
      <w:r>
        <w:t xml:space="preserve">Currently, most Māori are not receiving equity of health care, and the significant disparity in equity rates for flu vaccinations is important. Some regions are closing the gap using a mobilised, whānau-centred approach. </w:t>
      </w:r>
      <w:r w:rsidR="00353BA9" w:rsidRPr="00DD2563">
        <w:rPr>
          <w:b/>
          <w:bCs/>
        </w:rPr>
        <w:t xml:space="preserve">The critical learning from </w:t>
      </w:r>
      <w:r w:rsidR="00353BA9">
        <w:rPr>
          <w:b/>
          <w:bCs/>
        </w:rPr>
        <w:t>the Māori Influenza Vaccination Programme</w:t>
      </w:r>
      <w:r w:rsidR="00353BA9" w:rsidRPr="00DD2563">
        <w:rPr>
          <w:b/>
          <w:bCs/>
        </w:rPr>
        <w:t xml:space="preserve"> is that delivery of vaccinations is more than just a jab. Th</w:t>
      </w:r>
      <w:r w:rsidR="00353BA9">
        <w:rPr>
          <w:b/>
          <w:bCs/>
        </w:rPr>
        <w:t>e</w:t>
      </w:r>
      <w:r w:rsidR="00353BA9" w:rsidRPr="00DD2563">
        <w:rPr>
          <w:b/>
          <w:bCs/>
        </w:rPr>
        <w:t xml:space="preserve"> MIVP delivers the ingredients for system transformation</w:t>
      </w:r>
      <w:r w:rsidR="00353BA9">
        <w:rPr>
          <w:b/>
          <w:bCs/>
        </w:rPr>
        <w:t>.</w:t>
      </w:r>
    </w:p>
    <w:p w14:paraId="0EE26BCF" w14:textId="0DAB725A" w:rsidR="00C37D36" w:rsidRDefault="00C37D36" w:rsidP="00C37D36">
      <w:pPr>
        <w:pStyle w:val="BodyText"/>
        <w:numPr>
          <w:ilvl w:val="0"/>
          <w:numId w:val="0"/>
        </w:numPr>
        <w:rPr>
          <w:b/>
          <w:bCs/>
        </w:rPr>
      </w:pPr>
    </w:p>
    <w:p w14:paraId="054E9E85" w14:textId="3AB6CA38" w:rsidR="00C37D36" w:rsidRDefault="00C37D36" w:rsidP="00C37D36">
      <w:pPr>
        <w:pStyle w:val="BodyText"/>
        <w:numPr>
          <w:ilvl w:val="0"/>
          <w:numId w:val="0"/>
        </w:numPr>
        <w:rPr>
          <w:b/>
          <w:bCs/>
        </w:rPr>
      </w:pPr>
    </w:p>
    <w:p w14:paraId="1178AC06" w14:textId="36588A45" w:rsidR="00C37D36" w:rsidRPr="00DD2563" w:rsidRDefault="00C37D36" w:rsidP="00C37D36">
      <w:pPr>
        <w:pStyle w:val="BodyText"/>
        <w:numPr>
          <w:ilvl w:val="0"/>
          <w:numId w:val="0"/>
        </w:numPr>
        <w:rPr>
          <w:b/>
          <w:bCs/>
        </w:rPr>
      </w:pPr>
    </w:p>
    <w:p w14:paraId="5708510A" w14:textId="4E1251A2" w:rsidR="00353BA9" w:rsidRDefault="00353BA9" w:rsidP="00353BA9">
      <w:pPr>
        <w:pStyle w:val="Heading1"/>
      </w:pPr>
      <w:bookmarkStart w:id="9" w:name="_Toc70763251"/>
      <w:bookmarkEnd w:id="6"/>
      <w:bookmarkEnd w:id="7"/>
      <w:r>
        <w:lastRenderedPageBreak/>
        <w:t>The Māori Influenza Vaccination Programme</w:t>
      </w:r>
      <w:bookmarkEnd w:id="9"/>
    </w:p>
    <w:p w14:paraId="26CEB4C2" w14:textId="18D95DCF" w:rsidR="001C3AD3" w:rsidRDefault="001C3AD3" w:rsidP="00353BA9">
      <w:pPr>
        <w:pStyle w:val="Heading2"/>
      </w:pPr>
      <w:bookmarkStart w:id="10" w:name="_Toc70763252"/>
      <w:r w:rsidRPr="00BF5E38">
        <w:t>Introduction</w:t>
      </w:r>
      <w:bookmarkEnd w:id="10"/>
    </w:p>
    <w:p w14:paraId="6302A28C" w14:textId="0891D6AB" w:rsidR="00C4712D" w:rsidRPr="0048062B" w:rsidRDefault="00C4712D" w:rsidP="00C4712D">
      <w:pPr>
        <w:pStyle w:val="BodyText"/>
      </w:pPr>
      <w:r w:rsidRPr="00121702">
        <w:t>This</w:t>
      </w:r>
      <w:r w:rsidRPr="005D4146">
        <w:t xml:space="preserve"> document contains the findings of a Rapid Insight Cycle Evaluation of the Māori Influenza Vacci</w:t>
      </w:r>
      <w:r w:rsidR="005E0125">
        <w:t>nation</w:t>
      </w:r>
      <w:r w:rsidRPr="005D4146">
        <w:t xml:space="preserve"> Programme</w:t>
      </w:r>
      <w:r w:rsidR="005E0125">
        <w:t xml:space="preserve"> (MIVP)</w:t>
      </w:r>
      <w:r w:rsidR="003C4CDF">
        <w:t xml:space="preserve">. </w:t>
      </w:r>
      <w:r w:rsidRPr="0048062B">
        <w:t xml:space="preserve">The Ministry of Health (the Ministry) developed MIVP in response to COVID-19. </w:t>
      </w:r>
      <w:r w:rsidR="006D7215">
        <w:t>The g</w:t>
      </w:r>
      <w:r w:rsidR="006D7215" w:rsidRPr="0048062B">
        <w:t xml:space="preserve">overnment set aside up to $9.5m for </w:t>
      </w:r>
      <w:r w:rsidR="006D7215">
        <w:t>d</w:t>
      </w:r>
      <w:r w:rsidR="006D7215" w:rsidRPr="0048062B">
        <w:t xml:space="preserve">istrict </w:t>
      </w:r>
      <w:r w:rsidR="006D7215">
        <w:t>h</w:t>
      </w:r>
      <w:r w:rsidR="006D7215" w:rsidRPr="0048062B">
        <w:t xml:space="preserve">ealth </w:t>
      </w:r>
      <w:r w:rsidR="006D7215">
        <w:t>b</w:t>
      </w:r>
      <w:r w:rsidR="006D7215" w:rsidRPr="0048062B">
        <w:t xml:space="preserve">oards (DHBs) and Māori health and disability providers. </w:t>
      </w:r>
      <w:r w:rsidR="006D7215">
        <w:t xml:space="preserve">The </w:t>
      </w:r>
      <w:r w:rsidR="00207860">
        <w:t xml:space="preserve">MIVP is one of </w:t>
      </w:r>
      <w:proofErr w:type="gramStart"/>
      <w:r w:rsidR="00207860">
        <w:t>a number of</w:t>
      </w:r>
      <w:proofErr w:type="gramEnd"/>
      <w:r w:rsidR="00207860">
        <w:t xml:space="preserve"> initiatives that responds to </w:t>
      </w:r>
      <w:proofErr w:type="spellStart"/>
      <w:r w:rsidR="00207860">
        <w:t>Whakamaua</w:t>
      </w:r>
      <w:proofErr w:type="spellEnd"/>
      <w:r w:rsidR="00207860">
        <w:t>: the Māori Health Plan 2020-2025</w:t>
      </w:r>
      <w:r w:rsidR="00207860">
        <w:rPr>
          <w:rStyle w:val="FootnoteReference"/>
        </w:rPr>
        <w:footnoteReference w:id="3"/>
      </w:r>
      <w:r w:rsidR="00207860">
        <w:t>.</w:t>
      </w:r>
      <w:r w:rsidRPr="0048062B">
        <w:t xml:space="preserve"> The MIVP aimed to increase access to influenza (flu) vaccine for vulnerable</w:t>
      </w:r>
      <w:r w:rsidRPr="002508C8">
        <w:rPr>
          <w:rStyle w:val="FootnoteReference"/>
        </w:rPr>
        <w:footnoteReference w:id="4"/>
      </w:r>
      <w:r w:rsidRPr="0048062B">
        <w:t xml:space="preserve"> Māori groups who were eligible for free vaccinations. Eligible </w:t>
      </w:r>
      <w:r>
        <w:t>Māori</w:t>
      </w:r>
      <w:r w:rsidRPr="0048062B">
        <w:t xml:space="preserve"> included </w:t>
      </w:r>
      <w:proofErr w:type="spellStart"/>
      <w:r w:rsidRPr="0048062B">
        <w:t>kaumātua</w:t>
      </w:r>
      <w:proofErr w:type="spellEnd"/>
      <w:r w:rsidRPr="0048062B">
        <w:t xml:space="preserve"> </w:t>
      </w:r>
      <w:r w:rsidR="00D96B9B">
        <w:t xml:space="preserve">aged </w:t>
      </w:r>
      <w:r w:rsidRPr="0048062B">
        <w:t xml:space="preserve">over 65 years, </w:t>
      </w:r>
      <w:proofErr w:type="spellStart"/>
      <w:r w:rsidRPr="0048062B">
        <w:t>hapū</w:t>
      </w:r>
      <w:proofErr w:type="spellEnd"/>
      <w:r w:rsidRPr="0048062B">
        <w:t xml:space="preserve"> </w:t>
      </w:r>
      <w:proofErr w:type="spellStart"/>
      <w:r w:rsidRPr="0048062B">
        <w:t>māmā</w:t>
      </w:r>
      <w:proofErr w:type="spellEnd"/>
      <w:r w:rsidRPr="0048062B">
        <w:t xml:space="preserve"> and those with pre-existing conditions. Equity was the driving funding allocation principle</w:t>
      </w:r>
      <w:r w:rsidR="00D96B9B">
        <w:t>,</w:t>
      </w:r>
      <w:r w:rsidRPr="0048062B">
        <w:t xml:space="preserve"> specifically improving Māori </w:t>
      </w:r>
      <w:r>
        <w:t>flu</w:t>
      </w:r>
      <w:r w:rsidRPr="0048062B">
        <w:t xml:space="preserve"> vaccination equity</w:t>
      </w:r>
      <w:r>
        <w:t>.</w:t>
      </w:r>
    </w:p>
    <w:p w14:paraId="6CC3112F" w14:textId="3D544E66" w:rsidR="00B06A66" w:rsidRDefault="00C64A10" w:rsidP="00C64A10">
      <w:pPr>
        <w:pStyle w:val="Heading2"/>
      </w:pPr>
      <w:bookmarkStart w:id="11" w:name="_Toc70763253"/>
      <w:r>
        <w:t>Context</w:t>
      </w:r>
      <w:bookmarkEnd w:id="11"/>
      <w:r>
        <w:t xml:space="preserve"> </w:t>
      </w:r>
    </w:p>
    <w:p w14:paraId="3116088B" w14:textId="6CB203AB" w:rsidR="00C64A10" w:rsidRPr="00C64A10" w:rsidRDefault="00C4712D" w:rsidP="00C4712D">
      <w:pPr>
        <w:pStyle w:val="BodyText"/>
      </w:pPr>
      <w:r>
        <w:t>“</w:t>
      </w:r>
      <w:r w:rsidRPr="00345051">
        <w:t>In Aotearoa New Zealand, people have differences in health that are not only avoidable but unfair and unjust. Equity recognises different people with different levels of advantage require different approaches and resources to get equitable health outcomes</w:t>
      </w:r>
      <w:r>
        <w:t>.”</w:t>
      </w:r>
      <w:r w:rsidRPr="006D25EE">
        <w:rPr>
          <w:rStyle w:val="FootnoteReference"/>
        </w:rPr>
        <w:t xml:space="preserve"> </w:t>
      </w:r>
      <w:r>
        <w:rPr>
          <w:rStyle w:val="FootnoteReference"/>
        </w:rPr>
        <w:footnoteReference w:id="5"/>
      </w:r>
      <w:r>
        <w:t xml:space="preserve"> Therefore, doing </w:t>
      </w:r>
      <w:r w:rsidRPr="00FB333E">
        <w:t>‘more of the same’ is rarely effective for social groups</w:t>
      </w:r>
      <w:r>
        <w:t xml:space="preserve"> whose needs are not met</w:t>
      </w:r>
      <w:r w:rsidRPr="00FB333E">
        <w:t xml:space="preserve">. </w:t>
      </w:r>
      <w:r>
        <w:t xml:space="preserve">Instead, </w:t>
      </w:r>
      <w:r w:rsidRPr="00FB333E">
        <w:t>different social groups</w:t>
      </w:r>
      <w:r>
        <w:t xml:space="preserve"> need targeted</w:t>
      </w:r>
      <w:r w:rsidRPr="00FB333E">
        <w:t xml:space="preserve"> interventions, policies and programmes </w:t>
      </w:r>
      <w:r>
        <w:t>designed</w:t>
      </w:r>
      <w:r w:rsidRPr="00FB333E">
        <w:t xml:space="preserve"> to </w:t>
      </w:r>
      <w:r>
        <w:t>meet their</w:t>
      </w:r>
      <w:r w:rsidRPr="00FB333E">
        <w:t xml:space="preserve"> specific needs</w:t>
      </w:r>
      <w:r>
        <w:t>.</w:t>
      </w:r>
      <w:r>
        <w:rPr>
          <w:rStyle w:val="FootnoteReference"/>
        </w:rPr>
        <w:footnoteReference w:id="6"/>
      </w:r>
      <w:r>
        <w:t xml:space="preserve"> This is the premise of </w:t>
      </w:r>
      <w:r w:rsidRPr="00B92262">
        <w:t>the MIVP.</w:t>
      </w:r>
    </w:p>
    <w:p w14:paraId="35529729" w14:textId="68C2503F" w:rsidR="00C64A10" w:rsidRPr="00C64A10" w:rsidRDefault="00C64A10" w:rsidP="00C64A10">
      <w:pPr>
        <w:pStyle w:val="BodyText"/>
      </w:pPr>
      <w:r w:rsidRPr="00C64A10">
        <w:t>Over-representation of Māori occurs for almost every type of illness, and every known determinant that leads to poor health. They experience inequitable rates of many chronic conditions and co</w:t>
      </w:r>
      <w:r w:rsidR="00D96B9B">
        <w:t>-</w:t>
      </w:r>
      <w:r w:rsidRPr="00C64A10">
        <w:t xml:space="preserve">morbidities and, as a result, are at an increased risk of COVID-19 infection and mortality should a community outbreak occur. Also, past pandemics (the Spanish Flu, the H1N1 Virus) have disproportionately impacted Māori. The unequal distribution and exposure to the determinants of health further increase the risk for Māori. </w:t>
      </w:r>
    </w:p>
    <w:p w14:paraId="3C7DD17E" w14:textId="77777777" w:rsidR="00C64A10" w:rsidRPr="00C64A10" w:rsidRDefault="00C64A10" w:rsidP="00C64A10">
      <w:pPr>
        <w:pStyle w:val="BodyText"/>
      </w:pPr>
      <w:r w:rsidRPr="00C64A10">
        <w:t>For these reasons, the Government assigned around $50m for a COVID-19 Māori support package to protect and uplift Māori health during the pandemic. Up to $10m of this fund was set aside for MIVP to increase access to influenza (flu) vaccine for vulnerable Māori groups.</w:t>
      </w:r>
    </w:p>
    <w:p w14:paraId="259125E6" w14:textId="0443A69E" w:rsidR="00C64A10" w:rsidRDefault="00C64A10" w:rsidP="00C64A10">
      <w:pPr>
        <w:pStyle w:val="BodyText"/>
      </w:pPr>
      <w:r w:rsidRPr="00C64A10">
        <w:t>Equity, and specifically improving the Māori flu vaccination equity</w:t>
      </w:r>
      <w:r w:rsidR="005E0125">
        <w:t xml:space="preserve"> rates</w:t>
      </w:r>
      <w:r w:rsidRPr="00C64A10">
        <w:t xml:space="preserve">, was the driving funding allocation principle. As flu vaccinations rates were low across the country, all regions were eligible for funding. Division of possible funding was based on </w:t>
      </w:r>
      <w:r w:rsidR="00D75B12">
        <w:t xml:space="preserve">the </w:t>
      </w:r>
      <w:r w:rsidRPr="00C64A10">
        <w:t>Māori population in each region.</w:t>
      </w:r>
    </w:p>
    <w:p w14:paraId="22254402" w14:textId="77777777" w:rsidR="00C64A10" w:rsidRDefault="00C64A10" w:rsidP="00C64A10">
      <w:pPr>
        <w:pStyle w:val="Heading2"/>
      </w:pPr>
      <w:bookmarkStart w:id="12" w:name="_Toc70763254"/>
      <w:r>
        <w:t xml:space="preserve">MIVP application process and </w:t>
      </w:r>
      <w:r w:rsidRPr="00C64A10">
        <w:t>funding</w:t>
      </w:r>
      <w:bookmarkEnd w:id="12"/>
    </w:p>
    <w:p w14:paraId="0AAEB568" w14:textId="77777777" w:rsidR="00C64A10" w:rsidRDefault="00C64A10" w:rsidP="00C64A10">
      <w:pPr>
        <w:pStyle w:val="BodyText"/>
      </w:pPr>
      <w:r>
        <w:t xml:space="preserve">Funding was available to DHBs and Māori health and disability providers. There were two funding streams: </w:t>
      </w:r>
    </w:p>
    <w:p w14:paraId="6B71FE7E" w14:textId="276DE192" w:rsidR="00C64A10" w:rsidRPr="00C64A10" w:rsidRDefault="00C64A10" w:rsidP="00C64A10">
      <w:pPr>
        <w:pStyle w:val="Bullet"/>
      </w:pPr>
      <w:r w:rsidRPr="00C64A10">
        <w:t>providers could apply directly to the Ministry and contract with Ministry</w:t>
      </w:r>
      <w:r w:rsidR="00353BA9">
        <w:rPr>
          <w:rStyle w:val="FootnoteReference"/>
        </w:rPr>
        <w:footnoteReference w:id="7"/>
      </w:r>
    </w:p>
    <w:p w14:paraId="0F3D0BF5" w14:textId="7AF39180" w:rsidR="00C64A10" w:rsidRPr="00C64A10" w:rsidRDefault="00C64A10" w:rsidP="00C64A10">
      <w:pPr>
        <w:pStyle w:val="Bullet"/>
      </w:pPr>
      <w:r w:rsidRPr="00C64A10">
        <w:lastRenderedPageBreak/>
        <w:t xml:space="preserve">providers could work in partnership with their DHB, be included in the DHB application and contract to their DHB. </w:t>
      </w:r>
    </w:p>
    <w:p w14:paraId="4CD8800E" w14:textId="333747C0" w:rsidR="00C65DE4" w:rsidRDefault="00C65DE4" w:rsidP="00C64A10">
      <w:pPr>
        <w:pStyle w:val="BodyText"/>
      </w:pPr>
      <w:r w:rsidRPr="00C65DE4">
        <w:t xml:space="preserve">The Ministry approved 31 of the 36 applications received, including </w:t>
      </w:r>
      <w:r>
        <w:t>two</w:t>
      </w:r>
      <w:r w:rsidRPr="00C65DE4">
        <w:t xml:space="preserve"> collaborative applications for services across </w:t>
      </w:r>
      <w:r>
        <w:t>two</w:t>
      </w:r>
      <w:r w:rsidRPr="00C65DE4">
        <w:t xml:space="preserve"> or more regions. Five applicants later decided to become sub-contractors to local DHBs. That left 26 organisations for the Ministry to contract with, comprising 18 providers and eight DHBs.</w:t>
      </w:r>
    </w:p>
    <w:p w14:paraId="340063F0" w14:textId="173E51E5" w:rsidR="00C64A10" w:rsidRDefault="00C64A10" w:rsidP="00C64A10">
      <w:pPr>
        <w:pStyle w:val="BodyText"/>
      </w:pPr>
      <w:r>
        <w:t xml:space="preserve">The Ministry </w:t>
      </w:r>
      <w:r w:rsidR="00350509">
        <w:t xml:space="preserve">awarded </w:t>
      </w:r>
      <w:r>
        <w:t xml:space="preserve">$6.972 million across19 DHB regions. </w:t>
      </w:r>
      <w:r w:rsidR="00061BE6">
        <w:t xml:space="preserve">Funding </w:t>
      </w:r>
      <w:r w:rsidR="00056BE5">
        <w:t xml:space="preserve">was earmarked for all regions </w:t>
      </w:r>
      <w:r w:rsidR="00061BE6">
        <w:t>based on the regional Māori population</w:t>
      </w:r>
      <w:r w:rsidR="00056BE5">
        <w:t>s</w:t>
      </w:r>
      <w:r w:rsidR="00061BE6">
        <w:t xml:space="preserve">. </w:t>
      </w:r>
      <w:r w:rsidR="00056BE5">
        <w:t xml:space="preserve">Only one </w:t>
      </w:r>
      <w:r>
        <w:t xml:space="preserve">region, South Canterbury, did not receive </w:t>
      </w:r>
      <w:r w:rsidR="00056BE5">
        <w:t>funding</w:t>
      </w:r>
      <w:r w:rsidR="00AF60D0">
        <w:rPr>
          <w:rStyle w:val="FootnoteReference"/>
        </w:rPr>
        <w:footnoteReference w:id="8"/>
      </w:r>
      <w:r w:rsidR="00AF60D0">
        <w:t xml:space="preserve">. </w:t>
      </w:r>
      <w:r>
        <w:t>Of the remaining:</w:t>
      </w:r>
    </w:p>
    <w:p w14:paraId="0E06AEEE" w14:textId="021CA1F1" w:rsidR="00C64A10" w:rsidRDefault="00C65DE4" w:rsidP="00C64A10">
      <w:pPr>
        <w:pStyle w:val="Bullet"/>
      </w:pPr>
      <w:r>
        <w:t>18</w:t>
      </w:r>
      <w:r w:rsidR="00C64A10">
        <w:t xml:space="preserve"> </w:t>
      </w:r>
      <w:r w:rsidR="00E53D03">
        <w:t xml:space="preserve">providers received direct funds of </w:t>
      </w:r>
      <w:proofErr w:type="gramStart"/>
      <w:r w:rsidR="00C64A10">
        <w:t>$2,061,618.00</w:t>
      </w:r>
      <w:proofErr w:type="gramEnd"/>
    </w:p>
    <w:p w14:paraId="3E806914" w14:textId="3378E8E9" w:rsidR="00C64A10" w:rsidRDefault="00C64A10" w:rsidP="00C64A10">
      <w:pPr>
        <w:pStyle w:val="Bullet"/>
      </w:pPr>
      <w:r>
        <w:t>eight DHBs (including 40 providers) received $4,910,845.20.</w:t>
      </w:r>
    </w:p>
    <w:p w14:paraId="17973A5B" w14:textId="0F285673" w:rsidR="00C65DE4" w:rsidRPr="00C65DE4" w:rsidRDefault="009E0482" w:rsidP="00C65DE4">
      <w:pPr>
        <w:pStyle w:val="BodyText"/>
      </w:pPr>
      <w:r>
        <w:rPr>
          <w:shd w:val="clear" w:color="auto" w:fill="FFFFFF" w:themeFill="background1"/>
          <w:lang w:val="en-AU"/>
        </w:rPr>
        <w:t xml:space="preserve">Funding ranged </w:t>
      </w:r>
      <w:r w:rsidRPr="00221242">
        <w:rPr>
          <w:shd w:val="clear" w:color="auto" w:fill="FFFFFF" w:themeFill="background1"/>
          <w:lang w:val="en-AU"/>
        </w:rPr>
        <w:t xml:space="preserve">from $17,849 </w:t>
      </w:r>
      <w:r>
        <w:rPr>
          <w:shd w:val="clear" w:color="auto" w:fill="FFFFFF" w:themeFill="background1"/>
          <w:lang w:val="en-AU"/>
        </w:rPr>
        <w:t xml:space="preserve">for a </w:t>
      </w:r>
      <w:r w:rsidRPr="00221242">
        <w:rPr>
          <w:shd w:val="clear" w:color="auto" w:fill="FFFFFF" w:themeFill="background1"/>
          <w:lang w:val="en-AU"/>
        </w:rPr>
        <w:t>single provider</w:t>
      </w:r>
      <w:r>
        <w:rPr>
          <w:shd w:val="clear" w:color="auto" w:fill="FFFFFF" w:themeFill="background1"/>
          <w:lang w:val="en-AU"/>
        </w:rPr>
        <w:t xml:space="preserve"> to </w:t>
      </w:r>
      <w:r w:rsidRPr="00221242">
        <w:rPr>
          <w:shd w:val="clear" w:color="auto" w:fill="FFFFFF" w:themeFill="background1"/>
          <w:lang w:val="en-AU"/>
        </w:rPr>
        <w:t>$2.314</w:t>
      </w:r>
      <w:r>
        <w:rPr>
          <w:shd w:val="clear" w:color="auto" w:fill="FFFFFF" w:themeFill="background1"/>
          <w:lang w:val="en-AU"/>
        </w:rPr>
        <w:t>m</w:t>
      </w:r>
      <w:r w:rsidRPr="00221242">
        <w:rPr>
          <w:shd w:val="clear" w:color="auto" w:fill="FFFFFF" w:themeFill="background1"/>
          <w:lang w:val="en-AU"/>
        </w:rPr>
        <w:t xml:space="preserve"> </w:t>
      </w:r>
      <w:r>
        <w:rPr>
          <w:shd w:val="clear" w:color="auto" w:fill="FFFFFF" w:themeFill="background1"/>
          <w:lang w:val="en-AU"/>
        </w:rPr>
        <w:t xml:space="preserve">for a </w:t>
      </w:r>
      <w:r w:rsidRPr="00221242">
        <w:rPr>
          <w:shd w:val="clear" w:color="auto" w:fill="FFFFFF" w:themeFill="background1"/>
          <w:lang w:val="en-AU"/>
        </w:rPr>
        <w:t xml:space="preserve">joint application from </w:t>
      </w:r>
      <w:r>
        <w:rPr>
          <w:shd w:val="clear" w:color="auto" w:fill="FFFFFF" w:themeFill="background1"/>
          <w:lang w:val="en-AU"/>
        </w:rPr>
        <w:t xml:space="preserve">Auckland, Counties Manukau and </w:t>
      </w:r>
      <w:proofErr w:type="spellStart"/>
      <w:r>
        <w:rPr>
          <w:shd w:val="clear" w:color="auto" w:fill="FFFFFF" w:themeFill="background1"/>
          <w:lang w:val="en-AU"/>
        </w:rPr>
        <w:t>Waitemat</w:t>
      </w:r>
      <w:r w:rsidR="00EC6371">
        <w:rPr>
          <w:shd w:val="clear" w:color="auto" w:fill="FFFFFF" w:themeFill="background1"/>
          <w:lang w:val="en-AU"/>
        </w:rPr>
        <w:t>ā</w:t>
      </w:r>
      <w:proofErr w:type="spellEnd"/>
      <w:r>
        <w:rPr>
          <w:shd w:val="clear" w:color="auto" w:fill="FFFFFF" w:themeFill="background1"/>
          <w:lang w:val="en-AU"/>
        </w:rPr>
        <w:t xml:space="preserve"> </w:t>
      </w:r>
      <w:r w:rsidRPr="00221242">
        <w:rPr>
          <w:shd w:val="clear" w:color="auto" w:fill="FFFFFF" w:themeFill="background1"/>
          <w:lang w:val="en-AU"/>
        </w:rPr>
        <w:t>DHBs</w:t>
      </w:r>
      <w:r>
        <w:rPr>
          <w:shd w:val="clear" w:color="auto" w:fill="FFFFFF" w:themeFill="background1"/>
          <w:lang w:val="en-AU"/>
        </w:rPr>
        <w:t>.</w:t>
      </w:r>
      <w:r w:rsidRPr="006377D3">
        <w:rPr>
          <w:rStyle w:val="FootnoteReference"/>
        </w:rPr>
        <w:t xml:space="preserve"> </w:t>
      </w:r>
      <w:r w:rsidR="005C63F2">
        <w:t xml:space="preserve">Table 1 </w:t>
      </w:r>
      <w:r w:rsidR="00350509">
        <w:t xml:space="preserve">outlines the </w:t>
      </w:r>
      <w:r w:rsidR="004C22FF">
        <w:t xml:space="preserve">funding awarded to each DHB region. </w:t>
      </w:r>
    </w:p>
    <w:p w14:paraId="26AD8015" w14:textId="5A0F5298" w:rsidR="009E0482" w:rsidRDefault="0052513D" w:rsidP="00900633">
      <w:pPr>
        <w:pStyle w:val="Caption"/>
      </w:pPr>
      <w:bookmarkStart w:id="13" w:name="_Ref58253808"/>
      <w:bookmarkStart w:id="14" w:name="_Ref58259079"/>
      <w:bookmarkStart w:id="15" w:name="_Toc58387950"/>
      <w:bookmarkStart w:id="16" w:name="_Toc62703557"/>
      <w:r>
        <w:t xml:space="preserve">Table </w:t>
      </w:r>
      <w:fldSimple w:instr=" SEQ Table \* ARABIC ">
        <w:r w:rsidR="009B082D">
          <w:rPr>
            <w:noProof/>
          </w:rPr>
          <w:t>1</w:t>
        </w:r>
      </w:fldSimple>
      <w:bookmarkEnd w:id="13"/>
      <w:r w:rsidR="00B757CC">
        <w:rPr>
          <w:noProof/>
        </w:rPr>
        <w:t>.</w:t>
      </w:r>
      <w:r>
        <w:t xml:space="preserve"> </w:t>
      </w:r>
      <w:r w:rsidR="009E0482">
        <w:t>MIVP total funding allocation by DHB regions; and the split between DHB and Direct Funded providers</w:t>
      </w:r>
      <w:r w:rsidR="009E0482">
        <w:rPr>
          <w:rStyle w:val="FootnoteReference"/>
        </w:rPr>
        <w:footnoteReference w:id="9"/>
      </w:r>
      <w:bookmarkEnd w:id="14"/>
      <w:bookmarkEnd w:id="15"/>
      <w:bookmarkEnd w:id="16"/>
    </w:p>
    <w:p w14:paraId="69177FB1" w14:textId="3124305F" w:rsidR="009E0482" w:rsidRDefault="009E0482" w:rsidP="009E0482">
      <w:pPr>
        <w:pStyle w:val="BodyText"/>
        <w:numPr>
          <w:ilvl w:val="0"/>
          <w:numId w:val="0"/>
        </w:numPr>
        <w:rPr>
          <w:color w:val="E7E6E6" w:themeColor="background2"/>
          <w14:textFill>
            <w14:solidFill>
              <w14:schemeClr w14:val="bg2">
                <w14:lumMod w14:val="25000"/>
                <w14:lumMod w14:val="85000"/>
                <w14:lumOff w14:val="15000"/>
              </w14:schemeClr>
            </w14:solidFill>
          </w14:textFill>
        </w:rPr>
      </w:pPr>
      <w:r w:rsidRPr="004469AF">
        <w:rPr>
          <w:noProof/>
        </w:rPr>
        <w:drawing>
          <wp:inline distT="0" distB="0" distL="0" distR="0" wp14:anchorId="7905698D" wp14:editId="0447BA30">
            <wp:extent cx="5219700" cy="3198495"/>
            <wp:effectExtent l="0" t="0" r="0" b="1905"/>
            <wp:docPr id="15" name="Picture 15" descr="Table 1 shows Northland, Counties-Manukau, Waikato, Auckland and Waitematā received the highest amount of funding. Canterbury, Wairarapa, Nelson Marlborour, Tairawhiti and MidCentral received the least amount of funding. In Northland, Waitematā, Hawke's Bay, Capital and Coast, Lakes, West Coast and Canterbury, funding went only to DHBs. In Waikato, Taranaki, Whanganui, Hutt Valley, Southern, MidCentral, Tairawhiti, Nelson Marlborough, Wairarapa, funding only went directly to providers. In Counties Manukau, Auckland, Bay of Plenty funding was awarded both to DHBs and directly to providers. Allocations range from $965,000 (to Northland) to $75,875 (to Canterbury. South Canterbury did not submit an application and was not awarded any funding. Most regions had 1 application; in contrast, Waikato had 6 and Bay of Plenty ha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1 shows Northland, Counties-Manukau, Waikato, Auckland and Waitematā received the highest amount of funding. Canterbury, Wairarapa, Nelson Marlborour, Tairawhiti and MidCentral received the least amount of funding. In Northland, Waitematā, Hawke's Bay, Capital and Coast, Lakes, West Coast and Canterbury, funding went only to DHBs. In Waikato, Taranaki, Whanganui, Hutt Valley, Southern, MidCentral, Tairawhiti, Nelson Marlborough, Wairarapa, funding only went directly to providers. In Counties Manukau, Auckland, Bay of Plenty funding was awarded both to DHBs and directly to providers. Allocations range from $965,000 (to Northland) to $75,875 (to Canterbury. South Canterbury did not submit an application and was not awarded any funding. Most regions had 1 application; in contrast, Waikato had 6 and Bay of Plenty had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3198495"/>
                    </a:xfrm>
                    <a:prstGeom prst="rect">
                      <a:avLst/>
                    </a:prstGeom>
                    <a:noFill/>
                    <a:ln>
                      <a:noFill/>
                    </a:ln>
                  </pic:spPr>
                </pic:pic>
              </a:graphicData>
            </a:graphic>
          </wp:inline>
        </w:drawing>
      </w:r>
    </w:p>
    <w:p w14:paraId="546085FA" w14:textId="77777777" w:rsidR="002E007F" w:rsidRDefault="002E007F" w:rsidP="002E007F">
      <w:pPr>
        <w:pStyle w:val="NoSpacing"/>
      </w:pPr>
    </w:p>
    <w:p w14:paraId="458A8FE1" w14:textId="7FFE8FB6" w:rsidR="009E0482" w:rsidRDefault="009E0482" w:rsidP="009E0482">
      <w:pPr>
        <w:pStyle w:val="BodyText"/>
      </w:pPr>
      <w:r w:rsidRPr="007D174E">
        <w:t>Th</w:t>
      </w:r>
      <w:r>
        <w:t>e MIVP</w:t>
      </w:r>
      <w:r w:rsidRPr="007D174E">
        <w:t xml:space="preserve"> funding allowed providers to set up clinically safe, culturally responsive and community</w:t>
      </w:r>
      <w:r>
        <w:t xml:space="preserve"> and whānau-centred</w:t>
      </w:r>
      <w:r w:rsidRPr="007D174E">
        <w:t xml:space="preserve"> </w:t>
      </w:r>
      <w:r>
        <w:t>flu</w:t>
      </w:r>
      <w:r w:rsidRPr="007D174E">
        <w:t xml:space="preserve"> vaccination approaches</w:t>
      </w:r>
      <w:r>
        <w:t>,</w:t>
      </w:r>
      <w:r w:rsidRPr="007D174E">
        <w:t xml:space="preserve"> to achieve the greatest possible outreach </w:t>
      </w:r>
      <w:r>
        <w:t xml:space="preserve">to </w:t>
      </w:r>
      <w:r w:rsidRPr="006324FF">
        <w:t>Māori</w:t>
      </w:r>
      <w:r w:rsidRPr="007D174E">
        <w:t>. Services included</w:t>
      </w:r>
      <w:r w:rsidR="00D75B12">
        <w:t>:</w:t>
      </w:r>
      <w:r w:rsidRPr="007D174E">
        <w:t xml:space="preserve"> pop</w:t>
      </w:r>
      <w:r w:rsidR="00D75B12">
        <w:t>-</w:t>
      </w:r>
      <w:r w:rsidRPr="007D174E">
        <w:t>up clinics and drive</w:t>
      </w:r>
      <w:r>
        <w:t>-</w:t>
      </w:r>
      <w:r w:rsidRPr="007D174E">
        <w:t>through vaccination stations at community venues, mobile clinics, home visits and transpor</w:t>
      </w:r>
      <w:r>
        <w:t>t</w:t>
      </w:r>
      <w:r w:rsidRPr="007D174E">
        <w:t xml:space="preserve"> to clinics. A key feature of delivery was </w:t>
      </w:r>
      <w:r>
        <w:t>mobilising</w:t>
      </w:r>
      <w:r w:rsidRPr="007D174E">
        <w:t xml:space="preserve"> services and going out into the community. </w:t>
      </w:r>
    </w:p>
    <w:p w14:paraId="6FBE77C3" w14:textId="129B8D27" w:rsidR="009E0482" w:rsidRDefault="009E0482" w:rsidP="009E0482">
      <w:pPr>
        <w:pStyle w:val="BodyText"/>
      </w:pPr>
      <w:r w:rsidRPr="003478C8">
        <w:t xml:space="preserve">The Ministry at first intended for services delivery to occur between May 2020 and June 2020, in line with the flu season. Delays in completing contracts pushed the timing out and the formal programme timeframe for delivery of MIVP services was June to September 2020, inclusive. In practice, however, most providers (12/17) reported starting delivery of their MIVP services before MIVP contracts were sent out by the Ministry. Some started as early as February and March; about </w:t>
      </w:r>
      <w:r w:rsidRPr="003478C8">
        <w:lastRenderedPageBreak/>
        <w:t xml:space="preserve">half started between April and June. All providers (17/17) reported starting before receiving funding. </w:t>
      </w:r>
      <w:r w:rsidR="00D75B12">
        <w:t>They</w:t>
      </w:r>
      <w:r w:rsidR="00B32E41">
        <w:t xml:space="preserve"> reported </w:t>
      </w:r>
      <w:r w:rsidR="00D75B12">
        <w:t>the reasons for this were</w:t>
      </w:r>
      <w:r w:rsidR="00B8206A">
        <w:t xml:space="preserve"> they saw the importance and urgency to vaccinate whānau and wanted to take advantage of vaccination opportunities as part of COVID-19 testing and whānau support activities.</w:t>
      </w:r>
    </w:p>
    <w:p w14:paraId="7F5820F6" w14:textId="77777777" w:rsidR="00742BF7" w:rsidRDefault="00742BF7" w:rsidP="00742BF7">
      <w:pPr>
        <w:pStyle w:val="Heading2"/>
      </w:pPr>
      <w:bookmarkStart w:id="17" w:name="_Toc58347829"/>
      <w:bookmarkStart w:id="18" w:name="_Toc70763255"/>
      <w:r>
        <w:t>The evaluation</w:t>
      </w:r>
      <w:bookmarkEnd w:id="17"/>
      <w:bookmarkEnd w:id="18"/>
    </w:p>
    <w:p w14:paraId="43705127" w14:textId="77777777" w:rsidR="00750D89" w:rsidRPr="00303B73" w:rsidRDefault="00750D89" w:rsidP="00750D89">
      <w:pPr>
        <w:pStyle w:val="BodyText"/>
        <w:rPr>
          <w:rFonts w:asciiTheme="minorHAnsi" w:eastAsiaTheme="minorEastAsia" w:hAnsiTheme="minorHAnsi" w:cstheme="minorBidi"/>
        </w:rPr>
      </w:pPr>
      <w:r>
        <w:t>This</w:t>
      </w:r>
      <w:r w:rsidRPr="00303B73">
        <w:t xml:space="preserve"> evaluation </w:t>
      </w:r>
      <w:r>
        <w:t>aimed</w:t>
      </w:r>
      <w:r w:rsidRPr="00303B73">
        <w:t xml:space="preserve"> to understand the impact of </w:t>
      </w:r>
      <w:r>
        <w:t xml:space="preserve">the </w:t>
      </w:r>
      <w:r w:rsidRPr="00303B73">
        <w:t xml:space="preserve">MIVP on Māori </w:t>
      </w:r>
      <w:r>
        <w:t>flu</w:t>
      </w:r>
      <w:r w:rsidRPr="00303B73">
        <w:t xml:space="preserve"> </w:t>
      </w:r>
      <w:r>
        <w:t xml:space="preserve">vaccination </w:t>
      </w:r>
      <w:r w:rsidRPr="00303B73">
        <w:t xml:space="preserve">rates and </w:t>
      </w:r>
      <w:r>
        <w:t xml:space="preserve">on </w:t>
      </w:r>
      <w:r w:rsidRPr="00303B73">
        <w:t>equity</w:t>
      </w:r>
      <w:r>
        <w:t xml:space="preserve"> rates for vulnerable Māori groups, particularly those aged 65 years and over</w:t>
      </w:r>
      <w:r w:rsidRPr="00303B73">
        <w:t xml:space="preserve">. </w:t>
      </w:r>
    </w:p>
    <w:p w14:paraId="4DD3C7E3" w14:textId="77777777" w:rsidR="00742BF7" w:rsidRPr="00303B73" w:rsidRDefault="00742BF7" w:rsidP="00742BF7">
      <w:pPr>
        <w:pStyle w:val="BodyText"/>
      </w:pPr>
      <w:r w:rsidRPr="00303B73">
        <w:t>The key evaluation questions were:</w:t>
      </w:r>
    </w:p>
    <w:p w14:paraId="50A8367E" w14:textId="77777777" w:rsidR="00742BF7" w:rsidRPr="00B1474E" w:rsidRDefault="00742BF7" w:rsidP="00055D95">
      <w:pPr>
        <w:pStyle w:val="Bullet"/>
      </w:pPr>
      <w:r w:rsidRPr="00B1474E">
        <w:t xml:space="preserve">Did MIVP impact on the equity of Māori flu vaccination rates?  </w:t>
      </w:r>
    </w:p>
    <w:p w14:paraId="603F503F" w14:textId="77777777" w:rsidR="00742BF7" w:rsidRPr="00B1474E" w:rsidRDefault="00742BF7" w:rsidP="00055D95">
      <w:pPr>
        <w:pStyle w:val="Bullet"/>
      </w:pPr>
      <w:r w:rsidRPr="00B1474E">
        <w:t xml:space="preserve">What aspects of the MIVP implementation made a difference for Māori? </w:t>
      </w:r>
    </w:p>
    <w:p w14:paraId="77F65DDF" w14:textId="6CCDFAE5" w:rsidR="00742BF7" w:rsidRPr="00B1474E" w:rsidRDefault="00742BF7" w:rsidP="00055D95">
      <w:pPr>
        <w:pStyle w:val="Bullet"/>
      </w:pPr>
      <w:r w:rsidRPr="00B1474E">
        <w:t xml:space="preserve">What are insights that providers and DHBs can use to improve </w:t>
      </w:r>
      <w:r w:rsidR="00750D89">
        <w:t xml:space="preserve">the </w:t>
      </w:r>
      <w:r w:rsidRPr="00B1474E">
        <w:t>MIVP or similar programmes and services targeting Māori?</w:t>
      </w:r>
    </w:p>
    <w:p w14:paraId="417C1DD0" w14:textId="6AAB404D" w:rsidR="00742BF7" w:rsidRPr="00B1474E" w:rsidRDefault="00742BF7" w:rsidP="00055D95">
      <w:pPr>
        <w:pStyle w:val="Bullet"/>
      </w:pPr>
      <w:r w:rsidRPr="00B1474E">
        <w:t xml:space="preserve">What are the considerations for the Ministry to improve </w:t>
      </w:r>
      <w:r w:rsidR="00750D89">
        <w:t xml:space="preserve">the </w:t>
      </w:r>
      <w:r w:rsidRPr="00B1474E">
        <w:t xml:space="preserve">MIVP or similar programmes and services </w:t>
      </w:r>
      <w:r w:rsidR="00750D89">
        <w:t xml:space="preserve">and </w:t>
      </w:r>
      <w:r w:rsidRPr="00B1474E">
        <w:t>to increase equity for Māori?</w:t>
      </w:r>
    </w:p>
    <w:p w14:paraId="51907A52" w14:textId="132E1674" w:rsidR="00742BF7" w:rsidRDefault="00742BF7" w:rsidP="00742BF7">
      <w:pPr>
        <w:pStyle w:val="BodyText"/>
      </w:pPr>
      <w:r>
        <w:t>The evaluation design used a combination of four rapid insight cycles, an evaluation-specific methodology and a mixed-methods research approach. Each cycle was around six weeks duration, with a collaborative sense</w:t>
      </w:r>
      <w:r w:rsidR="004441F5">
        <w:t>-</w:t>
      </w:r>
      <w:r>
        <w:t xml:space="preserve">making workshop with the Ministry at the end of each cycle. The evaluation used data from the National Immunisation Register databases and the 2013-Based Population Projections (NIR Population). </w:t>
      </w:r>
      <w:r w:rsidR="004441F5">
        <w:t xml:space="preserve">Thirty-one </w:t>
      </w:r>
      <w:r>
        <w:t>semi-structured interviews were conducted with Ministry, DHB and Māori providers. Two online surveys were conducted</w:t>
      </w:r>
      <w:r w:rsidR="004441F5">
        <w:t>:</w:t>
      </w:r>
      <w:r>
        <w:t xml:space="preserve"> one with DHB managers, immunisation coordinators and staff (n=18) and one with Māori providers (n=34). </w:t>
      </w:r>
    </w:p>
    <w:p w14:paraId="2EB179C0" w14:textId="77777777" w:rsidR="00742BF7" w:rsidRPr="003420A6" w:rsidRDefault="00742BF7" w:rsidP="00742BF7">
      <w:pPr>
        <w:pStyle w:val="Heading2"/>
      </w:pPr>
      <w:bookmarkStart w:id="19" w:name="_Toc58347830"/>
      <w:bookmarkStart w:id="20" w:name="_Toc70763256"/>
      <w:r w:rsidRPr="003420A6">
        <w:t>Limitations of this evaluation</w:t>
      </w:r>
      <w:bookmarkEnd w:id="19"/>
      <w:bookmarkEnd w:id="20"/>
    </w:p>
    <w:p w14:paraId="4A581774" w14:textId="3D7E7BD1" w:rsidR="007D7DA5" w:rsidRPr="003420A6" w:rsidRDefault="007D7DA5" w:rsidP="007D7DA5">
      <w:pPr>
        <w:pStyle w:val="BodyText"/>
      </w:pPr>
      <w:r w:rsidRPr="003420A6">
        <w:t xml:space="preserve">The evaluation collected and analysed </w:t>
      </w:r>
      <w:r w:rsidR="002D0C2D" w:rsidRPr="003420A6">
        <w:t xml:space="preserve">a mix of </w:t>
      </w:r>
      <w:r w:rsidRPr="003420A6">
        <w:t xml:space="preserve">qualitative, </w:t>
      </w:r>
      <w:proofErr w:type="gramStart"/>
      <w:r w:rsidRPr="003420A6">
        <w:t>quantitative</w:t>
      </w:r>
      <w:proofErr w:type="gramEnd"/>
      <w:r w:rsidRPr="003420A6">
        <w:t xml:space="preserve"> a</w:t>
      </w:r>
      <w:r w:rsidR="002D0C2D" w:rsidRPr="003420A6">
        <w:t>nd</w:t>
      </w:r>
      <w:r w:rsidRPr="003420A6">
        <w:t xml:space="preserve"> administrative data </w:t>
      </w:r>
      <w:r w:rsidR="002D0C2D" w:rsidRPr="003420A6">
        <w:t xml:space="preserve">for </w:t>
      </w:r>
      <w:r w:rsidRPr="003420A6">
        <w:t xml:space="preserve">all 21 </w:t>
      </w:r>
      <w:r w:rsidR="002D0C2D" w:rsidRPr="003420A6">
        <w:t xml:space="preserve">DHB </w:t>
      </w:r>
      <w:r w:rsidRPr="003420A6">
        <w:t xml:space="preserve">regions. </w:t>
      </w:r>
      <w:r w:rsidR="002D0C2D" w:rsidRPr="003420A6">
        <w:t xml:space="preserve">The evaluation did not collect whānau feedback on their experience of </w:t>
      </w:r>
      <w:r w:rsidR="004441F5">
        <w:t xml:space="preserve">taking part in the </w:t>
      </w:r>
      <w:r w:rsidR="00353BA9">
        <w:t>programme</w:t>
      </w:r>
      <w:r w:rsidR="002D0C2D" w:rsidRPr="003420A6">
        <w:t xml:space="preserve">. </w:t>
      </w:r>
      <w:r w:rsidRPr="003420A6">
        <w:t xml:space="preserve">The evaluation </w:t>
      </w:r>
      <w:r w:rsidR="002D0C2D" w:rsidRPr="003420A6">
        <w:t xml:space="preserve">was not able to collect the same data in </w:t>
      </w:r>
      <w:r w:rsidRPr="003420A6">
        <w:t xml:space="preserve">all regions, so there are some </w:t>
      </w:r>
      <w:r w:rsidR="002D0C2D" w:rsidRPr="003420A6">
        <w:t xml:space="preserve">information </w:t>
      </w:r>
      <w:r w:rsidRPr="003420A6">
        <w:t xml:space="preserve">gaps (see </w:t>
      </w:r>
      <w:r w:rsidR="009A5AAC">
        <w:fldChar w:fldCharType="begin"/>
      </w:r>
      <w:r w:rsidR="009A5AAC">
        <w:instrText xml:space="preserve"> REF _Ref62583096 \h </w:instrText>
      </w:r>
      <w:r w:rsidR="009A5AAC">
        <w:fldChar w:fldCharType="separate"/>
      </w:r>
      <w:r w:rsidR="009B082D">
        <w:t xml:space="preserve">Table </w:t>
      </w:r>
      <w:r w:rsidR="009B082D">
        <w:rPr>
          <w:noProof/>
        </w:rPr>
        <w:t>12</w:t>
      </w:r>
      <w:r w:rsidR="009A5AAC">
        <w:fldChar w:fldCharType="end"/>
      </w:r>
      <w:r w:rsidR="009A5AAC">
        <w:t xml:space="preserve"> </w:t>
      </w:r>
      <w:r w:rsidRPr="003420A6">
        <w:t>in Appendix 1 for description of data collected). This is particularly the case in Canterbury and the Auckland regional cluster. Further, the evaluation design intentionally focused on trying to understand success and its enablers</w:t>
      </w:r>
      <w:r w:rsidR="004441F5">
        <w:t>,</w:t>
      </w:r>
      <w:r w:rsidRPr="003420A6">
        <w:t xml:space="preserve"> and less resource was available to analyse regions with poor performance in 2020 and historically. </w:t>
      </w:r>
    </w:p>
    <w:p w14:paraId="39A423E5" w14:textId="1A682FB9" w:rsidR="007D7DA5" w:rsidRPr="003420A6" w:rsidRDefault="007D7DA5" w:rsidP="007D7DA5">
      <w:pPr>
        <w:pStyle w:val="BodyText"/>
      </w:pPr>
      <w:r w:rsidRPr="003420A6">
        <w:t>The evaluation used the</w:t>
      </w:r>
      <w:r w:rsidR="009A5AAC">
        <w:t xml:space="preserve"> NIR to </w:t>
      </w:r>
      <w:r w:rsidRPr="003420A6">
        <w:t xml:space="preserve">track changes in Māori flu vaccination rates. </w:t>
      </w:r>
      <w:r w:rsidR="002D0C2D" w:rsidRPr="003420A6">
        <w:t xml:space="preserve">The evaluation does not </w:t>
      </w:r>
      <w:r w:rsidR="005E0125" w:rsidRPr="003420A6">
        <w:t>report on the number of vaccinations administered by providers</w:t>
      </w:r>
      <w:r w:rsidR="004441F5">
        <w:t>,</w:t>
      </w:r>
      <w:r w:rsidR="005E0125" w:rsidRPr="003420A6">
        <w:t xml:space="preserve"> as NIR does not capture data in this way. </w:t>
      </w:r>
      <w:r w:rsidR="00EA11DD" w:rsidRPr="003420A6">
        <w:t>Further</w:t>
      </w:r>
      <w:r w:rsidR="005E0125" w:rsidRPr="003420A6">
        <w:t>,</w:t>
      </w:r>
      <w:r w:rsidR="00EA11DD" w:rsidRPr="003420A6">
        <w:t xml:space="preserve"> while some MIVP providers reported the number of vaccinations administered as part of MIVP</w:t>
      </w:r>
      <w:r w:rsidR="005E0125" w:rsidRPr="003420A6">
        <w:t xml:space="preserve"> to the Ministry</w:t>
      </w:r>
      <w:r w:rsidR="00EA11DD" w:rsidRPr="003420A6">
        <w:t xml:space="preserve">, the data is not utilised </w:t>
      </w:r>
      <w:r w:rsidR="005E0125" w:rsidRPr="003420A6">
        <w:t xml:space="preserve">in </w:t>
      </w:r>
      <w:r w:rsidR="00EA11DD" w:rsidRPr="003420A6">
        <w:t xml:space="preserve">this evaluation due to </w:t>
      </w:r>
      <w:r w:rsidRPr="003420A6">
        <w:t>issues of completeness</w:t>
      </w:r>
      <w:r w:rsidR="002D0C2D" w:rsidRPr="003420A6">
        <w:t xml:space="preserve"> </w:t>
      </w:r>
      <w:r w:rsidRPr="003420A6">
        <w:t xml:space="preserve">and our </w:t>
      </w:r>
      <w:r w:rsidR="002D0C2D" w:rsidRPr="003420A6">
        <w:t xml:space="preserve">overall </w:t>
      </w:r>
      <w:r w:rsidRPr="003420A6">
        <w:t>confidence in the data</w:t>
      </w:r>
      <w:r w:rsidR="00EA11DD" w:rsidRPr="003420A6">
        <w:t>.</w:t>
      </w:r>
    </w:p>
    <w:p w14:paraId="67F56178" w14:textId="19D7DAFA" w:rsidR="005E0125" w:rsidRPr="003420A6" w:rsidRDefault="005E0125" w:rsidP="007D7DA5">
      <w:pPr>
        <w:pStyle w:val="BodyText"/>
      </w:pPr>
      <w:r w:rsidRPr="003420A6">
        <w:t xml:space="preserve">The evaluation only has NIR data for </w:t>
      </w:r>
      <w:r w:rsidR="00FC67E5">
        <w:t xml:space="preserve">people aged over </w:t>
      </w:r>
      <w:r w:rsidRPr="003420A6">
        <w:t xml:space="preserve">65 as other vulnerable groups </w:t>
      </w:r>
      <w:r w:rsidR="002D0C2D" w:rsidRPr="003420A6">
        <w:t xml:space="preserve">are </w:t>
      </w:r>
      <w:r w:rsidRPr="003420A6">
        <w:t xml:space="preserve">not captured within NIR. However, data from </w:t>
      </w:r>
      <w:r w:rsidR="009A5AAC">
        <w:t xml:space="preserve">some </w:t>
      </w:r>
      <w:r w:rsidRPr="003420A6">
        <w:t>providers indicates they worked with other eligible cohorts.</w:t>
      </w:r>
    </w:p>
    <w:p w14:paraId="7732CB1C" w14:textId="3BC9DA23" w:rsidR="00055D95" w:rsidRDefault="00DD32E7" w:rsidP="000A49CA">
      <w:pPr>
        <w:pStyle w:val="Heading1"/>
      </w:pPr>
      <w:bookmarkStart w:id="21" w:name="_Toc70763257"/>
      <w:r>
        <w:lastRenderedPageBreak/>
        <w:t xml:space="preserve">The impact of </w:t>
      </w:r>
      <w:r w:rsidR="00055D95">
        <w:t>MIVP on Māori flu vaccination</w:t>
      </w:r>
      <w:r w:rsidR="000A49CA">
        <w:rPr>
          <w:rStyle w:val="FootnoteReference"/>
        </w:rPr>
        <w:footnoteReference w:id="10"/>
      </w:r>
      <w:r w:rsidR="00055D95">
        <w:t xml:space="preserve"> </w:t>
      </w:r>
      <w:r>
        <w:t xml:space="preserve">and </w:t>
      </w:r>
      <w:r w:rsidR="00F35C4B">
        <w:t>equity</w:t>
      </w:r>
      <w:r w:rsidR="000A49CA">
        <w:t xml:space="preserve"> rates</w:t>
      </w:r>
      <w:bookmarkEnd w:id="21"/>
    </w:p>
    <w:tbl>
      <w:tblPr>
        <w:tblStyle w:val="TableGrid"/>
        <w:tblW w:w="5000" w:type="pct"/>
        <w:tblLook w:val="04A0" w:firstRow="1" w:lastRow="0" w:firstColumn="1" w:lastColumn="0" w:noHBand="0" w:noVBand="1"/>
      </w:tblPr>
      <w:tblGrid>
        <w:gridCol w:w="8488"/>
      </w:tblGrid>
      <w:tr w:rsidR="00055D95" w14:paraId="54A2392F" w14:textId="77777777" w:rsidTr="00A14305">
        <w:tc>
          <w:tcPr>
            <w:tcW w:w="5000" w:type="pct"/>
            <w:shd w:val="clear" w:color="auto" w:fill="D5DCE4" w:themeFill="text2" w:themeFillTint="33"/>
          </w:tcPr>
          <w:p w14:paraId="51C4CE6D" w14:textId="42C7AA44" w:rsidR="00316CA5" w:rsidRDefault="00055D95" w:rsidP="00316CA5">
            <w:pPr>
              <w:pStyle w:val="Heading2"/>
              <w:outlineLvl w:val="1"/>
            </w:pPr>
            <w:bookmarkStart w:id="22" w:name="_Toc58347832"/>
            <w:bookmarkStart w:id="23" w:name="_Toc70763258"/>
            <w:r>
              <w:t>A snapshot</w:t>
            </w:r>
            <w:bookmarkEnd w:id="22"/>
            <w:bookmarkEnd w:id="23"/>
            <w:r>
              <w:t xml:space="preserve"> </w:t>
            </w:r>
          </w:p>
          <w:p w14:paraId="59438C8D" w14:textId="4AB76A41" w:rsidR="00E57B7B" w:rsidRPr="00D10FB2" w:rsidRDefault="00C0129D" w:rsidP="006C578C">
            <w:r w:rsidRPr="00D10FB2">
              <w:rPr>
                <w:b/>
              </w:rPr>
              <w:t>Flu v</w:t>
            </w:r>
            <w:r w:rsidR="00CB33EA" w:rsidRPr="00D10FB2">
              <w:rPr>
                <w:b/>
              </w:rPr>
              <w:t xml:space="preserve">accination rates </w:t>
            </w:r>
            <w:r w:rsidR="00244656" w:rsidRPr="00D10FB2">
              <w:rPr>
                <w:b/>
              </w:rPr>
              <w:t xml:space="preserve">increased </w:t>
            </w:r>
            <w:r w:rsidRPr="00D10FB2">
              <w:rPr>
                <w:b/>
              </w:rPr>
              <w:t xml:space="preserve">significantly </w:t>
            </w:r>
            <w:r w:rsidR="00244656" w:rsidRPr="00D10FB2">
              <w:rPr>
                <w:b/>
              </w:rPr>
              <w:t>for</w:t>
            </w:r>
            <w:r w:rsidR="00CB33EA" w:rsidRPr="00D10FB2">
              <w:rPr>
                <w:b/>
              </w:rPr>
              <w:t xml:space="preserve"> Māori </w:t>
            </w:r>
            <w:r w:rsidR="00463731">
              <w:rPr>
                <w:b/>
              </w:rPr>
              <w:t xml:space="preserve">aged over </w:t>
            </w:r>
            <w:r w:rsidR="00CB33EA" w:rsidRPr="00D10FB2">
              <w:rPr>
                <w:b/>
              </w:rPr>
              <w:t xml:space="preserve">65 in 2020 compared with </w:t>
            </w:r>
            <w:r w:rsidR="00E57B7B" w:rsidRPr="00D10FB2">
              <w:rPr>
                <w:b/>
              </w:rPr>
              <w:t xml:space="preserve">previous </w:t>
            </w:r>
            <w:r w:rsidR="00CB33EA" w:rsidRPr="00D10FB2">
              <w:rPr>
                <w:b/>
              </w:rPr>
              <w:t>years</w:t>
            </w:r>
            <w:r w:rsidR="00474FFA" w:rsidRPr="00D10FB2">
              <w:rPr>
                <w:b/>
              </w:rPr>
              <w:t>.</w:t>
            </w:r>
            <w:r w:rsidR="00244656" w:rsidRPr="00D10FB2">
              <w:t xml:space="preserve"> </w:t>
            </w:r>
            <w:r w:rsidR="00E57B7B" w:rsidRPr="00D10FB2">
              <w:t xml:space="preserve">The 13.2 percentage point change is </w:t>
            </w:r>
            <w:r w:rsidRPr="00D10FB2">
              <w:t>notable,</w:t>
            </w:r>
            <w:r w:rsidR="00E57B7B" w:rsidRPr="00D10FB2">
              <w:t xml:space="preserve"> particularly given the small improvement</w:t>
            </w:r>
            <w:r w:rsidRPr="00D10FB2">
              <w:t>s</w:t>
            </w:r>
            <w:r w:rsidR="00E57B7B" w:rsidRPr="00D10FB2">
              <w:t xml:space="preserve"> observed between 2015 and 2019. Some of th</w:t>
            </w:r>
            <w:r w:rsidR="00463731">
              <w:t>e change</w:t>
            </w:r>
            <w:r w:rsidR="00E57B7B" w:rsidRPr="00D10FB2">
              <w:t xml:space="preserve"> will be due </w:t>
            </w:r>
            <w:r w:rsidR="00224257">
              <w:t xml:space="preserve">to </w:t>
            </w:r>
            <w:r w:rsidR="00E57B7B" w:rsidRPr="00D10FB2">
              <w:t>COVID-19, but MIVP also contributed to th</w:t>
            </w:r>
            <w:r w:rsidR="00463731">
              <w:t>e</w:t>
            </w:r>
            <w:r w:rsidR="00E57B7B" w:rsidRPr="00D10FB2">
              <w:t xml:space="preserve"> increase.</w:t>
            </w:r>
            <w:r w:rsidR="00323AD8" w:rsidRPr="00D10FB2">
              <w:t xml:space="preserve"> </w:t>
            </w:r>
          </w:p>
          <w:p w14:paraId="4D3A759F" w14:textId="5E593891" w:rsidR="000A49CA" w:rsidRDefault="000A49CA" w:rsidP="000A49CA">
            <w:pPr>
              <w:pStyle w:val="Bullet"/>
              <w:numPr>
                <w:ilvl w:val="0"/>
                <w:numId w:val="0"/>
              </w:numPr>
            </w:pPr>
            <w:r w:rsidRPr="00D10FB2">
              <w:t>Flu vaccination rates increased earlier and faster in 2020 than in 2019</w:t>
            </w:r>
            <w:r w:rsidR="00463731">
              <w:t>,</w:t>
            </w:r>
            <w:r w:rsidRPr="00D10FB2">
              <w:t xml:space="preserve"> and the increase in the earlier weeks occurred more for Māori than non-Māori, non-Pacific. The gap between Māori and non-Māori, non-Pacific </w:t>
            </w:r>
            <w:r w:rsidR="00463731">
              <w:t xml:space="preserve">people </w:t>
            </w:r>
            <w:r w:rsidRPr="00D10FB2">
              <w:t xml:space="preserve">by the end of 2020 is less than the gap at the end of 2019. This suggests that the </w:t>
            </w:r>
            <w:r w:rsidRPr="00D10FB2">
              <w:rPr>
                <w:b/>
                <w:bCs/>
              </w:rPr>
              <w:t>MIVP activities contributed to increased vaccinations</w:t>
            </w:r>
            <w:r w:rsidR="00C0129D" w:rsidRPr="00D10FB2">
              <w:rPr>
                <w:b/>
                <w:bCs/>
              </w:rPr>
              <w:t xml:space="preserve"> among Māori</w:t>
            </w:r>
            <w:r w:rsidR="00D775A7" w:rsidRPr="00D10FB2">
              <w:rPr>
                <w:b/>
                <w:bCs/>
              </w:rPr>
              <w:t xml:space="preserve"> </w:t>
            </w:r>
            <w:r w:rsidR="00463731">
              <w:rPr>
                <w:b/>
                <w:bCs/>
              </w:rPr>
              <w:t xml:space="preserve">aged over </w:t>
            </w:r>
            <w:r w:rsidR="00D10FB2">
              <w:rPr>
                <w:b/>
                <w:bCs/>
              </w:rPr>
              <w:t xml:space="preserve">65 </w:t>
            </w:r>
            <w:r w:rsidR="00D775A7" w:rsidRPr="00D10FB2">
              <w:rPr>
                <w:b/>
                <w:bCs/>
              </w:rPr>
              <w:t>in 2020</w:t>
            </w:r>
            <w:r w:rsidR="00D775A7">
              <w:rPr>
                <w:b/>
                <w:bCs/>
              </w:rPr>
              <w:t>.</w:t>
            </w:r>
          </w:p>
          <w:p w14:paraId="56BF2921" w14:textId="1DD41B40" w:rsidR="000A49CA" w:rsidRDefault="000A49CA" w:rsidP="000A49CA">
            <w:pPr>
              <w:pStyle w:val="BodyText"/>
              <w:numPr>
                <w:ilvl w:val="0"/>
                <w:numId w:val="0"/>
              </w:numPr>
              <w:rPr>
                <w:b/>
                <w:bCs/>
              </w:rPr>
            </w:pPr>
            <w:r>
              <w:t xml:space="preserve">Comparing 2020 with 2019, substantial gains </w:t>
            </w:r>
            <w:r w:rsidR="00D775A7">
              <w:t xml:space="preserve">were </w:t>
            </w:r>
            <w:r>
              <w:t xml:space="preserve">made in vaccinating Māori </w:t>
            </w:r>
            <w:r w:rsidR="00463731">
              <w:t xml:space="preserve">aged over </w:t>
            </w:r>
            <w:r>
              <w:t>65 in Hawke’s Bay, Lakes, Whanganui</w:t>
            </w:r>
            <w:r w:rsidR="009A5AAC">
              <w:t xml:space="preserve"> DHB regions</w:t>
            </w:r>
            <w:r>
              <w:t>, and Northland in particular</w:t>
            </w:r>
            <w:r w:rsidR="00D775A7">
              <w:t>.</w:t>
            </w:r>
            <w:r>
              <w:t xml:space="preserve"> </w:t>
            </w:r>
            <w:r w:rsidRPr="000A49CA">
              <w:t>The absence of similar increases in the non-Māori</w:t>
            </w:r>
            <w:r w:rsidR="00D775A7">
              <w:t>,</w:t>
            </w:r>
            <w:r w:rsidRPr="000A49CA">
              <w:t xml:space="preserve"> non-Pacific vaccination rates in these regions suggest</w:t>
            </w:r>
            <w:r>
              <w:rPr>
                <w:b/>
                <w:bCs/>
              </w:rPr>
              <w:t xml:space="preserve"> </w:t>
            </w:r>
            <w:r w:rsidR="00D775A7" w:rsidRPr="00D775A7">
              <w:t>that</w:t>
            </w:r>
            <w:r w:rsidR="00D775A7">
              <w:rPr>
                <w:b/>
                <w:bCs/>
              </w:rPr>
              <w:t xml:space="preserve"> </w:t>
            </w:r>
            <w:r w:rsidRPr="00C07F43">
              <w:rPr>
                <w:b/>
                <w:bCs/>
              </w:rPr>
              <w:t xml:space="preserve">specific targeting </w:t>
            </w:r>
            <w:r w:rsidR="00D775A7">
              <w:rPr>
                <w:b/>
                <w:bCs/>
              </w:rPr>
              <w:t xml:space="preserve">of </w:t>
            </w:r>
            <w:r w:rsidRPr="00C07F43">
              <w:rPr>
                <w:b/>
                <w:bCs/>
              </w:rPr>
              <w:t xml:space="preserve">Māori </w:t>
            </w:r>
            <w:r>
              <w:rPr>
                <w:b/>
                <w:bCs/>
              </w:rPr>
              <w:t xml:space="preserve">in </w:t>
            </w:r>
            <w:r w:rsidR="00684CBC">
              <w:rPr>
                <w:b/>
                <w:bCs/>
              </w:rPr>
              <w:t xml:space="preserve">these regions in </w:t>
            </w:r>
            <w:r w:rsidRPr="00C07F43">
              <w:rPr>
                <w:b/>
                <w:bCs/>
              </w:rPr>
              <w:t>2020 was effective</w:t>
            </w:r>
            <w:r w:rsidR="00C0129D">
              <w:rPr>
                <w:b/>
                <w:bCs/>
              </w:rPr>
              <w:t>.</w:t>
            </w:r>
          </w:p>
          <w:p w14:paraId="14E35BA7" w14:textId="241A0A1F" w:rsidR="00323AD8" w:rsidRPr="00316CA5" w:rsidRDefault="00323AD8" w:rsidP="00323AD8">
            <w:pPr>
              <w:rPr>
                <w:b/>
                <w:bCs/>
              </w:rPr>
            </w:pPr>
            <w:r w:rsidRPr="00316CA5">
              <w:rPr>
                <w:b/>
                <w:bCs/>
              </w:rPr>
              <w:t xml:space="preserve">There </w:t>
            </w:r>
            <w:r w:rsidR="005E0125">
              <w:rPr>
                <w:b/>
                <w:bCs/>
              </w:rPr>
              <w:t>were</w:t>
            </w:r>
            <w:r w:rsidRPr="00316CA5">
              <w:rPr>
                <w:b/>
                <w:bCs/>
              </w:rPr>
              <w:t xml:space="preserve"> variable change</w:t>
            </w:r>
            <w:r w:rsidR="005E0125">
              <w:rPr>
                <w:b/>
                <w:bCs/>
              </w:rPr>
              <w:t>s</w:t>
            </w:r>
            <w:r w:rsidRPr="00316CA5">
              <w:rPr>
                <w:b/>
                <w:bCs/>
              </w:rPr>
              <w:t xml:space="preserve"> in vaccination rates and equity across DHB regions. </w:t>
            </w:r>
          </w:p>
          <w:p w14:paraId="7D11B0DB" w14:textId="287DB586" w:rsidR="00266F9A" w:rsidRDefault="00266F9A" w:rsidP="00323AD8">
            <w:pPr>
              <w:pStyle w:val="Bullet"/>
              <w:ind w:left="357" w:hanging="357"/>
              <w:contextualSpacing w:val="0"/>
            </w:pPr>
            <w:r>
              <w:t>Whanganui and Hawke’s Bay regions had the highest rates of flu vaccination in 2020, with 86.05% and 78.11% respectively. These regions were coming off a high base in 2019</w:t>
            </w:r>
            <w:r w:rsidR="00323AD8">
              <w:t xml:space="preserve"> </w:t>
            </w:r>
            <w:r>
              <w:t>with vaccination rates of 67.02% and 55.61%.</w:t>
            </w:r>
          </w:p>
          <w:p w14:paraId="2ABAB71F" w14:textId="34E37AAF" w:rsidR="00266F9A" w:rsidRDefault="00266F9A" w:rsidP="00323AD8">
            <w:pPr>
              <w:pStyle w:val="Bullet"/>
              <w:ind w:left="357" w:hanging="357"/>
              <w:contextualSpacing w:val="0"/>
            </w:pPr>
            <w:r>
              <w:t xml:space="preserve">Northland showed great </w:t>
            </w:r>
            <w:r w:rsidR="00996B21">
              <w:t xml:space="preserve">progress in 2020. Ranked the </w:t>
            </w:r>
            <w:r>
              <w:t xml:space="preserve">fifth lowest </w:t>
            </w:r>
            <w:r w:rsidR="00C07F43">
              <w:t xml:space="preserve">(16/21) </w:t>
            </w:r>
            <w:r>
              <w:t xml:space="preserve">performing region in 2019, </w:t>
            </w:r>
            <w:r w:rsidR="00F04E8E">
              <w:t>Northland was</w:t>
            </w:r>
            <w:r>
              <w:t xml:space="preserve"> </w:t>
            </w:r>
            <w:r w:rsidR="00C07F43">
              <w:t xml:space="preserve">the fourth highest (4/21) in 2020 </w:t>
            </w:r>
            <w:r>
              <w:t xml:space="preserve">with increased flu vaccination rates </w:t>
            </w:r>
            <w:r w:rsidR="00C07F43">
              <w:t xml:space="preserve">of </w:t>
            </w:r>
            <w:r>
              <w:t xml:space="preserve">17.53 percentage points. Gains in Northland </w:t>
            </w:r>
            <w:r w:rsidR="00F04E8E">
              <w:t>made</w:t>
            </w:r>
            <w:r>
              <w:t xml:space="preserve"> a positive overall impact on national </w:t>
            </w:r>
            <w:r w:rsidR="00316CA5">
              <w:t xml:space="preserve">flu </w:t>
            </w:r>
            <w:r>
              <w:t>equity</w:t>
            </w:r>
            <w:r w:rsidR="000A49CA">
              <w:t xml:space="preserve"> rates</w:t>
            </w:r>
            <w:r>
              <w:t xml:space="preserve">, as Northland has the second-largest population of Māori over 65 years. </w:t>
            </w:r>
          </w:p>
          <w:p w14:paraId="580FF9F3" w14:textId="71DE3625" w:rsidR="00266F9A" w:rsidRDefault="00266F9A" w:rsidP="00323AD8">
            <w:pPr>
              <w:pStyle w:val="Bullet"/>
              <w:ind w:left="357" w:hanging="357"/>
              <w:contextualSpacing w:val="0"/>
            </w:pPr>
            <w:r>
              <w:t xml:space="preserve">Waikato </w:t>
            </w:r>
            <w:r w:rsidR="00996B21">
              <w:t xml:space="preserve">performed creditably in 2020 with </w:t>
            </w:r>
            <w:r w:rsidR="00F04E8E">
              <w:t xml:space="preserve">Māori </w:t>
            </w:r>
            <w:r w:rsidR="00996B21">
              <w:t xml:space="preserve">flu vaccinations </w:t>
            </w:r>
            <w:r>
              <w:t xml:space="preserve">up 13 percentage points </w:t>
            </w:r>
            <w:proofErr w:type="gramStart"/>
            <w:r w:rsidR="00996B21">
              <w:t>on</w:t>
            </w:r>
            <w:proofErr w:type="gramEnd"/>
            <w:r w:rsidR="00996B21">
              <w:t xml:space="preserve"> </w:t>
            </w:r>
            <w:r>
              <w:t>2019</w:t>
            </w:r>
            <w:r w:rsidR="009A5AAC">
              <w:t xml:space="preserve">; </w:t>
            </w:r>
            <w:r w:rsidR="00996B21">
              <w:t xml:space="preserve">and </w:t>
            </w:r>
            <w:r>
              <w:t>compared</w:t>
            </w:r>
            <w:r w:rsidR="00F04E8E">
              <w:t xml:space="preserve"> favourably</w:t>
            </w:r>
            <w:r>
              <w:t xml:space="preserve"> to</w:t>
            </w:r>
            <w:r w:rsidR="00F04E8E">
              <w:t xml:space="preserve"> an increase of </w:t>
            </w:r>
            <w:r>
              <w:t>10.49 percentage points for non-Māori</w:t>
            </w:r>
            <w:r w:rsidR="00EC6371">
              <w:t>,</w:t>
            </w:r>
            <w:r>
              <w:t xml:space="preserve"> non-Pacific over the same period. </w:t>
            </w:r>
            <w:r w:rsidR="00996B21">
              <w:t>Waikato has the largest population of Māori over 65 years in a single DHB region, and so gains in Waikato also have a positive impact on national f</w:t>
            </w:r>
            <w:r w:rsidR="00323AD8">
              <w:t xml:space="preserve">lu </w:t>
            </w:r>
            <w:r w:rsidR="00996B21">
              <w:t xml:space="preserve">equity rates. </w:t>
            </w:r>
          </w:p>
          <w:p w14:paraId="77F4C95F" w14:textId="24386BA0" w:rsidR="00266F9A" w:rsidRDefault="00266F9A" w:rsidP="00323AD8">
            <w:pPr>
              <w:pStyle w:val="Bullet"/>
              <w:ind w:left="357" w:hanging="357"/>
              <w:contextualSpacing w:val="0"/>
            </w:pPr>
            <w:r w:rsidRPr="00F14027">
              <w:t xml:space="preserve">The greater Auckland </w:t>
            </w:r>
            <w:r w:rsidR="005E0125">
              <w:t xml:space="preserve">DHB </w:t>
            </w:r>
            <w:r w:rsidRPr="00F14027">
              <w:t>regions</w:t>
            </w:r>
            <w:r w:rsidR="00316CA5">
              <w:t xml:space="preserve"> (Auckland, Counties Manukau and </w:t>
            </w:r>
            <w:proofErr w:type="spellStart"/>
            <w:r w:rsidR="00316CA5">
              <w:t>Waitematā</w:t>
            </w:r>
            <w:proofErr w:type="spellEnd"/>
            <w:r w:rsidR="00316CA5">
              <w:t>)</w:t>
            </w:r>
            <w:r w:rsidRPr="00F14027">
              <w:t xml:space="preserve"> continue to be amongst </w:t>
            </w:r>
            <w:r>
              <w:t>t</w:t>
            </w:r>
            <w:r w:rsidRPr="00F14027">
              <w:t xml:space="preserve">he five lowest performing regions </w:t>
            </w:r>
            <w:r w:rsidR="00463731">
              <w:t>for Māori</w:t>
            </w:r>
            <w:r w:rsidR="00463731" w:rsidRPr="00F14027">
              <w:t xml:space="preserve"> </w:t>
            </w:r>
            <w:r w:rsidRPr="00F14027">
              <w:t>in 2020, as</w:t>
            </w:r>
            <w:r w:rsidR="00463731">
              <w:t xml:space="preserve"> also</w:t>
            </w:r>
            <w:r w:rsidRPr="00F14027">
              <w:t xml:space="preserve"> </w:t>
            </w:r>
            <w:r>
              <w:t>i</w:t>
            </w:r>
            <w:r w:rsidRPr="00F14027">
              <w:t xml:space="preserve">n 2019. Of the three, Counties Manukau achieved </w:t>
            </w:r>
            <w:r w:rsidR="00316CA5">
              <w:t xml:space="preserve">the </w:t>
            </w:r>
            <w:r w:rsidRPr="00F14027">
              <w:t xml:space="preserve">highest flu vaccination rate </w:t>
            </w:r>
            <w:r w:rsidR="00316CA5">
              <w:t xml:space="preserve">of </w:t>
            </w:r>
            <w:r w:rsidRPr="00F14027">
              <w:t>52.95%</w:t>
            </w:r>
            <w:r w:rsidR="00F04E8E">
              <w:t xml:space="preserve"> for </w:t>
            </w:r>
            <w:r w:rsidR="006A4752">
              <w:t>Māori</w:t>
            </w:r>
            <w:r w:rsidR="00F04E8E">
              <w:t xml:space="preserve"> </w:t>
            </w:r>
            <w:r w:rsidR="00463731">
              <w:t xml:space="preserve">aged over </w:t>
            </w:r>
            <w:r w:rsidR="00F04E8E">
              <w:t>65</w:t>
            </w:r>
            <w:r w:rsidR="00316CA5">
              <w:t xml:space="preserve">. </w:t>
            </w:r>
            <w:proofErr w:type="spellStart"/>
            <w:r w:rsidRPr="00F14027">
              <w:t>Waitemat</w:t>
            </w:r>
            <w:r w:rsidR="00EC6371">
              <w:t>ā</w:t>
            </w:r>
            <w:proofErr w:type="spellEnd"/>
            <w:r w:rsidRPr="00F14027">
              <w:t xml:space="preserve"> saw the biggest increase compared to 2019</w:t>
            </w:r>
            <w:r w:rsidR="006A4752">
              <w:t xml:space="preserve"> (</w:t>
            </w:r>
            <w:r w:rsidRPr="00F14027">
              <w:t>48.54% vs 35.9</w:t>
            </w:r>
            <w:r w:rsidR="006A4752">
              <w:t>%)</w:t>
            </w:r>
            <w:r w:rsidR="00463731">
              <w:t xml:space="preserve">. </w:t>
            </w:r>
            <w:r w:rsidRPr="00F14027">
              <w:t>Auckland</w:t>
            </w:r>
            <w:r w:rsidR="00316CA5">
              <w:t xml:space="preserve"> was</w:t>
            </w:r>
            <w:r w:rsidRPr="00F14027">
              <w:t xml:space="preserve"> well behind </w:t>
            </w:r>
            <w:r w:rsidR="00316CA5">
              <w:t xml:space="preserve">with vaccination rates in 2020 of </w:t>
            </w:r>
            <w:r w:rsidR="003E3F24">
              <w:t>40.18%</w:t>
            </w:r>
            <w:r w:rsidR="006A4752">
              <w:t xml:space="preserve"> for Māori </w:t>
            </w:r>
            <w:r w:rsidR="00463731">
              <w:t xml:space="preserve">aged over </w:t>
            </w:r>
            <w:r w:rsidR="006A4752">
              <w:t>65</w:t>
            </w:r>
            <w:r w:rsidR="00316CA5">
              <w:t xml:space="preserve">. </w:t>
            </w:r>
            <w:r w:rsidR="000F2275">
              <w:t>All three regions</w:t>
            </w:r>
            <w:r w:rsidR="00316CA5">
              <w:t xml:space="preserve"> continue a trend of comparatively poor performance since 2015.</w:t>
            </w:r>
            <w:r w:rsidR="00944C75">
              <w:t xml:space="preserve"> This is of concern given that the largest number of Māori over 65</w:t>
            </w:r>
            <w:r w:rsidR="006A4752">
              <w:t xml:space="preserve"> </w:t>
            </w:r>
            <w:r w:rsidR="009327FE">
              <w:t xml:space="preserve">live in </w:t>
            </w:r>
            <w:r w:rsidR="00944C75">
              <w:t xml:space="preserve">these </w:t>
            </w:r>
            <w:r w:rsidR="009327FE">
              <w:t>three regions.</w:t>
            </w:r>
          </w:p>
          <w:p w14:paraId="1FE5F985" w14:textId="12FE4417" w:rsidR="00055D95" w:rsidRDefault="00E63C87" w:rsidP="000A49CA">
            <w:pPr>
              <w:pStyle w:val="BodyText"/>
            </w:pPr>
            <w:r>
              <w:t xml:space="preserve">In 2020, </w:t>
            </w:r>
            <w:r w:rsidRPr="00E63C87">
              <w:rPr>
                <w:b/>
                <w:bCs/>
              </w:rPr>
              <w:t xml:space="preserve">flu vaccination rates improved overall for Māori </w:t>
            </w:r>
            <w:r w:rsidR="00463731">
              <w:rPr>
                <w:b/>
                <w:bCs/>
              </w:rPr>
              <w:t xml:space="preserve">aged over </w:t>
            </w:r>
            <w:r w:rsidRPr="00E63C87">
              <w:rPr>
                <w:b/>
                <w:bCs/>
              </w:rPr>
              <w:t>65</w:t>
            </w:r>
            <w:r>
              <w:t xml:space="preserve"> as well as</w:t>
            </w:r>
            <w:r w:rsidRPr="00B41005">
              <w:t xml:space="preserve"> for</w:t>
            </w:r>
            <w:r w:rsidRPr="00D10FB2">
              <w:t xml:space="preserve"> </w:t>
            </w:r>
            <w:r>
              <w:t xml:space="preserve">non-Māori and non-Pacific </w:t>
            </w:r>
            <w:r w:rsidR="00463731">
              <w:t xml:space="preserve">aged over </w:t>
            </w:r>
            <w:r>
              <w:t>65. Programmes such as the MIVP helped lessen the</w:t>
            </w:r>
            <w:r w:rsidRPr="00B41005">
              <w:t xml:space="preserve"> disparity </w:t>
            </w:r>
            <w:r>
              <w:t>between</w:t>
            </w:r>
            <w:r w:rsidRPr="00B41005">
              <w:t xml:space="preserve"> </w:t>
            </w:r>
            <w:r w:rsidRPr="00695691">
              <w:t>Māori</w:t>
            </w:r>
            <w:r>
              <w:t xml:space="preserve"> </w:t>
            </w:r>
            <w:r w:rsidR="00463731">
              <w:t>and</w:t>
            </w:r>
            <w:r>
              <w:t xml:space="preserve"> non-Māori and non-Pacific </w:t>
            </w:r>
            <w:r w:rsidR="00463731">
              <w:t xml:space="preserve">aged over </w:t>
            </w:r>
            <w:r>
              <w:t xml:space="preserve">65 </w:t>
            </w:r>
            <w:r w:rsidRPr="00B41005">
              <w:t>by 3.7 percentage points</w:t>
            </w:r>
            <w:r w:rsidR="00463731">
              <w:t>,</w:t>
            </w:r>
            <w:r w:rsidRPr="00B41005">
              <w:t xml:space="preserve"> from -12.1% to </w:t>
            </w:r>
            <w:r>
              <w:t>-</w:t>
            </w:r>
            <w:r w:rsidRPr="00B41005">
              <w:t xml:space="preserve">8.4%. While this is a 30.6% improvement on the previous year, </w:t>
            </w:r>
            <w:r w:rsidRPr="00E63C87">
              <w:rPr>
                <w:b/>
                <w:bCs/>
              </w:rPr>
              <w:t xml:space="preserve">there remains a sizeable disparity of -8.4% between the flu vaccination equity rates of Māori and non-Māori and non-Pacific </w:t>
            </w:r>
            <w:r w:rsidR="00463731">
              <w:rPr>
                <w:b/>
                <w:bCs/>
              </w:rPr>
              <w:t xml:space="preserve">aged over </w:t>
            </w:r>
            <w:r w:rsidR="00463731" w:rsidRPr="00E63C87">
              <w:rPr>
                <w:b/>
                <w:bCs/>
              </w:rPr>
              <w:t xml:space="preserve">65 </w:t>
            </w:r>
            <w:r w:rsidRPr="00E63C87">
              <w:rPr>
                <w:b/>
                <w:bCs/>
              </w:rPr>
              <w:t>which needs addressing</w:t>
            </w:r>
            <w:r w:rsidRPr="00B41005">
              <w:t xml:space="preserve">. This is particularly important in regions such as Auckland, </w:t>
            </w:r>
            <w:r>
              <w:t>which has</w:t>
            </w:r>
            <w:r w:rsidRPr="00B41005">
              <w:t xml:space="preserve"> a high population of </w:t>
            </w:r>
            <w:r w:rsidRPr="00695691">
              <w:t>Māori</w:t>
            </w:r>
            <w:r w:rsidRPr="00B41005">
              <w:t xml:space="preserve"> </w:t>
            </w:r>
            <w:r w:rsidR="00463731">
              <w:t xml:space="preserve">aged over </w:t>
            </w:r>
            <w:r w:rsidRPr="00B41005">
              <w:t xml:space="preserve">65.  </w:t>
            </w:r>
          </w:p>
        </w:tc>
      </w:tr>
    </w:tbl>
    <w:p w14:paraId="6E78A00E" w14:textId="1A58FD50" w:rsidR="00055D95" w:rsidRPr="00C2096B" w:rsidRDefault="00463731" w:rsidP="00055D95">
      <w:pPr>
        <w:pStyle w:val="Heading2"/>
      </w:pPr>
      <w:bookmarkStart w:id="24" w:name="_Toc70763259"/>
      <w:bookmarkStart w:id="25" w:name="_Toc58178659"/>
      <w:bookmarkStart w:id="26" w:name="_Toc58347833"/>
      <w:r>
        <w:t xml:space="preserve">The impact of the </w:t>
      </w:r>
      <w:r w:rsidR="0078565B">
        <w:t xml:space="preserve">Māori Influenza Vaccination Programme </w:t>
      </w:r>
      <w:r>
        <w:t>on Māori flu vaccination rates</w:t>
      </w:r>
      <w:bookmarkEnd w:id="24"/>
      <w:r>
        <w:t xml:space="preserve"> </w:t>
      </w:r>
      <w:bookmarkEnd w:id="25"/>
      <w:bookmarkEnd w:id="26"/>
    </w:p>
    <w:p w14:paraId="24A12D14" w14:textId="34B67D7A" w:rsidR="00055D95" w:rsidRDefault="00055D95" w:rsidP="00055D95">
      <w:pPr>
        <w:pStyle w:val="BodyText"/>
      </w:pPr>
      <w:r>
        <w:t xml:space="preserve">This section explores the impact of the </w:t>
      </w:r>
      <w:r w:rsidR="0078565B">
        <w:t xml:space="preserve">programme </w:t>
      </w:r>
      <w:r>
        <w:t xml:space="preserve">on Māori flu vaccination rates and the extent to which </w:t>
      </w:r>
      <w:r w:rsidR="0078565B">
        <w:t xml:space="preserve">it </w:t>
      </w:r>
      <w:r>
        <w:t xml:space="preserve">contributed to improved equity for Māori. It sets out the evidence </w:t>
      </w:r>
      <w:r w:rsidR="00463731">
        <w:t xml:space="preserve">that demonstrates </w:t>
      </w:r>
      <w:r w:rsidR="0078565B">
        <w:t xml:space="preserve">the programme’s </w:t>
      </w:r>
      <w:r>
        <w:t xml:space="preserve">contribution to the increased </w:t>
      </w:r>
      <w:r w:rsidRPr="00A66B7C">
        <w:t xml:space="preserve">Māori </w:t>
      </w:r>
      <w:r>
        <w:t>flu vaccination rates, discusses the overall impact on equity, and looks at the pattern of changes in DHB regions for the 2019–2020 period.</w:t>
      </w:r>
    </w:p>
    <w:p w14:paraId="0C379E7C" w14:textId="22539E4B" w:rsidR="00594121" w:rsidRDefault="006D2DD3" w:rsidP="00594121">
      <w:pPr>
        <w:pStyle w:val="Heading2"/>
      </w:pPr>
      <w:bookmarkStart w:id="27" w:name="_Toc70763260"/>
      <w:r>
        <w:lastRenderedPageBreak/>
        <w:t>V</w:t>
      </w:r>
      <w:r w:rsidR="00594121" w:rsidRPr="00594121">
        <w:t>accination rate</w:t>
      </w:r>
      <w:r>
        <w:t xml:space="preserve">s </w:t>
      </w:r>
      <w:r w:rsidR="00126EAA">
        <w:t xml:space="preserve">up </w:t>
      </w:r>
      <w:r>
        <w:t xml:space="preserve">for </w:t>
      </w:r>
      <w:r w:rsidR="00C15F3B">
        <w:t>Māori</w:t>
      </w:r>
      <w:r>
        <w:t xml:space="preserve"> 65+ in 2020 compared with earlier </w:t>
      </w:r>
      <w:proofErr w:type="gramStart"/>
      <w:r>
        <w:t>years</w:t>
      </w:r>
      <w:bookmarkEnd w:id="27"/>
      <w:proofErr w:type="gramEnd"/>
      <w:r w:rsidR="00594121" w:rsidRPr="00594121">
        <w:t xml:space="preserve"> </w:t>
      </w:r>
    </w:p>
    <w:p w14:paraId="0DAF9D3C" w14:textId="57F88BFB" w:rsidR="00055D95" w:rsidRDefault="4AA8C661" w:rsidP="00B267A6">
      <w:pPr>
        <w:pStyle w:val="BodyText"/>
      </w:pPr>
      <w:r>
        <w:t xml:space="preserve">In 2020, the National Immunisation Register (NIR) recorded significantly higher vaccination rates for Māori than in previous years. While some of this increase will be due </w:t>
      </w:r>
      <w:r w:rsidR="00E84E71">
        <w:t xml:space="preserve">to </w:t>
      </w:r>
      <w:r>
        <w:t>COVID-19, the evaluation found evidence that the MIVP also contributed.</w:t>
      </w:r>
      <w:r w:rsidR="00055D95">
        <w:t xml:space="preserve"> </w:t>
      </w:r>
    </w:p>
    <w:p w14:paraId="4D9FCCB7" w14:textId="7EBA9CCE" w:rsidR="00055D95" w:rsidRDefault="000B6910" w:rsidP="00475951">
      <w:pPr>
        <w:pStyle w:val="BodyText"/>
      </w:pPr>
      <w:r>
        <w:fldChar w:fldCharType="begin"/>
      </w:r>
      <w:r>
        <w:instrText xml:space="preserve"> REF _Ref58259156 \h </w:instrText>
      </w:r>
      <w:r>
        <w:fldChar w:fldCharType="separate"/>
      </w:r>
      <w:r w:rsidRPr="00122A1B">
        <w:t xml:space="preserve">Figure </w:t>
      </w:r>
      <w:r>
        <w:rPr>
          <w:noProof/>
        </w:rPr>
        <w:t>1</w:t>
      </w:r>
      <w:r>
        <w:fldChar w:fldCharType="end"/>
      </w:r>
      <w:r w:rsidR="00BB0EA3">
        <w:t xml:space="preserve"> </w:t>
      </w:r>
      <w:r w:rsidR="00BB0EA3" w:rsidRPr="00027143">
        <w:t xml:space="preserve">draws on data from the National Immunisations Register (NIR). It shows the national </w:t>
      </w:r>
      <w:r w:rsidR="000826FE">
        <w:t xml:space="preserve">2020 </w:t>
      </w:r>
      <w:r w:rsidR="00BB0EA3" w:rsidRPr="00027143">
        <w:t xml:space="preserve">vaccination rates for Māori </w:t>
      </w:r>
      <w:r w:rsidR="000826FE">
        <w:t xml:space="preserve">aged </w:t>
      </w:r>
      <w:r w:rsidR="000826FE" w:rsidRPr="00027143">
        <w:t xml:space="preserve">over 65 </w:t>
      </w:r>
      <w:r w:rsidR="00BB0EA3" w:rsidRPr="00027143">
        <w:t>contrasted with non-Māori compared with 2019.</w:t>
      </w:r>
    </w:p>
    <w:p w14:paraId="067D5D14" w14:textId="3C4D3407" w:rsidR="00055D95" w:rsidRPr="00122A1B" w:rsidRDefault="00055D95" w:rsidP="00900633">
      <w:pPr>
        <w:pStyle w:val="Caption"/>
      </w:pPr>
      <w:bookmarkStart w:id="28" w:name="_Ref58259156"/>
      <w:bookmarkStart w:id="29" w:name="_Toc58387958"/>
      <w:bookmarkStart w:id="30" w:name="_Toc62703573"/>
      <w:r w:rsidRPr="00122A1B">
        <w:t xml:space="preserve">Figure </w:t>
      </w:r>
      <w:r>
        <w:fldChar w:fldCharType="begin"/>
      </w:r>
      <w:r>
        <w:instrText>SEQ Figure \* ARABIC</w:instrText>
      </w:r>
      <w:r>
        <w:fldChar w:fldCharType="separate"/>
      </w:r>
      <w:r w:rsidR="009B082D">
        <w:rPr>
          <w:noProof/>
        </w:rPr>
        <w:t>1</w:t>
      </w:r>
      <w:r>
        <w:fldChar w:fldCharType="end"/>
      </w:r>
      <w:bookmarkEnd w:id="28"/>
      <w:r>
        <w:rPr>
          <w:noProof/>
        </w:rPr>
        <w:t>.</w:t>
      </w:r>
      <w:r w:rsidRPr="00122A1B">
        <w:t xml:space="preserve"> National </w:t>
      </w:r>
      <w:r>
        <w:t>flu</w:t>
      </w:r>
      <w:r w:rsidRPr="00122A1B">
        <w:t xml:space="preserve"> vaccination rates for Māori and non-Māori over 65 years for 2020 and 2019</w:t>
      </w:r>
      <w:bookmarkEnd w:id="29"/>
      <w:bookmarkEnd w:id="30"/>
    </w:p>
    <w:p w14:paraId="12687E84" w14:textId="5A57FE83" w:rsidR="00055D95" w:rsidRDefault="00055D95" w:rsidP="00055D95">
      <w:pPr>
        <w:pStyle w:val="BodyText"/>
        <w:numPr>
          <w:ilvl w:val="0"/>
          <w:numId w:val="0"/>
        </w:numPr>
      </w:pPr>
      <w:r>
        <w:rPr>
          <w:noProof/>
        </w:rPr>
        <w:drawing>
          <wp:inline distT="0" distB="0" distL="0" distR="0" wp14:anchorId="66284902" wp14:editId="73209771">
            <wp:extent cx="5180400" cy="2912400"/>
            <wp:effectExtent l="0" t="0" r="1270" b="0"/>
            <wp:docPr id="2" name="Picture 2" descr="Graph of national flu vaccination rates. Both Māori and non-Māori non-Pacific rates increased in 2020 compared to 2019. In 2020, a significant increase is observed between weeks 11 and 18, before tapering off to stable levels. This is earlier and quicker than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of national flu vaccination rates. Both Māori and non-Māori non-Pacific rates increased in 2020 compared to 2019. In 2020, a significant increase is observed between weeks 11 and 18, before tapering off to stable levels. This is earlier and quicker than in 2019.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0400" cy="2912400"/>
                    </a:xfrm>
                    <a:prstGeom prst="rect">
                      <a:avLst/>
                    </a:prstGeom>
                    <a:noFill/>
                  </pic:spPr>
                </pic:pic>
              </a:graphicData>
            </a:graphic>
          </wp:inline>
        </w:drawing>
      </w:r>
    </w:p>
    <w:p w14:paraId="7CCBD4AF" w14:textId="77777777" w:rsidR="002E007F" w:rsidRPr="00FB4D83" w:rsidRDefault="002E007F" w:rsidP="002E007F">
      <w:pPr>
        <w:pStyle w:val="NoSpacing"/>
      </w:pPr>
    </w:p>
    <w:p w14:paraId="110D0B90" w14:textId="13CA1F56" w:rsidR="0015349F" w:rsidRPr="00027143" w:rsidRDefault="0015349F" w:rsidP="0015349F">
      <w:pPr>
        <w:pStyle w:val="BodyText"/>
      </w:pPr>
      <w:bookmarkStart w:id="31" w:name="_Toc58178661"/>
      <w:bookmarkStart w:id="32" w:name="_Toc58347835"/>
      <w:r>
        <w:t>T</w:t>
      </w:r>
      <w:r w:rsidRPr="00027143">
        <w:t xml:space="preserve">here was a significant increase in </w:t>
      </w:r>
      <w:r>
        <w:t>flu</w:t>
      </w:r>
      <w:r w:rsidRPr="00027143">
        <w:t xml:space="preserve"> vaccinations for both Māori and non-Māori</w:t>
      </w:r>
      <w:r w:rsidR="000826FE">
        <w:t>,</w:t>
      </w:r>
      <w:r w:rsidRPr="00027143">
        <w:t xml:space="preserve"> non-Pacific </w:t>
      </w:r>
      <w:r w:rsidR="000826FE">
        <w:t xml:space="preserve">people </w:t>
      </w:r>
      <w:r w:rsidRPr="00027143">
        <w:t>in 2020. Of note:</w:t>
      </w:r>
    </w:p>
    <w:p w14:paraId="3C814CA2" w14:textId="29A951AF" w:rsidR="0015349F" w:rsidRPr="00407F52" w:rsidRDefault="0015349F" w:rsidP="0015349F">
      <w:pPr>
        <w:pStyle w:val="Bullet"/>
      </w:pPr>
      <w:r>
        <w:t>Flu v</w:t>
      </w:r>
      <w:r w:rsidRPr="00407F52">
        <w:t>accination rates increased earlier and fast</w:t>
      </w:r>
      <w:r>
        <w:t>er</w:t>
      </w:r>
      <w:r w:rsidRPr="00407F52">
        <w:t xml:space="preserve"> in 2020 than in 2019</w:t>
      </w:r>
      <w:r w:rsidR="000826FE">
        <w:t>: w</w:t>
      </w:r>
      <w:r w:rsidRPr="00407F52">
        <w:t xml:space="preserve">hile some of this will be </w:t>
      </w:r>
      <w:r>
        <w:t>because of</w:t>
      </w:r>
      <w:r w:rsidRPr="00407F52">
        <w:t xml:space="preserve"> COVID-19, the evaluation data suggests that some providers were carrying out vaccinations as part of </w:t>
      </w:r>
      <w:r w:rsidR="0078565B">
        <w:t>their programme activities</w:t>
      </w:r>
      <w:r w:rsidR="0078565B" w:rsidRPr="00407F52">
        <w:t xml:space="preserve"> </w:t>
      </w:r>
      <w:r w:rsidRPr="00407F52">
        <w:t>before their June</w:t>
      </w:r>
      <w:r>
        <w:t xml:space="preserve"> or </w:t>
      </w:r>
      <w:r w:rsidRPr="00407F52">
        <w:t xml:space="preserve">July contract start </w:t>
      </w:r>
      <w:proofErr w:type="gramStart"/>
      <w:r w:rsidRPr="00407F52">
        <w:t>dates</w:t>
      </w:r>
      <w:proofErr w:type="gramEnd"/>
      <w:r w:rsidRPr="00407F52">
        <w:t xml:space="preserve"> </w:t>
      </w:r>
    </w:p>
    <w:p w14:paraId="4765BAF8" w14:textId="66F3044C" w:rsidR="0015349F" w:rsidRPr="00407F52" w:rsidRDefault="0015349F" w:rsidP="0015349F">
      <w:pPr>
        <w:pStyle w:val="Bullet"/>
      </w:pPr>
      <w:r w:rsidRPr="00407F52">
        <w:t>The increase in the earlier weeks occurred more for Māori than non-Māori, non-Pacific</w:t>
      </w:r>
      <w:r w:rsidR="000826FE">
        <w:t xml:space="preserve"> people, and </w:t>
      </w:r>
      <w:r w:rsidR="0078565B">
        <w:t xml:space="preserve">further </w:t>
      </w:r>
      <w:r w:rsidRPr="00407F52">
        <w:t xml:space="preserve">suggests that some providers undertook activities specifically for Māori before their June or July contract </w:t>
      </w:r>
      <w:proofErr w:type="gramStart"/>
      <w:r w:rsidRPr="00B1474E">
        <w:t>start</w:t>
      </w:r>
      <w:proofErr w:type="gramEnd"/>
      <w:r w:rsidRPr="00407F52">
        <w:t xml:space="preserve"> </w:t>
      </w:r>
    </w:p>
    <w:p w14:paraId="24C286F3" w14:textId="13F8C41C" w:rsidR="0015349F" w:rsidRDefault="0015349F" w:rsidP="0015349F">
      <w:pPr>
        <w:pStyle w:val="Bullet"/>
      </w:pPr>
      <w:r w:rsidRPr="00407F52">
        <w:t xml:space="preserve">The gap between Māori and non-Māori, non-Pacific </w:t>
      </w:r>
      <w:r w:rsidR="000826FE">
        <w:t xml:space="preserve">people </w:t>
      </w:r>
      <w:r w:rsidRPr="00407F52">
        <w:t>by the end of 2020 is less than the gap at the end of 2019</w:t>
      </w:r>
      <w:r w:rsidR="000826FE">
        <w:t xml:space="preserve"> which</w:t>
      </w:r>
      <w:r w:rsidRPr="00407F52">
        <w:t xml:space="preserve"> suggests that new or extra activities in 2020 likely had a positive impact in helping address the equity gap.</w:t>
      </w:r>
    </w:p>
    <w:p w14:paraId="23766BAA" w14:textId="3B63CE86" w:rsidR="0015349F" w:rsidRPr="0015349F" w:rsidRDefault="0015349F" w:rsidP="0015349F">
      <w:pPr>
        <w:pStyle w:val="BodyText"/>
      </w:pPr>
      <w:r>
        <w:t>Despite a strong increase in flu vaccination rates for Māori over 65 years in 2020, the increases in flu vaccinations for non-Māori</w:t>
      </w:r>
      <w:r w:rsidR="0078565B">
        <w:t>,</w:t>
      </w:r>
      <w:r>
        <w:t xml:space="preserve"> non-Pacific mean the equity gap remains largely unchanged. The equity gap reduced</w:t>
      </w:r>
      <w:r w:rsidRPr="00027143">
        <w:t xml:space="preserve"> </w:t>
      </w:r>
      <w:r>
        <w:t xml:space="preserve">by 3.7 percentage points </w:t>
      </w:r>
      <w:r w:rsidRPr="00027143">
        <w:t xml:space="preserve">in 2020 from </w:t>
      </w:r>
      <w:r>
        <w:t>-</w:t>
      </w:r>
      <w:r w:rsidRPr="00553D7B">
        <w:t xml:space="preserve">12.1% to -8.4% (comparing NIR data as </w:t>
      </w:r>
      <w:r>
        <w:t>of</w:t>
      </w:r>
      <w:r w:rsidRPr="00553D7B">
        <w:t xml:space="preserve"> Week 37)</w:t>
      </w:r>
      <w:r>
        <w:t xml:space="preserve">, as seen in </w:t>
      </w:r>
      <w:r w:rsidR="000B6910">
        <w:fldChar w:fldCharType="begin"/>
      </w:r>
      <w:r w:rsidR="000B6910">
        <w:instrText xml:space="preserve"> REF _Ref58259156 \h </w:instrText>
      </w:r>
      <w:r w:rsidR="000B6910">
        <w:fldChar w:fldCharType="separate"/>
      </w:r>
      <w:r w:rsidR="000B6910" w:rsidRPr="00122A1B">
        <w:t xml:space="preserve">Figure </w:t>
      </w:r>
      <w:r w:rsidR="000B6910">
        <w:rPr>
          <w:noProof/>
        </w:rPr>
        <w:t>1</w:t>
      </w:r>
      <w:r w:rsidR="000B6910">
        <w:fldChar w:fldCharType="end"/>
      </w:r>
      <w:r>
        <w:t>.</w:t>
      </w:r>
    </w:p>
    <w:p w14:paraId="2C7983E9" w14:textId="11B6F651" w:rsidR="004C22FF" w:rsidRPr="00907678" w:rsidRDefault="004C22FF" w:rsidP="004C22FF">
      <w:pPr>
        <w:pStyle w:val="Heading2"/>
      </w:pPr>
      <w:bookmarkStart w:id="33" w:name="_Toc70763261"/>
      <w:r>
        <w:t>MIVP positively impacted on flu vaccin</w:t>
      </w:r>
      <w:r w:rsidR="00C80CC7">
        <w:t>ation</w:t>
      </w:r>
      <w:r>
        <w:t xml:space="preserve"> rates for </w:t>
      </w:r>
      <w:r w:rsidRPr="00A66B7C">
        <w:t xml:space="preserve">Māori </w:t>
      </w:r>
      <w:r>
        <w:t xml:space="preserve">over 65 </w:t>
      </w:r>
      <w:proofErr w:type="gramStart"/>
      <w:r>
        <w:t>years</w:t>
      </w:r>
      <w:bookmarkEnd w:id="33"/>
      <w:proofErr w:type="gramEnd"/>
    </w:p>
    <w:p w14:paraId="4CC63FE9" w14:textId="4096211D" w:rsidR="004C22FF" w:rsidRPr="00027143" w:rsidRDefault="004C22FF" w:rsidP="004C22FF">
      <w:pPr>
        <w:pStyle w:val="BodyText"/>
      </w:pPr>
      <w:r w:rsidRPr="00027143">
        <w:t xml:space="preserve">Overall, </w:t>
      </w:r>
      <w:r>
        <w:t xml:space="preserve">the </w:t>
      </w:r>
      <w:r w:rsidRPr="00027143">
        <w:t xml:space="preserve">MIVP contributed to increased Māori </w:t>
      </w:r>
      <w:r>
        <w:t>flu</w:t>
      </w:r>
      <w:r w:rsidRPr="00027143">
        <w:t xml:space="preserve"> vaccination rates for Māori over 65 years</w:t>
      </w:r>
      <w:r w:rsidR="00FF1DD0">
        <w:t>, compared with previous years</w:t>
      </w:r>
      <w:r w:rsidRPr="00027143">
        <w:t xml:space="preserve">. </w:t>
      </w:r>
      <w:r w:rsidR="00FF1DD0" w:rsidRPr="00027143">
        <w:t xml:space="preserve">The change in the </w:t>
      </w:r>
      <w:r w:rsidR="00FF1DD0">
        <w:t xml:space="preserve">2020 flu </w:t>
      </w:r>
      <w:r w:rsidR="00FF1DD0" w:rsidRPr="00027143">
        <w:t xml:space="preserve">vaccination rates for Māori </w:t>
      </w:r>
      <w:r w:rsidR="000826FE">
        <w:t xml:space="preserve">aged over </w:t>
      </w:r>
      <w:r w:rsidR="00FF1DD0">
        <w:t xml:space="preserve">65 is </w:t>
      </w:r>
      <w:r w:rsidR="00FF1DD0" w:rsidRPr="00027143">
        <w:t>significant</w:t>
      </w:r>
      <w:r w:rsidR="00FF1DD0" w:rsidRPr="00553D7B">
        <w:t xml:space="preserve"> (up from 45.8% in 2019 to 59.0% in 2020 as </w:t>
      </w:r>
      <w:r w:rsidR="00FF1DD0">
        <w:t>of</w:t>
      </w:r>
      <w:r w:rsidR="00FF1DD0" w:rsidRPr="00553D7B">
        <w:t xml:space="preserve"> Week 37)</w:t>
      </w:r>
      <w:r w:rsidR="00FF1DD0">
        <w:t>, particularly given the small improvement observed between 2015 and 2019.</w:t>
      </w:r>
    </w:p>
    <w:p w14:paraId="434F4E66" w14:textId="1F868982" w:rsidR="00250B4B" w:rsidRDefault="00250B4B" w:rsidP="00900633">
      <w:pPr>
        <w:pStyle w:val="Caption"/>
      </w:pPr>
      <w:bookmarkStart w:id="34" w:name="_Ref70760352"/>
      <w:bookmarkStart w:id="35" w:name="_Toc58387959"/>
      <w:bookmarkStart w:id="36" w:name="_Toc62703574"/>
      <w:bookmarkStart w:id="37" w:name="_Ref70760356"/>
      <w:bookmarkEnd w:id="31"/>
      <w:bookmarkEnd w:id="32"/>
      <w:r w:rsidRPr="00B267A6">
        <w:lastRenderedPageBreak/>
        <w:t xml:space="preserve">Figure </w:t>
      </w:r>
      <w:r>
        <w:fldChar w:fldCharType="begin"/>
      </w:r>
      <w:r>
        <w:instrText>SEQ Figure \* ARABIC</w:instrText>
      </w:r>
      <w:r>
        <w:fldChar w:fldCharType="separate"/>
      </w:r>
      <w:r w:rsidR="009B082D">
        <w:rPr>
          <w:noProof/>
        </w:rPr>
        <w:t>2</w:t>
      </w:r>
      <w:r>
        <w:fldChar w:fldCharType="end"/>
      </w:r>
      <w:bookmarkEnd w:id="34"/>
      <w:r>
        <w:t>.</w:t>
      </w:r>
      <w:r w:rsidRPr="00B267A6">
        <w:t xml:space="preserve"> </w:t>
      </w:r>
      <w:r>
        <w:t>Flu v</w:t>
      </w:r>
      <w:r w:rsidRPr="00B267A6">
        <w:t xml:space="preserve">accination rates for </w:t>
      </w:r>
      <w:bookmarkStart w:id="38" w:name="_Toc57663029"/>
      <w:r>
        <w:t>Māori</w:t>
      </w:r>
      <w:r w:rsidRPr="00B267A6">
        <w:t xml:space="preserve"> 65+ in 2020 compared with </w:t>
      </w:r>
      <w:proofErr w:type="gramStart"/>
      <w:r>
        <w:t>2019</w:t>
      </w:r>
      <w:bookmarkEnd w:id="35"/>
      <w:bookmarkEnd w:id="36"/>
      <w:bookmarkEnd w:id="37"/>
      <w:proofErr w:type="gramEnd"/>
    </w:p>
    <w:p w14:paraId="7A4D675F" w14:textId="79540E33" w:rsidR="004403CF" w:rsidRDefault="00250B4B" w:rsidP="00250B4B">
      <w:r w:rsidRPr="005C227C">
        <w:rPr>
          <w:noProof/>
          <w:shd w:val="clear" w:color="auto" w:fill="808080" w:themeFill="background1" w:themeFillShade="80"/>
        </w:rPr>
        <w:drawing>
          <wp:inline distT="0" distB="0" distL="0" distR="0" wp14:anchorId="7DA219ED" wp14:editId="61B6E34E">
            <wp:extent cx="5273749" cy="2966175"/>
            <wp:effectExtent l="12700" t="12700" r="9525" b="18415"/>
            <wp:docPr id="6" name="Picture 6" descr="Graph of national flu vaccination rates for Māori in 2020 compared to 2015-2019, with markers for MIVP activities: letters sent out in Week 16, submissions close Week 19, Contracts awarded Week 25. The graph shows that there continued to be a small but noticeable increase in vaccination rates from weeks 25 onwards. In contrast, the vaccination rate is fairly stable from week 25 in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 of national flu vaccination rates for Māori in 2020 compared to 2015-2019, with markers for MIVP activities: letters sent out in Week 16, submissions close Week 19, Contracts awarded Week 25. The graph shows that there continued to be a small but noticeable increase in vaccination rates from weeks 25 onwards. In contrast, the vaccination rate is fairly stable from week 25 in 2015-20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9895" cy="2975256"/>
                    </a:xfrm>
                    <a:prstGeom prst="rect">
                      <a:avLst/>
                    </a:prstGeom>
                    <a:noFill/>
                    <a:ln>
                      <a:solidFill>
                        <a:schemeClr val="bg1">
                          <a:lumMod val="50000"/>
                        </a:schemeClr>
                      </a:solidFill>
                    </a:ln>
                  </pic:spPr>
                </pic:pic>
              </a:graphicData>
            </a:graphic>
          </wp:inline>
        </w:drawing>
      </w:r>
      <w:bookmarkEnd w:id="38"/>
    </w:p>
    <w:p w14:paraId="6B5FF037" w14:textId="77777777" w:rsidR="002E007F" w:rsidRDefault="002E007F" w:rsidP="002E007F">
      <w:pPr>
        <w:pStyle w:val="NoSpacing"/>
      </w:pPr>
    </w:p>
    <w:p w14:paraId="7C63C30E" w14:textId="52159918" w:rsidR="004403CF" w:rsidRDefault="000B6910" w:rsidP="004403CF">
      <w:pPr>
        <w:pStyle w:val="BodyText"/>
      </w:pPr>
      <w:r>
        <w:fldChar w:fldCharType="begin"/>
      </w:r>
      <w:r>
        <w:instrText xml:space="preserve"> REF _Ref70760352 \h </w:instrText>
      </w:r>
      <w:r>
        <w:fldChar w:fldCharType="separate"/>
      </w:r>
      <w:r w:rsidRPr="00B267A6">
        <w:t xml:space="preserve">Figure </w:t>
      </w:r>
      <w:r>
        <w:rPr>
          <w:noProof/>
        </w:rPr>
        <w:t>2</w:t>
      </w:r>
      <w:r>
        <w:fldChar w:fldCharType="end"/>
      </w:r>
      <w:r w:rsidR="004403CF" w:rsidRPr="00027143">
        <w:t xml:space="preserve"> shows the timing of the increase and the stages of the MIVP roll</w:t>
      </w:r>
      <w:r w:rsidR="000826FE">
        <w:t>-</w:t>
      </w:r>
      <w:r w:rsidR="004403CF" w:rsidRPr="00027143">
        <w:t xml:space="preserve">out. While some of this increase will be due </w:t>
      </w:r>
      <w:r w:rsidR="004403CF">
        <w:t xml:space="preserve">to </w:t>
      </w:r>
      <w:r w:rsidR="004403CF" w:rsidRPr="00027143">
        <w:t>COVID-19, the evidence suggests that the MIVP also contributed to this increase</w:t>
      </w:r>
      <w:r w:rsidR="004403CF">
        <w:t xml:space="preserve">, </w:t>
      </w:r>
      <w:r w:rsidR="004403CF" w:rsidRPr="00027143">
        <w:t>as outlined below.</w:t>
      </w:r>
    </w:p>
    <w:p w14:paraId="3AEBA83E" w14:textId="0623212F" w:rsidR="00250B4B" w:rsidRDefault="00250B4B" w:rsidP="00250B4B">
      <w:pPr>
        <w:pStyle w:val="BodyText"/>
      </w:pPr>
      <w:r w:rsidRPr="00027143">
        <w:t xml:space="preserve">The MIVP contracts </w:t>
      </w:r>
      <w:r>
        <w:t>from the Ministry started between mid-</w:t>
      </w:r>
      <w:r w:rsidRPr="00027143">
        <w:t xml:space="preserve">June to </w:t>
      </w:r>
      <w:r>
        <w:t>mid-</w:t>
      </w:r>
      <w:r w:rsidRPr="00027143">
        <w:t>July</w:t>
      </w:r>
      <w:r>
        <w:t>,</w:t>
      </w:r>
      <w:r w:rsidRPr="00027143">
        <w:t xml:space="preserve"> and they ran till 30 September 2020. </w:t>
      </w:r>
      <w:r>
        <w:t xml:space="preserve">MIVP contracts between DHBs and providers started after this date. </w:t>
      </w:r>
      <w:r w:rsidRPr="00027143">
        <w:t xml:space="preserve">However, many providers </w:t>
      </w:r>
      <w:r>
        <w:t>(direct</w:t>
      </w:r>
      <w:r w:rsidR="000826FE">
        <w:t>-</w:t>
      </w:r>
      <w:r>
        <w:t>funded and DHB</w:t>
      </w:r>
      <w:r w:rsidR="000826FE">
        <w:t>-</w:t>
      </w:r>
      <w:r>
        <w:t xml:space="preserve">funded) </w:t>
      </w:r>
      <w:r w:rsidRPr="00027143">
        <w:t xml:space="preserve">began their MIVP activities well before confirming their contract or receiving funding. </w:t>
      </w:r>
      <w:r w:rsidR="004403CF">
        <w:t xml:space="preserve">For some, they were concerned about </w:t>
      </w:r>
      <w:r w:rsidR="004403CF" w:rsidRPr="004403CF">
        <w:t xml:space="preserve">the heightened risk to </w:t>
      </w:r>
      <w:r w:rsidR="004403CF">
        <w:t xml:space="preserve">whānau </w:t>
      </w:r>
      <w:r w:rsidR="004403CF" w:rsidRPr="004403CF">
        <w:t>associated the COVID-19 pandemic</w:t>
      </w:r>
      <w:r w:rsidR="004403CF">
        <w:t>.</w:t>
      </w:r>
    </w:p>
    <w:p w14:paraId="28DB3565" w14:textId="0CBCB256" w:rsidR="00250B4B" w:rsidRPr="005C7420" w:rsidRDefault="00250B4B" w:rsidP="00EC6371">
      <w:pPr>
        <w:pStyle w:val="QuoteSmallBlue"/>
      </w:pPr>
      <w:r w:rsidRPr="005C7420">
        <w:t xml:space="preserve">We felt </w:t>
      </w:r>
      <w:proofErr w:type="gramStart"/>
      <w:r w:rsidRPr="005C7420">
        <w:t>pretty confident</w:t>
      </w:r>
      <w:proofErr w:type="gramEnd"/>
      <w:r w:rsidRPr="005C7420">
        <w:t xml:space="preserve"> and started before the contract was signed. We </w:t>
      </w:r>
      <w:proofErr w:type="gramStart"/>
      <w:r w:rsidRPr="005C7420">
        <w:t>couldn’t</w:t>
      </w:r>
      <w:proofErr w:type="gramEnd"/>
      <w:r w:rsidRPr="005C7420">
        <w:t xml:space="preserve"> wait with</w:t>
      </w:r>
      <w:r>
        <w:t xml:space="preserve"> COVID-19</w:t>
      </w:r>
      <w:r w:rsidRPr="005C7420">
        <w:t xml:space="preserve"> and everythin</w:t>
      </w:r>
      <w:r>
        <w:t>g. W</w:t>
      </w:r>
      <w:r w:rsidRPr="005C7420">
        <w:t xml:space="preserve">e had to work with whānau as soon as possible. </w:t>
      </w:r>
      <w:proofErr w:type="gramStart"/>
      <w:r w:rsidRPr="005C7420">
        <w:t>So</w:t>
      </w:r>
      <w:proofErr w:type="gramEnd"/>
      <w:r w:rsidRPr="005C7420">
        <w:t xml:space="preserve"> we started. Our board was good</w:t>
      </w:r>
      <w:r>
        <w:t>,</w:t>
      </w:r>
      <w:r w:rsidRPr="005C7420">
        <w:t xml:space="preserve"> and they supported it until funding came in</w:t>
      </w:r>
      <w:r>
        <w:t>.</w:t>
      </w:r>
      <w:r w:rsidRPr="005C7420">
        <w:t xml:space="preserve"> (Provider – direct</w:t>
      </w:r>
      <w:r w:rsidR="000826FE">
        <w:t>-</w:t>
      </w:r>
      <w:r w:rsidRPr="005C7420">
        <w:t>funded)</w:t>
      </w:r>
    </w:p>
    <w:p w14:paraId="7C9C257A" w14:textId="41BDF000" w:rsidR="00250B4B" w:rsidRDefault="00250B4B" w:rsidP="00EC6371">
      <w:pPr>
        <w:pStyle w:val="QuoteSmallBlue"/>
      </w:pPr>
      <w:proofErr w:type="gramStart"/>
      <w:r w:rsidRPr="005C7420">
        <w:t>So</w:t>
      </w:r>
      <w:proofErr w:type="gramEnd"/>
      <w:r w:rsidRPr="005C7420">
        <w:t xml:space="preserve"> we were already actually doing things different within our </w:t>
      </w:r>
      <w:proofErr w:type="spellStart"/>
      <w:r w:rsidRPr="005C7420">
        <w:t>rohe</w:t>
      </w:r>
      <w:proofErr w:type="spellEnd"/>
      <w:r w:rsidRPr="005C7420">
        <w:t xml:space="preserve"> already based on our response to </w:t>
      </w:r>
      <w:r>
        <w:t>COVID-19</w:t>
      </w:r>
      <w:r w:rsidRPr="005C7420">
        <w:t>…</w:t>
      </w:r>
      <w:r w:rsidR="000826FE">
        <w:t xml:space="preserve"> W</w:t>
      </w:r>
      <w:r w:rsidRPr="005C7420">
        <w:t>e already kind of seen an impact about how</w:t>
      </w:r>
      <w:r w:rsidR="000826FE">
        <w:t xml:space="preserve"> [to do it]</w:t>
      </w:r>
      <w:r w:rsidRPr="005C7420">
        <w:t xml:space="preserve"> that was </w:t>
      </w:r>
      <w:proofErr w:type="gramStart"/>
      <w:r w:rsidRPr="005C7420">
        <w:t>actually working</w:t>
      </w:r>
      <w:proofErr w:type="gramEnd"/>
      <w:r w:rsidRPr="005C7420">
        <w:t xml:space="preserve"> quite well. </w:t>
      </w:r>
      <w:proofErr w:type="gramStart"/>
      <w:r w:rsidRPr="005C7420">
        <w:t>So</w:t>
      </w:r>
      <w:proofErr w:type="gramEnd"/>
      <w:r w:rsidRPr="005C7420">
        <w:t xml:space="preserve"> it was to be able to continue to deliver that, in a manner that we’d already seen had been successful. There was</w:t>
      </w:r>
      <w:r w:rsidR="00167F75">
        <w:t xml:space="preserve"> </w:t>
      </w:r>
      <w:r w:rsidR="0078565B">
        <w:t xml:space="preserve">a </w:t>
      </w:r>
      <w:r w:rsidRPr="005C7420">
        <w:t xml:space="preserve">lapse between the work and getting the contract but </w:t>
      </w:r>
      <w:proofErr w:type="gramStart"/>
      <w:r w:rsidRPr="005C7420">
        <w:t>I’m</w:t>
      </w:r>
      <w:proofErr w:type="gramEnd"/>
      <w:r w:rsidRPr="005C7420">
        <w:t xml:space="preserve"> fortunate enough to have people who deal with contracts and money and that, so I could carry on. (Provider – direct</w:t>
      </w:r>
      <w:r w:rsidR="000826FE">
        <w:t>-</w:t>
      </w:r>
      <w:r w:rsidRPr="005C7420">
        <w:t>funded)</w:t>
      </w:r>
    </w:p>
    <w:p w14:paraId="7EB3F053" w14:textId="181F14D9" w:rsidR="00250B4B" w:rsidRPr="00027143" w:rsidRDefault="00250B4B" w:rsidP="00250B4B">
      <w:pPr>
        <w:pStyle w:val="BodyText"/>
      </w:pPr>
      <w:r w:rsidRPr="00027143">
        <w:t>There are two forms of evidence that providers acted in good faith</w:t>
      </w:r>
      <w:r>
        <w:t>,</w:t>
      </w:r>
      <w:r w:rsidRPr="00027143">
        <w:t xml:space="preserve"> starting work ahead of their MIVP contracts</w:t>
      </w:r>
      <w:r w:rsidR="000826FE">
        <w:t xml:space="preserve"> and</w:t>
      </w:r>
      <w:r w:rsidRPr="00027143">
        <w:t xml:space="preserve"> assuming the funding would follow</w:t>
      </w:r>
      <w:r>
        <w:t xml:space="preserve">. Firstly, </w:t>
      </w:r>
      <w:r w:rsidRPr="00027143">
        <w:t>most pro</w:t>
      </w:r>
      <w:r w:rsidR="000826FE">
        <w:t>vider</w:t>
      </w:r>
      <w:r w:rsidRPr="00027143">
        <w:t>s (68%) said they had either already started work or intended to start within a week of putting in their application</w:t>
      </w:r>
      <w:r>
        <w:t xml:space="preserve"> when making their applications</w:t>
      </w:r>
      <w:r w:rsidRPr="00027143">
        <w:t>. Second</w:t>
      </w:r>
      <w:r>
        <w:t>ly</w:t>
      </w:r>
      <w:r w:rsidRPr="00027143">
        <w:t>, in the survey</w:t>
      </w:r>
      <w:r>
        <w:t>,</w:t>
      </w:r>
      <w:r w:rsidRPr="00027143">
        <w:t xml:space="preserve"> a similar proportion of providers reported they began outreach activities early. Many (12/17) said they started giving flu vaccinations before the Ministry or DHB confirmed their contract started; a few, (7/17) </w:t>
      </w:r>
      <w:r w:rsidR="000826FE">
        <w:t xml:space="preserve">started </w:t>
      </w:r>
      <w:r w:rsidRPr="00027143">
        <w:t xml:space="preserve">between February and April, </w:t>
      </w:r>
      <w:r w:rsidR="000826FE">
        <w:t>and others</w:t>
      </w:r>
      <w:r w:rsidRPr="00027143">
        <w:t xml:space="preserve"> between June and July (5/17). A limited number (5/17) said they did not start </w:t>
      </w:r>
      <w:r w:rsidR="000826FE">
        <w:t>un</w:t>
      </w:r>
      <w:r w:rsidRPr="00027143">
        <w:t xml:space="preserve">til August 2020. </w:t>
      </w:r>
    </w:p>
    <w:p w14:paraId="581796EA" w14:textId="30C05E3D" w:rsidR="00250B4B" w:rsidRDefault="00250B4B" w:rsidP="00250B4B">
      <w:pPr>
        <w:pStyle w:val="BodyText"/>
      </w:pPr>
      <w:r>
        <w:t xml:space="preserve">The MIVP extended the </w:t>
      </w:r>
      <w:proofErr w:type="gramStart"/>
      <w:r>
        <w:t xml:space="preserve">time </w:t>
      </w:r>
      <w:r w:rsidR="000826FE">
        <w:t>period</w:t>
      </w:r>
      <w:proofErr w:type="gramEnd"/>
      <w:r w:rsidR="000826FE">
        <w:t xml:space="preserve"> beyond the typical cut-off date for flu vaccine campaigns, so </w:t>
      </w:r>
      <w:r>
        <w:t xml:space="preserve">providers continued to vaccinate </w:t>
      </w:r>
      <w:r w:rsidRPr="00A66B7C">
        <w:t xml:space="preserve">Māori </w:t>
      </w:r>
      <w:r>
        <w:t>to 30 September 2020. While weekly new vaccination numbers were relatively low, providers continued to vaccinate. Therefore, flu vaccination rates did not flat</w:t>
      </w:r>
      <w:r w:rsidR="000826FE">
        <w:t>-</w:t>
      </w:r>
      <w:r>
        <w:t>line or tail off to the same extent compared to previous years.</w:t>
      </w:r>
    </w:p>
    <w:p w14:paraId="1C05651A" w14:textId="3BC56BD3" w:rsidR="00250B4B" w:rsidRDefault="00250B4B" w:rsidP="00EC6371">
      <w:pPr>
        <w:pStyle w:val="QuoteSmallBlue"/>
      </w:pPr>
      <w:r>
        <w:lastRenderedPageBreak/>
        <w:t xml:space="preserve">From Weeks </w:t>
      </w:r>
      <w:r w:rsidRPr="00D624B3">
        <w:t>17, 18, 19, we may see some lifts in there</w:t>
      </w:r>
      <w:r>
        <w:t xml:space="preserve"> that we could attribute to MIVP. </w:t>
      </w:r>
      <w:r w:rsidRPr="00D624B3">
        <w:t>(</w:t>
      </w:r>
      <w:r>
        <w:t>Ministry Data Analyst)</w:t>
      </w:r>
    </w:p>
    <w:p w14:paraId="17118EB5" w14:textId="308C6E63" w:rsidR="001A1946" w:rsidRDefault="00384CAD" w:rsidP="001A1946">
      <w:pPr>
        <w:pStyle w:val="Heading2"/>
      </w:pPr>
      <w:bookmarkStart w:id="39" w:name="_Toc58347836"/>
      <w:bookmarkStart w:id="40" w:name="_Toc70763262"/>
      <w:r>
        <w:t>2020 f</w:t>
      </w:r>
      <w:r w:rsidR="001A1946">
        <w:t xml:space="preserve">lu vaccination </w:t>
      </w:r>
      <w:r w:rsidR="00432DF0">
        <w:t xml:space="preserve">rates </w:t>
      </w:r>
      <w:r w:rsidR="005910D7">
        <w:t xml:space="preserve">for Māori </w:t>
      </w:r>
      <w:r w:rsidR="000826FE">
        <w:t xml:space="preserve">aged over </w:t>
      </w:r>
      <w:r w:rsidR="005910D7">
        <w:t xml:space="preserve">65 </w:t>
      </w:r>
      <w:r w:rsidR="00475951">
        <w:t xml:space="preserve">vary </w:t>
      </w:r>
      <w:r w:rsidR="001A1946">
        <w:t xml:space="preserve">across </w:t>
      </w:r>
      <w:proofErr w:type="gramStart"/>
      <w:r w:rsidR="001A1946">
        <w:t>regions</w:t>
      </w:r>
      <w:bookmarkEnd w:id="39"/>
      <w:bookmarkEnd w:id="40"/>
      <w:proofErr w:type="gramEnd"/>
    </w:p>
    <w:p w14:paraId="09519BDA" w14:textId="38F2D503" w:rsidR="00A334A2" w:rsidRDefault="001A1946" w:rsidP="00475951">
      <w:pPr>
        <w:pStyle w:val="BodyText"/>
      </w:pPr>
      <w:r w:rsidRPr="000D4E45">
        <w:t xml:space="preserve">In assessing the impact of MIVP on equity, we looked at the different regional patterns of change in the flu vaccination rates. </w:t>
      </w:r>
      <w:r w:rsidR="000B6910">
        <w:fldChar w:fldCharType="begin"/>
      </w:r>
      <w:r w:rsidR="000B6910">
        <w:instrText xml:space="preserve"> REF _Ref58259159 \h </w:instrText>
      </w:r>
      <w:r w:rsidR="000B6910">
        <w:fldChar w:fldCharType="separate"/>
      </w:r>
      <w:r w:rsidR="000B6910">
        <w:t xml:space="preserve">Figure </w:t>
      </w:r>
      <w:r w:rsidR="000B6910">
        <w:rPr>
          <w:noProof/>
        </w:rPr>
        <w:t>3</w:t>
      </w:r>
      <w:r w:rsidR="000B6910">
        <w:fldChar w:fldCharType="end"/>
      </w:r>
      <w:r w:rsidRPr="000D4E45">
        <w:t xml:space="preserve"> </w:t>
      </w:r>
      <w:r w:rsidR="004403CF">
        <w:t xml:space="preserve">uses the NIR data to </w:t>
      </w:r>
      <w:r w:rsidRPr="000D4E45">
        <w:t xml:space="preserve">show the proportion of Māori </w:t>
      </w:r>
      <w:r w:rsidR="00B060E2">
        <w:t xml:space="preserve">vaccinated </w:t>
      </w:r>
      <w:r w:rsidRPr="000D4E45">
        <w:t>in each DHB region and compare regions overall</w:t>
      </w:r>
      <w:r w:rsidR="004403CF">
        <w:t xml:space="preserve">, regardless of whether vaccinations were delivered by DHBs or providers. </w:t>
      </w:r>
    </w:p>
    <w:p w14:paraId="0C8CD1A7" w14:textId="60091C96" w:rsidR="00A334A2" w:rsidRDefault="00A334A2" w:rsidP="00900633">
      <w:pPr>
        <w:pStyle w:val="Caption"/>
      </w:pPr>
      <w:bookmarkStart w:id="41" w:name="_Ref58259159"/>
      <w:bookmarkStart w:id="42" w:name="_Ref58259183"/>
      <w:bookmarkStart w:id="43" w:name="_Toc58387960"/>
      <w:bookmarkStart w:id="44" w:name="_Toc62703575"/>
      <w:r>
        <w:t xml:space="preserve">Figure </w:t>
      </w:r>
      <w:r>
        <w:fldChar w:fldCharType="begin"/>
      </w:r>
      <w:r>
        <w:instrText>SEQ Figure \* ARABIC</w:instrText>
      </w:r>
      <w:r>
        <w:fldChar w:fldCharType="separate"/>
      </w:r>
      <w:r w:rsidR="009B082D">
        <w:rPr>
          <w:noProof/>
        </w:rPr>
        <w:t>3</w:t>
      </w:r>
      <w:r>
        <w:fldChar w:fldCharType="end"/>
      </w:r>
      <w:bookmarkEnd w:id="41"/>
      <w:r>
        <w:rPr>
          <w:noProof/>
        </w:rPr>
        <w:t>.</w:t>
      </w:r>
      <w:r>
        <w:t xml:space="preserve"> Flu vaccination trends for Māori 65+ across the different DHB's for 2020</w:t>
      </w:r>
      <w:bookmarkEnd w:id="42"/>
      <w:bookmarkEnd w:id="43"/>
      <w:bookmarkEnd w:id="44"/>
    </w:p>
    <w:p w14:paraId="5B789A51" w14:textId="5CA643EF" w:rsidR="00703394" w:rsidRDefault="00A334A2" w:rsidP="002E007F">
      <w:pPr>
        <w:pStyle w:val="NoSpacing"/>
      </w:pPr>
      <w:r>
        <w:rPr>
          <w:noProof/>
        </w:rPr>
        <w:drawing>
          <wp:inline distT="0" distB="0" distL="0" distR="0" wp14:anchorId="0CAEF739" wp14:editId="0824624B">
            <wp:extent cx="5188689" cy="2918334"/>
            <wp:effectExtent l="0" t="0" r="0" b="0"/>
            <wp:docPr id="7" name="Picture 7" descr="Graph comparing vaccination rates between DHB regions over 2020. Whanganui and Hawke's Bay are clearly in front of other regions. Auckland, South Canterbury, Waitematā, Taranaki and Counties Manukau are the five lowest regions. Auckland, Counties Manukau and Waitematā are highlighted, due to receiving the largest allocation of funding. Lakes, Tairawhiti and Southern show steep increases at weeks 16-20, 25-29 and 29-35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 comparing vaccination rates between DHB regions over 2020. Whanganui and Hawke's Bay are clearly in front of other regions. Auckland, South Canterbury, Waitematā, Taranaki and Counties Manukau are the five lowest regions. Auckland, Counties Manukau and Waitematā are highlighted, due to receiving the largest allocation of funding. Lakes, Tairawhiti and Southern show steep increases at weeks 16-20, 25-29 and 29-35 respectively.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0982" cy="2925248"/>
                    </a:xfrm>
                    <a:prstGeom prst="rect">
                      <a:avLst/>
                    </a:prstGeom>
                    <a:noFill/>
                  </pic:spPr>
                </pic:pic>
              </a:graphicData>
            </a:graphic>
          </wp:inline>
        </w:drawing>
      </w:r>
    </w:p>
    <w:p w14:paraId="7189178A" w14:textId="77777777" w:rsidR="002E007F" w:rsidRDefault="002E007F" w:rsidP="002E007F">
      <w:pPr>
        <w:pStyle w:val="NoSpacing"/>
      </w:pPr>
    </w:p>
    <w:p w14:paraId="26D419F8" w14:textId="410AE78E" w:rsidR="00432DF0" w:rsidRPr="008A3AA5" w:rsidRDefault="00432DF0" w:rsidP="008A3AA5">
      <w:pPr>
        <w:pStyle w:val="BodyText"/>
        <w:spacing w:before="0" w:after="160" w:line="259" w:lineRule="auto"/>
      </w:pPr>
      <w:r>
        <w:t xml:space="preserve">Whanganui, Hawke’s Bay, </w:t>
      </w:r>
      <w:r w:rsidRPr="0078565B">
        <w:t>Lakes</w:t>
      </w:r>
      <w:r>
        <w:t xml:space="preserve"> and Bay of Plenty </w:t>
      </w:r>
      <w:r w:rsidR="0078565B">
        <w:t xml:space="preserve">DHB </w:t>
      </w:r>
      <w:r>
        <w:t>regions achieved the highest vaccination rates for Māori over 65 years in 2020.</w:t>
      </w:r>
      <w:r w:rsidR="00B060E2">
        <w:t xml:space="preserve"> </w:t>
      </w:r>
      <w:r>
        <w:t xml:space="preserve">There is a significant gap in flu vaccination rates between these regions and the lowest performing regions: Auckland, South Canterbury, </w:t>
      </w:r>
      <w:proofErr w:type="spellStart"/>
      <w:r w:rsidRPr="0078565B">
        <w:t>Waitemat</w:t>
      </w:r>
      <w:r w:rsidR="0078565B" w:rsidRPr="0078565B">
        <w:t>ā</w:t>
      </w:r>
      <w:proofErr w:type="spellEnd"/>
      <w:r w:rsidRPr="0078565B">
        <w:t xml:space="preserve">, Taranaki and Counties Manukau. </w:t>
      </w:r>
      <w:r w:rsidR="002E007F" w:rsidRPr="0078565B">
        <w:t>(See</w:t>
      </w:r>
      <w:r w:rsidR="00745CE5">
        <w:t xml:space="preserve"> </w:t>
      </w:r>
      <w:r w:rsidR="000B6910">
        <w:fldChar w:fldCharType="begin"/>
      </w:r>
      <w:r w:rsidR="000B6910">
        <w:instrText xml:space="preserve"> REF _Ref62651597 \h </w:instrText>
      </w:r>
      <w:r w:rsidR="000B6910">
        <w:fldChar w:fldCharType="separate"/>
      </w:r>
      <w:r w:rsidR="000B6910">
        <w:t xml:space="preserve">Table </w:t>
      </w:r>
      <w:r w:rsidR="000B6910">
        <w:rPr>
          <w:noProof/>
        </w:rPr>
        <w:t>2</w:t>
      </w:r>
      <w:r w:rsidR="000B6910">
        <w:fldChar w:fldCharType="end"/>
      </w:r>
      <w:r w:rsidR="000B6910">
        <w:t xml:space="preserve">, page </w:t>
      </w:r>
      <w:r w:rsidR="000B6910">
        <w:fldChar w:fldCharType="begin"/>
      </w:r>
      <w:r w:rsidR="000B6910">
        <w:instrText xml:space="preserve"> PAGEREF _Ref70759897 \h </w:instrText>
      </w:r>
      <w:r w:rsidR="000B6910">
        <w:fldChar w:fldCharType="separate"/>
      </w:r>
      <w:r w:rsidR="000B6910">
        <w:rPr>
          <w:noProof/>
        </w:rPr>
        <w:t>18</w:t>
      </w:r>
      <w:r w:rsidR="000B6910">
        <w:fldChar w:fldCharType="end"/>
      </w:r>
      <w:r w:rsidR="00684CBC" w:rsidRPr="0078565B">
        <w:t xml:space="preserve">) </w:t>
      </w:r>
      <w:r w:rsidR="002E007F" w:rsidRPr="0078565B">
        <w:t>and for a more detailed discussion).</w:t>
      </w:r>
    </w:p>
    <w:p w14:paraId="3C1FB0F2" w14:textId="193233FD" w:rsidR="00432DF0" w:rsidRPr="00703394" w:rsidRDefault="00432DF0" w:rsidP="00703394">
      <w:pPr>
        <w:pStyle w:val="BodyText"/>
      </w:pPr>
      <w:r>
        <w:t xml:space="preserve">There was a noticeable shift in flu vaccination rates in and around the MIVP contract period </w:t>
      </w:r>
      <w:r w:rsidR="007D7CFE" w:rsidRPr="008A3AA5">
        <w:t xml:space="preserve">(weeks </w:t>
      </w:r>
      <w:r w:rsidR="008A3AA5" w:rsidRPr="008A3AA5">
        <w:t>25 to 40</w:t>
      </w:r>
      <w:r w:rsidR="007D7CFE" w:rsidRPr="008A3AA5">
        <w:t xml:space="preserve">) </w:t>
      </w:r>
      <w:r w:rsidRPr="008A3AA5">
        <w:t>in Nelson Marlborough, Northland, Southern</w:t>
      </w:r>
      <w:r w:rsidR="0078565B">
        <w:t xml:space="preserve"> DHB regions </w:t>
      </w:r>
      <w:r w:rsidRPr="008A3AA5">
        <w:t>and to a lesser extent Canterbury</w:t>
      </w:r>
      <w:r>
        <w:t xml:space="preserve"> DHB.</w:t>
      </w:r>
    </w:p>
    <w:p w14:paraId="0C357786" w14:textId="41B8529E" w:rsidR="00C172C0" w:rsidRPr="00A14305" w:rsidRDefault="0047697F" w:rsidP="0066794F">
      <w:pPr>
        <w:pStyle w:val="BodyText"/>
        <w:spacing w:before="0" w:after="160" w:line="259" w:lineRule="auto"/>
        <w:rPr>
          <w:i/>
          <w:iCs/>
          <w:color w:val="0B5A6E" w:themeColor="accent3" w:themeShade="80"/>
          <w:sz w:val="16"/>
          <w:szCs w:val="18"/>
        </w:rPr>
      </w:pPr>
      <w:r>
        <w:t>For a y</w:t>
      </w:r>
      <w:r w:rsidR="005910D7">
        <w:t>ear</w:t>
      </w:r>
      <w:r>
        <w:t>-</w:t>
      </w:r>
      <w:r w:rsidR="005910D7">
        <w:t>on</w:t>
      </w:r>
      <w:r>
        <w:t>-</w:t>
      </w:r>
      <w:r w:rsidR="005910D7">
        <w:t>year</w:t>
      </w:r>
      <w:r>
        <w:t xml:space="preserve"> view of</w:t>
      </w:r>
      <w:r w:rsidR="005910D7">
        <w:t xml:space="preserve"> r</w:t>
      </w:r>
      <w:r w:rsidR="00A334A2" w:rsidRPr="00027143">
        <w:t xml:space="preserve">egion-specific changes </w:t>
      </w:r>
      <w:r w:rsidR="005910D7">
        <w:t>in flu vaccination</w:t>
      </w:r>
      <w:r w:rsidR="00384CAD">
        <w:t>s</w:t>
      </w:r>
      <w:r>
        <w:t>, the</w:t>
      </w:r>
      <w:r w:rsidR="005910D7">
        <w:t xml:space="preserve"> </w:t>
      </w:r>
      <w:r w:rsidR="00A334A2">
        <w:t>starting point for each region</w:t>
      </w:r>
      <w:r>
        <w:t xml:space="preserve"> needs to be considered</w:t>
      </w:r>
      <w:r w:rsidR="00A334A2" w:rsidRPr="00027143">
        <w:t xml:space="preserve">. </w:t>
      </w:r>
      <w:r w:rsidR="00C90265">
        <w:fldChar w:fldCharType="begin"/>
      </w:r>
      <w:r w:rsidR="00C90265">
        <w:instrText xml:space="preserve"> REF _Ref62651597 \h </w:instrText>
      </w:r>
      <w:r w:rsidR="00C90265">
        <w:fldChar w:fldCharType="separate"/>
      </w:r>
      <w:r w:rsidR="009B082D">
        <w:t xml:space="preserve">Table </w:t>
      </w:r>
      <w:r w:rsidR="009B082D">
        <w:rPr>
          <w:noProof/>
        </w:rPr>
        <w:t>2</w:t>
      </w:r>
      <w:r w:rsidR="00C90265">
        <w:fldChar w:fldCharType="end"/>
      </w:r>
      <w:r w:rsidR="00C90265">
        <w:t xml:space="preserve"> </w:t>
      </w:r>
      <w:r w:rsidR="00A334A2" w:rsidRPr="00027143">
        <w:t xml:space="preserve">shows the difference and overall change in vaccination rates, by DHB region, for Māori </w:t>
      </w:r>
      <w:r>
        <w:t xml:space="preserve">aged </w:t>
      </w:r>
      <w:r w:rsidR="00A334A2" w:rsidRPr="00027143">
        <w:t>65 years and over, between 2019 and 2020</w:t>
      </w:r>
      <w:r w:rsidR="00A334A2">
        <w:t>,</w:t>
      </w:r>
      <w:r w:rsidR="00A334A2" w:rsidRPr="00027143">
        <w:t xml:space="preserve"> </w:t>
      </w:r>
      <w:r w:rsidR="00A334A2">
        <w:t xml:space="preserve">compared to </w:t>
      </w:r>
      <w:r w:rsidR="00A334A2" w:rsidRPr="00027143">
        <w:t>non-Māori</w:t>
      </w:r>
      <w:r w:rsidR="00EC6371">
        <w:t>,</w:t>
      </w:r>
      <w:r w:rsidR="00A334A2" w:rsidRPr="00027143">
        <w:t xml:space="preserve"> non-Pacific</w:t>
      </w:r>
      <w:r>
        <w:t xml:space="preserve"> people</w:t>
      </w:r>
      <w:r w:rsidR="00A334A2" w:rsidRPr="00027143">
        <w:t>.</w:t>
      </w:r>
      <w:r w:rsidR="00A334A2">
        <w:t xml:space="preserve"> </w:t>
      </w:r>
      <w:bookmarkStart w:id="45" w:name="_Ref58538117"/>
      <w:bookmarkStart w:id="46" w:name="_Ref58538123"/>
      <w:bookmarkStart w:id="47" w:name="_Ref60238417"/>
    </w:p>
    <w:p w14:paraId="15F67CC7" w14:textId="77777777" w:rsidR="00A14305" w:rsidRPr="00025E35" w:rsidRDefault="00A14305" w:rsidP="00A14305">
      <w:pPr>
        <w:pStyle w:val="BodyText"/>
        <w:spacing w:before="0" w:after="160" w:line="259" w:lineRule="auto"/>
        <w:rPr>
          <w:i/>
          <w:iCs/>
          <w:color w:val="0B5A6E" w:themeColor="accent3" w:themeShade="80"/>
          <w:sz w:val="16"/>
          <w:szCs w:val="18"/>
        </w:rPr>
      </w:pPr>
      <w:r>
        <w:t xml:space="preserve">In 2020 compared with 2019, the flu vaccination rates improved considerably for Māori in all regions and for non-Maori, non-Pacific people in all regions except South Canterbury. </w:t>
      </w:r>
      <w:r>
        <w:fldChar w:fldCharType="begin"/>
      </w:r>
      <w:r>
        <w:instrText xml:space="preserve"> REF _Ref58538117 \h </w:instrText>
      </w:r>
      <w:r>
        <w:fldChar w:fldCharType="separate"/>
      </w:r>
    </w:p>
    <w:p w14:paraId="57463E34" w14:textId="162C19A9" w:rsidR="00A14305" w:rsidRPr="00A14305" w:rsidRDefault="00A14305" w:rsidP="00A14305">
      <w:pPr>
        <w:pStyle w:val="BodyText"/>
      </w:pPr>
      <w:r>
        <w:t xml:space="preserve">Table </w:t>
      </w:r>
      <w:r>
        <w:rPr>
          <w:noProof/>
        </w:rPr>
        <w:t>2</w:t>
      </w:r>
      <w:r>
        <w:fldChar w:fldCharType="end"/>
      </w:r>
      <w:r>
        <w:t xml:space="preserve"> shows the substantial gains made in Hawke’s Bay, Lakes, Whanganui, and Northland in particular. The bigger increases for Māori suggest that specific targeting for Māori flu vaccinations in 2020 was effective due to the absence of similar increases in the non-Māori, non-Pacific vaccination rates.</w:t>
      </w:r>
    </w:p>
    <w:p w14:paraId="6D1CF1B9" w14:textId="77777777" w:rsidR="004C7820" w:rsidRDefault="004C7820">
      <w:pPr>
        <w:spacing w:before="0" w:after="160" w:line="259" w:lineRule="auto"/>
        <w:rPr>
          <w:i/>
          <w:iCs/>
          <w:color w:val="0B5A6E" w:themeColor="accent3" w:themeShade="80"/>
          <w:sz w:val="16"/>
          <w:szCs w:val="18"/>
        </w:rPr>
      </w:pPr>
      <w:r>
        <w:br w:type="page"/>
      </w:r>
    </w:p>
    <w:p w14:paraId="295C7525" w14:textId="1DA2AD73" w:rsidR="00A334A2" w:rsidRDefault="00A334A2" w:rsidP="00900633">
      <w:pPr>
        <w:pStyle w:val="Caption"/>
      </w:pPr>
      <w:bookmarkStart w:id="48" w:name="_Ref62651597"/>
      <w:bookmarkStart w:id="49" w:name="_Toc62703558"/>
      <w:bookmarkStart w:id="50" w:name="_Ref70759897"/>
      <w:bookmarkStart w:id="51" w:name="_Ref70760122"/>
      <w:r>
        <w:lastRenderedPageBreak/>
        <w:t xml:space="preserve">Table </w:t>
      </w:r>
      <w:r>
        <w:fldChar w:fldCharType="begin"/>
      </w:r>
      <w:r>
        <w:instrText>SEQ Table \* ARABIC</w:instrText>
      </w:r>
      <w:r>
        <w:fldChar w:fldCharType="separate"/>
      </w:r>
      <w:r w:rsidR="009B082D">
        <w:rPr>
          <w:noProof/>
        </w:rPr>
        <w:t>2</w:t>
      </w:r>
      <w:r>
        <w:fldChar w:fldCharType="end"/>
      </w:r>
      <w:bookmarkEnd w:id="45"/>
      <w:bookmarkEnd w:id="48"/>
      <w:r w:rsidR="00B757CC">
        <w:t>.</w:t>
      </w:r>
      <w:r>
        <w:t xml:space="preserve"> Differences in flu vaccination rates between 2020 and 2019 for both Māori and non-Māori</w:t>
      </w:r>
      <w:r w:rsidR="00EC6371">
        <w:t>,</w:t>
      </w:r>
      <w:r>
        <w:t xml:space="preserve"> non-Pacific aged 65+ (as at Week 46)</w:t>
      </w:r>
      <w:bookmarkEnd w:id="46"/>
      <w:r w:rsidR="009A10D1">
        <w:t>. Results presented by highest-to-lowest difference for Māori.</w:t>
      </w:r>
      <w:bookmarkEnd w:id="47"/>
      <w:bookmarkEnd w:id="49"/>
      <w:bookmarkEnd w:id="50"/>
      <w:bookmarkEnd w:id="51"/>
    </w:p>
    <w:p w14:paraId="2EF5BAD4" w14:textId="392A8629" w:rsidR="00006F3F" w:rsidRDefault="00006F3F" w:rsidP="00A334A2">
      <w:pPr>
        <w:pStyle w:val="BodyText"/>
        <w:numPr>
          <w:ilvl w:val="0"/>
          <w:numId w:val="0"/>
        </w:numPr>
      </w:pPr>
      <w:r w:rsidRPr="00006F3F">
        <w:rPr>
          <w:noProof/>
        </w:rPr>
        <w:drawing>
          <wp:inline distT="0" distB="0" distL="0" distR="0" wp14:anchorId="2455605C" wp14:editId="0FB38CA6">
            <wp:extent cx="5247565" cy="2827544"/>
            <wp:effectExtent l="0" t="0" r="0" b="0"/>
            <wp:docPr id="5" name="Picture 5" descr="Difference between vaccination rates in 2019 and 2020 for Māori. Top 4 are: Hawke's Bay 22.50; Lakes, 19.73; Whanganui, 19.03; Northland 17.53. These regions had less increase for non-Māori non-Pacific. Bottom 4 are: South Canterbury, 4.42; Wairarapa, 6.72; Auckland, 7.40; Canterbury, 10.18.&#10;All regions except for South Canterbury saw increases for non-Māori non-Pacific. West Coast, Auckland, Wairarapa had a higher increase for non-Māori non-Pacif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fference between vaccination rates in 2019 and 2020 for Māori. Top 4 are: Hawke's Bay 22.50; Lakes, 19.73; Whanganui, 19.03; Northland 17.53. These regions had less increase for non-Māori non-Pacific. Bottom 4 are: South Canterbury, 4.42; Wairarapa, 6.72; Auckland, 7.40; Canterbury, 10.18.&#10;All regions except for South Canterbury saw increases for non-Māori non-Pacific. West Coast, Auckland, Wairarapa had a higher increase for non-Māori non-Pacific.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2037" cy="2829953"/>
                    </a:xfrm>
                    <a:prstGeom prst="rect">
                      <a:avLst/>
                    </a:prstGeom>
                    <a:noFill/>
                    <a:ln>
                      <a:noFill/>
                    </a:ln>
                  </pic:spPr>
                </pic:pic>
              </a:graphicData>
            </a:graphic>
          </wp:inline>
        </w:drawing>
      </w:r>
    </w:p>
    <w:p w14:paraId="0B998906" w14:textId="77777777" w:rsidR="007D7CFE" w:rsidRDefault="007D7CFE" w:rsidP="0055571B">
      <w:pPr>
        <w:pStyle w:val="NoSpacing"/>
      </w:pPr>
    </w:p>
    <w:p w14:paraId="2A721D9A" w14:textId="575CAB31" w:rsidR="00432DF0" w:rsidRDefault="00432DF0" w:rsidP="00432DF0">
      <w:pPr>
        <w:pStyle w:val="BodyText"/>
      </w:pPr>
      <w:r>
        <w:t xml:space="preserve">Whanganui and Hawke’s Bay regions had the highest rates of Māori flu vaccination uptake in 2020, with 86.05% and 78.11% of the Māori over 65 population respectively (as at Week 46). </w:t>
      </w:r>
      <w:r w:rsidR="00F14027">
        <w:t>These regions were coming off a high base i</w:t>
      </w:r>
      <w:r>
        <w:t>n 2019,</w:t>
      </w:r>
      <w:r w:rsidR="00F14027">
        <w:t xml:space="preserve"> with </w:t>
      </w:r>
      <w:r>
        <w:t xml:space="preserve">Māori flu vaccination rates, with 67.02% and 55.61% respectively (as at Week 46). </w:t>
      </w:r>
    </w:p>
    <w:p w14:paraId="5E0F181E" w14:textId="7D5038FA" w:rsidR="00F14027" w:rsidRPr="00025E35" w:rsidRDefault="00F14027" w:rsidP="00D30BB3">
      <w:pPr>
        <w:pStyle w:val="BodyText"/>
        <w:spacing w:before="0" w:after="160" w:line="259" w:lineRule="auto"/>
        <w:rPr>
          <w:i/>
          <w:iCs/>
          <w:color w:val="0B5A6E" w:themeColor="accent3" w:themeShade="80"/>
          <w:sz w:val="16"/>
          <w:szCs w:val="18"/>
        </w:rPr>
      </w:pPr>
      <w:r>
        <w:t xml:space="preserve">Northland showed great progress in 2020 coming from being the fifth lowest performing in 2019, with increased flu vaccination rates for Māori over 65 years in 2020 by 17.53 percentage points. Over the same period, flu vaccination rates for </w:t>
      </w:r>
      <w:r w:rsidR="00EC6371">
        <w:t>non-Maori,</w:t>
      </w:r>
      <w:r>
        <w:t xml:space="preserve"> non-Pacific increased by 12.85 percentage points (as shown in </w:t>
      </w:r>
      <w:r w:rsidR="008A3AA5">
        <w:fldChar w:fldCharType="begin"/>
      </w:r>
      <w:r w:rsidR="008A3AA5">
        <w:instrText xml:space="preserve"> REF _Ref58538117 \h </w:instrText>
      </w:r>
      <w:r w:rsidR="008A3AA5">
        <w:fldChar w:fldCharType="separate"/>
      </w:r>
      <w:r w:rsidR="009B082D">
        <w:t xml:space="preserve">Table </w:t>
      </w:r>
      <w:r w:rsidR="009B082D">
        <w:rPr>
          <w:noProof/>
        </w:rPr>
        <w:t>2</w:t>
      </w:r>
      <w:r w:rsidR="008A3AA5">
        <w:fldChar w:fldCharType="end"/>
      </w:r>
      <w:r>
        <w:t>), indicating a successful dedicated effort to target Māori. Gains in Northland have a positive overall impact on national equity, as Northland has the second-largest population of Māori over 65 year</w:t>
      </w:r>
      <w:r w:rsidR="00944C75">
        <w:t xml:space="preserve">s </w:t>
      </w:r>
      <w:r w:rsidR="005910D7">
        <w:t xml:space="preserve">(see </w:t>
      </w:r>
      <w:r w:rsidR="005910D7" w:rsidRPr="00384CAD">
        <w:fldChar w:fldCharType="begin"/>
      </w:r>
      <w:r w:rsidR="005910D7" w:rsidRPr="00384CAD">
        <w:instrText xml:space="preserve"> REF _Ref60327274 \h </w:instrText>
      </w:r>
      <w:r w:rsidR="00384CAD">
        <w:instrText xml:space="preserve"> \* MERGEFORMAT </w:instrText>
      </w:r>
      <w:r w:rsidR="005910D7" w:rsidRPr="00384CAD">
        <w:fldChar w:fldCharType="separate"/>
      </w:r>
      <w:r w:rsidR="009B082D" w:rsidRPr="00C05542">
        <w:rPr>
          <w:noProof/>
        </w:rPr>
        <w:t>Table</w:t>
      </w:r>
      <w:r w:rsidR="009B082D" w:rsidRPr="00C05542">
        <w:t xml:space="preserve"> </w:t>
      </w:r>
      <w:r w:rsidR="009B082D">
        <w:rPr>
          <w:noProof/>
        </w:rPr>
        <w:t>10</w:t>
      </w:r>
      <w:r w:rsidR="005910D7" w:rsidRPr="00384CAD">
        <w:fldChar w:fldCharType="end"/>
      </w:r>
      <w:r w:rsidR="005910D7" w:rsidRPr="00384CAD">
        <w:t>, page</w:t>
      </w:r>
      <w:r w:rsidR="005218C2">
        <w:t xml:space="preserve"> </w:t>
      </w:r>
      <w:r w:rsidR="005218C2">
        <w:fldChar w:fldCharType="begin"/>
      </w:r>
      <w:r w:rsidR="005218C2">
        <w:instrText xml:space="preserve"> PAGEREF _Ref62651700 \h </w:instrText>
      </w:r>
      <w:r w:rsidR="005218C2">
        <w:fldChar w:fldCharType="separate"/>
      </w:r>
      <w:r w:rsidR="000B6910">
        <w:rPr>
          <w:noProof/>
        </w:rPr>
        <w:t>51</w:t>
      </w:r>
      <w:r w:rsidR="005218C2">
        <w:fldChar w:fldCharType="end"/>
      </w:r>
      <w:r w:rsidR="00384CAD" w:rsidRPr="00384CAD">
        <w:t>)</w:t>
      </w:r>
      <w:r w:rsidR="00384CAD">
        <w:t>.</w:t>
      </w:r>
    </w:p>
    <w:p w14:paraId="5D011993" w14:textId="6152347A" w:rsidR="00F14027" w:rsidRDefault="00F14027" w:rsidP="008E4415">
      <w:pPr>
        <w:pStyle w:val="BodyText"/>
      </w:pPr>
      <w:r>
        <w:t>Waikato has the largest population of Māori over 65 years in a single DHB region</w:t>
      </w:r>
      <w:r w:rsidR="00944C75">
        <w:t xml:space="preserve"> </w:t>
      </w:r>
      <w:r w:rsidR="005218C2">
        <w:t xml:space="preserve">(see </w:t>
      </w:r>
      <w:r w:rsidR="005218C2">
        <w:rPr>
          <w:highlight w:val="yellow"/>
        </w:rPr>
        <w:fldChar w:fldCharType="begin"/>
      </w:r>
      <w:r w:rsidR="005218C2">
        <w:instrText xml:space="preserve"> REF _Ref62651691 \h </w:instrText>
      </w:r>
      <w:r w:rsidR="005218C2">
        <w:rPr>
          <w:highlight w:val="yellow"/>
        </w:rPr>
      </w:r>
      <w:r w:rsidR="005218C2">
        <w:rPr>
          <w:highlight w:val="yellow"/>
        </w:rPr>
        <w:fldChar w:fldCharType="separate"/>
      </w:r>
      <w:r w:rsidR="009B082D" w:rsidRPr="00C05542">
        <w:t xml:space="preserve">Table </w:t>
      </w:r>
      <w:r w:rsidR="009B082D">
        <w:rPr>
          <w:noProof/>
        </w:rPr>
        <w:t>10</w:t>
      </w:r>
      <w:r w:rsidR="005218C2">
        <w:rPr>
          <w:highlight w:val="yellow"/>
        </w:rPr>
        <w:fldChar w:fldCharType="end"/>
      </w:r>
      <w:r w:rsidR="008E4415">
        <w:t xml:space="preserve"> </w:t>
      </w:r>
      <w:r w:rsidR="00384CAD" w:rsidRPr="00384CAD">
        <w:t>page</w:t>
      </w:r>
      <w:r w:rsidR="005218C2">
        <w:t xml:space="preserve"> </w:t>
      </w:r>
      <w:r w:rsidR="005218C2">
        <w:fldChar w:fldCharType="begin"/>
      </w:r>
      <w:r w:rsidR="005218C2">
        <w:instrText xml:space="preserve"> PAGEREF _Ref62651760 \h </w:instrText>
      </w:r>
      <w:r w:rsidR="005218C2">
        <w:fldChar w:fldCharType="separate"/>
      </w:r>
      <w:r w:rsidR="000B6910">
        <w:rPr>
          <w:noProof/>
        </w:rPr>
        <w:t>51</w:t>
      </w:r>
      <w:r w:rsidR="005218C2">
        <w:fldChar w:fldCharType="end"/>
      </w:r>
      <w:r w:rsidR="00384CAD" w:rsidRPr="00384CAD">
        <w:t>)</w:t>
      </w:r>
      <w:r w:rsidR="00384CAD">
        <w:t xml:space="preserve">, </w:t>
      </w:r>
      <w:r>
        <w:t xml:space="preserve">also achieved strong gains for Māori, up 13 percentage points from 2019 compared to 10.49 percentage points for </w:t>
      </w:r>
      <w:r w:rsidR="00EC6371">
        <w:t>non-Maori,</w:t>
      </w:r>
      <w:r>
        <w:t xml:space="preserve"> non-Pacific over the same period. </w:t>
      </w:r>
      <w:r w:rsidR="00944C75">
        <w:t xml:space="preserve">Gains in Waikato have a positive overall impact on national equity, given </w:t>
      </w:r>
      <w:r w:rsidR="00B64E25">
        <w:t xml:space="preserve">the </w:t>
      </w:r>
      <w:r w:rsidR="00944C75">
        <w:t xml:space="preserve">Waikato </w:t>
      </w:r>
      <w:r w:rsidR="00B64E25">
        <w:t xml:space="preserve">region </w:t>
      </w:r>
      <w:r w:rsidR="00944C75">
        <w:t>has the largest population of Māori over 65 years</w:t>
      </w:r>
      <w:r w:rsidR="00B64E25">
        <w:t>.</w:t>
      </w:r>
    </w:p>
    <w:p w14:paraId="7F5CC381" w14:textId="3EE7B9F0" w:rsidR="00F14027" w:rsidRDefault="00F14027" w:rsidP="00432DF0">
      <w:pPr>
        <w:pStyle w:val="BodyText"/>
      </w:pPr>
      <w:r w:rsidRPr="00F14027">
        <w:t xml:space="preserve">The greater Auckland regions continue to be amongst </w:t>
      </w:r>
      <w:r>
        <w:t>t</w:t>
      </w:r>
      <w:r w:rsidRPr="00F14027">
        <w:t xml:space="preserve">he five lowest performing regions in 2020, as </w:t>
      </w:r>
      <w:r>
        <w:t>i</w:t>
      </w:r>
      <w:r w:rsidRPr="00F14027">
        <w:t xml:space="preserve">n 2019. Of the three, Counties Manukau achieved highest flu vaccination rate for Māori over 65 years (52.95% as at Week 46). </w:t>
      </w:r>
      <w:proofErr w:type="spellStart"/>
      <w:r w:rsidRPr="00F14027">
        <w:t>Waitemat</w:t>
      </w:r>
      <w:r w:rsidR="00EC6371">
        <w:t>ā</w:t>
      </w:r>
      <w:proofErr w:type="spellEnd"/>
      <w:r w:rsidRPr="00F14027">
        <w:t xml:space="preserve"> saw the biggest increase compared to 2019: 48.54% vs 35.9% (as at Week 46). Comparatively Auckland achieved lower flu vaccination rates</w:t>
      </w:r>
      <w:r w:rsidR="00B64E25">
        <w:t xml:space="preserve"> of </w:t>
      </w:r>
      <w:r w:rsidR="00384CAD">
        <w:t>40.18%</w:t>
      </w:r>
      <w:r w:rsidR="0047697F">
        <w:t>,</w:t>
      </w:r>
      <w:r w:rsidRPr="00F14027">
        <w:t xml:space="preserve"> well behind both other</w:t>
      </w:r>
      <w:r w:rsidR="0047697F">
        <w:t xml:space="preserve"> neighbouring</w:t>
      </w:r>
      <w:r w:rsidRPr="00F14027">
        <w:t xml:space="preserve"> regions.</w:t>
      </w:r>
      <w:r w:rsidR="00944C75">
        <w:t xml:space="preserve"> </w:t>
      </w:r>
    </w:p>
    <w:p w14:paraId="7C5A45E9" w14:textId="1DF268C8" w:rsidR="00354EE9" w:rsidRDefault="00432DF0" w:rsidP="00354EE9">
      <w:pPr>
        <w:pStyle w:val="BodyText"/>
      </w:pPr>
      <w:r w:rsidRPr="00B2156D">
        <w:t>South Canterbury’s vaccination rates are low for both groups</w:t>
      </w:r>
      <w:r>
        <w:t>,</w:t>
      </w:r>
      <w:r w:rsidRPr="00B2156D">
        <w:t xml:space="preserve"> and they were the only region </w:t>
      </w:r>
      <w:r w:rsidR="0047697F">
        <w:t xml:space="preserve">where health providers </w:t>
      </w:r>
      <w:r w:rsidRPr="00B2156D">
        <w:t xml:space="preserve">did not apply for </w:t>
      </w:r>
      <w:r>
        <w:t xml:space="preserve">the </w:t>
      </w:r>
      <w:r w:rsidRPr="00B2156D">
        <w:t xml:space="preserve">MIVP funding. </w:t>
      </w:r>
    </w:p>
    <w:p w14:paraId="32D9E889" w14:textId="77777777" w:rsidR="00A334A2" w:rsidRDefault="00A334A2" w:rsidP="00A334A2">
      <w:pPr>
        <w:pStyle w:val="Heading2"/>
      </w:pPr>
      <w:bookmarkStart w:id="52" w:name="_Toc58347837"/>
      <w:bookmarkStart w:id="53" w:name="_Toc70763263"/>
      <w:r>
        <w:t xml:space="preserve">Despite improvements in </w:t>
      </w:r>
      <w:bookmarkStart w:id="54" w:name="_Hlk58239670"/>
      <w:r>
        <w:t xml:space="preserve">flu vaccination rates, </w:t>
      </w:r>
      <w:bookmarkEnd w:id="54"/>
      <w:r>
        <w:t xml:space="preserve">significant disparity exists in equity </w:t>
      </w:r>
      <w:proofErr w:type="gramStart"/>
      <w:r>
        <w:t>rates</w:t>
      </w:r>
      <w:bookmarkEnd w:id="52"/>
      <w:bookmarkEnd w:id="53"/>
      <w:proofErr w:type="gramEnd"/>
    </w:p>
    <w:p w14:paraId="7A0EED35" w14:textId="222219D1" w:rsidR="00E63C87" w:rsidRDefault="00C172C0" w:rsidP="00E63C87">
      <w:pPr>
        <w:pStyle w:val="BodyText"/>
      </w:pPr>
      <w:r>
        <w:t>T</w:t>
      </w:r>
      <w:r w:rsidR="00A334A2">
        <w:t xml:space="preserve">here were significant improvements in </w:t>
      </w:r>
      <w:r w:rsidR="00A334A2" w:rsidRPr="00B2156D">
        <w:t>flu vaccination rates</w:t>
      </w:r>
      <w:r w:rsidR="00A334A2">
        <w:t xml:space="preserve"> </w:t>
      </w:r>
      <w:r>
        <w:t xml:space="preserve">for Māori </w:t>
      </w:r>
      <w:r w:rsidR="0047697F">
        <w:t xml:space="preserve">aged over </w:t>
      </w:r>
      <w:r>
        <w:t xml:space="preserve">65 </w:t>
      </w:r>
      <w:r w:rsidR="00A334A2">
        <w:t>in</w:t>
      </w:r>
      <w:r w:rsidR="00A334A2" w:rsidRPr="00B2156D">
        <w:t xml:space="preserve"> </w:t>
      </w:r>
      <w:r w:rsidR="00A334A2">
        <w:t>many regions</w:t>
      </w:r>
      <w:r>
        <w:t xml:space="preserve">. However, the overall </w:t>
      </w:r>
      <w:r w:rsidR="00A334A2">
        <w:t xml:space="preserve">equity </w:t>
      </w:r>
      <w:r w:rsidR="003B1EC7">
        <w:t xml:space="preserve">gap </w:t>
      </w:r>
      <w:r w:rsidR="00A334A2">
        <w:t xml:space="preserve">between Māori and </w:t>
      </w:r>
      <w:r w:rsidR="00EC6371">
        <w:t>non-Maori,</w:t>
      </w:r>
      <w:r w:rsidR="00A334A2">
        <w:t xml:space="preserve"> non-Pacific </w:t>
      </w:r>
      <w:r w:rsidR="00B6734E">
        <w:t xml:space="preserve">flu </w:t>
      </w:r>
      <w:r w:rsidR="003B1EC7">
        <w:t>vaccination rates did not close</w:t>
      </w:r>
      <w:r w:rsidR="00A334A2">
        <w:t xml:space="preserve">. </w:t>
      </w:r>
    </w:p>
    <w:p w14:paraId="07A0D581" w14:textId="3D59E694" w:rsidR="00A672DD" w:rsidRPr="00F35C4B" w:rsidRDefault="005218C2" w:rsidP="00E63C87">
      <w:pPr>
        <w:pStyle w:val="BodyText"/>
      </w:pPr>
      <w:r>
        <w:fldChar w:fldCharType="begin"/>
      </w:r>
      <w:r>
        <w:instrText xml:space="preserve"> REF _Ref58539609 \h </w:instrText>
      </w:r>
      <w:r>
        <w:fldChar w:fldCharType="separate"/>
      </w:r>
      <w:r w:rsidR="009B082D">
        <w:t xml:space="preserve">Table </w:t>
      </w:r>
      <w:r w:rsidR="009B082D">
        <w:rPr>
          <w:noProof/>
        </w:rPr>
        <w:t>3</w:t>
      </w:r>
      <w:r>
        <w:fldChar w:fldCharType="end"/>
      </w:r>
      <w:r>
        <w:t xml:space="preserve"> </w:t>
      </w:r>
      <w:r w:rsidR="00A672DD">
        <w:t xml:space="preserve">shows the change in equity by DHB region over 2020, between Māori and </w:t>
      </w:r>
      <w:r w:rsidR="00EC6371">
        <w:t>non-Maori,</w:t>
      </w:r>
      <w:r w:rsidR="00A672DD">
        <w:t xml:space="preserve"> non-Pacific</w:t>
      </w:r>
      <w:r w:rsidR="0047697F">
        <w:t xml:space="preserve"> flu vaccination rates</w:t>
      </w:r>
      <w:r w:rsidR="00A672DD">
        <w:t xml:space="preserve">. </w:t>
      </w:r>
      <w:proofErr w:type="gramStart"/>
      <w:r w:rsidR="003A434F">
        <w:t>In particular, it</w:t>
      </w:r>
      <w:proofErr w:type="gramEnd"/>
      <w:r w:rsidR="003A434F">
        <w:t xml:space="preserve"> compares the equity gap at the beginning of MIVP (Week 13) and the end of most MIVP-funded activities (Week 46), to illustrate the DHB regions that have achieved overall equity change in 2020. </w:t>
      </w:r>
    </w:p>
    <w:p w14:paraId="26E5B152" w14:textId="0192B21B" w:rsidR="00A334A2" w:rsidRDefault="00A334A2" w:rsidP="00900633">
      <w:pPr>
        <w:pStyle w:val="Caption"/>
      </w:pPr>
      <w:bookmarkStart w:id="55" w:name="_Ref58539609"/>
      <w:bookmarkStart w:id="56" w:name="_Toc58387952"/>
      <w:bookmarkStart w:id="57" w:name="_Ref58539615"/>
      <w:bookmarkStart w:id="58" w:name="_Toc62703559"/>
      <w:bookmarkStart w:id="59" w:name="_Ref70760138"/>
      <w:r>
        <w:lastRenderedPageBreak/>
        <w:t xml:space="preserve">Table </w:t>
      </w:r>
      <w:r>
        <w:fldChar w:fldCharType="begin"/>
      </w:r>
      <w:r>
        <w:instrText>SEQ Table \* ARABIC</w:instrText>
      </w:r>
      <w:r>
        <w:fldChar w:fldCharType="separate"/>
      </w:r>
      <w:r w:rsidR="009B082D">
        <w:rPr>
          <w:noProof/>
        </w:rPr>
        <w:t>3</w:t>
      </w:r>
      <w:r>
        <w:fldChar w:fldCharType="end"/>
      </w:r>
      <w:bookmarkEnd w:id="55"/>
      <w:r>
        <w:rPr>
          <w:noProof/>
        </w:rPr>
        <w:t>.</w:t>
      </w:r>
      <w:r>
        <w:t xml:space="preserve"> Biggest changes in equity between Māori and </w:t>
      </w:r>
      <w:r w:rsidR="00EC6371">
        <w:t>non-Maori,</w:t>
      </w:r>
      <w:r>
        <w:t xml:space="preserve"> non-Pacific from week 13 to week 45 in 2020</w:t>
      </w:r>
      <w:r>
        <w:rPr>
          <w:rStyle w:val="FootnoteReference"/>
        </w:rPr>
        <w:footnoteReference w:id="11"/>
      </w:r>
      <w:bookmarkEnd w:id="56"/>
      <w:bookmarkEnd w:id="57"/>
      <w:bookmarkEnd w:id="58"/>
      <w:bookmarkEnd w:id="59"/>
    </w:p>
    <w:p w14:paraId="54D06277" w14:textId="03076278" w:rsidR="00A334A2" w:rsidRDefault="00A334A2" w:rsidP="00A334A2">
      <w:pPr>
        <w:pStyle w:val="BodyText"/>
        <w:numPr>
          <w:ilvl w:val="0"/>
          <w:numId w:val="0"/>
        </w:numPr>
      </w:pPr>
      <w:r w:rsidRPr="00530CD8">
        <w:rPr>
          <w:noProof/>
        </w:rPr>
        <w:drawing>
          <wp:inline distT="0" distB="0" distL="0" distR="0" wp14:anchorId="53B20866" wp14:editId="4BC483CE">
            <wp:extent cx="5219700" cy="2451735"/>
            <wp:effectExtent l="0" t="0" r="0" b="5715"/>
            <wp:docPr id="34" name="Picture 34" descr="Top regions with positive equity change (more Māori than non-Māori non-Pacific vaccinated) were Hawke's Bay (5.75), Lakes (4.62) and Whanganui (0.43). In all other regions, the equity gap worsened over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op regions with positive equity change (more Māori than non-Māori non-Pacific vaccinated) were Hawke's Bay (5.75), Lakes (4.62) and Whanganui (0.43). In all other regions, the equity gap worsened over 2020.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00" cy="2451735"/>
                    </a:xfrm>
                    <a:prstGeom prst="rect">
                      <a:avLst/>
                    </a:prstGeom>
                    <a:noFill/>
                    <a:ln>
                      <a:noFill/>
                    </a:ln>
                  </pic:spPr>
                </pic:pic>
              </a:graphicData>
            </a:graphic>
          </wp:inline>
        </w:drawing>
      </w:r>
    </w:p>
    <w:p w14:paraId="4D5954FC" w14:textId="77777777" w:rsidR="00250784" w:rsidRDefault="00250784" w:rsidP="0055571B">
      <w:pPr>
        <w:pStyle w:val="NoSpacing"/>
      </w:pPr>
    </w:p>
    <w:p w14:paraId="3214FDFE" w14:textId="517FFB78" w:rsidR="00E63C87" w:rsidRPr="00E63C87" w:rsidRDefault="00250784" w:rsidP="00E63C87">
      <w:pPr>
        <w:pStyle w:val="BodyText"/>
        <w:rPr>
          <w:color w:val="404040" w:themeColor="text1" w:themeTint="BF"/>
          <w:szCs w:val="18"/>
        </w:rPr>
      </w:pPr>
      <w:r>
        <w:t>The most significant changes in equity rates that occurred in 2020 were in Hawke’s Bay</w:t>
      </w:r>
      <w:r w:rsidR="003A434F">
        <w:t xml:space="preserve">, </w:t>
      </w:r>
      <w:r>
        <w:t>Lakes</w:t>
      </w:r>
      <w:r w:rsidR="003A434F">
        <w:t xml:space="preserve"> and Whanganui</w:t>
      </w:r>
      <w:r>
        <w:t>.</w:t>
      </w:r>
      <w:r w:rsidR="003A434F">
        <w:t xml:space="preserve"> </w:t>
      </w:r>
      <w:r>
        <w:t xml:space="preserve">Whanganui </w:t>
      </w:r>
      <w:r w:rsidR="003A434F">
        <w:t xml:space="preserve">continued to build from a strong base, having </w:t>
      </w:r>
      <w:r>
        <w:t xml:space="preserve">the highest flu vaccination rates in the country for both Māori and </w:t>
      </w:r>
      <w:r w:rsidR="00EC6371">
        <w:t>non-Maori,</w:t>
      </w:r>
      <w:r>
        <w:t xml:space="preserve"> non-Pacific</w:t>
      </w:r>
      <w:r w:rsidR="0047697F">
        <w:t xml:space="preserve"> people</w:t>
      </w:r>
      <w:r>
        <w:t xml:space="preserve">. </w:t>
      </w:r>
    </w:p>
    <w:p w14:paraId="02165501" w14:textId="4E2F380D" w:rsidR="00250784" w:rsidRPr="00E63C87" w:rsidRDefault="00250784" w:rsidP="00E63C87">
      <w:pPr>
        <w:pStyle w:val="BodyText"/>
        <w:rPr>
          <w:color w:val="404040" w:themeColor="text1" w:themeTint="BF"/>
          <w:szCs w:val="18"/>
        </w:rPr>
      </w:pPr>
      <w:r>
        <w:t>Canterbury saw a significant increase when compared with other regions (see</w:t>
      </w:r>
      <w:r w:rsidR="00A9412B">
        <w:t xml:space="preserve"> </w:t>
      </w:r>
      <w:r w:rsidR="00A9412B">
        <w:fldChar w:fldCharType="begin"/>
      </w:r>
      <w:r w:rsidR="00A9412B">
        <w:instrText xml:space="preserve"> REF _Ref58259159 \h </w:instrText>
      </w:r>
      <w:r w:rsidR="00A9412B">
        <w:fldChar w:fldCharType="separate"/>
      </w:r>
      <w:r w:rsidR="009B082D">
        <w:t xml:space="preserve">Figure </w:t>
      </w:r>
      <w:r w:rsidR="009B082D">
        <w:rPr>
          <w:noProof/>
        </w:rPr>
        <w:t>3</w:t>
      </w:r>
      <w:r w:rsidR="00A9412B">
        <w:fldChar w:fldCharType="end"/>
      </w:r>
      <w:r w:rsidR="00A9412B">
        <w:t xml:space="preserve">, page </w:t>
      </w:r>
      <w:r w:rsidR="00A9412B">
        <w:fldChar w:fldCharType="begin"/>
      </w:r>
      <w:r w:rsidR="00A9412B">
        <w:instrText xml:space="preserve"> PAGEREF _Ref58259183 \h </w:instrText>
      </w:r>
      <w:r w:rsidR="00A9412B">
        <w:fldChar w:fldCharType="separate"/>
      </w:r>
      <w:r w:rsidR="000B6910">
        <w:rPr>
          <w:noProof/>
        </w:rPr>
        <w:t>17</w:t>
      </w:r>
      <w:r w:rsidR="00A9412B">
        <w:fldChar w:fldCharType="end"/>
      </w:r>
      <w:r>
        <w:t>). Canterbury’s share of combined MIVP funding with West Coast DHB was $76</w:t>
      </w:r>
      <w:r w:rsidR="0078565B">
        <w:t xml:space="preserve">,000. </w:t>
      </w:r>
      <w:r>
        <w:t xml:space="preserve">They significantly </w:t>
      </w:r>
      <w:r w:rsidRPr="00347B4C">
        <w:t>increased the total number and proportion of vaccinated Māori.</w:t>
      </w:r>
      <w:r>
        <w:t xml:space="preserve"> However, vaccination efforts in Canterbury also improved uptake by </w:t>
      </w:r>
      <w:r w:rsidR="00EC6371">
        <w:t>non-Maori,</w:t>
      </w:r>
      <w:r w:rsidRPr="00A66B7C">
        <w:t xml:space="preserve"> </w:t>
      </w:r>
      <w:r>
        <w:t>non-Pacific over 2020. Therefore, despite increases in vaccination rates</w:t>
      </w:r>
      <w:r w:rsidR="0047697F" w:rsidRPr="0047697F">
        <w:t xml:space="preserve"> </w:t>
      </w:r>
      <w:r w:rsidR="0047697F">
        <w:t>of Māori aged over 65</w:t>
      </w:r>
      <w:r>
        <w:t>, the overall equity gap worsened for Māori.</w:t>
      </w:r>
    </w:p>
    <w:p w14:paraId="16D8F98E" w14:textId="76013C5F" w:rsidR="00C172C0" w:rsidRPr="008A3AA5" w:rsidRDefault="00C172C0" w:rsidP="002B5042">
      <w:pPr>
        <w:pStyle w:val="BodyText"/>
      </w:pPr>
      <w:r>
        <w:t xml:space="preserve">Overall, Auckland, Counties Manukau and </w:t>
      </w:r>
      <w:proofErr w:type="spellStart"/>
      <w:r w:rsidR="00EC6371">
        <w:t>Waitematā</w:t>
      </w:r>
      <w:proofErr w:type="spellEnd"/>
      <w:r>
        <w:t xml:space="preserve"> regions have historically performed poorly compared to other regions. In the main, Auckland and </w:t>
      </w:r>
      <w:proofErr w:type="spellStart"/>
      <w:r w:rsidR="00EC6371">
        <w:t>Waitematā</w:t>
      </w:r>
      <w:proofErr w:type="spellEnd"/>
      <w:r>
        <w:t xml:space="preserve"> have been in the lowest five regions of flu vaccination rates for Māori </w:t>
      </w:r>
      <w:r w:rsidR="0047697F">
        <w:t xml:space="preserve">aged </w:t>
      </w:r>
      <w:r>
        <w:t xml:space="preserve">over 65 years, since 2015. Individually these regions have high numbers of Māori </w:t>
      </w:r>
      <w:r w:rsidR="0047697F">
        <w:t>in this age group</w:t>
      </w:r>
      <w:r>
        <w:t xml:space="preserve"> (see</w:t>
      </w:r>
      <w:r w:rsidR="002B5042">
        <w:t xml:space="preserve"> </w:t>
      </w:r>
      <w:r w:rsidR="002B5042">
        <w:fldChar w:fldCharType="begin"/>
      </w:r>
      <w:r w:rsidR="002B5042">
        <w:instrText xml:space="preserve"> REF _Ref62651691 \h </w:instrText>
      </w:r>
      <w:r w:rsidR="002B5042">
        <w:fldChar w:fldCharType="separate"/>
      </w:r>
      <w:r w:rsidR="009B082D" w:rsidRPr="00C05542">
        <w:t xml:space="preserve">Table </w:t>
      </w:r>
      <w:r w:rsidR="009B082D">
        <w:rPr>
          <w:noProof/>
        </w:rPr>
        <w:t>10</w:t>
      </w:r>
      <w:r w:rsidR="002B5042">
        <w:fldChar w:fldCharType="end"/>
      </w:r>
      <w:r w:rsidR="002B5042">
        <w:t xml:space="preserve">, page </w:t>
      </w:r>
      <w:r w:rsidR="002B5042">
        <w:fldChar w:fldCharType="begin"/>
      </w:r>
      <w:r w:rsidR="002B5042">
        <w:instrText xml:space="preserve"> PAGEREF _Ref62651944 \h </w:instrText>
      </w:r>
      <w:r w:rsidR="002B5042">
        <w:fldChar w:fldCharType="separate"/>
      </w:r>
      <w:r w:rsidR="000B6910">
        <w:rPr>
          <w:noProof/>
        </w:rPr>
        <w:t>51</w:t>
      </w:r>
      <w:r w:rsidR="002B5042">
        <w:fldChar w:fldCharType="end"/>
      </w:r>
      <w:r w:rsidR="002B5042">
        <w:t>)</w:t>
      </w:r>
      <w:r w:rsidR="00A9412B">
        <w:t xml:space="preserve"> </w:t>
      </w:r>
      <w:r>
        <w:t xml:space="preserve">and collectively the greater Auckland region equates to the largest cluster of Māori nationally. For the flu equity gap or rates to reduce nationally, it is imperative that vaccination rates improve in these regions. </w:t>
      </w:r>
    </w:p>
    <w:p w14:paraId="08BEB2AB" w14:textId="1400258D" w:rsidR="00C172C0" w:rsidRPr="00A14305" w:rsidRDefault="00C172C0" w:rsidP="00A14305">
      <w:pPr>
        <w:pStyle w:val="BodyText"/>
        <w:rPr>
          <w:color w:val="404040" w:themeColor="text1" w:themeTint="BF"/>
          <w:szCs w:val="18"/>
        </w:rPr>
      </w:pPr>
      <w:r>
        <w:t xml:space="preserve">The collaborative application between Auckland, Counties Manukau and </w:t>
      </w:r>
      <w:proofErr w:type="spellStart"/>
      <w:r>
        <w:t>Waitemat</w:t>
      </w:r>
      <w:r w:rsidRPr="00A66B7C">
        <w:t>ā</w:t>
      </w:r>
      <w:proofErr w:type="spellEnd"/>
      <w:r>
        <w:t xml:space="preserve"> received a total of $2.48m, more than a third of the $6.94m MIVP funding allocation. Looking at the funding amounts allocated to the three Auckland DHBs and comparing them to regions having a similar Māori population or funding, the Auckland DHBs did not achieve results commensurate with the comparison regions. While there were some known factors that impacted on implementation, </w:t>
      </w:r>
      <w:proofErr w:type="gramStart"/>
      <w:r>
        <w:t>e.g.</w:t>
      </w:r>
      <w:proofErr w:type="gramEnd"/>
      <w:r>
        <w:t xml:space="preserve"> two COVID-19 alert level 4 lockdowns, delays in getting funding out to providers and a lack of Māori provider capacity, these factors are likely to provide only part of the explanation, given the historical under</w:t>
      </w:r>
      <w:r w:rsidR="0047697F">
        <w:t>-</w:t>
      </w:r>
      <w:r>
        <w:t xml:space="preserve">performance. Research is required to better understand the context, </w:t>
      </w:r>
      <w:proofErr w:type="gramStart"/>
      <w:r>
        <w:t>barriers</w:t>
      </w:r>
      <w:proofErr w:type="gramEnd"/>
      <w:r>
        <w:t xml:space="preserve"> and impediments to increasing flu vaccinations within and across Auckland, </w:t>
      </w:r>
      <w:proofErr w:type="spellStart"/>
      <w:r w:rsidR="00EC6371">
        <w:t>Waitematā</w:t>
      </w:r>
      <w:proofErr w:type="spellEnd"/>
      <w:r>
        <w:t xml:space="preserve"> and to a lesser extent Counties Manukau DHBs. </w:t>
      </w:r>
    </w:p>
    <w:p w14:paraId="7B496B87" w14:textId="3AE3D2DD" w:rsidR="00507E05" w:rsidRDefault="00F23CCC" w:rsidP="00507E05">
      <w:pPr>
        <w:pStyle w:val="Heading1"/>
      </w:pPr>
      <w:bookmarkStart w:id="60" w:name="_Toc70763264"/>
      <w:r>
        <w:lastRenderedPageBreak/>
        <w:t>A</w:t>
      </w:r>
      <w:r w:rsidR="00752B7E">
        <w:t xml:space="preserve">spects of the MIVP implementation </w:t>
      </w:r>
      <w:r>
        <w:t xml:space="preserve">that </w:t>
      </w:r>
      <w:r w:rsidR="00752B7E">
        <w:t xml:space="preserve">made a difference for </w:t>
      </w:r>
      <w:r w:rsidR="005675A8">
        <w:t>Māori</w:t>
      </w:r>
      <w:r w:rsidR="16E24460">
        <w:t>?</w:t>
      </w:r>
      <w:bookmarkEnd w:id="60"/>
      <w:r w:rsidR="16E24460">
        <w:t xml:space="preserve"> </w:t>
      </w:r>
    </w:p>
    <w:tbl>
      <w:tblPr>
        <w:tblStyle w:val="TableGrid"/>
        <w:tblW w:w="5000" w:type="pct"/>
        <w:tblLook w:val="04A0" w:firstRow="1" w:lastRow="0" w:firstColumn="1" w:lastColumn="0" w:noHBand="0" w:noVBand="1"/>
      </w:tblPr>
      <w:tblGrid>
        <w:gridCol w:w="8488"/>
      </w:tblGrid>
      <w:tr w:rsidR="00A90477" w14:paraId="03987153" w14:textId="77777777" w:rsidTr="00837B50">
        <w:tc>
          <w:tcPr>
            <w:tcW w:w="5000" w:type="pct"/>
            <w:shd w:val="clear" w:color="auto" w:fill="D5DCE4" w:themeFill="text2" w:themeFillTint="33"/>
          </w:tcPr>
          <w:p w14:paraId="404AB2ED" w14:textId="77777777" w:rsidR="00A90477" w:rsidRDefault="00A90477" w:rsidP="00EE7DB8">
            <w:pPr>
              <w:pStyle w:val="Heading2"/>
              <w:outlineLvl w:val="1"/>
            </w:pPr>
            <w:bookmarkStart w:id="61" w:name="_Toc58347839"/>
            <w:bookmarkStart w:id="62" w:name="_Toc70763265"/>
            <w:r>
              <w:t>A snapshot</w:t>
            </w:r>
            <w:bookmarkEnd w:id="61"/>
            <w:bookmarkEnd w:id="62"/>
          </w:p>
          <w:p w14:paraId="5BBA28E5" w14:textId="1B5C7058" w:rsidR="00F53E73" w:rsidRDefault="00DE61B8" w:rsidP="00CE0031">
            <w:r>
              <w:t>General Practitioners (GPs)</w:t>
            </w:r>
            <w:r w:rsidR="00CE0031">
              <w:t xml:space="preserve"> </w:t>
            </w:r>
            <w:r w:rsidR="00F53E73">
              <w:t xml:space="preserve">have </w:t>
            </w:r>
            <w:r w:rsidR="00586DB8">
              <w:t xml:space="preserve">administered more than 80% of all </w:t>
            </w:r>
            <w:r w:rsidR="00F53E73">
              <w:t>influenza vaccinations</w:t>
            </w:r>
            <w:r w:rsidR="0047697F">
              <w:t xml:space="preserve"> in New Zealand</w:t>
            </w:r>
            <w:r w:rsidR="00F53E73">
              <w:t xml:space="preserve"> </w:t>
            </w:r>
            <w:r w:rsidR="00586DB8">
              <w:t xml:space="preserve">for close to a decade </w:t>
            </w:r>
            <w:r w:rsidR="00F53E73">
              <w:t xml:space="preserve">and during this time there has been </w:t>
            </w:r>
            <w:r w:rsidR="002825AA">
              <w:t xml:space="preserve">minimal </w:t>
            </w:r>
            <w:r w:rsidR="00F53E73">
              <w:t xml:space="preserve">overall change in </w:t>
            </w:r>
            <w:r w:rsidR="00586DB8">
              <w:t xml:space="preserve">flu </w:t>
            </w:r>
            <w:r w:rsidR="00F53E73">
              <w:t>vaccination rates</w:t>
            </w:r>
            <w:r w:rsidR="00CA7EC3">
              <w:t xml:space="preserve"> for Māori </w:t>
            </w:r>
            <w:r w:rsidR="0047697F">
              <w:t xml:space="preserve">aged over </w:t>
            </w:r>
            <w:r w:rsidR="00CA7EC3">
              <w:t>65</w:t>
            </w:r>
            <w:r w:rsidR="00F53E73">
              <w:t xml:space="preserve">. </w:t>
            </w:r>
            <w:r w:rsidR="00F53E73" w:rsidRPr="00586DB8">
              <w:rPr>
                <w:b/>
                <w:bCs/>
              </w:rPr>
              <w:t xml:space="preserve">The barriers to Māori accessing GP services and primary health </w:t>
            </w:r>
            <w:r w:rsidR="00CA7EC3">
              <w:rPr>
                <w:b/>
                <w:bCs/>
              </w:rPr>
              <w:t xml:space="preserve">care </w:t>
            </w:r>
            <w:r w:rsidR="00F53E73" w:rsidRPr="00586DB8">
              <w:rPr>
                <w:b/>
                <w:bCs/>
              </w:rPr>
              <w:t xml:space="preserve">are well documented </w:t>
            </w:r>
            <w:r w:rsidR="00F53E73">
              <w:t>and include</w:t>
            </w:r>
            <w:r w:rsidR="00882164">
              <w:t xml:space="preserve"> </w:t>
            </w:r>
            <w:r w:rsidR="00B80D70">
              <w:t>cost, access to services, poor service experience, cultural barriers, poor health literacy and a clash between wester</w:t>
            </w:r>
            <w:r w:rsidR="00F53E73">
              <w:t>n</w:t>
            </w:r>
            <w:r w:rsidR="00B80D70">
              <w:t xml:space="preserve"> models of health and Māori models of </w:t>
            </w:r>
            <w:proofErr w:type="spellStart"/>
            <w:r w:rsidR="00B80D70">
              <w:t>hauora</w:t>
            </w:r>
            <w:proofErr w:type="spellEnd"/>
            <w:r w:rsidR="00B80D70">
              <w:t xml:space="preserve"> (wellbeing)</w:t>
            </w:r>
            <w:r w:rsidR="00F53E73">
              <w:t>.</w:t>
            </w:r>
          </w:p>
          <w:p w14:paraId="7672D360" w14:textId="444EA20E" w:rsidR="00CA7EC3" w:rsidRDefault="00586DB8" w:rsidP="00CE0031">
            <w:r w:rsidRPr="00586DB8">
              <w:rPr>
                <w:b/>
                <w:bCs/>
              </w:rPr>
              <w:t>MIVP reduced barriers to access</w:t>
            </w:r>
            <w:r>
              <w:t xml:space="preserve">. A range of tactics were employed by providers and DHBs </w:t>
            </w:r>
            <w:r w:rsidR="00A90477" w:rsidRPr="4AA8C661">
              <w:t>to identify</w:t>
            </w:r>
            <w:r w:rsidR="00B80D70">
              <w:t xml:space="preserve"> unvaccinated Māori</w:t>
            </w:r>
            <w:r>
              <w:t xml:space="preserve"> and to </w:t>
            </w:r>
            <w:r w:rsidR="00A90477" w:rsidRPr="4AA8C661">
              <w:t>communicate</w:t>
            </w:r>
            <w:r>
              <w:t xml:space="preserve">, </w:t>
            </w:r>
            <w:r w:rsidR="00B80D70">
              <w:t>engage</w:t>
            </w:r>
            <w:r w:rsidR="00A90477" w:rsidRPr="4AA8C661">
              <w:t xml:space="preserve"> with</w:t>
            </w:r>
            <w:r>
              <w:t>,</w:t>
            </w:r>
            <w:r w:rsidR="00A90477" w:rsidRPr="4AA8C661">
              <w:t xml:space="preserve"> </w:t>
            </w:r>
            <w:r>
              <w:t xml:space="preserve">and vaccinate </w:t>
            </w:r>
            <w:r w:rsidR="00B80D70">
              <w:t xml:space="preserve">vulnerable Māori groups, particularly Māori </w:t>
            </w:r>
            <w:r w:rsidR="0047697F">
              <w:t xml:space="preserve">aged </w:t>
            </w:r>
            <w:r w:rsidR="00B80D70">
              <w:t xml:space="preserve">65 years and over. </w:t>
            </w:r>
          </w:p>
          <w:p w14:paraId="0CBF03E5" w14:textId="12C04DBC" w:rsidR="00A90477" w:rsidRPr="00586DB8" w:rsidRDefault="00A90477" w:rsidP="00CE0031">
            <w:pPr>
              <w:rPr>
                <w:b/>
                <w:bCs/>
              </w:rPr>
            </w:pPr>
            <w:r w:rsidRPr="00586DB8">
              <w:rPr>
                <w:b/>
                <w:bCs/>
              </w:rPr>
              <w:t>Three strategies were evident</w:t>
            </w:r>
            <w:r w:rsidR="00703394" w:rsidRPr="00586DB8">
              <w:rPr>
                <w:b/>
                <w:bCs/>
              </w:rPr>
              <w:t>:</w:t>
            </w:r>
            <w:r w:rsidRPr="00586DB8">
              <w:rPr>
                <w:b/>
                <w:bCs/>
              </w:rPr>
              <w:t xml:space="preserve"> </w:t>
            </w:r>
          </w:p>
          <w:p w14:paraId="17051AD9" w14:textId="77777777" w:rsidR="00A90477" w:rsidRPr="00586DB8" w:rsidRDefault="00A90477" w:rsidP="00B14BA5">
            <w:pPr>
              <w:pStyle w:val="Bullet"/>
              <w:numPr>
                <w:ilvl w:val="0"/>
                <w:numId w:val="6"/>
              </w:numPr>
              <w:rPr>
                <w:b/>
                <w:bCs/>
              </w:rPr>
            </w:pPr>
            <w:r w:rsidRPr="00586DB8">
              <w:rPr>
                <w:b/>
                <w:bCs/>
              </w:rPr>
              <w:t xml:space="preserve">mobilising services to go into the </w:t>
            </w:r>
            <w:proofErr w:type="gramStart"/>
            <w:r w:rsidRPr="00586DB8">
              <w:rPr>
                <w:b/>
                <w:bCs/>
              </w:rPr>
              <w:t>community</w:t>
            </w:r>
            <w:proofErr w:type="gramEnd"/>
            <w:r w:rsidRPr="00586DB8">
              <w:rPr>
                <w:b/>
                <w:bCs/>
              </w:rPr>
              <w:t xml:space="preserve"> </w:t>
            </w:r>
          </w:p>
          <w:p w14:paraId="39E3A237" w14:textId="77777777" w:rsidR="00A90477" w:rsidRPr="00586DB8" w:rsidRDefault="00A90477" w:rsidP="00B14BA5">
            <w:pPr>
              <w:pStyle w:val="Bullet"/>
              <w:numPr>
                <w:ilvl w:val="0"/>
                <w:numId w:val="6"/>
              </w:numPr>
              <w:rPr>
                <w:b/>
                <w:bCs/>
              </w:rPr>
            </w:pPr>
            <w:r w:rsidRPr="00586DB8">
              <w:rPr>
                <w:b/>
                <w:bCs/>
              </w:rPr>
              <w:t>taking a whānau-centred approach</w:t>
            </w:r>
          </w:p>
          <w:p w14:paraId="6CD2F856" w14:textId="77777777" w:rsidR="00A90477" w:rsidRPr="00586DB8" w:rsidRDefault="00A90477" w:rsidP="00B14BA5">
            <w:pPr>
              <w:pStyle w:val="Bullet"/>
              <w:numPr>
                <w:ilvl w:val="0"/>
                <w:numId w:val="6"/>
              </w:numPr>
              <w:rPr>
                <w:rFonts w:asciiTheme="minorHAnsi" w:eastAsiaTheme="minorEastAsia" w:hAnsiTheme="minorHAnsi" w:cstheme="minorBidi"/>
                <w:b/>
                <w:bCs/>
                <w:szCs w:val="20"/>
              </w:rPr>
            </w:pPr>
            <w:r w:rsidRPr="00586DB8">
              <w:rPr>
                <w:b/>
                <w:bCs/>
              </w:rPr>
              <w:t>focusing on workforce capability.</w:t>
            </w:r>
          </w:p>
          <w:p w14:paraId="7098A98F" w14:textId="3C1E65A5" w:rsidR="00CA7EC3" w:rsidRPr="00311FD0" w:rsidRDefault="00A90477" w:rsidP="00CA7EC3">
            <w:pPr>
              <w:rPr>
                <w:b/>
                <w:bCs/>
              </w:rPr>
            </w:pPr>
            <w:r w:rsidRPr="00311FD0">
              <w:t>A key feature of delivery was mobilising services by providers and going out into the community. They increased the accessibility of services</w:t>
            </w:r>
            <w:r w:rsidR="00CA7EC3" w:rsidRPr="00311FD0">
              <w:t xml:space="preserve"> by:</w:t>
            </w:r>
          </w:p>
          <w:p w14:paraId="70F9BB90" w14:textId="68C6E227" w:rsidR="00CA7EC3" w:rsidRPr="00311FD0" w:rsidRDefault="00CA7EC3" w:rsidP="00CA7EC3">
            <w:pPr>
              <w:pStyle w:val="Bullet"/>
            </w:pPr>
            <w:r w:rsidRPr="00311FD0">
              <w:rPr>
                <w:b/>
                <w:bCs/>
              </w:rPr>
              <w:t>going to where whānau gather</w:t>
            </w:r>
            <w:r w:rsidRPr="00311FD0">
              <w:t xml:space="preserve"> and locating temporary clinics in places where whānau go to work, pray, socialise, shop, and learn. This included marae, supermarket carparks, sports grounds, schools, churches, and workplaces. </w:t>
            </w:r>
          </w:p>
          <w:p w14:paraId="379D7ECC" w14:textId="203C7451" w:rsidR="00CA7EC3" w:rsidRPr="00311FD0" w:rsidRDefault="00CA7EC3" w:rsidP="00CA7EC3">
            <w:pPr>
              <w:pStyle w:val="Bullet"/>
            </w:pPr>
            <w:r w:rsidRPr="00311FD0">
              <w:rPr>
                <w:b/>
                <w:bCs/>
              </w:rPr>
              <w:t>going to where whānau live</w:t>
            </w:r>
            <w:r w:rsidRPr="00311FD0">
              <w:t xml:space="preserve"> such as individual whānau homes or aged care residences as well as hotels, homeless shelters, and gang locations. </w:t>
            </w:r>
          </w:p>
          <w:p w14:paraId="301618C6" w14:textId="5D4C48D4" w:rsidR="00CA7EC3" w:rsidRPr="00311FD0" w:rsidRDefault="009335B1" w:rsidP="00CA7EC3">
            <w:pPr>
              <w:pStyle w:val="Bullet"/>
            </w:pPr>
            <w:r>
              <w:rPr>
                <w:b/>
                <w:bCs/>
              </w:rPr>
              <w:t>b</w:t>
            </w:r>
            <w:r w:rsidR="00CA7EC3" w:rsidRPr="00311FD0">
              <w:rPr>
                <w:b/>
                <w:bCs/>
              </w:rPr>
              <w:t>ringing whānau to services</w:t>
            </w:r>
            <w:r w:rsidR="00CA7EC3" w:rsidRPr="00311FD0">
              <w:t xml:space="preserve">, offering and providing individual or group transport to temporary sites or clinics. </w:t>
            </w:r>
          </w:p>
          <w:p w14:paraId="75657C92" w14:textId="2ABFDBFB" w:rsidR="00586DB8" w:rsidRPr="00311FD0" w:rsidRDefault="00CA7EC3" w:rsidP="00CE0031">
            <w:r w:rsidRPr="00311FD0">
              <w:t>The</w:t>
            </w:r>
            <w:r w:rsidR="00636367">
              <w:t>y</w:t>
            </w:r>
            <w:r w:rsidRPr="00311FD0">
              <w:t xml:space="preserve"> also </w:t>
            </w:r>
            <w:r w:rsidR="00311FD0" w:rsidRPr="00311FD0">
              <w:t xml:space="preserve">offered </w:t>
            </w:r>
            <w:r w:rsidR="00A90477" w:rsidRPr="00311FD0">
              <w:t xml:space="preserve">extended or flexible service hours combined with whānau-centred and holistic services. </w:t>
            </w:r>
          </w:p>
          <w:p w14:paraId="748DEBB5" w14:textId="17ABD4DF" w:rsidR="00A90477" w:rsidRDefault="00A90477" w:rsidP="00CE0031">
            <w:r w:rsidRPr="003420A6">
              <w:t xml:space="preserve">Most providers used MIVP funding to deliver new activities as well as expanding existing approaches. Aware that MIVP funding might be a one-off, </w:t>
            </w:r>
            <w:r w:rsidR="003420A6" w:rsidRPr="003420A6">
              <w:t xml:space="preserve">some </w:t>
            </w:r>
            <w:r w:rsidRPr="003420A6">
              <w:t>providers and DHBs focused on ensuring the sustainability of any new or adapted approaches or using the funding to address pre-existing sustainability issues, such as workforce capability. The MIVP also encouraged different groups within DHBs</w:t>
            </w:r>
            <w:r w:rsidR="00311FD0" w:rsidRPr="003420A6">
              <w:t xml:space="preserve"> </w:t>
            </w:r>
            <w:r w:rsidR="003420A6" w:rsidRPr="003420A6">
              <w:t xml:space="preserve">to </w:t>
            </w:r>
            <w:r w:rsidR="00311FD0" w:rsidRPr="003420A6">
              <w:t xml:space="preserve">work </w:t>
            </w:r>
            <w:r w:rsidR="003420A6" w:rsidRPr="003420A6">
              <w:t xml:space="preserve">together </w:t>
            </w:r>
            <w:r w:rsidR="00311FD0" w:rsidRPr="003420A6">
              <w:t xml:space="preserve">better and </w:t>
            </w:r>
            <w:r w:rsidRPr="003420A6">
              <w:t>to work with providers. This resulted in improved coordination of services in some regions</w:t>
            </w:r>
          </w:p>
        </w:tc>
      </w:tr>
    </w:tbl>
    <w:p w14:paraId="0A40264B" w14:textId="21858201" w:rsidR="00A90477" w:rsidRDefault="0047697F" w:rsidP="00A90477">
      <w:pPr>
        <w:pStyle w:val="Heading2"/>
      </w:pPr>
      <w:bookmarkStart w:id="63" w:name="_Toc70763266"/>
      <w:r>
        <w:t xml:space="preserve">Strategies </w:t>
      </w:r>
      <w:proofErr w:type="gramStart"/>
      <w:r>
        <w:t>used</w:t>
      </w:r>
      <w:bookmarkEnd w:id="63"/>
      <w:proofErr w:type="gramEnd"/>
    </w:p>
    <w:p w14:paraId="5A09B401" w14:textId="1A146B92" w:rsidR="00A90477" w:rsidRPr="00A062F9" w:rsidRDefault="00A90477" w:rsidP="00A90477">
      <w:pPr>
        <w:pStyle w:val="BodyText"/>
      </w:pPr>
      <w:r>
        <w:t>This section discusses the three main strategies</w:t>
      </w:r>
      <w:r w:rsidRPr="00BC4235">
        <w:t xml:space="preserve"> </w:t>
      </w:r>
      <w:r>
        <w:t xml:space="preserve">employed by providers and DHBs in implementing MIVP: mobilising of services, taking a whānau-centred approach and focusing on workforce capability. It notes the prevalence of General Practitioners (GPs) as the main providers of funded flu vaccinations and the impact of this approach on access for </w:t>
      </w:r>
      <w:r w:rsidRPr="00A66B7C">
        <w:t>Māori</w:t>
      </w:r>
      <w:r>
        <w:t xml:space="preserve">. It then discusses each of the strategies in turn and how they increased accessibility by reducing barriers for whānau. </w:t>
      </w:r>
    </w:p>
    <w:p w14:paraId="414B835F" w14:textId="77777777" w:rsidR="00A90477" w:rsidRDefault="00A90477" w:rsidP="00A90477">
      <w:pPr>
        <w:pStyle w:val="Heading2"/>
      </w:pPr>
      <w:bookmarkStart w:id="64" w:name="_Toc58347841"/>
      <w:bookmarkStart w:id="65" w:name="_Toc70763267"/>
      <w:r>
        <w:t xml:space="preserve">GPs administer most funded flu </w:t>
      </w:r>
      <w:proofErr w:type="gramStart"/>
      <w:r>
        <w:t>vaccinations</w:t>
      </w:r>
      <w:bookmarkEnd w:id="64"/>
      <w:bookmarkEnd w:id="65"/>
      <w:proofErr w:type="gramEnd"/>
      <w:r>
        <w:t xml:space="preserve"> </w:t>
      </w:r>
    </w:p>
    <w:p w14:paraId="08FBBAC4" w14:textId="49F8182D" w:rsidR="00A90477" w:rsidRDefault="00A90477" w:rsidP="00A90477">
      <w:pPr>
        <w:pStyle w:val="BodyText"/>
      </w:pPr>
      <w:r>
        <w:t>From 2012 to 2020, GP practices carried out most funded flu vaccinations. This pattern is changing. Sin</w:t>
      </w:r>
      <w:r w:rsidR="00CD545F">
        <w:t>c</w:t>
      </w:r>
      <w:r>
        <w:t xml:space="preserve">e 2017, pharmacies have the authority to administer funded flu vaccinations – and pharmacy-administered vaccinations doubled from three to six percent from 2018 to 2019. </w:t>
      </w:r>
      <w:r w:rsidR="00DB361A">
        <w:t>O</w:t>
      </w:r>
      <w:r w:rsidR="00277D4B">
        <w:t>f providers eligible to claim for administering a funded flu vaccine</w:t>
      </w:r>
      <w:r w:rsidR="00DB361A">
        <w:t xml:space="preserve"> in 2020</w:t>
      </w:r>
      <w:r w:rsidR="00277D4B">
        <w:t xml:space="preserve">, </w:t>
      </w:r>
      <w:r w:rsidRPr="00083D3D">
        <w:t xml:space="preserve">GP practices </w:t>
      </w:r>
      <w:r>
        <w:t>were</w:t>
      </w:r>
      <w:r w:rsidRPr="00083D3D">
        <w:t xml:space="preserve"> the </w:t>
      </w:r>
      <w:r w:rsidRPr="00083D3D">
        <w:lastRenderedPageBreak/>
        <w:t>main channel account</w:t>
      </w:r>
      <w:r>
        <w:t>ing</w:t>
      </w:r>
      <w:r w:rsidRPr="00083D3D">
        <w:t xml:space="preserve"> for 82%</w:t>
      </w:r>
      <w:r>
        <w:t xml:space="preserve"> </w:t>
      </w:r>
      <w:r w:rsidRPr="00083D3D">
        <w:t xml:space="preserve">of </w:t>
      </w:r>
      <w:r w:rsidR="00277D4B">
        <w:t xml:space="preserve">funded </w:t>
      </w:r>
      <w:r>
        <w:t>flu</w:t>
      </w:r>
      <w:r w:rsidRPr="00083D3D">
        <w:t xml:space="preserve"> vaccinations</w:t>
      </w:r>
      <w:r>
        <w:t>,</w:t>
      </w:r>
      <w:r>
        <w:rPr>
          <w:rStyle w:val="FootnoteReference"/>
        </w:rPr>
        <w:footnoteReference w:id="12"/>
      </w:r>
      <w:r>
        <w:t xml:space="preserve"> </w:t>
      </w:r>
      <w:r>
        <w:rPr>
          <w:rStyle w:val="FootnoteReference"/>
        </w:rPr>
        <w:footnoteReference w:id="13"/>
      </w:r>
      <w:r>
        <w:t xml:space="preserve"> while pharmacies gave the remaining </w:t>
      </w:r>
      <w:r w:rsidRPr="00083D3D">
        <w:t>18%.</w:t>
      </w:r>
    </w:p>
    <w:p w14:paraId="3C38B038" w14:textId="77777777" w:rsidR="00A90477" w:rsidRDefault="00A90477" w:rsidP="00A90477">
      <w:pPr>
        <w:pStyle w:val="Heading2"/>
      </w:pPr>
      <w:bookmarkStart w:id="66" w:name="_Toc58347842"/>
      <w:bookmarkStart w:id="67" w:name="_Toc70763268"/>
      <w:r>
        <w:t xml:space="preserve">Māori experience many barriers to accessing health services through </w:t>
      </w:r>
      <w:proofErr w:type="gramStart"/>
      <w:r>
        <w:t>GP’s</w:t>
      </w:r>
      <w:bookmarkEnd w:id="66"/>
      <w:bookmarkEnd w:id="67"/>
      <w:proofErr w:type="gramEnd"/>
    </w:p>
    <w:p w14:paraId="65CD24F7" w14:textId="6F53E044" w:rsidR="00A90477" w:rsidRDefault="00A90477" w:rsidP="00A90477">
      <w:pPr>
        <w:pStyle w:val="BodyText"/>
      </w:pPr>
      <w:r>
        <w:t>There are significant barriers to Māori accessing GPs and primary healthcare services</w:t>
      </w:r>
      <w:r w:rsidRPr="0078565B">
        <w:t>.</w:t>
      </w:r>
      <w:r w:rsidR="00555BC9">
        <w:rPr>
          <w:rStyle w:val="FootnoteReference"/>
        </w:rPr>
        <w:footnoteReference w:id="14"/>
      </w:r>
      <w:r w:rsidR="005C660E">
        <w:t xml:space="preserve"> </w:t>
      </w:r>
      <w:r w:rsidR="0078565B">
        <w:t>We list t</w:t>
      </w:r>
      <w:r w:rsidR="0078565B" w:rsidRPr="00083D3D">
        <w:t>he</w:t>
      </w:r>
      <w:r w:rsidR="0078565B">
        <w:t>se</w:t>
      </w:r>
      <w:r w:rsidR="0078565B" w:rsidRPr="00083D3D">
        <w:t xml:space="preserve"> </w:t>
      </w:r>
      <w:r w:rsidR="0078565B">
        <w:t xml:space="preserve">well-known and well-documented </w:t>
      </w:r>
      <w:r w:rsidR="0078565B" w:rsidRPr="00083D3D">
        <w:t>barriers</w:t>
      </w:r>
      <w:r w:rsidR="0078565B">
        <w:t xml:space="preserve"> below. </w:t>
      </w:r>
      <w:r>
        <w:t xml:space="preserve">They </w:t>
      </w:r>
      <w:r w:rsidRPr="00083D3D">
        <w:t>include</w:t>
      </w:r>
      <w:r>
        <w:t>:</w:t>
      </w:r>
    </w:p>
    <w:p w14:paraId="0A1002A8" w14:textId="344F963F" w:rsidR="00A90477" w:rsidRPr="00927AF4" w:rsidRDefault="00A90477" w:rsidP="0078565B">
      <w:pPr>
        <w:pStyle w:val="Bullet"/>
      </w:pPr>
      <w:r w:rsidRPr="0078565B">
        <w:rPr>
          <w:b/>
          <w:bCs/>
        </w:rPr>
        <w:t>Cost</w:t>
      </w:r>
      <w:r w:rsidR="0078565B">
        <w:t xml:space="preserve"> such as </w:t>
      </w:r>
      <w:r w:rsidRPr="00927AF4">
        <w:t xml:space="preserve">consultation costs and prescriptions charges, and the loss of income due to having to take time off work to seek </w:t>
      </w:r>
      <w:proofErr w:type="gramStart"/>
      <w:r w:rsidRPr="00927AF4">
        <w:t>care</w:t>
      </w:r>
      <w:proofErr w:type="gramEnd"/>
    </w:p>
    <w:p w14:paraId="2342A23A" w14:textId="1E39F7E7" w:rsidR="00A90477" w:rsidRPr="00927AF4" w:rsidRDefault="00A90477" w:rsidP="00927AF4">
      <w:pPr>
        <w:pStyle w:val="Bullet"/>
      </w:pPr>
      <w:r w:rsidRPr="0078565B">
        <w:rPr>
          <w:b/>
          <w:bCs/>
        </w:rPr>
        <w:t>Access to services</w:t>
      </w:r>
      <w:r w:rsidR="0078565B">
        <w:t xml:space="preserve"> such as </w:t>
      </w:r>
      <w:r w:rsidRPr="00927AF4">
        <w:t xml:space="preserve">the service locations and the distance to travel for care, suitable appointment times, long waiting times, lack of transport including public transport and childcare availability and </w:t>
      </w:r>
      <w:proofErr w:type="gramStart"/>
      <w:r w:rsidRPr="00927AF4">
        <w:t>cost</w:t>
      </w:r>
      <w:proofErr w:type="gramEnd"/>
    </w:p>
    <w:p w14:paraId="4E565194" w14:textId="59477074" w:rsidR="00A90477" w:rsidRPr="00927AF4" w:rsidRDefault="00A90477" w:rsidP="00927AF4">
      <w:pPr>
        <w:pStyle w:val="Bullet"/>
      </w:pPr>
      <w:r w:rsidRPr="0078565B">
        <w:rPr>
          <w:b/>
          <w:bCs/>
        </w:rPr>
        <w:t>Poor service experience</w:t>
      </w:r>
      <w:r w:rsidR="0078565B">
        <w:t xml:space="preserve"> such as </w:t>
      </w:r>
      <w:r w:rsidRPr="00927AF4">
        <w:t xml:space="preserve">whānau feeling unwelcome or disrespected (typically by reception staff), </w:t>
      </w:r>
      <w:proofErr w:type="spellStart"/>
      <w:r w:rsidRPr="00927AF4">
        <w:t>whakamā</w:t>
      </w:r>
      <w:proofErr w:type="spellEnd"/>
      <w:r w:rsidRPr="00927AF4">
        <w:t xml:space="preserve"> (embarrassed) because of poor compliance with prescribed treatment, a feeling of being rushed or pressured to keep the appointment </w:t>
      </w:r>
      <w:proofErr w:type="gramStart"/>
      <w:r w:rsidRPr="00927AF4">
        <w:t>brief</w:t>
      </w:r>
      <w:proofErr w:type="gramEnd"/>
    </w:p>
    <w:p w14:paraId="608471AE" w14:textId="74232378" w:rsidR="00A90477" w:rsidRPr="00927AF4" w:rsidRDefault="00A90477" w:rsidP="00927AF4">
      <w:pPr>
        <w:pStyle w:val="Bullet"/>
      </w:pPr>
      <w:r w:rsidRPr="0078565B">
        <w:rPr>
          <w:b/>
          <w:bCs/>
        </w:rPr>
        <w:t>Cultural barriers</w:t>
      </w:r>
      <w:r w:rsidR="0078565B">
        <w:t xml:space="preserve"> </w:t>
      </w:r>
      <w:r w:rsidRPr="00927AF4">
        <w:t xml:space="preserve">such as shyness, reticence to challenge authority, a ‘wait and see’ attitude towards sickness or injury that is often related to cost and prior bad </w:t>
      </w:r>
      <w:proofErr w:type="gramStart"/>
      <w:r w:rsidRPr="00927AF4">
        <w:t>experience</w:t>
      </w:r>
      <w:r w:rsidR="0078565B">
        <w:t>;</w:t>
      </w:r>
      <w:proofErr w:type="gramEnd"/>
      <w:r w:rsidR="0078565B">
        <w:t xml:space="preserve"> and a </w:t>
      </w:r>
      <w:r w:rsidRPr="00927AF4">
        <w:t xml:space="preserve">preference for Māori clinicians or Māori providers. </w:t>
      </w:r>
    </w:p>
    <w:p w14:paraId="540A1506" w14:textId="4C237B41" w:rsidR="00A90477" w:rsidRPr="00927AF4" w:rsidRDefault="00A90477" w:rsidP="00927AF4">
      <w:pPr>
        <w:pStyle w:val="Bullet"/>
      </w:pPr>
      <w:r w:rsidRPr="0078565B">
        <w:rPr>
          <w:b/>
          <w:bCs/>
        </w:rPr>
        <w:t>Poor health literacy</w:t>
      </w:r>
      <w:r w:rsidR="0078565B">
        <w:t xml:space="preserve"> such as </w:t>
      </w:r>
      <w:r w:rsidRPr="00927AF4">
        <w:t xml:space="preserve">whānau feeling </w:t>
      </w:r>
      <w:proofErr w:type="spellStart"/>
      <w:r w:rsidRPr="00927AF4">
        <w:t>whakamā</w:t>
      </w:r>
      <w:proofErr w:type="spellEnd"/>
      <w:r w:rsidRPr="00927AF4" w:rsidDel="00C15900">
        <w:t xml:space="preserve"> </w:t>
      </w:r>
      <w:r w:rsidRPr="00927AF4">
        <w:t>– not understanding the questions asked or understanding the information shared with them.</w:t>
      </w:r>
    </w:p>
    <w:p w14:paraId="21D567D7" w14:textId="0D8CA91D" w:rsidR="00A90477" w:rsidRPr="00927AF4" w:rsidRDefault="00A90477" w:rsidP="00927AF4">
      <w:pPr>
        <w:pStyle w:val="Bullet"/>
      </w:pPr>
      <w:r w:rsidRPr="0078565B">
        <w:rPr>
          <w:b/>
          <w:bCs/>
        </w:rPr>
        <w:t>A clash between western and Māori models</w:t>
      </w:r>
      <w:r w:rsidR="0078565B">
        <w:t xml:space="preserve"> such as </w:t>
      </w:r>
      <w:r w:rsidRPr="00927AF4">
        <w:t>Māori models of wellbeing and the medical, disease-oriented model. This can result in whānau and non-Māori clinicians talking past each other and having differing perspectives on patient needs and the ‘right’ course of action.</w:t>
      </w:r>
    </w:p>
    <w:p w14:paraId="12FD62B9" w14:textId="77777777" w:rsidR="00A90477" w:rsidRDefault="00A90477" w:rsidP="00A90477">
      <w:pPr>
        <w:pStyle w:val="Heading2"/>
      </w:pPr>
      <w:bookmarkStart w:id="68" w:name="_Toc58347843"/>
      <w:bookmarkStart w:id="69" w:name="_Toc70763269"/>
      <w:r>
        <w:t>MIVP reduced barriers to access</w:t>
      </w:r>
      <w:bookmarkEnd w:id="68"/>
      <w:bookmarkEnd w:id="69"/>
      <w:r>
        <w:t xml:space="preserve"> </w:t>
      </w:r>
    </w:p>
    <w:p w14:paraId="1DC10EDA" w14:textId="7196B332" w:rsidR="00A90477" w:rsidRDefault="00A90477" w:rsidP="00A90477">
      <w:pPr>
        <w:pStyle w:val="BodyText"/>
      </w:pPr>
      <w:r>
        <w:t xml:space="preserve">Māori providers are active in their communities and have strong relationships with the communities they serve. They have in-depth knowledge of the community context and the strengths and challenges faced within their communities. They are highly aware of the disparities that whānau experience across all </w:t>
      </w:r>
      <w:r w:rsidR="00BC26B2">
        <w:t>services</w:t>
      </w:r>
      <w:r>
        <w:t xml:space="preserve">, including health, </w:t>
      </w:r>
      <w:proofErr w:type="gramStart"/>
      <w:r>
        <w:t>education</w:t>
      </w:r>
      <w:proofErr w:type="gramEnd"/>
      <w:r>
        <w:t xml:space="preserve"> and employment. In the health context, Māori providers know</w:t>
      </w:r>
      <w:r w:rsidR="00BC26B2">
        <w:t>,</w:t>
      </w:r>
      <w:r w:rsidR="00BC26B2" w:rsidRPr="00BC26B2">
        <w:t xml:space="preserve"> </w:t>
      </w:r>
      <w:r w:rsidR="00BC26B2">
        <w:t>based on experience and research evidence,</w:t>
      </w:r>
      <w:r>
        <w:t xml:space="preserve"> that whānau are less likely to go to a GP clinic or access primary health care. </w:t>
      </w:r>
    </w:p>
    <w:p w14:paraId="12638B27" w14:textId="0F3E17C4" w:rsidR="00A90477" w:rsidRDefault="00A90477" w:rsidP="00A90477">
      <w:pPr>
        <w:pStyle w:val="BodyText"/>
      </w:pPr>
      <w:r>
        <w:t xml:space="preserve">Through MIVP, </w:t>
      </w:r>
      <w:r w:rsidRPr="00A66B7C">
        <w:t xml:space="preserve">Māori </w:t>
      </w:r>
      <w:r>
        <w:t>providers addressed the barriers to access through mobilising and taking their services out into the community, c</w:t>
      </w:r>
      <w:r w:rsidRPr="005F47FB">
        <w:t xml:space="preserve">ombined with </w:t>
      </w:r>
      <w:r>
        <w:t>whānau</w:t>
      </w:r>
      <w:r w:rsidRPr="005F47FB">
        <w:t>-centred</w:t>
      </w:r>
      <w:r>
        <w:t xml:space="preserve"> </w:t>
      </w:r>
      <w:r w:rsidRPr="005F47FB">
        <w:t>holistic services.</w:t>
      </w:r>
      <w:r>
        <w:t xml:space="preserve"> They offered </w:t>
      </w:r>
      <w:r w:rsidRPr="005F47FB">
        <w:t>extended or flexible service hours</w:t>
      </w:r>
      <w:r>
        <w:t xml:space="preserve"> and visited whānau in their homes.</w:t>
      </w:r>
      <w:r w:rsidRPr="005F47FB">
        <w:t xml:space="preserve"> </w:t>
      </w:r>
      <w:r>
        <w:t>And where possible, they provided these services free</w:t>
      </w:r>
      <w:r w:rsidR="00BC26B2">
        <w:t xml:space="preserve"> to the recipient</w:t>
      </w:r>
      <w:r>
        <w:t xml:space="preserve">. </w:t>
      </w:r>
      <w:r w:rsidRPr="009145AE">
        <w:t xml:space="preserve">Māori </w:t>
      </w:r>
      <w:r>
        <w:t xml:space="preserve">providers had the advantage of having good numbers of </w:t>
      </w:r>
      <w:r w:rsidRPr="009145AE">
        <w:t>Māori</w:t>
      </w:r>
      <w:r>
        <w:t xml:space="preserve"> on their teams, who engaged well with whānau.</w:t>
      </w:r>
    </w:p>
    <w:p w14:paraId="0FDE155D" w14:textId="3FD60017" w:rsidR="00A90477" w:rsidRPr="005C7420" w:rsidRDefault="00A90477" w:rsidP="00EC6371">
      <w:pPr>
        <w:pStyle w:val="QuoteSmallBlue"/>
      </w:pPr>
      <w:r w:rsidRPr="005C7420">
        <w:lastRenderedPageBreak/>
        <w:t xml:space="preserve">Because there </w:t>
      </w:r>
      <w:proofErr w:type="gramStart"/>
      <w:r w:rsidRPr="005C7420">
        <w:t>was</w:t>
      </w:r>
      <w:proofErr w:type="gramEnd"/>
      <w:r w:rsidRPr="005C7420">
        <w:t xml:space="preserve"> also times that the nurse, who went into a whānau and saw they needed kai</w:t>
      </w:r>
      <w:r>
        <w:t>.</w:t>
      </w:r>
      <w:r w:rsidRPr="005C7420">
        <w:t xml:space="preserve"> </w:t>
      </w:r>
      <w:r>
        <w:t>T</w:t>
      </w:r>
      <w:r w:rsidRPr="005C7420">
        <w:t xml:space="preserve">hen she was able to come back to us and then we </w:t>
      </w:r>
      <w:proofErr w:type="gramStart"/>
      <w:r w:rsidRPr="005C7420">
        <w:t>are able to</w:t>
      </w:r>
      <w:proofErr w:type="gramEnd"/>
      <w:r w:rsidRPr="005C7420">
        <w:t xml:space="preserve"> wrap</w:t>
      </w:r>
      <w:r w:rsidR="00BC26B2">
        <w:t xml:space="preserve"> </w:t>
      </w:r>
      <w:r w:rsidRPr="005C7420">
        <w:t>around</w:t>
      </w:r>
      <w:r>
        <w:t xml:space="preserve"> [extra services]. </w:t>
      </w:r>
      <w:proofErr w:type="gramStart"/>
      <w:r>
        <w:t>S</w:t>
      </w:r>
      <w:r w:rsidRPr="005C7420">
        <w:t>o</w:t>
      </w:r>
      <w:proofErr w:type="gramEnd"/>
      <w:r w:rsidRPr="005C7420">
        <w:t xml:space="preserve"> it can start a whole lot for Māori</w:t>
      </w:r>
      <w:r>
        <w:t>,</w:t>
      </w:r>
      <w:r w:rsidRPr="005C7420">
        <w:t xml:space="preserve"> just having somebody going into the home. So yeah</w:t>
      </w:r>
      <w:r>
        <w:t>,</w:t>
      </w:r>
      <w:r w:rsidRPr="005C7420">
        <w:t xml:space="preserve"> so although the focus was on immunisation, she is experienced enough to know that if </w:t>
      </w:r>
      <w:proofErr w:type="gramStart"/>
      <w:r w:rsidRPr="005C7420">
        <w:t>there’s</w:t>
      </w:r>
      <w:proofErr w:type="gramEnd"/>
      <w:r w:rsidRPr="005C7420">
        <w:t xml:space="preserve"> something more that this whānau need</w:t>
      </w:r>
      <w:r>
        <w:t>s [to do it]. A</w:t>
      </w:r>
      <w:r w:rsidRPr="005C7420">
        <w:t xml:space="preserve">s well as encouraging </w:t>
      </w:r>
      <w:proofErr w:type="gramStart"/>
      <w:r w:rsidRPr="005C7420">
        <w:t>them</w:t>
      </w:r>
      <w:r>
        <w:t>,</w:t>
      </w:r>
      <w:r w:rsidRPr="005C7420">
        <w:t xml:space="preserve"> because</w:t>
      </w:r>
      <w:proofErr w:type="gramEnd"/>
      <w:r w:rsidRPr="005C7420">
        <w:t xml:space="preserve"> she knows how hard it is. (Provider – direct</w:t>
      </w:r>
      <w:r w:rsidR="00BC26B2">
        <w:t>-</w:t>
      </w:r>
      <w:r w:rsidRPr="005C7420">
        <w:t>funded)</w:t>
      </w:r>
    </w:p>
    <w:p w14:paraId="7C76DFC9" w14:textId="0FCE42E8" w:rsidR="00A90477" w:rsidRDefault="00A90477" w:rsidP="00EC6371">
      <w:pPr>
        <w:pStyle w:val="QuoteSmallBlue"/>
      </w:pPr>
      <w:proofErr w:type="gramStart"/>
      <w:r w:rsidRPr="005C7420">
        <w:t>Yeah</w:t>
      </w:r>
      <w:proofErr w:type="gramEnd"/>
      <w:r w:rsidRPr="005C7420">
        <w:t xml:space="preserve"> it was just really that movement working inside our communities and working with the strength of the communities</w:t>
      </w:r>
      <w:r>
        <w:t>,</w:t>
      </w:r>
      <w:r w:rsidRPr="005C7420">
        <w:t xml:space="preserve"> in places that they were very familiar with. Particularly the mara</w:t>
      </w:r>
      <w:r>
        <w:t>e. S</w:t>
      </w:r>
      <w:r w:rsidRPr="005C7420">
        <w:t>o</w:t>
      </w:r>
      <w:r>
        <w:t>,</w:t>
      </w:r>
      <w:r w:rsidRPr="005C7420">
        <w:t xml:space="preserve"> it was a place that was familiar to whānau, not necessarily </w:t>
      </w:r>
      <w:proofErr w:type="gramStart"/>
      <w:r w:rsidRPr="005C7420">
        <w:t>all of</w:t>
      </w:r>
      <w:proofErr w:type="gramEnd"/>
      <w:r w:rsidRPr="005C7420">
        <w:t xml:space="preserve"> our clinicians were familiar with</w:t>
      </w:r>
      <w:r>
        <w:t xml:space="preserve"> i</w:t>
      </w:r>
      <w:r w:rsidRPr="005C7420">
        <w:t>t but our whānau were. Which you know in hand is a good, it was a good shift, it was a great place. (Provider – direct</w:t>
      </w:r>
      <w:r w:rsidR="00BC26B2">
        <w:t>-</w:t>
      </w:r>
      <w:r w:rsidRPr="005C7420">
        <w:t>funded)</w:t>
      </w:r>
      <w:r>
        <w:t>.</w:t>
      </w:r>
    </w:p>
    <w:p w14:paraId="591D3DAB" w14:textId="77777777" w:rsidR="00167F75" w:rsidRPr="002D01D3" w:rsidRDefault="00167F75" w:rsidP="002E007F">
      <w:pPr>
        <w:pStyle w:val="NoSpacing"/>
      </w:pPr>
    </w:p>
    <w:tbl>
      <w:tblPr>
        <w:tblStyle w:val="TableGrid"/>
        <w:tblW w:w="0" w:type="auto"/>
        <w:tblBorders>
          <w:top w:val="none" w:sz="0" w:space="0" w:color="auto"/>
          <w:left w:val="none" w:sz="0" w:space="0" w:color="auto"/>
          <w:bottom w:val="double" w:sz="4" w:space="0" w:color="212B5D" w:themeColor="accent1"/>
          <w:right w:val="none" w:sz="0" w:space="0" w:color="auto"/>
          <w:insideH w:val="none" w:sz="0" w:space="0" w:color="auto"/>
          <w:insideV w:val="none" w:sz="0" w:space="0" w:color="auto"/>
        </w:tblBorders>
        <w:tblLook w:val="04A0" w:firstRow="1" w:lastRow="0" w:firstColumn="1" w:lastColumn="0" w:noHBand="0" w:noVBand="1"/>
      </w:tblPr>
      <w:tblGrid>
        <w:gridCol w:w="8210"/>
      </w:tblGrid>
      <w:tr w:rsidR="00A90477" w:rsidRPr="00F7322A" w14:paraId="3DDBB03F" w14:textId="77777777" w:rsidTr="00EE7DB8">
        <w:tc>
          <w:tcPr>
            <w:tcW w:w="8210" w:type="dxa"/>
            <w:tcBorders>
              <w:top w:val="double" w:sz="4" w:space="0" w:color="212B5D" w:themeColor="accent1"/>
              <w:bottom w:val="double" w:sz="4" w:space="0" w:color="212B5D" w:themeColor="accent1"/>
            </w:tcBorders>
            <w:shd w:val="clear" w:color="auto" w:fill="auto"/>
          </w:tcPr>
          <w:p w14:paraId="777425D1" w14:textId="390CB85B" w:rsidR="00927AF4" w:rsidRPr="00F7322A" w:rsidRDefault="00A90477" w:rsidP="00F7322A">
            <w:pPr>
              <w:pStyle w:val="Heading2"/>
              <w:outlineLvl w:val="1"/>
            </w:pPr>
            <w:bookmarkStart w:id="70" w:name="_Toc58347844"/>
            <w:bookmarkStart w:id="71" w:name="_Toc70763270"/>
            <w:r w:rsidRPr="00F7322A">
              <w:t>Strategy 1: Mobilising services to go into the community</w:t>
            </w:r>
            <w:bookmarkEnd w:id="70"/>
            <w:bookmarkEnd w:id="71"/>
            <w:r w:rsidRPr="00F7322A">
              <w:t xml:space="preserve"> </w:t>
            </w:r>
          </w:p>
        </w:tc>
      </w:tr>
    </w:tbl>
    <w:p w14:paraId="30053B54" w14:textId="77777777" w:rsidR="00A90477" w:rsidRDefault="00A90477" w:rsidP="002E007F">
      <w:pPr>
        <w:pStyle w:val="NoSpacing"/>
      </w:pPr>
    </w:p>
    <w:p w14:paraId="53C1C235" w14:textId="79355A26" w:rsidR="00A90477" w:rsidRDefault="006D7818" w:rsidP="00A90477">
      <w:pPr>
        <w:pStyle w:val="BodyText"/>
      </w:pPr>
      <w:r>
        <w:t xml:space="preserve">The </w:t>
      </w:r>
      <w:r w:rsidR="00A90477" w:rsidRPr="000E09D5">
        <w:t xml:space="preserve">MIVP activities addressed barriers </w:t>
      </w:r>
      <w:r w:rsidR="00A90477">
        <w:t xml:space="preserve">to access </w:t>
      </w:r>
      <w:r w:rsidR="00A90477" w:rsidRPr="000E09D5">
        <w:t xml:space="preserve">by </w:t>
      </w:r>
      <w:r w:rsidR="00A90477">
        <w:t>taking services out to Māori communities and homes and making it easier for whānau to come to services. Some providers and DHBs took a systematic approach to identify eligible whānau. They used information about local populations to plan strategically, target communications, develop</w:t>
      </w:r>
      <w:r w:rsidR="00A90477" w:rsidRPr="00FB4055">
        <w:t xml:space="preserve"> </w:t>
      </w:r>
      <w:r w:rsidR="00A90477">
        <w:t xml:space="preserve">communications activities to build awareness, and select locations for temporary or mobile clinics. Some providers also used this information to begin conversations and relationships with local community representatives. </w:t>
      </w:r>
    </w:p>
    <w:p w14:paraId="0CAE69EA" w14:textId="56B11FCB" w:rsidR="005E4B50" w:rsidRDefault="005E4B50" w:rsidP="00A90477">
      <w:pPr>
        <w:pStyle w:val="BodyText"/>
      </w:pPr>
      <w:r>
        <w:t xml:space="preserve">Key to delivering mobilised services is both infrastructure (the </w:t>
      </w:r>
      <w:r w:rsidR="00D00FF5">
        <w:t xml:space="preserve">physical </w:t>
      </w:r>
      <w:r>
        <w:t>resource</w:t>
      </w:r>
      <w:r w:rsidR="00D00FF5">
        <w:t>s</w:t>
      </w:r>
      <w:r>
        <w:t xml:space="preserve"> to deliver</w:t>
      </w:r>
      <w:r w:rsidR="00D00FF5">
        <w:t xml:space="preserve"> services</w:t>
      </w:r>
      <w:r>
        <w:t xml:space="preserve">) and people (the </w:t>
      </w:r>
      <w:r w:rsidR="00D00FF5">
        <w:t xml:space="preserve">number of trained and qualified </w:t>
      </w:r>
      <w:r>
        <w:t xml:space="preserve">staff). </w:t>
      </w:r>
    </w:p>
    <w:p w14:paraId="5F4AE371" w14:textId="220DE59E" w:rsidR="00276440" w:rsidRDefault="00276440" w:rsidP="00276440">
      <w:pPr>
        <w:pStyle w:val="BodyText"/>
      </w:pPr>
      <w:r>
        <w:t xml:space="preserve">Some providers shared that lack of physical assets hampered their ability to mobilise. For example, some providers </w:t>
      </w:r>
      <w:r w:rsidR="005E4B50">
        <w:t>have previously struggled with</w:t>
      </w:r>
      <w:r>
        <w:t xml:space="preserve"> </w:t>
      </w:r>
      <w:r w:rsidR="005E4B50">
        <w:t>in</w:t>
      </w:r>
      <w:r>
        <w:t>adequate vehicles for rural areas</w:t>
      </w:r>
      <w:r w:rsidR="005E4B50">
        <w:t xml:space="preserve"> and a lack of </w:t>
      </w:r>
      <w:r>
        <w:t>cold chain storage facilities</w:t>
      </w:r>
      <w:r w:rsidR="005E4B50">
        <w:t xml:space="preserve"> and, subsequently, cold chain accreditation. </w:t>
      </w:r>
      <w:r w:rsidR="006D7818">
        <w:t xml:space="preserve">Providers and DHBs variously used </w:t>
      </w:r>
      <w:r w:rsidR="00533AF2">
        <w:t>funding to purchase cold chain storage assets, such as chilly bins</w:t>
      </w:r>
      <w:r w:rsidR="00BC26B2">
        <w:t xml:space="preserve"> and</w:t>
      </w:r>
      <w:r w:rsidR="00533AF2">
        <w:t xml:space="preserve"> </w:t>
      </w:r>
      <w:r w:rsidR="006D7818">
        <w:t xml:space="preserve">refrigerators, as well as equipment for </w:t>
      </w:r>
      <w:r>
        <w:t>temporary drive-thr</w:t>
      </w:r>
      <w:r w:rsidR="00BC26B2">
        <w:t>ough</w:t>
      </w:r>
      <w:r>
        <w:t xml:space="preserve"> clinics</w:t>
      </w:r>
      <w:r w:rsidR="00533AF2">
        <w:t xml:space="preserve">, such as </w:t>
      </w:r>
      <w:r w:rsidR="006D7818">
        <w:t xml:space="preserve">gazebos, </w:t>
      </w:r>
      <w:proofErr w:type="gramStart"/>
      <w:r w:rsidR="006D7818">
        <w:t>tents</w:t>
      </w:r>
      <w:proofErr w:type="gramEnd"/>
      <w:r w:rsidR="006D7818">
        <w:t xml:space="preserve"> and </w:t>
      </w:r>
      <w:r w:rsidR="00533AF2">
        <w:t>tables</w:t>
      </w:r>
      <w:r>
        <w:t xml:space="preserve">. </w:t>
      </w:r>
    </w:p>
    <w:p w14:paraId="597937E2" w14:textId="5BEEF03A" w:rsidR="00276440" w:rsidRPr="00A25BD4" w:rsidRDefault="00276440" w:rsidP="00276440">
      <w:pPr>
        <w:pStyle w:val="BodyText"/>
      </w:pPr>
      <w:r w:rsidRPr="00A25BD4">
        <w:t xml:space="preserve">Providers and DHBs shared that </w:t>
      </w:r>
      <w:r w:rsidR="00533AF2" w:rsidRPr="00A25BD4">
        <w:t xml:space="preserve">the ability to </w:t>
      </w:r>
      <w:r w:rsidRPr="00A25BD4">
        <w:t>deliver mobile and outreach services depend</w:t>
      </w:r>
      <w:r w:rsidR="00533AF2" w:rsidRPr="00A25BD4">
        <w:t>s</w:t>
      </w:r>
      <w:r w:rsidRPr="00A25BD4">
        <w:t xml:space="preserve"> on their overall workforce and capacity. </w:t>
      </w:r>
      <w:r w:rsidR="00533AF2" w:rsidRPr="00A25BD4">
        <w:t xml:space="preserve">In some regions, </w:t>
      </w:r>
      <w:r w:rsidRPr="00A25BD4">
        <w:t xml:space="preserve">they </w:t>
      </w:r>
      <w:r w:rsidR="00533AF2" w:rsidRPr="00A25BD4">
        <w:t xml:space="preserve">had identified they </w:t>
      </w:r>
      <w:r w:rsidRPr="00A25BD4">
        <w:t xml:space="preserve">needed nurses who could give vaccinations, particularly Māori nurses, </w:t>
      </w:r>
      <w:proofErr w:type="gramStart"/>
      <w:r w:rsidRPr="00A25BD4">
        <w:t xml:space="preserve">and </w:t>
      </w:r>
      <w:r w:rsidR="00BC26B2">
        <w:t>also</w:t>
      </w:r>
      <w:proofErr w:type="gramEnd"/>
      <w:r w:rsidR="00BC26B2">
        <w:t xml:space="preserve"> sufficient </w:t>
      </w:r>
      <w:r w:rsidRPr="00A25BD4">
        <w:t xml:space="preserve">staff to enable safe home delivery by having two staff </w:t>
      </w:r>
      <w:r w:rsidR="00BC26B2">
        <w:t>make</w:t>
      </w:r>
      <w:r w:rsidR="00BC26B2" w:rsidRPr="00A25BD4">
        <w:t xml:space="preserve"> </w:t>
      </w:r>
      <w:r w:rsidRPr="00A25BD4">
        <w:t>each visit.</w:t>
      </w:r>
      <w:r w:rsidR="00533AF2" w:rsidRPr="00A25BD4">
        <w:t xml:space="preserve"> Funding was used to increase vaccinator capacity and capability.</w:t>
      </w:r>
      <w:r w:rsidRPr="00A25BD4">
        <w:t xml:space="preserve"> </w:t>
      </w:r>
      <w:r w:rsidR="0078565B">
        <w:t xml:space="preserve">Providers reported that </w:t>
      </w:r>
      <w:r w:rsidR="00BC26B2">
        <w:t>m</w:t>
      </w:r>
      <w:r w:rsidR="00533AF2" w:rsidRPr="00A25BD4">
        <w:t xml:space="preserve">obile services also </w:t>
      </w:r>
      <w:proofErr w:type="gramStart"/>
      <w:r w:rsidR="00533AF2" w:rsidRPr="00A25BD4">
        <w:t>increase</w:t>
      </w:r>
      <w:r w:rsidR="00BC26B2">
        <w:t>s</w:t>
      </w:r>
      <w:proofErr w:type="gramEnd"/>
      <w:r w:rsidR="00533AF2" w:rsidRPr="00A25BD4">
        <w:t xml:space="preserve"> </w:t>
      </w:r>
      <w:r w:rsidR="00FF32F4" w:rsidRPr="00A25BD4">
        <w:t xml:space="preserve">the </w:t>
      </w:r>
      <w:r w:rsidR="00533AF2" w:rsidRPr="00A25BD4">
        <w:t>administrative workload, and some p</w:t>
      </w:r>
      <w:r w:rsidRPr="00A25BD4">
        <w:t>roviders also said</w:t>
      </w:r>
      <w:r w:rsidR="00533AF2" w:rsidRPr="00A25BD4">
        <w:t>, on reflection,</w:t>
      </w:r>
      <w:r w:rsidRPr="00A25BD4">
        <w:t xml:space="preserve"> they needed </w:t>
      </w:r>
      <w:r w:rsidR="00533AF2" w:rsidRPr="00A25BD4">
        <w:t xml:space="preserve">ongoing </w:t>
      </w:r>
      <w:r w:rsidRPr="00A25BD4">
        <w:t>administrative support to manage the paperwork and data entry</w:t>
      </w:r>
      <w:r w:rsidR="00533AF2" w:rsidRPr="00A25BD4">
        <w:t>.</w:t>
      </w:r>
      <w:r w:rsidRPr="00A25BD4">
        <w:t xml:space="preserve"> </w:t>
      </w:r>
    </w:p>
    <w:p w14:paraId="4B444A0A" w14:textId="4C45D33B" w:rsidR="00A90477" w:rsidRDefault="00A90477" w:rsidP="00A90477">
      <w:pPr>
        <w:pStyle w:val="BodyText"/>
      </w:pPr>
      <w:r>
        <w:t>In some regions where there are relatively high immunisation rates for Māori, providers spoke of wanting to reach the "last 20% that takes 80% of effort</w:t>
      </w:r>
      <w:r w:rsidR="00BC26B2">
        <w:t>”</w:t>
      </w:r>
      <w:r w:rsidR="00D176EA">
        <w:t>.</w:t>
      </w:r>
      <w:r>
        <w:t xml:space="preserve"> In these </w:t>
      </w:r>
      <w:proofErr w:type="gramStart"/>
      <w:r>
        <w:t>regions</w:t>
      </w:r>
      <w:proofErr w:type="gramEnd"/>
      <w:r>
        <w:t xml:space="preserve"> providers used </w:t>
      </w:r>
      <w:r w:rsidR="007F1B10">
        <w:t>a combination of data</w:t>
      </w:r>
      <w:r w:rsidR="00BC26B2">
        <w:t>-</w:t>
      </w:r>
      <w:r w:rsidR="007F1B10">
        <w:t>driven and</w:t>
      </w:r>
      <w:r w:rsidR="00950DC9">
        <w:t xml:space="preserve"> </w:t>
      </w:r>
      <w:r>
        <w:t>innovative approaches to find Māori in the community. In communities with lower Māori populations, this was sometimes difficult to achieve.</w:t>
      </w:r>
    </w:p>
    <w:p w14:paraId="10F20274" w14:textId="2DC54BD6" w:rsidR="00A90477" w:rsidRDefault="00A90477" w:rsidP="00A90477">
      <w:pPr>
        <w:pStyle w:val="BodyText"/>
      </w:pPr>
      <w:r>
        <w:t xml:space="preserve">Some providers and DHBs shared that MIVP enabled some new ways of working and </w:t>
      </w:r>
      <w:r w:rsidR="00BC26B2">
        <w:t xml:space="preserve">they </w:t>
      </w:r>
      <w:r>
        <w:t>now use these approaches and relationships for other campaigns and activities. Some providers spoke of communities inviting them back as a sign of positive impact.</w:t>
      </w:r>
    </w:p>
    <w:p w14:paraId="2F54E5A6" w14:textId="7480FBB1" w:rsidR="00A90477" w:rsidRPr="003E3C18" w:rsidRDefault="007D0996" w:rsidP="00A90477">
      <w:pPr>
        <w:pStyle w:val="Heading2"/>
      </w:pPr>
      <w:bookmarkStart w:id="72" w:name="_Toc58178671"/>
      <w:bookmarkStart w:id="73" w:name="_Toc58347845"/>
      <w:bookmarkStart w:id="74" w:name="_Toc70763271"/>
      <w:r>
        <w:t>M</w:t>
      </w:r>
      <w:r w:rsidR="00FF32F4">
        <w:t xml:space="preserve">ultiple </w:t>
      </w:r>
      <w:r w:rsidR="00A90477">
        <w:t xml:space="preserve">methods </w:t>
      </w:r>
      <w:r w:rsidR="00A25BD4">
        <w:t xml:space="preserve">used </w:t>
      </w:r>
      <w:r w:rsidR="00A90477">
        <w:t xml:space="preserve">to identify </w:t>
      </w:r>
      <w:proofErr w:type="gramStart"/>
      <w:r w:rsidR="00A90477">
        <w:t>wh</w:t>
      </w:r>
      <w:bookmarkEnd w:id="72"/>
      <w:r w:rsidR="00A90477">
        <w:t>ānau</w:t>
      </w:r>
      <w:bookmarkEnd w:id="73"/>
      <w:bookmarkEnd w:id="74"/>
      <w:proofErr w:type="gramEnd"/>
    </w:p>
    <w:p w14:paraId="3E72D1C9" w14:textId="7EBEA5D7" w:rsidR="00A90477" w:rsidRPr="00475951" w:rsidRDefault="00A90477" w:rsidP="003B6B7F">
      <w:pPr>
        <w:pStyle w:val="BodyText"/>
        <w:rPr>
          <w:rFonts w:asciiTheme="minorHAnsi" w:eastAsiaTheme="minorEastAsia" w:hAnsiTheme="minorHAnsi" w:cstheme="minorBidi"/>
          <w:szCs w:val="20"/>
        </w:rPr>
      </w:pPr>
      <w:r>
        <w:t xml:space="preserve">Providers typically used four or five different methods to find whānau, as shown in </w:t>
      </w:r>
      <w:r w:rsidR="000B6910">
        <w:fldChar w:fldCharType="begin"/>
      </w:r>
      <w:r w:rsidR="000B6910">
        <w:instrText xml:space="preserve"> REF _Ref70760276 \h </w:instrText>
      </w:r>
      <w:r w:rsidR="000B6910">
        <w:fldChar w:fldCharType="separate"/>
      </w:r>
      <w:r w:rsidR="000B6910">
        <w:t xml:space="preserve">Figure </w:t>
      </w:r>
      <w:r w:rsidR="000B6910">
        <w:rPr>
          <w:noProof/>
        </w:rPr>
        <w:t>4</w:t>
      </w:r>
      <w:r w:rsidR="000B6910">
        <w:fldChar w:fldCharType="end"/>
      </w:r>
      <w:r>
        <w:t>. The key to identifying whānau was networking and reaching out to a wide range of organisations. Providers identified many settings</w:t>
      </w:r>
      <w:r w:rsidR="00BC26B2">
        <w:t>:</w:t>
      </w:r>
      <w:r>
        <w:t xml:space="preserve"> places where whānau go to work, pray, socialise, and learn. They contacted leaders in these organisations seeking their support to promote flu vaccinations to their </w:t>
      </w:r>
      <w:r>
        <w:lastRenderedPageBreak/>
        <w:t>members. C</w:t>
      </w:r>
      <w:r w:rsidR="00BC26B2">
        <w:t>OVID</w:t>
      </w:r>
      <w:r>
        <w:t>-19 heightened leaders’ motivation to support the wellbeing of their members. Sometimes providers used existing relationships</w:t>
      </w:r>
      <w:r w:rsidR="00BC26B2">
        <w:t>; at</w:t>
      </w:r>
      <w:r>
        <w:t xml:space="preserve"> other times they started new relationships. </w:t>
      </w:r>
    </w:p>
    <w:p w14:paraId="55E6D54C" w14:textId="11957EB4" w:rsidR="00A90477" w:rsidRDefault="00A90477" w:rsidP="00900633">
      <w:pPr>
        <w:pStyle w:val="Caption"/>
      </w:pPr>
      <w:bookmarkStart w:id="75" w:name="_Ref70760276"/>
      <w:bookmarkStart w:id="76" w:name="_Toc58387961"/>
      <w:bookmarkStart w:id="77" w:name="_Toc62703576"/>
      <w:r>
        <w:t xml:space="preserve">Figure </w:t>
      </w:r>
      <w:r>
        <w:fldChar w:fldCharType="begin"/>
      </w:r>
      <w:r>
        <w:instrText>SEQ Figure \* ARABIC</w:instrText>
      </w:r>
      <w:r>
        <w:fldChar w:fldCharType="separate"/>
      </w:r>
      <w:r w:rsidR="009B082D">
        <w:rPr>
          <w:noProof/>
        </w:rPr>
        <w:t>4</w:t>
      </w:r>
      <w:r>
        <w:fldChar w:fldCharType="end"/>
      </w:r>
      <w:bookmarkEnd w:id="75"/>
      <w:r>
        <w:t xml:space="preserve">. Providers use a range of approaches to find </w:t>
      </w:r>
      <w:proofErr w:type="gramStart"/>
      <w:r>
        <w:t>whānau</w:t>
      </w:r>
      <w:bookmarkEnd w:id="76"/>
      <w:bookmarkEnd w:id="77"/>
      <w:proofErr w:type="gramEnd"/>
      <w:r>
        <w:t xml:space="preserve"> </w:t>
      </w:r>
    </w:p>
    <w:p w14:paraId="1391B72E" w14:textId="77777777" w:rsidR="00A90477" w:rsidRDefault="00A90477" w:rsidP="001B20E6">
      <w:pPr>
        <w:pStyle w:val="BodyText"/>
        <w:numPr>
          <w:ilvl w:val="0"/>
          <w:numId w:val="0"/>
        </w:numPr>
      </w:pPr>
      <w:r>
        <w:rPr>
          <w:noProof/>
        </w:rPr>
        <w:drawing>
          <wp:inline distT="0" distB="0" distL="0" distR="0" wp14:anchorId="166911DD" wp14:editId="6D0F8255">
            <wp:extent cx="5162400" cy="2901600"/>
            <wp:effectExtent l="0" t="0" r="0" b="0"/>
            <wp:docPr id="12" name="Picture 12" descr="Out of 17 total respondents (17 ineligible to answer), 17 said they worked with iwi, hapū, marae and Māori organisations; 15 used administrative databases, such as PHO client lists; 14 used word of mouth; 13 worked with community organisations, such as churches and sports clubs; 13 worked with education organisations, such as kohanga reo, kura and schools; 11 worked with employers; 5 went door-to-door and 8 used something el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ut of 17 total respondents (17 ineligible to answer), 17 said they worked with iwi, hapū, marae and Māori organisations; 15 used administrative databases, such as PHO client lists; 14 used word of mouth; 13 worked with community organisations, such as churches and sports clubs; 13 worked with education organisations, such as kohanga reo, kura and schools; 11 worked with employers; 5 went door-to-door and 8 used something els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2400" cy="2901600"/>
                    </a:xfrm>
                    <a:prstGeom prst="rect">
                      <a:avLst/>
                    </a:prstGeom>
                    <a:noFill/>
                  </pic:spPr>
                </pic:pic>
              </a:graphicData>
            </a:graphic>
          </wp:inline>
        </w:drawing>
      </w:r>
    </w:p>
    <w:p w14:paraId="582D08C5" w14:textId="77777777" w:rsidR="00A90477" w:rsidRPr="003B6B7F" w:rsidRDefault="00A90477" w:rsidP="0055571B">
      <w:pPr>
        <w:pStyle w:val="NoSpacing"/>
      </w:pPr>
    </w:p>
    <w:p w14:paraId="52B65C16" w14:textId="7BD0C0FF" w:rsidR="00A90477" w:rsidRDefault="00A90477" w:rsidP="00A90477">
      <w:pPr>
        <w:pStyle w:val="BodyText"/>
      </w:pPr>
      <w:r>
        <w:t xml:space="preserve">Some providers spoke of using data </w:t>
      </w:r>
      <w:r w:rsidR="00BC26B2">
        <w:t>to help</w:t>
      </w:r>
      <w:r>
        <w:t xml:space="preserve"> identify where whānau are and gather. They used administrative databases such as provider and </w:t>
      </w:r>
      <w:r w:rsidR="00EC6371">
        <w:t xml:space="preserve">Primary Health Organisation (PHO) </w:t>
      </w:r>
      <w:r>
        <w:t>client lists to identify specific individuals. This information was also useful for targeted communications. They used administrative databases and NIR tracking to highlight underserved areas and communities. This information was useful for selecting locations for outreach activities.</w:t>
      </w:r>
    </w:p>
    <w:p w14:paraId="38F78EC3" w14:textId="77777777" w:rsidR="00A90477" w:rsidRDefault="00A90477" w:rsidP="00A90477">
      <w:pPr>
        <w:pStyle w:val="BodyText"/>
      </w:pPr>
      <w:r>
        <w:t xml:space="preserve">Providers highlighted going to community locations where whānau gather, collaborations with iwi and Māori organisations, and using databases as the most effective strategies for finding Māori who had not received flu vaccinations. </w:t>
      </w:r>
    </w:p>
    <w:p w14:paraId="01F0D6AA" w14:textId="059AE7D5" w:rsidR="00A90477" w:rsidRPr="00B24133" w:rsidRDefault="007D0996" w:rsidP="00E21C87">
      <w:pPr>
        <w:pStyle w:val="Heading2"/>
      </w:pPr>
      <w:bookmarkStart w:id="78" w:name="_Toc58347846"/>
      <w:bookmarkStart w:id="79" w:name="_Toc70763272"/>
      <w:bookmarkStart w:id="80" w:name="_Toc58178673"/>
      <w:r>
        <w:t xml:space="preserve">Multiple communication channels </w:t>
      </w:r>
      <w:r w:rsidR="00A25BD4">
        <w:t xml:space="preserve">used </w:t>
      </w:r>
      <w:r w:rsidR="00A90477">
        <w:t xml:space="preserve">to engage </w:t>
      </w:r>
      <w:proofErr w:type="gramStart"/>
      <w:r w:rsidR="00A90477">
        <w:t>whānau</w:t>
      </w:r>
      <w:bookmarkEnd w:id="78"/>
      <w:bookmarkEnd w:id="79"/>
      <w:proofErr w:type="gramEnd"/>
      <w:r w:rsidR="00A90477">
        <w:t xml:space="preserve"> </w:t>
      </w:r>
      <w:bookmarkEnd w:id="80"/>
    </w:p>
    <w:p w14:paraId="256C59B9" w14:textId="6E797F6B" w:rsidR="004E6DA7" w:rsidRDefault="00A90477" w:rsidP="00E63C87">
      <w:pPr>
        <w:pStyle w:val="BodyText"/>
      </w:pPr>
      <w:r>
        <w:t>Providers and DHBs used several methods to take the message about flu vaccinations to whānau. Public-facing communications were a mixture of targeting specific individuals and more general approaches. They included a variety of communication approaches and technology, as illustrated in</w:t>
      </w:r>
      <w:r w:rsidR="00E21C87">
        <w:t xml:space="preserve"> </w:t>
      </w:r>
      <w:bookmarkStart w:id="81" w:name="_Ref61817024"/>
      <w:bookmarkStart w:id="82" w:name="_Toc58387963"/>
      <w:r w:rsidR="001A0141">
        <w:fldChar w:fldCharType="begin"/>
      </w:r>
      <w:r w:rsidR="001A0141">
        <w:instrText xml:space="preserve"> REF _Ref62699921 \h </w:instrText>
      </w:r>
      <w:r w:rsidR="001A0141">
        <w:fldChar w:fldCharType="separate"/>
      </w:r>
      <w:r w:rsidR="009B082D">
        <w:t xml:space="preserve">Figure </w:t>
      </w:r>
      <w:r w:rsidR="009B082D">
        <w:rPr>
          <w:noProof/>
        </w:rPr>
        <w:t>5</w:t>
      </w:r>
      <w:r w:rsidR="001A0141">
        <w:fldChar w:fldCharType="end"/>
      </w:r>
      <w:r w:rsidR="00BC26B2">
        <w:t>.</w:t>
      </w:r>
    </w:p>
    <w:p w14:paraId="461A2B66" w14:textId="270A679F" w:rsidR="00837B50" w:rsidRDefault="00837B50" w:rsidP="00837B50">
      <w:pPr>
        <w:pStyle w:val="BodyText"/>
      </w:pPr>
      <w:r w:rsidRPr="007A168D">
        <w:t xml:space="preserve">Targeted communications often used data, such as patient lists sourced from GPs, PHOs, clinics or providers. These targeted communications included phone calls and mail-outs. In one region, providers used "vouchers" that confirmed someone’s eligibility for a free vaccination and listed local clinics. Providers used this approach to ensure all Māori seeking vaccination at a local clinic received a shot. This approach ensured others in the health system did not interpret the eligibility criteria differently and turn them away. They aimed to ensure that whānau were not embarrassed or hesitant to present for vaccination. </w:t>
      </w:r>
    </w:p>
    <w:p w14:paraId="094F0365" w14:textId="77777777" w:rsidR="004E6DA7" w:rsidRDefault="004E6DA7">
      <w:pPr>
        <w:spacing w:before="0" w:after="160" w:line="259" w:lineRule="auto"/>
      </w:pPr>
      <w:r>
        <w:br w:type="page"/>
      </w:r>
    </w:p>
    <w:p w14:paraId="21114A77" w14:textId="16383A37" w:rsidR="00A90477" w:rsidRDefault="004E6DA7" w:rsidP="004E6DA7">
      <w:pPr>
        <w:pStyle w:val="Caption"/>
      </w:pPr>
      <w:bookmarkStart w:id="83" w:name="_Ref62699921"/>
      <w:bookmarkStart w:id="84" w:name="_Toc62703577"/>
      <w:bookmarkEnd w:id="81"/>
      <w:bookmarkEnd w:id="82"/>
      <w:r>
        <w:lastRenderedPageBreak/>
        <w:t xml:space="preserve">Figure </w:t>
      </w:r>
      <w:fldSimple w:instr=" SEQ Figure \* ARABIC ">
        <w:r w:rsidR="009B082D">
          <w:rPr>
            <w:noProof/>
          </w:rPr>
          <w:t>5</w:t>
        </w:r>
      </w:fldSimple>
      <w:bookmarkEnd w:id="83"/>
      <w:r>
        <w:rPr>
          <w:noProof/>
        </w:rPr>
        <w:t>.</w:t>
      </w:r>
      <w:r w:rsidRPr="005C7420">
        <w:rPr>
          <w:rFonts w:eastAsiaTheme="minorEastAsia"/>
        </w:rPr>
        <w:t xml:space="preserve"> </w:t>
      </w:r>
      <w:r>
        <w:rPr>
          <w:rFonts w:eastAsiaTheme="minorEastAsia"/>
        </w:rPr>
        <w:t xml:space="preserve">Communication approaches that are effective ways to reach </w:t>
      </w:r>
      <w:proofErr w:type="gramStart"/>
      <w:r>
        <w:rPr>
          <w:rFonts w:eastAsiaTheme="minorEastAsia"/>
        </w:rPr>
        <w:t>Māori</w:t>
      </w:r>
      <w:bookmarkEnd w:id="84"/>
      <w:proofErr w:type="gramEnd"/>
    </w:p>
    <w:p w14:paraId="56CF49A6" w14:textId="1C3A8098" w:rsidR="003B6B7F" w:rsidRDefault="00A90477" w:rsidP="00475951">
      <w:pPr>
        <w:pStyle w:val="BodyText"/>
        <w:numPr>
          <w:ilvl w:val="0"/>
          <w:numId w:val="0"/>
        </w:numPr>
      </w:pPr>
      <w:r>
        <w:rPr>
          <w:noProof/>
        </w:rPr>
        <w:drawing>
          <wp:inline distT="0" distB="0" distL="0" distR="0" wp14:anchorId="356BD697" wp14:editId="4C068AB8">
            <wp:extent cx="5158800" cy="2901600"/>
            <wp:effectExtent l="0" t="0" r="0" b="0"/>
            <wp:docPr id="21" name="Picture 21" descr="Out of 17 total respondents (17 ineligible to answer): 16 said they posted on social media; 16 phoned them up; 13 had a physical presence where they would be; 13 contacted someone who they knew and trusted and got them to tell them; 9 sent text messages; 8 put up notices at places they visit, such as marae, kura, churches or other community organisations; 3 sent a letter; 5 used something el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ut of 17 total respondents (17 ineligible to answer): 16 said they posted on social media; 16 phoned them up; 13 had a physical presence where they would be; 13 contacted someone who they knew and trusted and got them to tell them; 9 sent text messages; 8 put up notices at places they visit, such as marae, kura, churches or other community organisations; 3 sent a letter; 5 used something els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8800" cy="2901600"/>
                    </a:xfrm>
                    <a:prstGeom prst="rect">
                      <a:avLst/>
                    </a:prstGeom>
                    <a:noFill/>
                  </pic:spPr>
                </pic:pic>
              </a:graphicData>
            </a:graphic>
          </wp:inline>
        </w:drawing>
      </w:r>
    </w:p>
    <w:p w14:paraId="192D26F4" w14:textId="77777777" w:rsidR="00837B50" w:rsidRPr="003B6B7F" w:rsidRDefault="00837B50" w:rsidP="00837B50">
      <w:pPr>
        <w:pStyle w:val="NoSpacing"/>
      </w:pPr>
    </w:p>
    <w:p w14:paraId="48FF13FA" w14:textId="201662C0" w:rsidR="00A90477" w:rsidRPr="007A168D" w:rsidRDefault="00A90477" w:rsidP="00944C75">
      <w:pPr>
        <w:pStyle w:val="BodyText"/>
      </w:pPr>
      <w:r w:rsidRPr="007A168D">
        <w:t xml:space="preserve">Mass communications relied on social media, mail drops and word of mouth </w:t>
      </w:r>
      <w:r w:rsidR="00732F4C">
        <w:t xml:space="preserve">to </w:t>
      </w:r>
      <w:r w:rsidRPr="007A168D">
        <w:t xml:space="preserve">spread messages through the community. In some regions, the </w:t>
      </w:r>
      <w:r w:rsidR="00732F4C">
        <w:t>messaging focused</w:t>
      </w:r>
      <w:r w:rsidRPr="007A168D">
        <w:t xml:space="preserve"> mainly </w:t>
      </w:r>
      <w:r w:rsidR="00732F4C">
        <w:t>on</w:t>
      </w:r>
      <w:r w:rsidR="00732F4C" w:rsidRPr="007A168D">
        <w:t xml:space="preserve"> </w:t>
      </w:r>
      <w:r w:rsidRPr="007A168D">
        <w:t xml:space="preserve">the vaccine </w:t>
      </w:r>
      <w:r w:rsidR="00732F4C">
        <w:t>being</w:t>
      </w:r>
      <w:r w:rsidRPr="007A168D">
        <w:t xml:space="preserve"> free. In other regions, the messag</w:t>
      </w:r>
      <w:r w:rsidR="00732F4C">
        <w:t>ing</w:t>
      </w:r>
      <w:r w:rsidRPr="007A168D">
        <w:t xml:space="preserve"> </w:t>
      </w:r>
      <w:r w:rsidR="00732F4C">
        <w:t>talked about</w:t>
      </w:r>
      <w:r w:rsidRPr="007A168D">
        <w:t xml:space="preserve"> the benefits to whānau and iwi </w:t>
      </w:r>
      <w:r w:rsidR="00F13679">
        <w:t xml:space="preserve">from </w:t>
      </w:r>
      <w:r w:rsidRPr="007A168D">
        <w:t>receiv</w:t>
      </w:r>
      <w:r w:rsidR="00F13679">
        <w:t>ing</w:t>
      </w:r>
      <w:r w:rsidRPr="007A168D">
        <w:t xml:space="preserve"> the vaccine</w:t>
      </w:r>
      <w:r w:rsidR="00732F4C">
        <w:t>. F</w:t>
      </w:r>
      <w:r w:rsidRPr="007A168D">
        <w:t xml:space="preserve">or example, Northland expanded a region-specific health communications campaign to highlight that vaccines </w:t>
      </w:r>
      <w:r w:rsidR="00732F4C">
        <w:t>‘</w:t>
      </w:r>
      <w:r w:rsidRPr="007A168D">
        <w:t>protect our whakapapa</w:t>
      </w:r>
      <w:r w:rsidR="00732F4C">
        <w:t>’</w:t>
      </w:r>
      <w:r w:rsidRPr="007A168D">
        <w:t xml:space="preserve">. </w:t>
      </w:r>
    </w:p>
    <w:p w14:paraId="7CAE2C0B" w14:textId="5C1E81B7" w:rsidR="00A90477" w:rsidRDefault="00A90477" w:rsidP="00EC6371">
      <w:pPr>
        <w:pStyle w:val="QuoteSmallBlue"/>
      </w:pPr>
      <w:r w:rsidRPr="005C7420">
        <w:t xml:space="preserve">So, </w:t>
      </w:r>
      <w:proofErr w:type="gramStart"/>
      <w:r w:rsidRPr="005C7420">
        <w:t>it’s</w:t>
      </w:r>
      <w:proofErr w:type="gramEnd"/>
      <w:r w:rsidRPr="005C7420">
        <w:t xml:space="preserve"> using a lot of Māori </w:t>
      </w:r>
      <w:proofErr w:type="spellStart"/>
      <w:r w:rsidR="007A168D" w:rsidRPr="005C7420">
        <w:t>whakataukī</w:t>
      </w:r>
      <w:proofErr w:type="spellEnd"/>
      <w:r w:rsidR="00732F4C">
        <w:t>,</w:t>
      </w:r>
      <w:r w:rsidRPr="005C7420">
        <w:t xml:space="preserve"> which is whakapapa </w:t>
      </w:r>
      <w:proofErr w:type="spellStart"/>
      <w:r w:rsidRPr="005C7420">
        <w:t>Te</w:t>
      </w:r>
      <w:proofErr w:type="spellEnd"/>
      <w:r w:rsidRPr="005C7420">
        <w:t xml:space="preserve"> Ora </w:t>
      </w:r>
      <w:r w:rsidR="00732F4C">
        <w:t xml:space="preserve">– </w:t>
      </w:r>
      <w:r w:rsidRPr="005C7420">
        <w:t>which</w:t>
      </w:r>
      <w:r w:rsidR="00732F4C">
        <w:t xml:space="preserve"> [messaging]</w:t>
      </w:r>
      <w:r w:rsidRPr="005C7420">
        <w:t xml:space="preserve"> is</w:t>
      </w:r>
      <w:r w:rsidR="00732F4C">
        <w:t>,</w:t>
      </w:r>
      <w:r w:rsidRPr="005C7420">
        <w:t xml:space="preserve"> </w:t>
      </w:r>
      <w:r w:rsidR="00732F4C">
        <w:t>‘I</w:t>
      </w:r>
      <w:r w:rsidRPr="005C7420">
        <w:t>mmunisation is one way to protect your whakapapa</w:t>
      </w:r>
      <w:r w:rsidR="00732F4C">
        <w:t>’</w:t>
      </w:r>
      <w:r w:rsidRPr="005C7420">
        <w:t>. So, changing it from</w:t>
      </w:r>
      <w:r w:rsidR="00732F4C">
        <w:t>,</w:t>
      </w:r>
      <w:r w:rsidRPr="005C7420">
        <w:t xml:space="preserve"> </w:t>
      </w:r>
      <w:r w:rsidR="00732F4C">
        <w:t>‘I</w:t>
      </w:r>
      <w:r w:rsidRPr="005C7420">
        <w:t xml:space="preserve">f you don’t get </w:t>
      </w:r>
      <w:proofErr w:type="gramStart"/>
      <w:r w:rsidRPr="005C7420">
        <w:t>this</w:t>
      </w:r>
      <w:proofErr w:type="gramEnd"/>
      <w:r w:rsidRPr="005C7420">
        <w:t xml:space="preserve"> you’ll get sick</w:t>
      </w:r>
      <w:r w:rsidR="00732F4C">
        <w:t>’</w:t>
      </w:r>
      <w:r w:rsidRPr="005C7420">
        <w:t xml:space="preserve">, but </w:t>
      </w:r>
      <w:r w:rsidR="00732F4C">
        <w:t>‘C</w:t>
      </w:r>
      <w:r w:rsidRPr="005C7420">
        <w:t>ome in and get this</w:t>
      </w:r>
      <w:r w:rsidR="00732F4C">
        <w:t>;</w:t>
      </w:r>
      <w:r w:rsidRPr="005C7420">
        <w:t xml:space="preserve"> this is really good for your whakapapa and protection</w:t>
      </w:r>
      <w:r w:rsidR="00732F4C">
        <w:t>;</w:t>
      </w:r>
      <w:r w:rsidRPr="005C7420">
        <w:t xml:space="preserve"> not just for the individual, but for everyone.</w:t>
      </w:r>
      <w:r w:rsidR="00732F4C">
        <w:t>’</w:t>
      </w:r>
      <w:r w:rsidRPr="005C7420">
        <w:t xml:space="preserve"> (DHB Immunisation Coordinator)</w:t>
      </w:r>
    </w:p>
    <w:p w14:paraId="40DC941D" w14:textId="26F02DD5" w:rsidR="00A90477" w:rsidRDefault="00A90477" w:rsidP="00A90477">
      <w:pPr>
        <w:pStyle w:val="BodyText"/>
      </w:pPr>
      <w:r>
        <w:t>Providers highlighted that collaborating with iwi and community organisations worked well</w:t>
      </w:r>
      <w:r w:rsidR="00F13679">
        <w:t xml:space="preserve">. </w:t>
      </w:r>
      <w:r>
        <w:t xml:space="preserve"> </w:t>
      </w:r>
      <w:r w:rsidR="00F13679">
        <w:t>L</w:t>
      </w:r>
      <w:r>
        <w:t>everaging these relationships effectively got the message to</w:t>
      </w:r>
      <w:r w:rsidR="00F13679">
        <w:t xml:space="preserve"> Māori and helped to </w:t>
      </w:r>
      <w:r>
        <w:t>identify</w:t>
      </w:r>
      <w:r w:rsidR="00F13679">
        <w:t xml:space="preserve"> those not vaccinated. </w:t>
      </w:r>
    </w:p>
    <w:p w14:paraId="692AE896" w14:textId="48FC6D7C" w:rsidR="00A90477" w:rsidRDefault="00A90477" w:rsidP="00EC6371">
      <w:pPr>
        <w:pStyle w:val="QuoteSmallBlue"/>
      </w:pPr>
      <w:r w:rsidRPr="005C7420">
        <w:t>A part of our strength and network is that we have a network of Māori iwi providers… in terms of getting our whānau to location. So that was pretty</w:t>
      </w:r>
      <w:r w:rsidR="00732F4C">
        <w:t>,</w:t>
      </w:r>
      <w:r w:rsidRPr="005C7420">
        <w:t xml:space="preserve"> you know</w:t>
      </w:r>
      <w:r w:rsidR="00732F4C">
        <w:t>,</w:t>
      </w:r>
      <w:r w:rsidRPr="005C7420">
        <w:t xml:space="preserve"> fundamental. And then of course it was just making community locations a thing, so working with </w:t>
      </w:r>
      <w:proofErr w:type="spellStart"/>
      <w:r w:rsidR="00732F4C">
        <w:t>k</w:t>
      </w:r>
      <w:r w:rsidRPr="005C7420">
        <w:t>ōhanga</w:t>
      </w:r>
      <w:proofErr w:type="spellEnd"/>
      <w:r w:rsidRPr="005C7420">
        <w:t xml:space="preserve"> </w:t>
      </w:r>
      <w:proofErr w:type="spellStart"/>
      <w:r w:rsidR="00732F4C">
        <w:t>r</w:t>
      </w:r>
      <w:r w:rsidRPr="005C7420">
        <w:t>eo</w:t>
      </w:r>
      <w:proofErr w:type="spellEnd"/>
      <w:r w:rsidRPr="005C7420">
        <w:t xml:space="preserve">, </w:t>
      </w:r>
      <w:proofErr w:type="spellStart"/>
      <w:r w:rsidR="00732F4C">
        <w:t>k</w:t>
      </w:r>
      <w:r w:rsidR="007A168D" w:rsidRPr="005C7420">
        <w:t>ura</w:t>
      </w:r>
      <w:proofErr w:type="spellEnd"/>
      <w:r w:rsidRPr="005C7420">
        <w:t xml:space="preserve"> </w:t>
      </w:r>
      <w:proofErr w:type="spellStart"/>
      <w:r w:rsidR="00732F4C">
        <w:t>k</w:t>
      </w:r>
      <w:r w:rsidRPr="005C7420">
        <w:t>aupapa</w:t>
      </w:r>
      <w:proofErr w:type="spellEnd"/>
      <w:r w:rsidR="007A168D">
        <w:t>,</w:t>
      </w:r>
      <w:r w:rsidRPr="005C7420">
        <w:t xml:space="preserve"> wānanga, marae, supermarkets </w:t>
      </w:r>
      <w:r w:rsidR="00732F4C" w:rsidRPr="005C7420">
        <w:t>–</w:t>
      </w:r>
      <w:r w:rsidR="00732F4C">
        <w:t xml:space="preserve"> </w:t>
      </w:r>
      <w:r w:rsidRPr="005C7420">
        <w:t>so just diversifying the locations in which the vaccinations would normally be delivered. (Provider – direct</w:t>
      </w:r>
      <w:r w:rsidR="00732F4C">
        <w:t>-</w:t>
      </w:r>
      <w:r w:rsidRPr="005C7420">
        <w:t>funded)</w:t>
      </w:r>
    </w:p>
    <w:p w14:paraId="2E29AA58" w14:textId="1701068A" w:rsidR="00A90477" w:rsidRPr="00967CC9" w:rsidRDefault="00A90477" w:rsidP="00A90477">
      <w:pPr>
        <w:pStyle w:val="BodyText"/>
      </w:pPr>
      <w:r w:rsidRPr="005C7420">
        <w:t>In summary, going to community locations where whānau gather, collaborations with iwi</w:t>
      </w:r>
      <w:r>
        <w:t xml:space="preserve">, </w:t>
      </w:r>
      <w:r w:rsidRPr="005C7420">
        <w:t>Māori</w:t>
      </w:r>
      <w:r>
        <w:t>,</w:t>
      </w:r>
      <w:r w:rsidRPr="005C7420">
        <w:t xml:space="preserve"> </w:t>
      </w:r>
      <w:r>
        <w:t xml:space="preserve">and community </w:t>
      </w:r>
      <w:r w:rsidRPr="005C7420">
        <w:t xml:space="preserve">organisations and the use of databases were highlighted by providers as the most effective ways for finding Māori </w:t>
      </w:r>
      <w:r>
        <w:t xml:space="preserve">to be </w:t>
      </w:r>
      <w:r w:rsidRPr="005C7420">
        <w:t>vaccinated</w:t>
      </w:r>
      <w:r>
        <w:t>. Providers used multiple targeting and communication methods</w:t>
      </w:r>
      <w:r w:rsidRPr="00791F60">
        <w:rPr>
          <w:rFonts w:eastAsiaTheme="minorEastAsia"/>
        </w:rPr>
        <w:t xml:space="preserve">, leveraging new and pre-existing relationships and </w:t>
      </w:r>
      <w:r>
        <w:rPr>
          <w:rFonts w:eastAsiaTheme="minorEastAsia"/>
        </w:rPr>
        <w:t>data to find unvaccinated whānau, or find connectors to whānau.</w:t>
      </w:r>
      <w:r w:rsidRPr="00791F60">
        <w:rPr>
          <w:rFonts w:eastAsiaTheme="minorEastAsia"/>
        </w:rPr>
        <w:t xml:space="preserve"> </w:t>
      </w:r>
    </w:p>
    <w:p w14:paraId="0F78C25F" w14:textId="3426A3DF" w:rsidR="00A90477" w:rsidRPr="005C7420" w:rsidRDefault="00A90477" w:rsidP="00EC6371">
      <w:pPr>
        <w:pStyle w:val="QuoteSmallBlue"/>
      </w:pPr>
      <w:proofErr w:type="gramStart"/>
      <w:r w:rsidRPr="005C7420">
        <w:t>So</w:t>
      </w:r>
      <w:proofErr w:type="gramEnd"/>
      <w:r w:rsidRPr="005C7420">
        <w:t xml:space="preserve"> we subcontracted out to the pharmacist</w:t>
      </w:r>
      <w:r w:rsidR="00036E05">
        <w:t>,</w:t>
      </w:r>
      <w:r w:rsidRPr="005C7420">
        <w:t xml:space="preserve"> who was doing opportunistic vaccinations</w:t>
      </w:r>
      <w:r w:rsidR="00036E05">
        <w:t xml:space="preserve"> </w:t>
      </w:r>
      <w:r w:rsidR="00036E05" w:rsidRPr="005C7420">
        <w:t>–</w:t>
      </w:r>
      <w:r w:rsidR="00036E05">
        <w:t xml:space="preserve"> p</w:t>
      </w:r>
      <w:r w:rsidRPr="005C7420">
        <w:t>eople just walking in the door. And we had an outreach going out into the homes, educating, vaccinating</w:t>
      </w:r>
      <w:r w:rsidR="00036E05">
        <w:t>,</w:t>
      </w:r>
      <w:r w:rsidRPr="005C7420">
        <w:t xml:space="preserve"> yeah. </w:t>
      </w:r>
      <w:proofErr w:type="gramStart"/>
      <w:r w:rsidRPr="005C7420">
        <w:t>So</w:t>
      </w:r>
      <w:proofErr w:type="gramEnd"/>
      <w:r w:rsidRPr="005C7420">
        <w:t xml:space="preserve"> we took that opportunity that she was going out, as well as all the other areas</w:t>
      </w:r>
      <w:r w:rsidR="00036E05">
        <w:t>,</w:t>
      </w:r>
      <w:r w:rsidRPr="005C7420">
        <w:t xml:space="preserve"> you know</w:t>
      </w:r>
      <w:r w:rsidR="00036E05">
        <w:t>,</w:t>
      </w:r>
      <w:r w:rsidRPr="005C7420">
        <w:t xml:space="preserve"> like visiting</w:t>
      </w:r>
      <w:r w:rsidR="00036E05">
        <w:t>,</w:t>
      </w:r>
      <w:r w:rsidRPr="005C7420">
        <w:t xml:space="preserve"> you know</w:t>
      </w:r>
      <w:r w:rsidR="00036E05">
        <w:t>,</w:t>
      </w:r>
      <w:r w:rsidRPr="005C7420">
        <w:t xml:space="preserve"> marae and agency, you know other places where Māori are</w:t>
      </w:r>
      <w:r w:rsidR="00036E05">
        <w:t xml:space="preserve"> </w:t>
      </w:r>
      <w:r w:rsidR="00036E05" w:rsidRPr="005C7420">
        <w:t>–</w:t>
      </w:r>
      <w:r w:rsidR="00036E05">
        <w:t xml:space="preserve"> o</w:t>
      </w:r>
      <w:r w:rsidRPr="005C7420">
        <w:t>ther practices</w:t>
      </w:r>
      <w:r w:rsidR="00036E05">
        <w:t>,</w:t>
      </w:r>
      <w:r w:rsidRPr="005C7420">
        <w:t xml:space="preserve"> you know</w:t>
      </w:r>
      <w:r w:rsidR="00036E05">
        <w:t>,</w:t>
      </w:r>
      <w:r w:rsidRPr="005C7420">
        <w:t xml:space="preserve"> that were not in our PHO. (Provider – direct</w:t>
      </w:r>
      <w:r w:rsidR="00036E05">
        <w:t>-</w:t>
      </w:r>
      <w:r w:rsidRPr="005C7420">
        <w:t>funded).</w:t>
      </w:r>
    </w:p>
    <w:p w14:paraId="3E5FE8AF" w14:textId="1319854C" w:rsidR="007A168D" w:rsidRDefault="00A90477" w:rsidP="00EC6371">
      <w:pPr>
        <w:pStyle w:val="QuoteSmallBlue"/>
      </w:pPr>
      <w:r w:rsidRPr="00F44428">
        <w:t>Seeing people who have multiple roles working together…</w:t>
      </w:r>
      <w:r w:rsidR="00036E05">
        <w:t xml:space="preserve"> </w:t>
      </w:r>
      <w:r w:rsidRPr="00F44428">
        <w:t xml:space="preserve">the iwi </w:t>
      </w:r>
      <w:proofErr w:type="gramStart"/>
      <w:r w:rsidRPr="00F44428">
        <w:t>were</w:t>
      </w:r>
      <w:proofErr w:type="gramEnd"/>
      <w:r w:rsidRPr="00F44428">
        <w:t xml:space="preserve"> helping with the traffic and putting up the gazebos and making sure everybody had cups </w:t>
      </w:r>
      <w:r w:rsidRPr="00F44428">
        <w:lastRenderedPageBreak/>
        <w:t>of tea, you know</w:t>
      </w:r>
      <w:r w:rsidR="00036E05">
        <w:t>. [And] t</w:t>
      </w:r>
      <w:r w:rsidRPr="00F44428">
        <w:t xml:space="preserve">hrough to my Whānau Ora navigators who were already in that community and already knew the people in that community and were really, </w:t>
      </w:r>
      <w:proofErr w:type="gramStart"/>
      <w:r w:rsidRPr="00F44428">
        <w:t>really effective</w:t>
      </w:r>
      <w:proofErr w:type="gramEnd"/>
      <w:r w:rsidRPr="00F44428">
        <w:t xml:space="preserve"> in terms of connecting with the people in that community. Let alone the nurses, the administrators and the </w:t>
      </w:r>
      <w:r w:rsidR="00036E05">
        <w:t>doctor</w:t>
      </w:r>
      <w:r w:rsidRPr="00F44428">
        <w:t>s who are giving the flu imm</w:t>
      </w:r>
      <w:r>
        <w:t>unisation</w:t>
      </w:r>
      <w:r w:rsidRPr="00F44428">
        <w:t xml:space="preserve">s. (Provider </w:t>
      </w:r>
      <w:r w:rsidR="00036E05">
        <w:t>–</w:t>
      </w:r>
      <w:r w:rsidRPr="00F44428">
        <w:t xml:space="preserve"> DHB</w:t>
      </w:r>
      <w:r w:rsidR="00036E05">
        <w:t>-</w:t>
      </w:r>
      <w:r w:rsidRPr="00F44428">
        <w:t>funded</w:t>
      </w:r>
      <w:r w:rsidRPr="005C7420">
        <w:t>)</w:t>
      </w:r>
    </w:p>
    <w:p w14:paraId="75AB4338" w14:textId="390D6BD8" w:rsidR="007D0996" w:rsidRDefault="006252A8" w:rsidP="007D0996">
      <w:pPr>
        <w:pStyle w:val="Heading3"/>
      </w:pPr>
      <w:r>
        <w:t>The core components of the MIVP m</w:t>
      </w:r>
      <w:r w:rsidR="004B55E7">
        <w:t>obile o</w:t>
      </w:r>
      <w:r w:rsidR="007D0996" w:rsidRPr="00BF5E38">
        <w:t>utreach</w:t>
      </w:r>
      <w:r w:rsidR="007D0996">
        <w:t xml:space="preserve"> </w:t>
      </w:r>
      <w:r>
        <w:t>service</w:t>
      </w:r>
    </w:p>
    <w:p w14:paraId="463EB70D" w14:textId="38B3043C" w:rsidR="007D0996" w:rsidRPr="006976F9" w:rsidRDefault="007D0996" w:rsidP="007D0996">
      <w:pPr>
        <w:pStyle w:val="BodyText"/>
      </w:pPr>
      <w:r>
        <w:t xml:space="preserve">Overall, as </w:t>
      </w:r>
      <w:r w:rsidR="00E05828">
        <w:fldChar w:fldCharType="begin"/>
      </w:r>
      <w:r w:rsidR="00E05828">
        <w:instrText xml:space="preserve"> REF _Ref62700230 \h </w:instrText>
      </w:r>
      <w:r w:rsidR="00E05828">
        <w:fldChar w:fldCharType="separate"/>
      </w:r>
      <w:r w:rsidR="009B082D">
        <w:t xml:space="preserve">Figure </w:t>
      </w:r>
      <w:r w:rsidR="009B082D">
        <w:rPr>
          <w:noProof/>
        </w:rPr>
        <w:t>6</w:t>
      </w:r>
      <w:r w:rsidR="00E05828">
        <w:fldChar w:fldCharType="end"/>
      </w:r>
      <w:r>
        <w:t xml:space="preserve"> shows, providers and DHBs spoke of using a combination of approaches, leveraging new and pre-existing relationships and data in their MIVP activities. Almost all organisations incorporated an element of mobile outreach into their approach. This included:</w:t>
      </w:r>
    </w:p>
    <w:p w14:paraId="6F01435D" w14:textId="01FE5B1F" w:rsidR="007D0996" w:rsidRPr="001B20E6" w:rsidRDefault="007D0996" w:rsidP="007D0996">
      <w:pPr>
        <w:pStyle w:val="Bullet"/>
      </w:pPr>
      <w:r w:rsidRPr="00EC6371">
        <w:rPr>
          <w:b/>
          <w:bCs/>
        </w:rPr>
        <w:t>Going to where whānau gather</w:t>
      </w:r>
      <w:r w:rsidRPr="001B20E6">
        <w:t xml:space="preserve"> with temporary clinics, such as pop-up or drive-thr</w:t>
      </w:r>
      <w:r w:rsidR="00036E05">
        <w:t>ough</w:t>
      </w:r>
      <w:r w:rsidRPr="001B20E6">
        <w:t xml:space="preserve"> clinics</w:t>
      </w:r>
      <w:r w:rsidR="00036E05">
        <w:t>; l</w:t>
      </w:r>
      <w:r w:rsidRPr="001B20E6">
        <w:t>ocating clinics in places where whānau go to work, pray, socialise, shop, and learn</w:t>
      </w:r>
      <w:r w:rsidR="00036E05">
        <w:t xml:space="preserve">; </w:t>
      </w:r>
      <w:r w:rsidRPr="001B20E6">
        <w:t xml:space="preserve">delivering services in marae, supermarket carparks, sports grounds, schools, churches, and </w:t>
      </w:r>
      <w:proofErr w:type="gramStart"/>
      <w:r w:rsidRPr="001B20E6">
        <w:t>workplaces</w:t>
      </w:r>
      <w:proofErr w:type="gramEnd"/>
      <w:r w:rsidRPr="001B20E6">
        <w:t xml:space="preserve"> </w:t>
      </w:r>
    </w:p>
    <w:p w14:paraId="1E82383B" w14:textId="1E6C9198" w:rsidR="007D0996" w:rsidRPr="001B20E6" w:rsidRDefault="007D0996" w:rsidP="007D0996">
      <w:pPr>
        <w:pStyle w:val="Bullet"/>
      </w:pPr>
      <w:r w:rsidRPr="00EC6371">
        <w:rPr>
          <w:b/>
          <w:bCs/>
        </w:rPr>
        <w:t>Going to where whānau live</w:t>
      </w:r>
      <w:r w:rsidRPr="001B20E6">
        <w:t xml:space="preserve"> with in-home vaccinations, either to individual whānau homes or aged care residences</w:t>
      </w:r>
      <w:r w:rsidR="00036E05">
        <w:t>, and i</w:t>
      </w:r>
      <w:r w:rsidRPr="001B20E6">
        <w:t xml:space="preserve">n one region staff delivering vaccines in hotels where homeless people were sheltering and in known gang </w:t>
      </w:r>
      <w:proofErr w:type="gramStart"/>
      <w:r w:rsidRPr="001B20E6">
        <w:t>locations</w:t>
      </w:r>
      <w:proofErr w:type="gramEnd"/>
    </w:p>
    <w:p w14:paraId="04B3E337" w14:textId="77777777" w:rsidR="007D0996" w:rsidRPr="001B20E6" w:rsidRDefault="007D0996" w:rsidP="007D0996">
      <w:pPr>
        <w:pStyle w:val="Bullet"/>
      </w:pPr>
      <w:r w:rsidRPr="00EC6371">
        <w:rPr>
          <w:b/>
          <w:bCs/>
        </w:rPr>
        <w:t>Bringing whānau to services</w:t>
      </w:r>
      <w:r>
        <w:t>,</w:t>
      </w:r>
      <w:r w:rsidRPr="001B20E6">
        <w:t xml:space="preserve"> offering and providing individual or group transport to temporary sites or clinics. </w:t>
      </w:r>
    </w:p>
    <w:p w14:paraId="1B9FAB66" w14:textId="05026A77" w:rsidR="007D0996" w:rsidRDefault="007D0996" w:rsidP="00900633">
      <w:pPr>
        <w:pStyle w:val="Caption"/>
      </w:pPr>
      <w:bookmarkStart w:id="85" w:name="_Ref62700230"/>
      <w:bookmarkStart w:id="86" w:name="_Toc58387962"/>
      <w:bookmarkStart w:id="87" w:name="_Toc62703578"/>
      <w:r>
        <w:t xml:space="preserve">Figure </w:t>
      </w:r>
      <w:r>
        <w:fldChar w:fldCharType="begin"/>
      </w:r>
      <w:r>
        <w:instrText>SEQ Figure \* ARABIC</w:instrText>
      </w:r>
      <w:r>
        <w:fldChar w:fldCharType="separate"/>
      </w:r>
      <w:r w:rsidR="009B082D">
        <w:rPr>
          <w:noProof/>
        </w:rPr>
        <w:t>6</w:t>
      </w:r>
      <w:r>
        <w:fldChar w:fldCharType="end"/>
      </w:r>
      <w:bookmarkEnd w:id="85"/>
      <w:r>
        <w:rPr>
          <w:noProof/>
        </w:rPr>
        <w:t>.</w:t>
      </w:r>
      <w:r>
        <w:t xml:space="preserve"> MIVP activities focused on going out to whānau and </w:t>
      </w:r>
      <w:proofErr w:type="gramStart"/>
      <w:r>
        <w:t>communities</w:t>
      </w:r>
      <w:bookmarkEnd w:id="86"/>
      <w:bookmarkEnd w:id="87"/>
      <w:proofErr w:type="gramEnd"/>
    </w:p>
    <w:p w14:paraId="577F2E69" w14:textId="77777777" w:rsidR="007D0996" w:rsidRDefault="007D0996" w:rsidP="007D0996">
      <w:pPr>
        <w:pStyle w:val="BodyText"/>
        <w:numPr>
          <w:ilvl w:val="0"/>
          <w:numId w:val="0"/>
        </w:numPr>
      </w:pPr>
      <w:r>
        <w:rPr>
          <w:noProof/>
        </w:rPr>
        <w:drawing>
          <wp:inline distT="0" distB="0" distL="0" distR="0" wp14:anchorId="4524617D" wp14:editId="4199BFF0">
            <wp:extent cx="5198400" cy="2923200"/>
            <wp:effectExtent l="0" t="0" r="0" b="0"/>
            <wp:docPr id="14" name="Picture 14" descr="Out of 17 total respondents (17 ineligible to answer): 16 said taking a whānau-centred approach; 16 said pop-up clinics at marae and community; 14 said partnering with marae and community; 14 said home visit; 14 said setting up drive-clinics; 13 said transporting whānau to a clinic; 1 said going out to whānau; 11 said support to go to a GP clinic; 2 said support to go to a pharmacy based clinic; 4 said something el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ut of 17 total respondents (17 ineligible to answer): 16 said taking a whānau-centred approach; 16 said pop-up clinics at marae and community; 14 said partnering with marae and community; 14 said home visit; 14 said setting up drive-clinics; 13 said transporting whānau to a clinic; 1 said going out to whānau; 11 said support to go to a GP clinic; 2 said support to go to a pharmacy based clinic; 4 said something els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8400" cy="2923200"/>
                    </a:xfrm>
                    <a:prstGeom prst="rect">
                      <a:avLst/>
                    </a:prstGeom>
                    <a:noFill/>
                  </pic:spPr>
                </pic:pic>
              </a:graphicData>
            </a:graphic>
          </wp:inline>
        </w:drawing>
      </w:r>
    </w:p>
    <w:p w14:paraId="7793A198" w14:textId="77777777" w:rsidR="007D0996" w:rsidRDefault="007D0996" w:rsidP="00837B50">
      <w:pPr>
        <w:pStyle w:val="NoSpacing"/>
      </w:pPr>
    </w:p>
    <w:p w14:paraId="0F8506E6" w14:textId="77777777" w:rsidR="00E05828" w:rsidRDefault="00E05828" w:rsidP="00E05828">
      <w:pPr>
        <w:pStyle w:val="BodyText"/>
      </w:pPr>
      <w:r>
        <w:t xml:space="preserve">Providers identified community-focused and whānau-centred approaches as most </w:t>
      </w:r>
      <w:proofErr w:type="gramStart"/>
      <w:r>
        <w:t>effective, and</w:t>
      </w:r>
      <w:proofErr w:type="gramEnd"/>
      <w:r>
        <w:t xml:space="preserve"> mobilising services and going out into the community was critical to </w:t>
      </w:r>
      <w:r w:rsidRPr="008264A3">
        <w:t xml:space="preserve">increasing access </w:t>
      </w:r>
      <w:r>
        <w:t>to</w:t>
      </w:r>
      <w:r w:rsidRPr="008264A3">
        <w:t xml:space="preserve"> </w:t>
      </w:r>
      <w:r>
        <w:t>ensure</w:t>
      </w:r>
      <w:r w:rsidRPr="008264A3">
        <w:t xml:space="preserve"> </w:t>
      </w:r>
      <w:r>
        <w:t>Māori</w:t>
      </w:r>
      <w:r w:rsidRPr="008264A3">
        <w:t xml:space="preserve"> access</w:t>
      </w:r>
      <w:r>
        <w:t>ed</w:t>
      </w:r>
      <w:r w:rsidRPr="008264A3">
        <w:t xml:space="preserve"> vaccinations.</w:t>
      </w:r>
      <w:r>
        <w:t xml:space="preserve"> </w:t>
      </w:r>
    </w:p>
    <w:p w14:paraId="7D664DB6" w14:textId="77777777" w:rsidR="00E05828" w:rsidRDefault="00E05828" w:rsidP="00E05828">
      <w:pPr>
        <w:pStyle w:val="BodyText"/>
      </w:pPr>
      <w:r>
        <w:t>In many regions, providers combined vaccinations. In one region, the DHB told us the MIVP funding enabled p</w:t>
      </w:r>
      <w:r w:rsidRPr="008264A3">
        <w:t>rovider</w:t>
      </w:r>
      <w:r>
        <w:t>s</w:t>
      </w:r>
      <w:r w:rsidRPr="008264A3">
        <w:t xml:space="preserve"> and DHBs</w:t>
      </w:r>
      <w:r>
        <w:t xml:space="preserve"> to take up in-home vaccination approaches already used for childhood immunisations for the flu vaccination, combining multiple vaccine offerings for the whole whānau in one trip. Providers planned for opportunistic vaccinations, but not necessarily as an intentional part of a home visit strategy.</w:t>
      </w:r>
    </w:p>
    <w:p w14:paraId="58C04D1B" w14:textId="77777777" w:rsidR="00E05828" w:rsidRDefault="00E05828" w:rsidP="00E05828">
      <w:pPr>
        <w:pStyle w:val="BodyText"/>
      </w:pPr>
      <w:r>
        <w:t xml:space="preserve">In some </w:t>
      </w:r>
      <w:proofErr w:type="gramStart"/>
      <w:r>
        <w:t>instances</w:t>
      </w:r>
      <w:proofErr w:type="gramEnd"/>
      <w:r>
        <w:t xml:space="preserve"> providers also extended clinic availability hours. In one region, providers organised a temporary vaccination site for whānau, but learned after they began that DHB nurses did not work on weekends. </w:t>
      </w:r>
    </w:p>
    <w:p w14:paraId="645AE6BD" w14:textId="77777777" w:rsidR="00E05828" w:rsidRDefault="00E05828" w:rsidP="00E05828">
      <w:pPr>
        <w:pStyle w:val="BodyText"/>
      </w:pPr>
      <w:r>
        <w:t xml:space="preserve">For some providers, setting up temporary clinics was new. Some providers and DHBs spoke of the need for physical assets to deliver temporary vaccination clinics. For example, in one region the DHB coordinating the regional response used MIVP funding to purchase furniture and equipment to </w:t>
      </w:r>
      <w:r>
        <w:lastRenderedPageBreak/>
        <w:t>set up a pop-up or drive-through clinic, including tables, gazebos and signage. This DHB made this “vaccine kit” available for providers to use, rather than providers having to hire equipment themselves. And some regions, providers received funding to buy their own equipment or to hire equipment.</w:t>
      </w:r>
    </w:p>
    <w:p w14:paraId="49C158EF" w14:textId="77777777" w:rsidR="00B97E0E" w:rsidRPr="000D46A7" w:rsidRDefault="00B97E0E" w:rsidP="002E007F">
      <w:pPr>
        <w:pStyle w:val="NoSpacing"/>
      </w:pPr>
    </w:p>
    <w:tbl>
      <w:tblPr>
        <w:tblStyle w:val="TableGrid"/>
        <w:tblW w:w="0" w:type="auto"/>
        <w:tblBorders>
          <w:top w:val="none" w:sz="0" w:space="0" w:color="auto"/>
          <w:left w:val="none" w:sz="0" w:space="0" w:color="auto"/>
          <w:bottom w:val="double" w:sz="4" w:space="0" w:color="212B5D" w:themeColor="accent1"/>
          <w:right w:val="none" w:sz="0" w:space="0" w:color="auto"/>
          <w:insideH w:val="none" w:sz="0" w:space="0" w:color="auto"/>
          <w:insideV w:val="none" w:sz="0" w:space="0" w:color="auto"/>
        </w:tblBorders>
        <w:tblLook w:val="04A0" w:firstRow="1" w:lastRow="0" w:firstColumn="1" w:lastColumn="0" w:noHBand="0" w:noVBand="1"/>
      </w:tblPr>
      <w:tblGrid>
        <w:gridCol w:w="8210"/>
      </w:tblGrid>
      <w:tr w:rsidR="00A90477" w:rsidRPr="00DF3F74" w14:paraId="6228FB59" w14:textId="77777777" w:rsidTr="00EE7DB8">
        <w:tc>
          <w:tcPr>
            <w:tcW w:w="8210" w:type="dxa"/>
            <w:tcBorders>
              <w:top w:val="double" w:sz="4" w:space="0" w:color="212B5D" w:themeColor="accent1"/>
              <w:bottom w:val="double" w:sz="4" w:space="0" w:color="212B5D" w:themeColor="accent1"/>
            </w:tcBorders>
            <w:shd w:val="clear" w:color="auto" w:fill="auto"/>
          </w:tcPr>
          <w:p w14:paraId="12D07519" w14:textId="77777777" w:rsidR="00A90477" w:rsidRPr="00DF3F74" w:rsidRDefault="00A90477" w:rsidP="00B97E0E">
            <w:pPr>
              <w:pStyle w:val="Heading2"/>
              <w:spacing w:before="240" w:after="240"/>
              <w:outlineLvl w:val="1"/>
            </w:pPr>
            <w:bookmarkStart w:id="88" w:name="_Toc58347847"/>
            <w:bookmarkStart w:id="89" w:name="_Toc70763273"/>
            <w:r w:rsidRPr="00DF3F74">
              <w:t xml:space="preserve">Strategy </w:t>
            </w:r>
            <w:r>
              <w:t>2</w:t>
            </w:r>
            <w:r w:rsidRPr="00DF3F74">
              <w:t>: Taking a whānau-centred approach</w:t>
            </w:r>
            <w:bookmarkEnd w:id="88"/>
            <w:bookmarkEnd w:id="89"/>
          </w:p>
        </w:tc>
      </w:tr>
    </w:tbl>
    <w:p w14:paraId="593F792C" w14:textId="77777777" w:rsidR="00A90477" w:rsidRDefault="00A90477" w:rsidP="002E007F">
      <w:pPr>
        <w:pStyle w:val="NoSpacing"/>
      </w:pPr>
    </w:p>
    <w:p w14:paraId="73185FC7" w14:textId="77777777" w:rsidR="00A90477" w:rsidRDefault="00A90477" w:rsidP="00A90477">
      <w:pPr>
        <w:pStyle w:val="BodyText"/>
      </w:pPr>
      <w:r w:rsidRPr="4AA8C661">
        <w:t>Whānau Ora and a whānau-centred approach refer “to an approach that is culturally-grounded, holistic, focused on improving the wellbeing of whānau and addressing individual needs within the context of the whānau.”</w:t>
      </w:r>
      <w:r>
        <w:rPr>
          <w:rStyle w:val="FootnoteReference"/>
        </w:rPr>
        <w:footnoteReference w:id="15"/>
      </w:r>
      <w:r w:rsidRPr="4AA8C661">
        <w:t xml:space="preserve"> A whānau-centred approach:</w:t>
      </w:r>
    </w:p>
    <w:p w14:paraId="091F4A7C" w14:textId="77777777" w:rsidR="00A90477" w:rsidRPr="007A168D" w:rsidRDefault="00A90477" w:rsidP="007A168D">
      <w:pPr>
        <w:pStyle w:val="Bullet"/>
      </w:pPr>
      <w:r w:rsidRPr="007A168D">
        <w:rPr>
          <w:rFonts w:eastAsia="Arial Nova Light"/>
        </w:rPr>
        <w:t xml:space="preserve">puts whānau needs and aspirations at the centre of services that are integrated and </w:t>
      </w:r>
      <w:proofErr w:type="gramStart"/>
      <w:r w:rsidRPr="007A168D">
        <w:rPr>
          <w:rFonts w:eastAsia="Arial Nova Light"/>
        </w:rPr>
        <w:t>accessible</w:t>
      </w:r>
      <w:proofErr w:type="gramEnd"/>
    </w:p>
    <w:p w14:paraId="10792DD3" w14:textId="391A31F6" w:rsidR="00A90477" w:rsidRPr="007A168D" w:rsidRDefault="00A90477" w:rsidP="007A168D">
      <w:pPr>
        <w:pStyle w:val="Bullet"/>
      </w:pPr>
      <w:r w:rsidRPr="007A168D">
        <w:rPr>
          <w:rFonts w:eastAsia="Arial Nova Light"/>
        </w:rPr>
        <w:t xml:space="preserve">sets up and maintains effective relationships that benefit </w:t>
      </w:r>
      <w:proofErr w:type="gramStart"/>
      <w:r w:rsidRPr="007A168D">
        <w:rPr>
          <w:rFonts w:eastAsia="Arial Nova Light"/>
        </w:rPr>
        <w:t>whānau</w:t>
      </w:r>
      <w:proofErr w:type="gramEnd"/>
    </w:p>
    <w:p w14:paraId="13DFA2AA" w14:textId="77777777" w:rsidR="00A90477" w:rsidRPr="007A168D" w:rsidRDefault="00A90477" w:rsidP="007A168D">
      <w:pPr>
        <w:pStyle w:val="Bullet"/>
      </w:pPr>
      <w:r w:rsidRPr="007A168D">
        <w:rPr>
          <w:rFonts w:eastAsia="Arial Nova Light"/>
        </w:rPr>
        <w:t xml:space="preserve">is strengths-based and affirms the capability of whānau, with support where needed, to design and lead their development to achieve </w:t>
      </w:r>
      <w:proofErr w:type="gramStart"/>
      <w:r w:rsidRPr="007A168D">
        <w:rPr>
          <w:rFonts w:eastAsia="Arial Nova Light"/>
        </w:rPr>
        <w:t>rangatiratanga</w:t>
      </w:r>
      <w:proofErr w:type="gramEnd"/>
    </w:p>
    <w:p w14:paraId="05701147" w14:textId="3CFB8CE6" w:rsidR="00A90477" w:rsidRPr="007A168D" w:rsidRDefault="00A90477" w:rsidP="007A168D">
      <w:pPr>
        <w:pStyle w:val="Bullet"/>
      </w:pPr>
      <w:r w:rsidRPr="007A168D">
        <w:t xml:space="preserve">uses or develops a culturally competent and technically skilled workforce able to adopt a holistic, whānau-centred approach to supporting whānau </w:t>
      </w:r>
      <w:proofErr w:type="gramStart"/>
      <w:r w:rsidRPr="007A168D">
        <w:t>aspirations</w:t>
      </w:r>
      <w:proofErr w:type="gramEnd"/>
      <w:r w:rsidRPr="007A168D">
        <w:t xml:space="preserve"> </w:t>
      </w:r>
    </w:p>
    <w:p w14:paraId="62AA129B" w14:textId="0C5D76CF" w:rsidR="006E085C" w:rsidRDefault="00ED79A6" w:rsidP="0055571B">
      <w:pPr>
        <w:pStyle w:val="Bullet"/>
      </w:pPr>
      <w:r>
        <w:t xml:space="preserve">includes </w:t>
      </w:r>
      <w:r w:rsidR="00A90477" w:rsidRPr="007A168D">
        <w:t xml:space="preserve">supportive environments such as funding, contracting and policy arrangements, and effective leadership from government, </w:t>
      </w:r>
      <w:proofErr w:type="gramStart"/>
      <w:r w:rsidR="00A90477" w:rsidRPr="007A168D">
        <w:t>iwi</w:t>
      </w:r>
      <w:proofErr w:type="gramEnd"/>
      <w:r w:rsidR="00A90477" w:rsidRPr="007A168D">
        <w:t xml:space="preserve"> and providers</w:t>
      </w:r>
      <w:r>
        <w:t xml:space="preserve"> to</w:t>
      </w:r>
      <w:r w:rsidR="00A90477" w:rsidRPr="007A168D">
        <w:t xml:space="preserve"> support whānau aspirations.</w:t>
      </w:r>
    </w:p>
    <w:p w14:paraId="513D53BA" w14:textId="471A6A35" w:rsidR="006E085C" w:rsidRPr="00FD4D58" w:rsidRDefault="00905275" w:rsidP="00475951">
      <w:pPr>
        <w:pStyle w:val="BodyText"/>
      </w:pPr>
      <w:r>
        <w:fldChar w:fldCharType="begin"/>
      </w:r>
      <w:r>
        <w:instrText xml:space="preserve"> REF _Ref59697071 \h </w:instrText>
      </w:r>
      <w:r>
        <w:fldChar w:fldCharType="separate"/>
      </w:r>
      <w:r w:rsidR="009B082D">
        <w:t xml:space="preserve">Table </w:t>
      </w:r>
      <w:r w:rsidR="009B082D">
        <w:rPr>
          <w:noProof/>
        </w:rPr>
        <w:t>4</w:t>
      </w:r>
      <w:r>
        <w:fldChar w:fldCharType="end"/>
      </w:r>
      <w:r w:rsidR="006E085C">
        <w:t xml:space="preserve"> provides</w:t>
      </w:r>
      <w:r w:rsidR="004E140F">
        <w:t xml:space="preserve"> </w:t>
      </w:r>
      <w:r w:rsidR="006E085C">
        <w:t xml:space="preserve">detailed examples of whānau-centred services offered by providers. </w:t>
      </w:r>
      <w:r w:rsidR="004E140F">
        <w:t xml:space="preserve">Through strategic leadership and delivery of cultural and clinical competent services, </w:t>
      </w:r>
      <w:r w:rsidR="003429ED">
        <w:t xml:space="preserve">whānau are </w:t>
      </w:r>
      <w:r w:rsidR="004E140F">
        <w:t>connect</w:t>
      </w:r>
      <w:r w:rsidR="003429ED">
        <w:t>ed</w:t>
      </w:r>
      <w:r w:rsidR="004E140F">
        <w:t xml:space="preserve"> </w:t>
      </w:r>
      <w:r w:rsidR="006E085C" w:rsidRPr="00DA15E5">
        <w:t>to the services and supports they need</w:t>
      </w:r>
      <w:r w:rsidR="004E140F">
        <w:t>.</w:t>
      </w:r>
    </w:p>
    <w:p w14:paraId="38C1DEB0" w14:textId="053634A5" w:rsidR="006E085C" w:rsidRDefault="006E085C" w:rsidP="00900633">
      <w:pPr>
        <w:pStyle w:val="Caption"/>
      </w:pPr>
      <w:bookmarkStart w:id="90" w:name="_Ref59697071"/>
      <w:bookmarkStart w:id="91" w:name="_Toc62703560"/>
      <w:r>
        <w:t xml:space="preserve">Table </w:t>
      </w:r>
      <w:r>
        <w:fldChar w:fldCharType="begin"/>
      </w:r>
      <w:r>
        <w:instrText>SEQ Table \* ARABIC</w:instrText>
      </w:r>
      <w:r>
        <w:fldChar w:fldCharType="separate"/>
      </w:r>
      <w:r w:rsidR="009B082D">
        <w:rPr>
          <w:noProof/>
        </w:rPr>
        <w:t>4</w:t>
      </w:r>
      <w:r>
        <w:fldChar w:fldCharType="end"/>
      </w:r>
      <w:bookmarkEnd w:id="90"/>
      <w:r>
        <w:rPr>
          <w:noProof/>
        </w:rPr>
        <w:t>.</w:t>
      </w:r>
      <w:r>
        <w:t xml:space="preserve"> Provider examples of whānau-centred services</w:t>
      </w:r>
      <w:bookmarkEnd w:id="91"/>
    </w:p>
    <w:tbl>
      <w:tblPr>
        <w:tblStyle w:val="ListTable3-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547"/>
        <w:gridCol w:w="5663"/>
      </w:tblGrid>
      <w:tr w:rsidR="006E085C" w:rsidRPr="00D73F94" w14:paraId="7FF870FC" w14:textId="77777777" w:rsidTr="006E08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Borders>
              <w:bottom w:val="none" w:sz="0" w:space="0" w:color="auto"/>
              <w:right w:val="none" w:sz="0" w:space="0" w:color="auto"/>
            </w:tcBorders>
          </w:tcPr>
          <w:p w14:paraId="0088D0CC" w14:textId="77777777" w:rsidR="006E085C" w:rsidRPr="00553D7B" w:rsidRDefault="006E085C" w:rsidP="006E085C">
            <w:pPr>
              <w:pStyle w:val="BodyText"/>
              <w:numPr>
                <w:ilvl w:val="0"/>
                <w:numId w:val="0"/>
              </w:numPr>
            </w:pPr>
            <w:r w:rsidRPr="00553D7B">
              <w:t xml:space="preserve">MIVP Whānau-Centred Delivery </w:t>
            </w:r>
          </w:p>
        </w:tc>
        <w:tc>
          <w:tcPr>
            <w:tcW w:w="5663" w:type="dxa"/>
          </w:tcPr>
          <w:p w14:paraId="1BBEC0D5" w14:textId="77777777" w:rsidR="006E085C" w:rsidRPr="00553D7B" w:rsidRDefault="006E085C" w:rsidP="006E085C">
            <w:pPr>
              <w:pStyle w:val="BodyText"/>
              <w:numPr>
                <w:ilvl w:val="0"/>
                <w:numId w:val="0"/>
              </w:numPr>
              <w:cnfStyle w:val="100000000000" w:firstRow="1" w:lastRow="0" w:firstColumn="0" w:lastColumn="0" w:oddVBand="0" w:evenVBand="0" w:oddHBand="0" w:evenHBand="0" w:firstRowFirstColumn="0" w:firstRowLastColumn="0" w:lastRowFirstColumn="0" w:lastRowLastColumn="0"/>
            </w:pPr>
            <w:r w:rsidRPr="00553D7B">
              <w:t>Provider examples</w:t>
            </w:r>
          </w:p>
        </w:tc>
      </w:tr>
      <w:tr w:rsidR="006E085C" w14:paraId="1000ED2D" w14:textId="77777777" w:rsidTr="006E0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right w:val="none" w:sz="0" w:space="0" w:color="auto"/>
            </w:tcBorders>
          </w:tcPr>
          <w:p w14:paraId="7913756F" w14:textId="77777777" w:rsidR="006E085C" w:rsidRPr="007D7000" w:rsidRDefault="006E085C" w:rsidP="006E085C">
            <w:pPr>
              <w:pStyle w:val="BodyText"/>
              <w:numPr>
                <w:ilvl w:val="0"/>
                <w:numId w:val="0"/>
              </w:numPr>
              <w:rPr>
                <w:rFonts w:ascii="Arial Nova" w:hAnsi="Arial Nova"/>
                <w:b w:val="0"/>
                <w:bCs w:val="0"/>
              </w:rPr>
            </w:pPr>
            <w:r w:rsidRPr="007D7000">
              <w:rPr>
                <w:rFonts w:ascii="Arial Nova" w:hAnsi="Arial Nova"/>
                <w:b w:val="0"/>
                <w:bCs w:val="0"/>
                <w:color w:val="44546A" w:themeColor="text2"/>
              </w:rPr>
              <w:t xml:space="preserve">Whānau-centred services place </w:t>
            </w:r>
            <w:r w:rsidRPr="007D7000">
              <w:rPr>
                <w:b w:val="0"/>
                <w:bCs w:val="0"/>
                <w:color w:val="44546A" w:themeColor="text2"/>
              </w:rPr>
              <w:t>whānau</w:t>
            </w:r>
            <w:r w:rsidRPr="007D7000">
              <w:rPr>
                <w:rFonts w:ascii="Arial Nova" w:hAnsi="Arial Nova"/>
                <w:b w:val="0"/>
                <w:bCs w:val="0"/>
                <w:color w:val="44546A" w:themeColor="text2"/>
              </w:rPr>
              <w:t xml:space="preserve"> needs at the centre of integrated and accessible services</w:t>
            </w:r>
          </w:p>
        </w:tc>
        <w:tc>
          <w:tcPr>
            <w:tcW w:w="5663" w:type="dxa"/>
            <w:tcBorders>
              <w:top w:val="none" w:sz="0" w:space="0" w:color="auto"/>
              <w:bottom w:val="none" w:sz="0" w:space="0" w:color="auto"/>
            </w:tcBorders>
          </w:tcPr>
          <w:p w14:paraId="7A8D0B8C" w14:textId="74AAF88E" w:rsidR="006E085C" w:rsidRDefault="006E085C" w:rsidP="006E085C">
            <w:pPr>
              <w:pStyle w:val="BodyText"/>
              <w:numPr>
                <w:ilvl w:val="0"/>
                <w:numId w:val="0"/>
              </w:numPr>
              <w:cnfStyle w:val="000000100000" w:firstRow="0" w:lastRow="0" w:firstColumn="0" w:lastColumn="0" w:oddVBand="0" w:evenVBand="0" w:oddHBand="1" w:evenHBand="0" w:firstRowFirstColumn="0" w:firstRowLastColumn="0" w:lastRowFirstColumn="0" w:lastRowLastColumn="0"/>
            </w:pPr>
            <w:r w:rsidRPr="00DA5414">
              <w:t xml:space="preserve">A nurse enters a home </w:t>
            </w:r>
            <w:r>
              <w:t xml:space="preserve">hoping to give koro his flu vaccine as part of MIVP. She is experienced and has a good level of </w:t>
            </w:r>
            <w:r w:rsidRPr="00DA5414">
              <w:t>understand</w:t>
            </w:r>
            <w:r>
              <w:t xml:space="preserve">ing about how to work with </w:t>
            </w:r>
            <w:r w:rsidRPr="00DA5414">
              <w:t xml:space="preserve">whānau, </w:t>
            </w:r>
            <w:r>
              <w:t xml:space="preserve">ways </w:t>
            </w:r>
            <w:r w:rsidRPr="00DA5414">
              <w:t xml:space="preserve">to connect and communicate with them so they feel comfortable, </w:t>
            </w:r>
            <w:proofErr w:type="gramStart"/>
            <w:r w:rsidRPr="00DA5414">
              <w:t>safe</w:t>
            </w:r>
            <w:proofErr w:type="gramEnd"/>
            <w:r w:rsidRPr="00DA5414">
              <w:t xml:space="preserve"> and involved. </w:t>
            </w:r>
            <w:r>
              <w:t>Before the visit, t</w:t>
            </w:r>
            <w:r w:rsidRPr="00DA5414">
              <w:t xml:space="preserve">o ensure that she has a good understanding of the whānau she is visiting, she talks with a colleague who knows the whānau. Although the purpose of her visit is to administer the </w:t>
            </w:r>
            <w:r>
              <w:t>flu</w:t>
            </w:r>
            <w:r w:rsidRPr="00DA5414">
              <w:t xml:space="preserve"> vaccination, she goes prepared to provide support in other areas if needed. After talking with the whānau, she learns that the B4School </w:t>
            </w:r>
            <w:proofErr w:type="gramStart"/>
            <w:r w:rsidRPr="00DA5414">
              <w:t>checks</w:t>
            </w:r>
            <w:proofErr w:type="gramEnd"/>
            <w:r w:rsidRPr="00DA5414">
              <w:t xml:space="preserve"> and other vaccines have not been completed. The nurse can administer the vaccines needed and tell</w:t>
            </w:r>
            <w:r>
              <w:t>s</w:t>
            </w:r>
            <w:r w:rsidRPr="00DA5414">
              <w:t xml:space="preserve"> the </w:t>
            </w:r>
            <w:r>
              <w:t>whānau</w:t>
            </w:r>
            <w:r w:rsidRPr="00DA5414">
              <w:t xml:space="preserve"> that she will talk with a colleague who can provide further support with their permission. Once she returns to the office, she links the whānau to the needed services and revisits them to drop off a kai box. In conversation with the </w:t>
            </w:r>
            <w:r>
              <w:t>whānau</w:t>
            </w:r>
            <w:r w:rsidRPr="00DA5414">
              <w:t xml:space="preserve">, she noted that things were tough financially. This kai box is not expected and has not been asked for. It is given as a </w:t>
            </w:r>
            <w:proofErr w:type="spellStart"/>
            <w:r w:rsidRPr="00DA5414">
              <w:t>koha</w:t>
            </w:r>
            <w:proofErr w:type="spellEnd"/>
            <w:r w:rsidRPr="00DA5414">
              <w:t xml:space="preserve"> to </w:t>
            </w:r>
            <w:r>
              <w:t xml:space="preserve">acknowledge and </w:t>
            </w:r>
            <w:r w:rsidRPr="00DA5414">
              <w:t>value the whānau.</w:t>
            </w:r>
          </w:p>
        </w:tc>
      </w:tr>
      <w:tr w:rsidR="006E085C" w14:paraId="7BBF24ED" w14:textId="77777777" w:rsidTr="006E085C">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tcPr>
          <w:p w14:paraId="0E979FCF" w14:textId="77777777" w:rsidR="006E085C" w:rsidRPr="007D7000" w:rsidRDefault="006E085C" w:rsidP="006E085C">
            <w:pPr>
              <w:pStyle w:val="BodyText"/>
              <w:numPr>
                <w:ilvl w:val="0"/>
                <w:numId w:val="0"/>
              </w:numPr>
              <w:rPr>
                <w:b w:val="0"/>
                <w:bCs w:val="0"/>
              </w:rPr>
            </w:pPr>
            <w:r w:rsidRPr="007D7000">
              <w:rPr>
                <w:rFonts w:ascii="Arial Nova" w:hAnsi="Arial Nova"/>
                <w:b w:val="0"/>
                <w:bCs w:val="0"/>
                <w:color w:val="44546A" w:themeColor="text2"/>
              </w:rPr>
              <w:t xml:space="preserve">Whānau-centred services require leadership </w:t>
            </w:r>
            <w:proofErr w:type="gramStart"/>
            <w:r w:rsidRPr="007D7000">
              <w:rPr>
                <w:rFonts w:ascii="Arial Nova" w:hAnsi="Arial Nova"/>
                <w:b w:val="0"/>
                <w:bCs w:val="0"/>
                <w:color w:val="44546A" w:themeColor="text2"/>
              </w:rPr>
              <w:t>and  strategic</w:t>
            </w:r>
            <w:proofErr w:type="gramEnd"/>
            <w:r w:rsidRPr="007D7000">
              <w:rPr>
                <w:rFonts w:ascii="Arial Nova" w:hAnsi="Arial Nova"/>
                <w:b w:val="0"/>
                <w:bCs w:val="0"/>
                <w:color w:val="44546A" w:themeColor="text2"/>
              </w:rPr>
              <w:t xml:space="preserve"> vision to </w:t>
            </w:r>
            <w:r w:rsidRPr="007D7000">
              <w:rPr>
                <w:rFonts w:ascii="Arial Nova" w:hAnsi="Arial Nova"/>
                <w:b w:val="0"/>
                <w:bCs w:val="0"/>
                <w:color w:val="44546A" w:themeColor="text2"/>
              </w:rPr>
              <w:lastRenderedPageBreak/>
              <w:t>leverage relationships in a way that connects whānau to the services and supports they need</w:t>
            </w:r>
          </w:p>
        </w:tc>
        <w:tc>
          <w:tcPr>
            <w:tcW w:w="5663" w:type="dxa"/>
          </w:tcPr>
          <w:p w14:paraId="69DA6E1C" w14:textId="18C9EEB6" w:rsidR="006E085C" w:rsidRDefault="006E085C" w:rsidP="006E085C">
            <w:pPr>
              <w:pStyle w:val="BodyText"/>
              <w:numPr>
                <w:ilvl w:val="0"/>
                <w:numId w:val="0"/>
              </w:numPr>
              <w:cnfStyle w:val="000000000000" w:firstRow="0" w:lastRow="0" w:firstColumn="0" w:lastColumn="0" w:oddVBand="0" w:evenVBand="0" w:oddHBand="0" w:evenHBand="0" w:firstRowFirstColumn="0" w:firstRowLastColumn="0" w:lastRowFirstColumn="0" w:lastRowLastColumn="0"/>
            </w:pPr>
            <w:r w:rsidRPr="00831EA2">
              <w:lastRenderedPageBreak/>
              <w:t xml:space="preserve">A CEO sees MIVP as an opportunity to do more, to maximize the time and engagement with whānau. Armed with a deep understanding of whānau, including their health and social </w:t>
            </w:r>
            <w:r w:rsidRPr="00831EA2">
              <w:lastRenderedPageBreak/>
              <w:t>needs, the organi</w:t>
            </w:r>
            <w:r>
              <w:t>s</w:t>
            </w:r>
            <w:r w:rsidRPr="00831EA2">
              <w:t>ation plans to reach and engage whānau</w:t>
            </w:r>
            <w:r>
              <w:t xml:space="preserve">. </w:t>
            </w:r>
            <w:r w:rsidRPr="00831EA2">
              <w:t>As they</w:t>
            </w:r>
            <w:r w:rsidR="00ED79A6">
              <w:t xml:space="preserve"> sit with </w:t>
            </w:r>
            <w:r w:rsidR="00ED79A6" w:rsidRPr="00831EA2">
              <w:t>whānau</w:t>
            </w:r>
            <w:r w:rsidR="00ED79A6">
              <w:t xml:space="preserve"> and</w:t>
            </w:r>
            <w:r w:rsidRPr="00831EA2">
              <w:t xml:space="preserve"> list the health checks that need to occur</w:t>
            </w:r>
            <w:r w:rsidR="00ED79A6">
              <w:t>, such as</w:t>
            </w:r>
            <w:r w:rsidRPr="00831EA2">
              <w:t xml:space="preserve"> rheumatic fever, measles vaccinations, </w:t>
            </w:r>
            <w:r>
              <w:t>flu</w:t>
            </w:r>
            <w:r w:rsidRPr="00831EA2">
              <w:t>, diabetes assessment, a service plan starts to emerge. A responsive approach is envisioned that considers social needs as well</w:t>
            </w:r>
            <w:r w:rsidR="00ED79A6">
              <w:t>:</w:t>
            </w:r>
            <w:r w:rsidRPr="00831EA2">
              <w:t xml:space="preserve"> housing, </w:t>
            </w:r>
            <w:proofErr w:type="gramStart"/>
            <w:r w:rsidRPr="00831EA2">
              <w:t>food</w:t>
            </w:r>
            <w:proofErr w:type="gramEnd"/>
            <w:r w:rsidRPr="00831EA2">
              <w:t xml:space="preserve"> and transport. They </w:t>
            </w:r>
            <w:r w:rsidR="00ED79A6">
              <w:t>feel deeply</w:t>
            </w:r>
            <w:r w:rsidRPr="00831EA2">
              <w:t xml:space="preserve"> that a service </w:t>
            </w:r>
            <w:r w:rsidR="00ED79A6">
              <w:t xml:space="preserve">in a </w:t>
            </w:r>
            <w:r w:rsidR="00ED79A6" w:rsidRPr="00831EA2">
              <w:t>whān</w:t>
            </w:r>
            <w:r w:rsidR="00ED79A6">
              <w:t>a</w:t>
            </w:r>
            <w:r w:rsidR="00ED79A6" w:rsidRPr="00831EA2">
              <w:t xml:space="preserve">u </w:t>
            </w:r>
            <w:r w:rsidR="00ED79A6">
              <w:t xml:space="preserve">context </w:t>
            </w:r>
            <w:r w:rsidRPr="00831EA2">
              <w:t>cannot just involve a single vaccination. As an organi</w:t>
            </w:r>
            <w:r w:rsidR="00ED79A6">
              <w:t>s</w:t>
            </w:r>
            <w:r w:rsidRPr="00831EA2">
              <w:t>ation, they must be prepared to deliver on broader whānau needs</w:t>
            </w:r>
            <w:r>
              <w:t xml:space="preserve">. </w:t>
            </w:r>
            <w:r w:rsidRPr="00831EA2">
              <w:t>Assessment forms are developed to ensure that</w:t>
            </w:r>
            <w:r>
              <w:t xml:space="preserve"> the whānau receive what they need</w:t>
            </w:r>
            <w:r w:rsidRPr="00831EA2">
              <w:t>. The CEO discusses the service with providers in other sectors that work with whānau, asking for a contribution so whān</w:t>
            </w:r>
            <w:r>
              <w:t>a</w:t>
            </w:r>
            <w:r w:rsidRPr="00831EA2">
              <w:t>u can receive kai</w:t>
            </w:r>
            <w:r>
              <w:t xml:space="preserve"> and </w:t>
            </w:r>
            <w:r w:rsidRPr="00831EA2">
              <w:t xml:space="preserve">hygiene packs. Home visits occur, </w:t>
            </w:r>
            <w:r>
              <w:t>and whānau</w:t>
            </w:r>
            <w:r w:rsidRPr="00831EA2">
              <w:t xml:space="preserve"> are given the space to explore their needs and receive services at no cost.</w:t>
            </w:r>
            <w:r>
              <w:t xml:space="preserve"> T</w:t>
            </w:r>
            <w:r w:rsidRPr="00831EA2">
              <w:t xml:space="preserve">he </w:t>
            </w:r>
            <w:r>
              <w:t>flu</w:t>
            </w:r>
            <w:r w:rsidRPr="00831EA2">
              <w:t xml:space="preserve"> vaccine is administered along with hygiene and kai packs. Whānau who are not eligible for the </w:t>
            </w:r>
            <w:r>
              <w:t>flu</w:t>
            </w:r>
            <w:r w:rsidRPr="00831EA2">
              <w:t xml:space="preserve"> vaccine can get vaccinated at no cost. Whānau are given information about rheumatic fever, </w:t>
            </w:r>
            <w:r w:rsidR="00ED79A6">
              <w:t xml:space="preserve">and </w:t>
            </w:r>
            <w:r w:rsidRPr="00831EA2">
              <w:t xml:space="preserve">checks are carried out with </w:t>
            </w:r>
            <w:proofErr w:type="spellStart"/>
            <w:r w:rsidRPr="00831EA2">
              <w:t>tamariki</w:t>
            </w:r>
            <w:proofErr w:type="spellEnd"/>
            <w:r w:rsidRPr="00831EA2">
              <w:t xml:space="preserve">. </w:t>
            </w:r>
            <w:r>
              <w:t>No</w:t>
            </w:r>
            <w:r w:rsidR="00ED79A6">
              <w:t>-</w:t>
            </w:r>
            <w:r>
              <w:t>one is overlooked.</w:t>
            </w:r>
          </w:p>
        </w:tc>
      </w:tr>
      <w:tr w:rsidR="006E085C" w14:paraId="47DD9C39" w14:textId="77777777" w:rsidTr="006E0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right w:val="none" w:sz="0" w:space="0" w:color="auto"/>
            </w:tcBorders>
          </w:tcPr>
          <w:p w14:paraId="6EF8827E" w14:textId="77777777" w:rsidR="006E085C" w:rsidRPr="007D7000" w:rsidRDefault="006E085C" w:rsidP="006E085C">
            <w:pPr>
              <w:pStyle w:val="BodyText"/>
              <w:numPr>
                <w:ilvl w:val="0"/>
                <w:numId w:val="0"/>
              </w:numPr>
              <w:rPr>
                <w:b w:val="0"/>
                <w:bCs w:val="0"/>
              </w:rPr>
            </w:pPr>
            <w:r w:rsidRPr="007D7000">
              <w:rPr>
                <w:rFonts w:ascii="Arial Nova" w:hAnsi="Arial Nova"/>
                <w:b w:val="0"/>
                <w:bCs w:val="0"/>
                <w:color w:val="44546A" w:themeColor="text2"/>
              </w:rPr>
              <w:lastRenderedPageBreak/>
              <w:t>Whānau-centred services are affirming and personalised, supporting whānau to make positive health and wellbeing decisions</w:t>
            </w:r>
          </w:p>
        </w:tc>
        <w:tc>
          <w:tcPr>
            <w:tcW w:w="5663" w:type="dxa"/>
            <w:tcBorders>
              <w:top w:val="none" w:sz="0" w:space="0" w:color="auto"/>
              <w:bottom w:val="none" w:sz="0" w:space="0" w:color="auto"/>
            </w:tcBorders>
          </w:tcPr>
          <w:p w14:paraId="4EB31947" w14:textId="30D0128D" w:rsidR="006E085C" w:rsidRPr="00F55B17" w:rsidRDefault="006E085C" w:rsidP="006E085C">
            <w:pPr>
              <w:cnfStyle w:val="000000100000" w:firstRow="0" w:lastRow="0" w:firstColumn="0" w:lastColumn="0" w:oddVBand="0" w:evenVBand="0" w:oddHBand="1" w:evenHBand="0" w:firstRowFirstColumn="0" w:firstRowLastColumn="0" w:lastRowFirstColumn="0" w:lastRowLastColumn="0"/>
            </w:pPr>
            <w:r w:rsidRPr="007577A5">
              <w:t xml:space="preserve">A DHB considers their MIVP response in the context of </w:t>
            </w:r>
            <w:proofErr w:type="spellStart"/>
            <w:r w:rsidRPr="007577A5">
              <w:t>hapū</w:t>
            </w:r>
            <w:proofErr w:type="spellEnd"/>
            <w:r w:rsidRPr="007577A5">
              <w:t xml:space="preserve"> mama, their </w:t>
            </w:r>
            <w:proofErr w:type="gramStart"/>
            <w:r w:rsidRPr="007577A5">
              <w:t>pregnancy</w:t>
            </w:r>
            <w:proofErr w:type="gramEnd"/>
            <w:r w:rsidRPr="007577A5">
              <w:t xml:space="preserve"> and their role in the whānau. As individuals, </w:t>
            </w:r>
            <w:proofErr w:type="spellStart"/>
            <w:r w:rsidRPr="007577A5">
              <w:t>hapū</w:t>
            </w:r>
            <w:proofErr w:type="spellEnd"/>
            <w:r w:rsidRPr="007577A5">
              <w:t xml:space="preserve"> mama are </w:t>
            </w:r>
            <w:proofErr w:type="gramStart"/>
            <w:r w:rsidRPr="007577A5">
              <w:t>important</w:t>
            </w:r>
            <w:r w:rsidR="00ED79A6">
              <w:t xml:space="preserve"> in their own right</w:t>
            </w:r>
            <w:proofErr w:type="gramEnd"/>
            <w:r w:rsidRPr="007577A5">
              <w:t xml:space="preserve">. However, within the whānau, they can </w:t>
            </w:r>
            <w:r w:rsidR="00ED79A6">
              <w:t xml:space="preserve">also </w:t>
            </w:r>
            <w:r w:rsidRPr="007577A5">
              <w:t>be influencers and champions of wellbeing. Recogni</w:t>
            </w:r>
            <w:r w:rsidR="00EC6371">
              <w:t>s</w:t>
            </w:r>
            <w:r w:rsidRPr="007577A5">
              <w:t xml:space="preserve">ing that the immunization journey can start with mama to </w:t>
            </w:r>
            <w:proofErr w:type="spellStart"/>
            <w:r w:rsidRPr="007577A5">
              <w:t>p</w:t>
            </w:r>
            <w:r w:rsidR="00EC6371">
              <w:t>ē</w:t>
            </w:r>
            <w:r w:rsidRPr="007577A5">
              <w:t>pi</w:t>
            </w:r>
            <w:proofErr w:type="spellEnd"/>
            <w:r w:rsidRPr="007577A5">
              <w:t xml:space="preserve"> and </w:t>
            </w:r>
            <w:proofErr w:type="spellStart"/>
            <w:r w:rsidRPr="007577A5">
              <w:t>tamariki</w:t>
            </w:r>
            <w:proofErr w:type="spellEnd"/>
            <w:r w:rsidRPr="007577A5">
              <w:t xml:space="preserve">, the DHB set about to break down the barriers for </w:t>
            </w:r>
            <w:proofErr w:type="spellStart"/>
            <w:r w:rsidRPr="007577A5">
              <w:t>hapū</w:t>
            </w:r>
            <w:proofErr w:type="spellEnd"/>
            <w:r w:rsidRPr="007577A5">
              <w:t xml:space="preserve"> mama to access vaccinations. Instinctively this means working with the whole whānau. Firstly, DHB staff, including nurses, attend the marae-based antenatal programme. The programme is attended by grandparents, parents and </w:t>
            </w:r>
            <w:proofErr w:type="spellStart"/>
            <w:r w:rsidRPr="007577A5">
              <w:t>kaum</w:t>
            </w:r>
            <w:r w:rsidR="00EC6371">
              <w:t>ā</w:t>
            </w:r>
            <w:r w:rsidRPr="007577A5">
              <w:t>tua</w:t>
            </w:r>
            <w:proofErr w:type="spellEnd"/>
            <w:r w:rsidRPr="007577A5">
              <w:t xml:space="preserve"> supporting the younger women. Often there is </w:t>
            </w:r>
            <w:proofErr w:type="spellStart"/>
            <w:r w:rsidRPr="007577A5">
              <w:t>tamariki</w:t>
            </w:r>
            <w:proofErr w:type="spellEnd"/>
            <w:r w:rsidRPr="007577A5">
              <w:t xml:space="preserve"> there as well. Vaccination information is shared through a whakapapa lens of protecting </w:t>
            </w:r>
            <w:proofErr w:type="spellStart"/>
            <w:r w:rsidRPr="007577A5">
              <w:t>mokopuna</w:t>
            </w:r>
            <w:proofErr w:type="spellEnd"/>
            <w:r w:rsidRPr="007577A5">
              <w:t xml:space="preserve">. </w:t>
            </w:r>
            <w:proofErr w:type="spellStart"/>
            <w:r w:rsidRPr="007577A5">
              <w:t>Hapū</w:t>
            </w:r>
            <w:proofErr w:type="spellEnd"/>
            <w:r w:rsidRPr="007577A5">
              <w:t xml:space="preserve"> mama, nanny and even the </w:t>
            </w:r>
            <w:proofErr w:type="spellStart"/>
            <w:r w:rsidRPr="007577A5">
              <w:t>ringawera</w:t>
            </w:r>
            <w:proofErr w:type="spellEnd"/>
            <w:r w:rsidRPr="007577A5">
              <w:t xml:space="preserve"> decide to get vaccinated. During this time, DHB staff also provide other health information relevant to the whole whānau. For those who are still unsure, there is a follow-up phone call. Phone calls and face-to-face hui with Lead Maternity Carers (LMCs) offer support for administering </w:t>
            </w:r>
            <w:r>
              <w:t>flu</w:t>
            </w:r>
            <w:r w:rsidRPr="007577A5">
              <w:t xml:space="preserve"> vaccines</w:t>
            </w:r>
            <w:r>
              <w:t xml:space="preserve">. </w:t>
            </w:r>
            <w:r w:rsidRPr="007577A5">
              <w:t xml:space="preserve">Based on the </w:t>
            </w:r>
            <w:proofErr w:type="spellStart"/>
            <w:r w:rsidRPr="007577A5">
              <w:t>hapū</w:t>
            </w:r>
            <w:proofErr w:type="spellEnd"/>
            <w:r w:rsidRPr="007577A5">
              <w:t xml:space="preserve"> mama’s location, phone calls are made to local pharmacies to check supply. In the cases where pharmacies lack supply, vaccines are re-distributed to reflect where </w:t>
            </w:r>
            <w:proofErr w:type="spellStart"/>
            <w:r w:rsidRPr="007577A5">
              <w:t>hapū</w:t>
            </w:r>
            <w:proofErr w:type="spellEnd"/>
            <w:r w:rsidRPr="007577A5">
              <w:t xml:space="preserve"> mamas are likely to visit regularly, </w:t>
            </w:r>
            <w:r w:rsidR="00ED79A6">
              <w:t>such as</w:t>
            </w:r>
            <w:r w:rsidRPr="007577A5">
              <w:t xml:space="preserve"> shopping mall</w:t>
            </w:r>
            <w:r>
              <w:t xml:space="preserve"> pharmacies. </w:t>
            </w:r>
          </w:p>
        </w:tc>
      </w:tr>
      <w:tr w:rsidR="006E085C" w14:paraId="71BDC2B7" w14:textId="77777777" w:rsidTr="006E085C">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tcPr>
          <w:p w14:paraId="1BBF11F9" w14:textId="77777777" w:rsidR="006E085C" w:rsidRPr="007D7000" w:rsidRDefault="006E085C" w:rsidP="006E085C">
            <w:pPr>
              <w:pStyle w:val="BodyText"/>
              <w:numPr>
                <w:ilvl w:val="0"/>
                <w:numId w:val="0"/>
              </w:numPr>
              <w:rPr>
                <w:b w:val="0"/>
                <w:bCs w:val="0"/>
              </w:rPr>
            </w:pPr>
            <w:r w:rsidRPr="007D7000">
              <w:rPr>
                <w:rFonts w:ascii="Arial Nova" w:hAnsi="Arial Nova"/>
                <w:b w:val="0"/>
                <w:bCs w:val="0"/>
                <w:color w:val="44546A" w:themeColor="text2"/>
              </w:rPr>
              <w:t>Whānau-centred services provide culturally and clinically competent services and support to whānau</w:t>
            </w:r>
            <w:r w:rsidRPr="007D7000">
              <w:rPr>
                <w:b w:val="0"/>
                <w:bCs w:val="0"/>
              </w:rPr>
              <w:t xml:space="preserve"> </w:t>
            </w:r>
          </w:p>
        </w:tc>
        <w:tc>
          <w:tcPr>
            <w:tcW w:w="5663" w:type="dxa"/>
          </w:tcPr>
          <w:p w14:paraId="0C213A14" w14:textId="78EC0E0C" w:rsidR="006E085C" w:rsidRPr="002B0FAA" w:rsidRDefault="006E085C" w:rsidP="006E085C">
            <w:pPr>
              <w:cnfStyle w:val="000000000000" w:firstRow="0" w:lastRow="0" w:firstColumn="0" w:lastColumn="0" w:oddVBand="0" w:evenVBand="0" w:oddHBand="0" w:evenHBand="0" w:firstRowFirstColumn="0" w:firstRowLastColumn="0" w:lastRowFirstColumn="0" w:lastRowLastColumn="0"/>
            </w:pPr>
            <w:r w:rsidRPr="002B0FAA">
              <w:t>An iwi provider</w:t>
            </w:r>
            <w:r w:rsidR="00ED79A6">
              <w:t xml:space="preserve"> is</w:t>
            </w:r>
            <w:r w:rsidRPr="002B0FAA">
              <w:t xml:space="preserve"> partnered with the DHB and another local provider </w:t>
            </w:r>
            <w:r w:rsidR="00ED79A6">
              <w:t>to</w:t>
            </w:r>
            <w:r w:rsidRPr="002B0FAA">
              <w:t xml:space="preserve"> run a community</w:t>
            </w:r>
            <w:r w:rsidR="00ED79A6">
              <w:t>-</w:t>
            </w:r>
            <w:r w:rsidRPr="002B0FAA">
              <w:t xml:space="preserve">based </w:t>
            </w:r>
            <w:r>
              <w:t>COVID-19</w:t>
            </w:r>
            <w:r w:rsidRPr="002B0FAA">
              <w:t xml:space="preserve"> testing clinic. </w:t>
            </w:r>
            <w:r w:rsidR="00ED79A6">
              <w:t>T</w:t>
            </w:r>
            <w:r w:rsidRPr="002B0FAA">
              <w:t xml:space="preserve">he iwi provider is applying a </w:t>
            </w:r>
            <w:r w:rsidR="00ED79A6">
              <w:t>W</w:t>
            </w:r>
            <w:r w:rsidRPr="002B0FAA">
              <w:t xml:space="preserve">hānau </w:t>
            </w:r>
            <w:r w:rsidR="00ED79A6">
              <w:t>O</w:t>
            </w:r>
            <w:r w:rsidRPr="002B0FAA">
              <w:t xml:space="preserve">ra approach. They have a deep understanding and strong connection with Māori whānau in the </w:t>
            </w:r>
            <w:proofErr w:type="spellStart"/>
            <w:r w:rsidRPr="002B0FAA">
              <w:t>rohe</w:t>
            </w:r>
            <w:proofErr w:type="spellEnd"/>
            <w:r w:rsidRPr="002B0FAA">
              <w:t xml:space="preserve">. Through the clinic, they saw an opportunity to integrate their MIVP </w:t>
            </w:r>
            <w:r>
              <w:t>flu</w:t>
            </w:r>
            <w:r w:rsidRPr="002B0FAA">
              <w:t xml:space="preserve"> vaccinations. With a Dr and whānau </w:t>
            </w:r>
            <w:proofErr w:type="spellStart"/>
            <w:r w:rsidRPr="002B0FAA">
              <w:t>ora</w:t>
            </w:r>
            <w:proofErr w:type="spellEnd"/>
            <w:r w:rsidRPr="002B0FAA">
              <w:t xml:space="preserve"> </w:t>
            </w:r>
            <w:proofErr w:type="spellStart"/>
            <w:r w:rsidRPr="002B0FAA">
              <w:t>kaimahi</w:t>
            </w:r>
            <w:proofErr w:type="spellEnd"/>
            <w:r w:rsidRPr="002B0FAA">
              <w:t xml:space="preserve"> on-site, the uptake of </w:t>
            </w:r>
            <w:r>
              <w:t>flu</w:t>
            </w:r>
            <w:r w:rsidRPr="002B0FAA">
              <w:t xml:space="preserve"> vaccinations increases. Although whānau are triaged clinically, a significant part of the assessment is their social needs. The iwi provider identifies whānau struggling to buy food, those no longer employed, and any broader health issues. Tamariki are treated for skin infections and toothaches. As the testing rates slow at the clinic, </w:t>
            </w:r>
            <w:proofErr w:type="spellStart"/>
            <w:r w:rsidRPr="002B0FAA">
              <w:t>kaimahi</w:t>
            </w:r>
            <w:proofErr w:type="spellEnd"/>
            <w:r w:rsidRPr="002B0FAA">
              <w:t xml:space="preserve"> take the opportunity, through MIVP, to became </w:t>
            </w:r>
            <w:r w:rsidRPr="002B0FAA">
              <w:lastRenderedPageBreak/>
              <w:t xml:space="preserve">accredited vaccinators and mobilise the service. Home visits to whānau in remote rural areas, those with disabilities, no transport, or who cannot drive do not have to explain or feel </w:t>
            </w:r>
            <w:proofErr w:type="spellStart"/>
            <w:r w:rsidRPr="002B0FAA">
              <w:t>whakama</w:t>
            </w:r>
            <w:proofErr w:type="spellEnd"/>
            <w:r w:rsidRPr="002B0FAA">
              <w:t xml:space="preserve"> about their situations. The </w:t>
            </w:r>
            <w:proofErr w:type="spellStart"/>
            <w:r w:rsidRPr="002B0FAA">
              <w:t>kaimahi</w:t>
            </w:r>
            <w:proofErr w:type="spellEnd"/>
            <w:r w:rsidRPr="002B0FAA">
              <w:t xml:space="preserve"> connect with their whānau and ensure that they have what they need. They bring kai and water packs and vaccines, for the whole whā</w:t>
            </w:r>
            <w:r>
              <w:t>n</w:t>
            </w:r>
            <w:r w:rsidRPr="002B0FAA">
              <w:t xml:space="preserve">au if required. Two significant barriers, </w:t>
            </w:r>
            <w:proofErr w:type="gramStart"/>
            <w:r w:rsidRPr="002B0FAA">
              <w:t>costs</w:t>
            </w:r>
            <w:proofErr w:type="gramEnd"/>
            <w:r w:rsidRPr="002B0FAA">
              <w:t xml:space="preserve"> and access to treatment</w:t>
            </w:r>
            <w:r>
              <w:t>s, are</w:t>
            </w:r>
            <w:r w:rsidRPr="002B0FAA">
              <w:t xml:space="preserve"> eliminated</w:t>
            </w:r>
            <w:r>
              <w:t>.</w:t>
            </w:r>
          </w:p>
        </w:tc>
      </w:tr>
    </w:tbl>
    <w:p w14:paraId="1EDFDE6D" w14:textId="77777777" w:rsidR="00905275" w:rsidRDefault="00905275" w:rsidP="00905275">
      <w:pPr>
        <w:pStyle w:val="NoSpacing"/>
      </w:pPr>
    </w:p>
    <w:p w14:paraId="13AF9CF2" w14:textId="7EB69D84" w:rsidR="00701C17" w:rsidRPr="00DF3F74" w:rsidRDefault="00701C17" w:rsidP="002E2269">
      <w:pPr>
        <w:pStyle w:val="Heading2"/>
      </w:pPr>
      <w:bookmarkStart w:id="92" w:name="_Toc70763274"/>
      <w:r>
        <w:t>MIVP whānau-centred delivery components</w:t>
      </w:r>
      <w:bookmarkEnd w:id="92"/>
    </w:p>
    <w:p w14:paraId="5324A7A9" w14:textId="6FC6D372" w:rsidR="00701C17" w:rsidRPr="005D790C" w:rsidRDefault="00D57F19" w:rsidP="00701C17">
      <w:pPr>
        <w:pStyle w:val="BodyText"/>
        <w:rPr>
          <w:rFonts w:asciiTheme="minorHAnsi" w:hAnsiTheme="minorHAnsi" w:cstheme="minorBidi"/>
          <w:szCs w:val="20"/>
        </w:rPr>
      </w:pPr>
      <w:r>
        <w:t xml:space="preserve">The evaluation identified nine delivery </w:t>
      </w:r>
      <w:r w:rsidR="00701C17">
        <w:t xml:space="preserve">components </w:t>
      </w:r>
      <w:r>
        <w:t xml:space="preserve">that underpin the </w:t>
      </w:r>
      <w:r w:rsidR="00701C17">
        <w:t xml:space="preserve">MIVP </w:t>
      </w:r>
      <w:r w:rsidR="00701C17" w:rsidRPr="006D1BCD">
        <w:t>whānau-centred approach</w:t>
      </w:r>
      <w:r w:rsidR="00701C17">
        <w:t xml:space="preserve">. </w:t>
      </w:r>
      <w:r>
        <w:t>Overall, p</w:t>
      </w:r>
      <w:r w:rsidR="00701C17" w:rsidRPr="006D1BCD">
        <w:t>roviders respond</w:t>
      </w:r>
      <w:r w:rsidR="00701C17">
        <w:t>ed</w:t>
      </w:r>
      <w:r w:rsidR="00701C17" w:rsidRPr="006D1BCD">
        <w:t xml:space="preserve"> </w:t>
      </w:r>
      <w:r w:rsidR="00701C17">
        <w:t xml:space="preserve">holistically to the </w:t>
      </w:r>
      <w:r w:rsidR="00701C17" w:rsidRPr="006D1BCD">
        <w:t>wellbeing</w:t>
      </w:r>
      <w:r w:rsidR="00701C17">
        <w:t xml:space="preserve"> needs</w:t>
      </w:r>
      <w:r w:rsidR="00701C17" w:rsidRPr="006D1BCD">
        <w:t xml:space="preserve"> of whānau,</w:t>
      </w:r>
      <w:r w:rsidR="00701C17">
        <w:t xml:space="preserve"> </w:t>
      </w:r>
      <w:r w:rsidR="00701C17" w:rsidRPr="006D1BCD">
        <w:t>provid</w:t>
      </w:r>
      <w:r w:rsidR="00701C17">
        <w:t>ing</w:t>
      </w:r>
      <w:r w:rsidR="00701C17" w:rsidRPr="006D1BCD">
        <w:t xml:space="preserve"> integrated care. </w:t>
      </w:r>
      <w:r w:rsidR="00701C17">
        <w:t xml:space="preserve">Each approach reflected the provider’s context, their cultural and clinical knowledge, and their understanding of whānau needs in their community. </w:t>
      </w:r>
    </w:p>
    <w:p w14:paraId="4040DDA1" w14:textId="451B7236" w:rsidR="00701C17" w:rsidRPr="006D1BCD" w:rsidRDefault="00D57F19" w:rsidP="00701C17">
      <w:pPr>
        <w:pStyle w:val="BodyText"/>
        <w:rPr>
          <w:rFonts w:asciiTheme="minorHAnsi" w:hAnsiTheme="minorHAnsi" w:cstheme="minorBidi"/>
          <w:szCs w:val="20"/>
        </w:rPr>
      </w:pPr>
      <w:r>
        <w:t xml:space="preserve">Key </w:t>
      </w:r>
      <w:r w:rsidR="00701C17" w:rsidRPr="00FD4D58">
        <w:t xml:space="preserve">components of </w:t>
      </w:r>
      <w:r w:rsidR="00701C17">
        <w:t>a MIVP whānau-centred approach included:</w:t>
      </w:r>
    </w:p>
    <w:p w14:paraId="13833E29" w14:textId="6999201E" w:rsidR="00701C17" w:rsidRPr="00345F54" w:rsidRDefault="002E2269" w:rsidP="002E2269">
      <w:pPr>
        <w:rPr>
          <w:rFonts w:eastAsiaTheme="minorEastAsia"/>
        </w:rPr>
      </w:pPr>
      <w:r>
        <w:rPr>
          <w:b/>
          <w:bCs/>
        </w:rPr>
        <w:t xml:space="preserve">1. </w:t>
      </w:r>
      <w:r w:rsidRPr="002E2269">
        <w:rPr>
          <w:b/>
          <w:bCs/>
        </w:rPr>
        <w:t>Whānau first</w:t>
      </w:r>
      <w:r w:rsidR="00C45871">
        <w:t>, that is</w:t>
      </w:r>
      <w:r>
        <w:t>, w</w:t>
      </w:r>
      <w:r w:rsidR="00701C17" w:rsidRPr="00345F54">
        <w:t xml:space="preserve">hānau </w:t>
      </w:r>
      <w:r w:rsidR="00CA3202">
        <w:t>needs drive engagement</w:t>
      </w:r>
      <w:r w:rsidR="00701C17" w:rsidRPr="00345F54">
        <w:t xml:space="preserve">. This underpinned all actions, </w:t>
      </w:r>
      <w:proofErr w:type="gramStart"/>
      <w:r w:rsidR="00701C17" w:rsidRPr="00345F54">
        <w:t>communication</w:t>
      </w:r>
      <w:proofErr w:type="gramEnd"/>
      <w:r w:rsidR="00701C17" w:rsidRPr="00345F54">
        <w:t xml:space="preserve"> and delivery. Whānau needs drove service development, including planning and delivery. Despite contract specifications and allocated resources, providers delivered to whānau needs. This meant that providers connected whānau to other services and providers </w:t>
      </w:r>
      <w:r w:rsidR="00C45871">
        <w:t>too</w:t>
      </w:r>
      <w:r w:rsidR="00701C17" w:rsidRPr="00345F54">
        <w:t xml:space="preserve">. Although an individual might access the service for a particular health issue, </w:t>
      </w:r>
      <w:r w:rsidR="00C45871">
        <w:t>in this case a</w:t>
      </w:r>
      <w:r w:rsidR="00C45871" w:rsidRPr="00345F54">
        <w:t xml:space="preserve"> </w:t>
      </w:r>
      <w:r w:rsidR="00701C17" w:rsidRPr="00345F54">
        <w:t>vaccination, providers treated the whole whānau holistically and considered the wider health and social needs.</w:t>
      </w:r>
    </w:p>
    <w:p w14:paraId="2CF4681D" w14:textId="13567102" w:rsidR="00701C17" w:rsidRPr="00345F54" w:rsidRDefault="00701C17" w:rsidP="00EC6371">
      <w:pPr>
        <w:pStyle w:val="QuoteSmallBlue"/>
      </w:pPr>
      <w:r w:rsidRPr="00345F54">
        <w:t xml:space="preserve">Because providers deal with whānau all the time, and you know they might be </w:t>
      </w:r>
      <w:r w:rsidR="00EC6371">
        <w:t xml:space="preserve">delivering </w:t>
      </w:r>
      <w:r w:rsidRPr="00345F54">
        <w:t xml:space="preserve">drug and alcohol </w:t>
      </w:r>
      <w:r w:rsidR="00EC6371">
        <w:t xml:space="preserve">services </w:t>
      </w:r>
      <w:r w:rsidRPr="00345F54">
        <w:t xml:space="preserve">for example but </w:t>
      </w:r>
      <w:proofErr w:type="gramStart"/>
      <w:r w:rsidRPr="00345F54">
        <w:t>they’re</w:t>
      </w:r>
      <w:proofErr w:type="gramEnd"/>
      <w:r w:rsidRPr="00345F54">
        <w:t xml:space="preserve"> not just dealing with that. They’re dealing with you know everything in the </w:t>
      </w:r>
      <w:proofErr w:type="gramStart"/>
      <w:r w:rsidRPr="00345F54">
        <w:t>whānau.(</w:t>
      </w:r>
      <w:proofErr w:type="gramEnd"/>
      <w:r w:rsidRPr="00345F54">
        <w:t>DHB GM Māori)</w:t>
      </w:r>
    </w:p>
    <w:p w14:paraId="374AE35F" w14:textId="19D61FCE" w:rsidR="00701C17" w:rsidRPr="00345F54" w:rsidRDefault="00D57F19" w:rsidP="002E2269">
      <w:pPr>
        <w:rPr>
          <w:rFonts w:eastAsiaTheme="minorEastAsia"/>
        </w:rPr>
      </w:pPr>
      <w:r w:rsidRPr="002E2269">
        <w:rPr>
          <w:rFonts w:eastAsiaTheme="minorEastAsia"/>
          <w:b/>
          <w:bCs/>
        </w:rPr>
        <w:t xml:space="preserve">2. </w:t>
      </w:r>
      <w:r w:rsidR="00CA3202" w:rsidRPr="002E2269">
        <w:rPr>
          <w:rFonts w:eastAsiaTheme="minorEastAsia"/>
          <w:b/>
          <w:bCs/>
        </w:rPr>
        <w:t>I</w:t>
      </w:r>
      <w:r w:rsidR="00701C17" w:rsidRPr="002E2269">
        <w:rPr>
          <w:rFonts w:eastAsiaTheme="minorEastAsia"/>
          <w:b/>
          <w:bCs/>
        </w:rPr>
        <w:t>ntentional and inclusive</w:t>
      </w:r>
      <w:r w:rsidR="00DE1461" w:rsidRPr="002E2269">
        <w:rPr>
          <w:rFonts w:eastAsiaTheme="minorEastAsia"/>
          <w:b/>
          <w:bCs/>
        </w:rPr>
        <w:t xml:space="preserve"> focus</w:t>
      </w:r>
      <w:r w:rsidR="00701C17" w:rsidRPr="00345F54">
        <w:rPr>
          <w:rFonts w:eastAsiaTheme="minorEastAsia"/>
        </w:rPr>
        <w:t>. Provider approaches to whānau were targeted and</w:t>
      </w:r>
      <w:r w:rsidR="00CA6507">
        <w:rPr>
          <w:rFonts w:eastAsiaTheme="minorEastAsia"/>
        </w:rPr>
        <w:t xml:space="preserve"> purposeful</w:t>
      </w:r>
      <w:r w:rsidR="00701C17" w:rsidRPr="00345F54">
        <w:rPr>
          <w:rFonts w:eastAsiaTheme="minorEastAsia"/>
        </w:rPr>
        <w:t>. Although providers offered vaccines or other health</w:t>
      </w:r>
      <w:r w:rsidR="00C45871">
        <w:rPr>
          <w:rFonts w:eastAsiaTheme="minorEastAsia"/>
        </w:rPr>
        <w:t xml:space="preserve"> and </w:t>
      </w:r>
      <w:r w:rsidR="00701C17" w:rsidRPr="00345F54">
        <w:rPr>
          <w:rFonts w:eastAsiaTheme="minorEastAsia"/>
        </w:rPr>
        <w:t xml:space="preserve">social services </w:t>
      </w:r>
      <w:r w:rsidR="00C45871">
        <w:rPr>
          <w:rFonts w:eastAsiaTheme="minorEastAsia"/>
        </w:rPr>
        <w:t>without knowing beforehand exactly which would be required</w:t>
      </w:r>
      <w:r w:rsidR="00701C17" w:rsidRPr="00345F54">
        <w:rPr>
          <w:rFonts w:eastAsiaTheme="minorEastAsia"/>
        </w:rPr>
        <w:t xml:space="preserve">, the intent was to always respond broadly to whānau needs, being inclusive of who was in the home, the car, or room at the time. </w:t>
      </w:r>
    </w:p>
    <w:p w14:paraId="4F018E40" w14:textId="7A30B437" w:rsidR="00701C17" w:rsidRPr="00345F54" w:rsidRDefault="00701C17" w:rsidP="00EC6371">
      <w:pPr>
        <w:pStyle w:val="QuoteSmallBlue"/>
      </w:pPr>
      <w:r w:rsidRPr="00345F54">
        <w:t xml:space="preserve">This was good because [it] was a focused area for us. It just gave us more opportunities to get [the vaccine] out you know. Whereas normally </w:t>
      </w:r>
      <w:proofErr w:type="gramStart"/>
      <w:r w:rsidRPr="00345F54">
        <w:t>you’d</w:t>
      </w:r>
      <w:proofErr w:type="gramEnd"/>
      <w:r w:rsidRPr="00345F54">
        <w:t xml:space="preserve"> only just do it if somebody was coming in. You know normally, I mean we’ve got Tamariki Ora, we’ve got you know, we’ve got </w:t>
      </w:r>
      <w:proofErr w:type="spellStart"/>
      <w:r w:rsidRPr="00345F54">
        <w:t>kaum</w:t>
      </w:r>
      <w:r w:rsidR="00EC6371">
        <w:t>ā</w:t>
      </w:r>
      <w:r w:rsidRPr="00345F54">
        <w:t>tua</w:t>
      </w:r>
      <w:proofErr w:type="spellEnd"/>
      <w:r w:rsidRPr="00345F54">
        <w:t xml:space="preserve"> program</w:t>
      </w:r>
      <w:r w:rsidR="00C45871">
        <w:t>me</w:t>
      </w:r>
      <w:r w:rsidRPr="00345F54">
        <w:t xml:space="preserve">s and we’ve got you know, we’ve got lots of different </w:t>
      </w:r>
      <w:proofErr w:type="gramStart"/>
      <w:r w:rsidRPr="00345F54">
        <w:t>services</w:t>
      </w:r>
      <w:proofErr w:type="gramEnd"/>
      <w:r w:rsidRPr="00345F54">
        <w:t xml:space="preserve"> but you know a lot of them are all over the place. </w:t>
      </w:r>
      <w:proofErr w:type="gramStart"/>
      <w:r w:rsidRPr="00345F54">
        <w:t>So</w:t>
      </w:r>
      <w:proofErr w:type="gramEnd"/>
      <w:r w:rsidRPr="00345F54">
        <w:t xml:space="preserve"> it’s good having immunisation outreach, just going</w:t>
      </w:r>
      <w:r w:rsidR="00C45871">
        <w:t>…</w:t>
      </w:r>
      <w:r w:rsidRPr="00345F54">
        <w:t xml:space="preserve"> out [to whānau]. (Provider – direct</w:t>
      </w:r>
      <w:r w:rsidR="00C45871">
        <w:t>-</w:t>
      </w:r>
      <w:r w:rsidRPr="00345F54">
        <w:t>funded)</w:t>
      </w:r>
    </w:p>
    <w:p w14:paraId="09BB05D2" w14:textId="3666764A" w:rsidR="00701C17" w:rsidRPr="00345F54" w:rsidRDefault="00D57F19" w:rsidP="002E2269">
      <w:pPr>
        <w:rPr>
          <w:rFonts w:eastAsiaTheme="minorEastAsia"/>
        </w:rPr>
      </w:pPr>
      <w:r w:rsidRPr="002E2269">
        <w:rPr>
          <w:rFonts w:eastAsiaTheme="minorEastAsia"/>
          <w:b/>
          <w:bCs/>
        </w:rPr>
        <w:t xml:space="preserve">3. </w:t>
      </w:r>
      <w:r w:rsidR="002E2269">
        <w:rPr>
          <w:rFonts w:eastAsiaTheme="minorEastAsia"/>
          <w:b/>
          <w:bCs/>
        </w:rPr>
        <w:t>Prioritise l</w:t>
      </w:r>
      <w:r w:rsidR="00701C17" w:rsidRPr="002E2269">
        <w:rPr>
          <w:rFonts w:eastAsiaTheme="minorEastAsia"/>
          <w:b/>
          <w:bCs/>
        </w:rPr>
        <w:t>ong-term relationships</w:t>
      </w:r>
      <w:r w:rsidR="00701C17" w:rsidRPr="00345F54">
        <w:rPr>
          <w:rFonts w:eastAsiaTheme="minorEastAsia"/>
        </w:rPr>
        <w:t xml:space="preserve">. </w:t>
      </w:r>
      <w:r w:rsidR="00C45871">
        <w:rPr>
          <w:rFonts w:eastAsiaTheme="minorEastAsia"/>
        </w:rPr>
        <w:t>R</w:t>
      </w:r>
      <w:r w:rsidR="00701C17" w:rsidRPr="00345F54">
        <w:rPr>
          <w:rFonts w:eastAsiaTheme="minorEastAsia"/>
        </w:rPr>
        <w:t>elationships between providers and whānau are critical</w:t>
      </w:r>
      <w:r w:rsidR="00C45871" w:rsidRPr="00C45871">
        <w:rPr>
          <w:rFonts w:eastAsiaTheme="minorEastAsia"/>
        </w:rPr>
        <w:t xml:space="preserve"> </w:t>
      </w:r>
      <w:r w:rsidR="00C45871">
        <w:rPr>
          <w:rFonts w:eastAsiaTheme="minorEastAsia"/>
        </w:rPr>
        <w:t xml:space="preserve">when </w:t>
      </w:r>
      <w:r w:rsidR="00C45871" w:rsidRPr="00345F54">
        <w:rPr>
          <w:rFonts w:eastAsiaTheme="minorEastAsia"/>
        </w:rPr>
        <w:t>taking a whānau-centred approach to vaccinations</w:t>
      </w:r>
      <w:r w:rsidR="00701C17" w:rsidRPr="00345F54">
        <w:rPr>
          <w:rFonts w:eastAsiaTheme="minorEastAsia"/>
        </w:rPr>
        <w:t xml:space="preserve">. </w:t>
      </w:r>
      <w:r w:rsidR="00701C17" w:rsidRPr="00345F54">
        <w:t xml:space="preserve">For some providers, the flu vaccinations were a useful way to approach whānau, and providers sometimes vaccinated whānau for the first time. However, providers also used the opportunity to offer other services, which allowed them to develop and build their relationship with whānau for future engagement. </w:t>
      </w:r>
    </w:p>
    <w:p w14:paraId="66DAF139" w14:textId="73991423" w:rsidR="00701C17" w:rsidRPr="00345F54" w:rsidRDefault="00701C17" w:rsidP="00EC6371">
      <w:pPr>
        <w:pStyle w:val="QuoteSmallBlue"/>
      </w:pPr>
      <w:r w:rsidRPr="00345F54">
        <w:t>And the marae was great because they were saying</w:t>
      </w:r>
      <w:r w:rsidR="00C45871">
        <w:t>,</w:t>
      </w:r>
      <w:r w:rsidRPr="00345F54">
        <w:t xml:space="preserve"> </w:t>
      </w:r>
      <w:r w:rsidR="00C45871">
        <w:t>‘O</w:t>
      </w:r>
      <w:r w:rsidRPr="00345F54">
        <w:t>h you go Toby you go and get the vaccine</w:t>
      </w:r>
      <w:r w:rsidR="00C45871">
        <w:t>;</w:t>
      </w:r>
      <w:r w:rsidRPr="00345F54">
        <w:t xml:space="preserve"> you’ve never had </w:t>
      </w:r>
      <w:proofErr w:type="gramStart"/>
      <w:r w:rsidRPr="00345F54">
        <w:t>it</w:t>
      </w:r>
      <w:proofErr w:type="gramEnd"/>
      <w:r w:rsidRPr="00345F54">
        <w:t xml:space="preserve"> Toby.</w:t>
      </w:r>
      <w:r w:rsidR="00C45871">
        <w:t>’</w:t>
      </w:r>
      <w:r w:rsidRPr="00345F54">
        <w:t xml:space="preserve"> It was kind of really good cause they said</w:t>
      </w:r>
      <w:r w:rsidR="00C45871">
        <w:t>,</w:t>
      </w:r>
      <w:r w:rsidRPr="00345F54">
        <w:t xml:space="preserve"> </w:t>
      </w:r>
      <w:r w:rsidR="00C45871">
        <w:t>‘B</w:t>
      </w:r>
      <w:r w:rsidRPr="00345F54">
        <w:t>ut you know you got sick last year remember Toby.</w:t>
      </w:r>
      <w:r w:rsidR="00C45871">
        <w:t>’</w:t>
      </w:r>
      <w:r w:rsidRPr="00345F54">
        <w:t xml:space="preserve"> And I was thinking </w:t>
      </w:r>
      <w:r w:rsidR="00C45871">
        <w:t>‘O</w:t>
      </w:r>
      <w:r w:rsidRPr="00345F54">
        <w:t>h shivers this is nothing like what would happen in a GP practice</w:t>
      </w:r>
      <w:r w:rsidR="00C45871">
        <w:t>’,</w:t>
      </w:r>
      <w:r w:rsidRPr="00345F54">
        <w:t xml:space="preserve"> but it worked… They just kind of enjoy it; the banter and the </w:t>
      </w:r>
      <w:r w:rsidR="00555BC9" w:rsidRPr="00345F54">
        <w:t>c</w:t>
      </w:r>
      <w:r w:rsidR="00555BC9">
        <w:t>a</w:t>
      </w:r>
      <w:r w:rsidR="00555BC9" w:rsidRPr="00345F54">
        <w:t>m</w:t>
      </w:r>
      <w:r w:rsidR="00555BC9">
        <w:t>a</w:t>
      </w:r>
      <w:r w:rsidR="00555BC9" w:rsidRPr="00345F54">
        <w:t>rader</w:t>
      </w:r>
      <w:r w:rsidR="00555BC9">
        <w:t>ie</w:t>
      </w:r>
      <w:r w:rsidRPr="00345F54">
        <w:t xml:space="preserve"> of people around you rather than worrying about it like when you go to a GP practice. </w:t>
      </w:r>
      <w:proofErr w:type="gramStart"/>
      <w:r w:rsidRPr="00345F54">
        <w:t>It’s</w:t>
      </w:r>
      <w:proofErr w:type="gramEnd"/>
      <w:r w:rsidRPr="00345F54">
        <w:t xml:space="preserve"> probably the way I would like to have my health services. (DHB Immunisation Coordinator)</w:t>
      </w:r>
    </w:p>
    <w:p w14:paraId="786510CA" w14:textId="32A32655" w:rsidR="00701C17" w:rsidRPr="00345F54" w:rsidRDefault="00D57F19" w:rsidP="002E2269">
      <w:pPr>
        <w:rPr>
          <w:rFonts w:eastAsiaTheme="minorEastAsia"/>
        </w:rPr>
      </w:pPr>
      <w:r w:rsidRPr="002E2269">
        <w:rPr>
          <w:rFonts w:eastAsiaTheme="minorEastAsia"/>
          <w:b/>
          <w:bCs/>
        </w:rPr>
        <w:t xml:space="preserve">4. </w:t>
      </w:r>
      <w:r w:rsidR="00701C17" w:rsidRPr="002E2269">
        <w:rPr>
          <w:rFonts w:eastAsiaTheme="minorEastAsia"/>
          <w:b/>
          <w:bCs/>
        </w:rPr>
        <w:t>Leverage networks.</w:t>
      </w:r>
      <w:r w:rsidR="00701C17" w:rsidRPr="00345F54">
        <w:rPr>
          <w:rFonts w:eastAsiaTheme="minorEastAsia"/>
        </w:rPr>
        <w:t xml:space="preserve"> Providers are connected to their communities and have strong relationships with iwi, </w:t>
      </w:r>
      <w:proofErr w:type="spellStart"/>
      <w:r w:rsidR="00701C17" w:rsidRPr="00345F54">
        <w:rPr>
          <w:rFonts w:eastAsiaTheme="minorEastAsia"/>
        </w:rPr>
        <w:t>hapū</w:t>
      </w:r>
      <w:proofErr w:type="spellEnd"/>
      <w:r w:rsidR="00701C17" w:rsidRPr="00345F54">
        <w:rPr>
          <w:rFonts w:eastAsiaTheme="minorEastAsia"/>
        </w:rPr>
        <w:t xml:space="preserve">, marae and other service providers. Providers leveraged their networks and </w:t>
      </w:r>
      <w:r w:rsidR="00701C17" w:rsidRPr="00345F54">
        <w:rPr>
          <w:rFonts w:eastAsiaTheme="minorEastAsia"/>
        </w:rPr>
        <w:lastRenderedPageBreak/>
        <w:t>relationships to support whānau. Approaches were developed by collaborating and working towards common goals.</w:t>
      </w:r>
    </w:p>
    <w:p w14:paraId="5842039A" w14:textId="5B336D29" w:rsidR="00701C17" w:rsidRPr="00345F54" w:rsidRDefault="00701C17" w:rsidP="00EC6371">
      <w:pPr>
        <w:pStyle w:val="QuoteSmallBlue"/>
      </w:pPr>
      <w:r w:rsidRPr="00345F54">
        <w:t>I think there was a bit of testing the waters between the different providers that were providing services there, you know</w:t>
      </w:r>
      <w:r w:rsidR="00A13702">
        <w:t>,</w:t>
      </w:r>
      <w:r w:rsidRPr="00345F54">
        <w:t xml:space="preserve"> sort of working their relationships out and ways of working together. But after that it went </w:t>
      </w:r>
      <w:proofErr w:type="gramStart"/>
      <w:r w:rsidRPr="00345F54">
        <w:t>really well</w:t>
      </w:r>
      <w:proofErr w:type="gramEnd"/>
      <w:r w:rsidRPr="00345F54">
        <w:t>. (DHB GM Māori)</w:t>
      </w:r>
    </w:p>
    <w:p w14:paraId="77910C46" w14:textId="38025549" w:rsidR="00701C17" w:rsidRPr="00345F54" w:rsidRDefault="00D57F19" w:rsidP="002E2269">
      <w:r w:rsidRPr="002E2269">
        <w:rPr>
          <w:b/>
          <w:bCs/>
        </w:rPr>
        <w:t xml:space="preserve">5. </w:t>
      </w:r>
      <w:r w:rsidR="00701C17" w:rsidRPr="002E2269">
        <w:rPr>
          <w:b/>
          <w:bCs/>
        </w:rPr>
        <w:t>Extend eligibility to whānau.</w:t>
      </w:r>
      <w:r w:rsidR="00701C17" w:rsidRPr="00345F54">
        <w:t xml:space="preserve"> All providers are aware of the eligibility criteria for free vaccinations. Most providers did not turn away whānau who </w:t>
      </w:r>
      <w:r w:rsidR="00A13702" w:rsidRPr="00345F54">
        <w:t xml:space="preserve">did not meet the eligibility criteria </w:t>
      </w:r>
      <w:r w:rsidR="00A13702">
        <w:t xml:space="preserve">and </w:t>
      </w:r>
      <w:r w:rsidR="00701C17" w:rsidRPr="00345F54">
        <w:t xml:space="preserve">presented for flu vaccinations. Aware of the </w:t>
      </w:r>
      <w:r w:rsidR="00A13702">
        <w:t xml:space="preserve">generally </w:t>
      </w:r>
      <w:r w:rsidR="00701C17" w:rsidRPr="00345F54">
        <w:t xml:space="preserve">low rates of flu vaccinations among Māori, providers considered it important to take the opportunity to extend protection to whānau and to improve equity for Māori. </w:t>
      </w:r>
    </w:p>
    <w:p w14:paraId="1290D7C3" w14:textId="1C9A1258" w:rsidR="00701C17" w:rsidRPr="00345F54" w:rsidRDefault="00701C17" w:rsidP="00EC6371">
      <w:pPr>
        <w:pStyle w:val="QuoteSmallBlue"/>
      </w:pPr>
      <w:r w:rsidRPr="00345F54">
        <w:t xml:space="preserve">Theoretically you needed to be over </w:t>
      </w:r>
      <w:r w:rsidR="00A13702">
        <w:t>65</w:t>
      </w:r>
      <w:r w:rsidRPr="00345F54">
        <w:t xml:space="preserve"> or in the vulnerable category to get a free vaccination. But whānau rock up and then there’s nanny and koro who are over </w:t>
      </w:r>
      <w:r w:rsidR="00A13702">
        <w:t>65</w:t>
      </w:r>
      <w:r w:rsidRPr="00345F54">
        <w:t xml:space="preserve">, and there’s maybe you know </w:t>
      </w:r>
      <w:proofErr w:type="gramStart"/>
      <w:r w:rsidRPr="00345F54">
        <w:t>a pepe</w:t>
      </w:r>
      <w:proofErr w:type="gramEnd"/>
      <w:r w:rsidRPr="00345F54">
        <w:t xml:space="preserve"> who</w:t>
      </w:r>
      <w:r w:rsidR="00A13702">
        <w:t>’s</w:t>
      </w:r>
      <w:r w:rsidRPr="00345F54">
        <w:t xml:space="preserve"> got asthma, and yet the caregiver doesn’t meet the vulnerable criteria, but if they get sick you know they’re the one that does the shopping and stuff. If they get </w:t>
      </w:r>
      <w:proofErr w:type="gramStart"/>
      <w:r w:rsidRPr="00345F54">
        <w:t>sick</w:t>
      </w:r>
      <w:proofErr w:type="gramEnd"/>
      <w:r w:rsidRPr="00345F54">
        <w:t xml:space="preserve"> they’re going to impact the whole whānau. And </w:t>
      </w:r>
      <w:proofErr w:type="gramStart"/>
      <w:r w:rsidRPr="00345F54">
        <w:t>so</w:t>
      </w:r>
      <w:proofErr w:type="gramEnd"/>
      <w:r w:rsidRPr="00345F54">
        <w:t xml:space="preserve"> it’s kind of like, </w:t>
      </w:r>
      <w:r w:rsidR="00A13702">
        <w:t>[</w:t>
      </w:r>
      <w:r w:rsidRPr="00345F54">
        <w:t>you give the vaccine</w:t>
      </w:r>
      <w:r w:rsidR="00A13702">
        <w:t>]</w:t>
      </w:r>
      <w:r w:rsidRPr="00345F54">
        <w:t xml:space="preserve"> or else you go </w:t>
      </w:r>
      <w:r w:rsidR="00A13702">
        <w:t>‘O</w:t>
      </w:r>
      <w:r w:rsidRPr="00345F54">
        <w:t>h it’s free for you, it’s free for you, oh $30 bucks (for you) thank you.</w:t>
      </w:r>
      <w:r w:rsidR="00A13702">
        <w:t>’</w:t>
      </w:r>
      <w:r w:rsidRPr="00345F54">
        <w:t xml:space="preserve"> (Provider – direct</w:t>
      </w:r>
      <w:r w:rsidR="00A13702">
        <w:t>-</w:t>
      </w:r>
      <w:r w:rsidRPr="00345F54">
        <w:t>funded)</w:t>
      </w:r>
    </w:p>
    <w:p w14:paraId="59B210E8" w14:textId="6E845417" w:rsidR="00701C17" w:rsidRPr="00345F54" w:rsidRDefault="00D57F19" w:rsidP="002E2269">
      <w:r w:rsidRPr="002E2269">
        <w:rPr>
          <w:b/>
          <w:bCs/>
        </w:rPr>
        <w:t xml:space="preserve">6. </w:t>
      </w:r>
      <w:r w:rsidR="002E2269" w:rsidRPr="002E2269">
        <w:rPr>
          <w:b/>
          <w:bCs/>
        </w:rPr>
        <w:t xml:space="preserve">Vaccination </w:t>
      </w:r>
      <w:r w:rsidR="00701C17" w:rsidRPr="002E2269">
        <w:rPr>
          <w:b/>
          <w:bCs/>
        </w:rPr>
        <w:t xml:space="preserve">opportunity </w:t>
      </w:r>
      <w:r w:rsidR="002E2269" w:rsidRPr="002E2269">
        <w:rPr>
          <w:b/>
          <w:bCs/>
        </w:rPr>
        <w:t xml:space="preserve">prioritised </w:t>
      </w:r>
      <w:r w:rsidR="00701C17" w:rsidRPr="002E2269">
        <w:rPr>
          <w:b/>
          <w:bCs/>
        </w:rPr>
        <w:t>over cost</w:t>
      </w:r>
      <w:r w:rsidR="00F02ED7">
        <w:rPr>
          <w:b/>
          <w:bCs/>
        </w:rPr>
        <w:t xml:space="preserve"> recovery</w:t>
      </w:r>
      <w:r w:rsidR="00701C17" w:rsidRPr="002E2269">
        <w:rPr>
          <w:b/>
          <w:bCs/>
        </w:rPr>
        <w:t>.</w:t>
      </w:r>
      <w:r w:rsidR="00701C17" w:rsidRPr="00345F54">
        <w:t xml:space="preserve"> Many providers did not ask whānau members who did not meet the free eligibility criteria to pay. For providers, the priority was to extend the protection of the vaccination to whānau. To vaccinate some whānau within a household while others remained unvaccinated was considered a missed opportunity. Also, the likely negative impacts on whānau dynamics by providing vaccinations free of charge to some whānau members and not others seemed unfair and counterproductive to the goal of building and maintaining long</w:t>
      </w:r>
      <w:r w:rsidR="00A13702">
        <w:t>-</w:t>
      </w:r>
      <w:r w:rsidR="00701C17" w:rsidRPr="00345F54">
        <w:t xml:space="preserve">term relationships with whānau. </w:t>
      </w:r>
    </w:p>
    <w:p w14:paraId="1F3F6F8C" w14:textId="51B22277" w:rsidR="00701C17" w:rsidRPr="00345F54" w:rsidRDefault="00701C17" w:rsidP="00EC6371">
      <w:pPr>
        <w:pStyle w:val="QuoteSmallBlue"/>
      </w:pPr>
      <w:r w:rsidRPr="00345F54">
        <w:t>It was one of those questions that we were able to ask</w:t>
      </w:r>
      <w:r w:rsidR="00A13702">
        <w:t>, ‘S</w:t>
      </w:r>
      <w:r w:rsidRPr="00345F54">
        <w:t xml:space="preserve">o you want us to go out there, and you know we don’t have an </w:t>
      </w:r>
      <w:proofErr w:type="spellStart"/>
      <w:r w:rsidRPr="00345F54">
        <w:t>eftpos</w:t>
      </w:r>
      <w:proofErr w:type="spellEnd"/>
      <w:r w:rsidRPr="00345F54">
        <w:t xml:space="preserve"> machine, and I don’t want one either. But you know the opportunity has to be for all.</w:t>
      </w:r>
      <w:r w:rsidR="00A13702">
        <w:t>’</w:t>
      </w:r>
      <w:r w:rsidRPr="00345F54">
        <w:t xml:space="preserve"> </w:t>
      </w:r>
      <w:proofErr w:type="gramStart"/>
      <w:r w:rsidRPr="00345F54">
        <w:t>So</w:t>
      </w:r>
      <w:proofErr w:type="gramEnd"/>
      <w:r w:rsidRPr="00345F54">
        <w:t xml:space="preserve"> from the outset, even when we didn’t even have our contract from the Ministry</w:t>
      </w:r>
      <w:r w:rsidR="00A13702">
        <w:t>,</w:t>
      </w:r>
      <w:r w:rsidRPr="00345F54">
        <w:t xml:space="preserve"> the CE of our </w:t>
      </w:r>
      <w:r w:rsidR="00A13702">
        <w:t>H</w:t>
      </w:r>
      <w:r w:rsidRPr="00345F54">
        <w:t xml:space="preserve">auora said </w:t>
      </w:r>
      <w:r w:rsidR="00A13702">
        <w:t>‘F</w:t>
      </w:r>
      <w:r w:rsidRPr="00345F54">
        <w:t>ree</w:t>
      </w:r>
      <w:r w:rsidR="00A13702">
        <w:t>’…'</w:t>
      </w:r>
      <w:r w:rsidRPr="00345F54">
        <w:t xml:space="preserve"> So </w:t>
      </w:r>
      <w:proofErr w:type="gramStart"/>
      <w:r w:rsidRPr="00345F54">
        <w:t>yes</w:t>
      </w:r>
      <w:proofErr w:type="gramEnd"/>
      <w:r w:rsidRPr="00345F54">
        <w:t xml:space="preserve"> it was for all, but we had to make it more accessible and more easy for whānau. (Provider – direct</w:t>
      </w:r>
      <w:r w:rsidR="00C1523E">
        <w:t>-</w:t>
      </w:r>
      <w:r w:rsidRPr="00345F54">
        <w:t>funded)</w:t>
      </w:r>
    </w:p>
    <w:p w14:paraId="5FA70A7A" w14:textId="6BF7B059" w:rsidR="00701C17" w:rsidRPr="00345F54" w:rsidRDefault="00D57F19" w:rsidP="002E2269">
      <w:pPr>
        <w:rPr>
          <w:rFonts w:eastAsiaTheme="minorEastAsia"/>
        </w:rPr>
      </w:pPr>
      <w:r w:rsidRPr="002E2269">
        <w:rPr>
          <w:rFonts w:eastAsiaTheme="minorEastAsia"/>
          <w:b/>
          <w:bCs/>
        </w:rPr>
        <w:t xml:space="preserve">7. </w:t>
      </w:r>
      <w:r w:rsidR="00701C17" w:rsidRPr="002E2269">
        <w:rPr>
          <w:rFonts w:eastAsiaTheme="minorEastAsia"/>
          <w:b/>
          <w:bCs/>
        </w:rPr>
        <w:t xml:space="preserve">Expert and experienced Māori staff. </w:t>
      </w:r>
      <w:r w:rsidR="002E2269">
        <w:rPr>
          <w:rFonts w:eastAsiaTheme="minorEastAsia"/>
        </w:rPr>
        <w:t>Māori s</w:t>
      </w:r>
      <w:r w:rsidR="00701C17" w:rsidRPr="00345F54">
        <w:rPr>
          <w:rFonts w:eastAsiaTheme="minorEastAsia"/>
        </w:rPr>
        <w:t xml:space="preserve">taff have the cultural and clinical knowledge and relation skills to create a welcoming and safe environment for whānau. They could provide information to whānau in a way that whānau understood. Providers knew that affirming and recognising whānau improves uptake and access to healthcare services. </w:t>
      </w:r>
      <w:proofErr w:type="gramStart"/>
      <w:r w:rsidR="00701C17" w:rsidRPr="00345F54">
        <w:rPr>
          <w:rFonts w:eastAsiaTheme="minorEastAsia"/>
        </w:rPr>
        <w:t>Providers</w:t>
      </w:r>
      <w:proofErr w:type="gramEnd"/>
      <w:r w:rsidR="00701C17" w:rsidRPr="00345F54">
        <w:rPr>
          <w:rFonts w:eastAsiaTheme="minorEastAsia"/>
        </w:rPr>
        <w:t xml:space="preserve"> experience and knowledge of the health sector enabled whānau to receive quicker, seamless support.</w:t>
      </w:r>
    </w:p>
    <w:p w14:paraId="2649C223" w14:textId="506493BC" w:rsidR="00701C17" w:rsidRPr="00345F54" w:rsidRDefault="00701C17" w:rsidP="00EC6371">
      <w:pPr>
        <w:pStyle w:val="QuoteSmallBlue"/>
      </w:pPr>
      <w:r w:rsidRPr="00345F54">
        <w:t xml:space="preserve">You know </w:t>
      </w:r>
      <w:proofErr w:type="gramStart"/>
      <w:r w:rsidRPr="00345F54">
        <w:t>I’ve</w:t>
      </w:r>
      <w:proofErr w:type="gramEnd"/>
      <w:r w:rsidRPr="00345F54">
        <w:t xml:space="preserve"> seen, when you go to the hospital and I’ve walked past Māori patients, and you know the nurse will talk to them and the</w:t>
      </w:r>
      <w:r w:rsidR="00C1523E">
        <w:t>y’</w:t>
      </w:r>
      <w:r w:rsidRPr="00345F54">
        <w:t xml:space="preserve">re a perfectly competent nurse and very, very capable. And the </w:t>
      </w:r>
      <w:r w:rsidR="00C1523E">
        <w:t>doctor</w:t>
      </w:r>
      <w:r w:rsidRPr="00345F54">
        <w:t xml:space="preserve"> talks to them, nothing wrong with those people and then the Māori health worker comes in and says “</w:t>
      </w:r>
      <w:r w:rsidR="00C1523E">
        <w:t>K</w:t>
      </w:r>
      <w:r w:rsidRPr="00345F54">
        <w:t xml:space="preserve">ia </w:t>
      </w:r>
      <w:proofErr w:type="spellStart"/>
      <w:r w:rsidRPr="00345F54">
        <w:t>ora</w:t>
      </w:r>
      <w:proofErr w:type="spellEnd"/>
      <w:r w:rsidRPr="00345F54">
        <w:t xml:space="preserve"> </w:t>
      </w:r>
      <w:proofErr w:type="spellStart"/>
      <w:r w:rsidRPr="00345F54">
        <w:t>whaea</w:t>
      </w:r>
      <w:proofErr w:type="spellEnd"/>
      <w:r w:rsidR="00C1523E">
        <w:t>,</w:t>
      </w:r>
      <w:r w:rsidRPr="00345F54">
        <w:t xml:space="preserve"> </w:t>
      </w:r>
      <w:proofErr w:type="spellStart"/>
      <w:r w:rsidRPr="00345F54">
        <w:t>pēhea</w:t>
      </w:r>
      <w:proofErr w:type="spellEnd"/>
      <w:r w:rsidRPr="00345F54">
        <w:t xml:space="preserve"> </w:t>
      </w:r>
      <w:proofErr w:type="spellStart"/>
      <w:r w:rsidRPr="00345F54">
        <w:t>koe</w:t>
      </w:r>
      <w:proofErr w:type="spellEnd"/>
      <w:r w:rsidRPr="00345F54">
        <w:t xml:space="preserve">?” and you get an entirely different response. And you know that </w:t>
      </w:r>
      <w:r w:rsidR="000414E3">
        <w:t>Māori</w:t>
      </w:r>
      <w:r w:rsidRPr="00345F54">
        <w:t xml:space="preserve"> health worker, the use of </w:t>
      </w:r>
      <w:proofErr w:type="spellStart"/>
      <w:r w:rsidRPr="00345F54">
        <w:t>te</w:t>
      </w:r>
      <w:proofErr w:type="spellEnd"/>
      <w:r w:rsidRPr="00345F54">
        <w:t xml:space="preserve"> </w:t>
      </w:r>
      <w:proofErr w:type="spellStart"/>
      <w:r w:rsidRPr="00345F54">
        <w:t>reo</w:t>
      </w:r>
      <w:proofErr w:type="spellEnd"/>
      <w:r w:rsidRPr="00345F54">
        <w:t xml:space="preserve"> Māori </w:t>
      </w:r>
      <w:proofErr w:type="gramStart"/>
      <w:r w:rsidRPr="00345F54">
        <w:t>that’s</w:t>
      </w:r>
      <w:proofErr w:type="gramEnd"/>
      <w:r w:rsidRPr="00345F54">
        <w:t xml:space="preserve"> the sort of thing that can engender a whole different engagement with the nurse when she comes along next and then the </w:t>
      </w:r>
      <w:r w:rsidR="00C1523E">
        <w:t>doctor</w:t>
      </w:r>
      <w:r w:rsidRPr="00345F54">
        <w:t xml:space="preserve"> when he comes along next. And Māori providers do that and then Māori [whānau] who engage with them can be who they are from the moment they come through the door. (DHB GM Māori)</w:t>
      </w:r>
    </w:p>
    <w:p w14:paraId="76A98E0E" w14:textId="091F0272" w:rsidR="00701C17" w:rsidRPr="00345F54" w:rsidRDefault="00D57F19" w:rsidP="002E2269">
      <w:pPr>
        <w:rPr>
          <w:rFonts w:eastAsiaTheme="minorEastAsia"/>
        </w:rPr>
      </w:pPr>
      <w:r w:rsidRPr="002E2269">
        <w:rPr>
          <w:rFonts w:eastAsiaTheme="minorEastAsia"/>
          <w:b/>
          <w:bCs/>
        </w:rPr>
        <w:t xml:space="preserve">8. </w:t>
      </w:r>
      <w:r w:rsidR="00701C17" w:rsidRPr="002E2269">
        <w:rPr>
          <w:rFonts w:eastAsiaTheme="minorEastAsia"/>
          <w:b/>
          <w:bCs/>
        </w:rPr>
        <w:t>Māori staff lead engagement.</w:t>
      </w:r>
      <w:r w:rsidR="00701C17" w:rsidRPr="00345F54">
        <w:rPr>
          <w:rFonts w:eastAsiaTheme="minorEastAsia"/>
        </w:rPr>
        <w:t xml:space="preserve"> Māori staff are at the forefront when providers engage with whānau. Whānau prefer and are more open to engaging with Māori.</w:t>
      </w:r>
    </w:p>
    <w:p w14:paraId="61BBAB04" w14:textId="77777777" w:rsidR="00701C17" w:rsidRPr="00345F54" w:rsidRDefault="00701C17" w:rsidP="00EC6371">
      <w:pPr>
        <w:pStyle w:val="QuoteSmallBlue"/>
      </w:pPr>
      <w:r w:rsidRPr="00345F54">
        <w:t xml:space="preserve">We work closely with our iwi providers. So, as the district health board, we would facilitate them to run their own outreach services however they think. </w:t>
      </w:r>
      <w:proofErr w:type="gramStart"/>
      <w:r w:rsidRPr="00345F54">
        <w:t>We’ve</w:t>
      </w:r>
      <w:proofErr w:type="gramEnd"/>
      <w:r w:rsidRPr="00345F54">
        <w:t xml:space="preserve"> had a really good success because they know that population best and what’s working </w:t>
      </w:r>
      <w:r w:rsidRPr="00345F54">
        <w:lastRenderedPageBreak/>
        <w:t xml:space="preserve">for them, so we’re just keen to facilitate what they need. (DHB – Immunisation Coordinator) </w:t>
      </w:r>
    </w:p>
    <w:p w14:paraId="779CA313" w14:textId="7BB6E5C3" w:rsidR="00701C17" w:rsidRPr="00345F54" w:rsidRDefault="00D57F19" w:rsidP="002E2269">
      <w:pPr>
        <w:rPr>
          <w:rFonts w:eastAsiaTheme="minorEastAsia"/>
        </w:rPr>
      </w:pPr>
      <w:r w:rsidRPr="002E2269">
        <w:rPr>
          <w:rFonts w:eastAsiaTheme="minorEastAsia"/>
          <w:b/>
          <w:bCs/>
        </w:rPr>
        <w:t xml:space="preserve">9. </w:t>
      </w:r>
      <w:r w:rsidR="00701C17" w:rsidRPr="002E2269">
        <w:rPr>
          <w:rFonts w:eastAsiaTheme="minorEastAsia"/>
          <w:b/>
          <w:bCs/>
        </w:rPr>
        <w:t>Adaptive and agile leadership.</w:t>
      </w:r>
      <w:r w:rsidR="00701C17" w:rsidRPr="00345F54">
        <w:rPr>
          <w:rFonts w:eastAsiaTheme="minorEastAsia"/>
        </w:rPr>
        <w:t xml:space="preserve"> Leadership within Māori health providers is responsive. They are aware of the system, health sector, and community and whānau needs. Leadership within Māori health providers act and adapt with innovation and intuition to provide responsive services for whānau</w:t>
      </w:r>
      <w:r w:rsidR="00C1523E">
        <w:rPr>
          <w:rFonts w:eastAsiaTheme="minorEastAsia"/>
        </w:rPr>
        <w:t xml:space="preserve"> </w:t>
      </w:r>
      <w:r w:rsidR="00C1523E" w:rsidRPr="00345F54">
        <w:t>–</w:t>
      </w:r>
      <w:r w:rsidR="00701C17" w:rsidRPr="00345F54">
        <w:rPr>
          <w:rFonts w:eastAsiaTheme="minorEastAsia"/>
        </w:rPr>
        <w:t xml:space="preserve"> but </w:t>
      </w:r>
      <w:r w:rsidR="00C1523E">
        <w:rPr>
          <w:rFonts w:eastAsiaTheme="minorEastAsia"/>
        </w:rPr>
        <w:t xml:space="preserve">also </w:t>
      </w:r>
      <w:r w:rsidR="00701C17" w:rsidRPr="00345F54">
        <w:rPr>
          <w:rFonts w:eastAsiaTheme="minorEastAsia"/>
        </w:rPr>
        <w:t xml:space="preserve">comment that they are not often </w:t>
      </w:r>
      <w:r w:rsidR="00C1523E">
        <w:rPr>
          <w:rFonts w:eastAsiaTheme="minorEastAsia"/>
        </w:rPr>
        <w:t xml:space="preserve">well enough </w:t>
      </w:r>
      <w:r w:rsidR="00701C17" w:rsidRPr="00345F54">
        <w:rPr>
          <w:rFonts w:eastAsiaTheme="minorEastAsia"/>
        </w:rPr>
        <w:t xml:space="preserve">resourced. </w:t>
      </w:r>
    </w:p>
    <w:p w14:paraId="4F28FBF3" w14:textId="5C8A4133" w:rsidR="00701C17" w:rsidRDefault="00701C17" w:rsidP="00EC6371">
      <w:pPr>
        <w:pStyle w:val="QuoteSmallBlue"/>
      </w:pPr>
      <w:r w:rsidRPr="00345F54">
        <w:t>And I think if you want to be whānau</w:t>
      </w:r>
      <w:r w:rsidR="00C1523E">
        <w:t>-</w:t>
      </w:r>
      <w:r w:rsidRPr="00345F54">
        <w:t>centred or patient</w:t>
      </w:r>
      <w:r w:rsidR="00C1523E">
        <w:t>-</w:t>
      </w:r>
      <w:r w:rsidRPr="00345F54">
        <w:t xml:space="preserve">centred, you need to have flexibility and adaptability in the way that </w:t>
      </w:r>
      <w:proofErr w:type="gramStart"/>
      <w:r w:rsidRPr="00345F54">
        <w:t>you’re</w:t>
      </w:r>
      <w:proofErr w:type="gramEnd"/>
      <w:r w:rsidRPr="00345F54">
        <w:t xml:space="preserve"> delivering these services. (Provider – direct</w:t>
      </w:r>
      <w:r w:rsidR="00C1523E">
        <w:t>-</w:t>
      </w:r>
      <w:r w:rsidRPr="00345F54">
        <w:t>funded)</w:t>
      </w:r>
    </w:p>
    <w:p w14:paraId="415AE1CA" w14:textId="7972D18D" w:rsidR="00701C17" w:rsidRDefault="002E2269" w:rsidP="00233A07">
      <w:pPr>
        <w:pStyle w:val="Heading2"/>
      </w:pPr>
      <w:bookmarkStart w:id="93" w:name="_Toc70763275"/>
      <w:r>
        <w:t>MIVP w</w:t>
      </w:r>
      <w:r w:rsidR="00701C17">
        <w:t xml:space="preserve">hānau-centred services are </w:t>
      </w:r>
      <w:proofErr w:type="gramStart"/>
      <w:r w:rsidR="00701C17">
        <w:t>holistic</w:t>
      </w:r>
      <w:bookmarkEnd w:id="93"/>
      <w:proofErr w:type="gramEnd"/>
      <w:r w:rsidR="00701C17">
        <w:t xml:space="preserve"> </w:t>
      </w:r>
    </w:p>
    <w:p w14:paraId="5615BAF9" w14:textId="176AEBD0" w:rsidR="00636367" w:rsidRPr="00837B50" w:rsidRDefault="00C1523E" w:rsidP="00837B50">
      <w:pPr>
        <w:pStyle w:val="BodyText"/>
      </w:pPr>
      <w:r>
        <w:t xml:space="preserve">Rather </w:t>
      </w:r>
      <w:r w:rsidR="00701C17">
        <w:t>than just focus</w:t>
      </w:r>
      <w:r>
        <w:t>ing</w:t>
      </w:r>
      <w:r w:rsidR="00701C17">
        <w:t xml:space="preserve"> on vaccinati</w:t>
      </w:r>
      <w:r>
        <w:t>ng</w:t>
      </w:r>
      <w:r w:rsidR="00701C17">
        <w:t>, p</w:t>
      </w:r>
      <w:r w:rsidR="00701C17" w:rsidRPr="00BA37BC">
        <w:t xml:space="preserve">roviders </w:t>
      </w:r>
      <w:r w:rsidR="00701C17">
        <w:t xml:space="preserve">took a holistic approach to whānau wellbeing and wrapped in other support and services in response to whānau needs. (See </w:t>
      </w:r>
      <w:r w:rsidR="00C16B0D">
        <w:fldChar w:fldCharType="begin"/>
      </w:r>
      <w:r w:rsidR="00C16B0D">
        <w:instrText xml:space="preserve"> REF _Ref62700335 \h </w:instrText>
      </w:r>
      <w:r w:rsidR="00C16B0D">
        <w:fldChar w:fldCharType="separate"/>
      </w:r>
      <w:r w:rsidR="009B082D" w:rsidRPr="000E39BC">
        <w:t xml:space="preserve">Figure </w:t>
      </w:r>
      <w:r w:rsidR="009B082D">
        <w:rPr>
          <w:noProof/>
        </w:rPr>
        <w:t>7</w:t>
      </w:r>
      <w:r w:rsidR="00C16B0D">
        <w:fldChar w:fldCharType="end"/>
      </w:r>
      <w:r w:rsidR="00701C17">
        <w:t>).</w:t>
      </w:r>
    </w:p>
    <w:p w14:paraId="0B836570" w14:textId="530C1228" w:rsidR="00701C17" w:rsidRPr="00232D35" w:rsidRDefault="00701C17" w:rsidP="00900633">
      <w:pPr>
        <w:pStyle w:val="Caption"/>
        <w:rPr>
          <w:rFonts w:eastAsia="Arial Nova Light"/>
        </w:rPr>
      </w:pPr>
      <w:bookmarkStart w:id="94" w:name="_Ref62700335"/>
      <w:bookmarkStart w:id="95" w:name="_Toc62703579"/>
      <w:r w:rsidRPr="000E39BC">
        <w:t xml:space="preserve">Figure </w:t>
      </w:r>
      <w:r>
        <w:fldChar w:fldCharType="begin"/>
      </w:r>
      <w:r>
        <w:instrText>SEQ Figure \* ARABIC</w:instrText>
      </w:r>
      <w:r>
        <w:fldChar w:fldCharType="separate"/>
      </w:r>
      <w:r w:rsidR="009B082D">
        <w:rPr>
          <w:noProof/>
        </w:rPr>
        <w:t>7</w:t>
      </w:r>
      <w:r>
        <w:fldChar w:fldCharType="end"/>
      </w:r>
      <w:bookmarkEnd w:id="94"/>
      <w:r>
        <w:t>.</w:t>
      </w:r>
      <w:r w:rsidRPr="000E39BC">
        <w:rPr>
          <w:rFonts w:eastAsia="Arial Nova Light"/>
        </w:rPr>
        <w:t xml:space="preserve"> </w:t>
      </w:r>
      <w:r>
        <w:rPr>
          <w:rFonts w:eastAsia="Arial Nova Light"/>
        </w:rPr>
        <w:t xml:space="preserve">Additional services offered together with flu vaccinations to eligible </w:t>
      </w:r>
      <w:proofErr w:type="gramStart"/>
      <w:r>
        <w:rPr>
          <w:rFonts w:eastAsia="Arial Nova Light"/>
        </w:rPr>
        <w:t>Māori</w:t>
      </w:r>
      <w:bookmarkEnd w:id="95"/>
      <w:proofErr w:type="gramEnd"/>
      <w:r>
        <w:rPr>
          <w:rFonts w:eastAsia="Arial Nova Light"/>
        </w:rPr>
        <w:t xml:space="preserve"> </w:t>
      </w:r>
    </w:p>
    <w:p w14:paraId="4AD72DD6" w14:textId="3BF9A2D5" w:rsidR="00701C17" w:rsidRDefault="00701C17" w:rsidP="00701C17">
      <w:pPr>
        <w:rPr>
          <w:rFonts w:eastAsia="Arial Nova Light" w:cs="Arial Nova Light"/>
          <w:szCs w:val="20"/>
        </w:rPr>
      </w:pPr>
      <w:r>
        <w:rPr>
          <w:rFonts w:eastAsia="Arial Nova Light" w:cs="Arial Nova Light"/>
          <w:noProof/>
          <w:szCs w:val="20"/>
        </w:rPr>
        <w:drawing>
          <wp:inline distT="0" distB="0" distL="0" distR="0" wp14:anchorId="121552BE" wp14:editId="7060FEC9">
            <wp:extent cx="5126400" cy="2883600"/>
            <wp:effectExtent l="0" t="0" r="4445" b="0"/>
            <wp:docPr id="22" name="Picture 22" descr="Out of 17 total respondents (17 ineligible to answer): 14 offered catch-up vaccines for babies and young children; 14 offered hygiene packs; 13 flu vaccinations for ineligible whānau (unpaid); 13 COVID testing; 12 food parcels; 10 a health care assessment; 10 other vaccines (measles, shingles, etc); 9 vouchers (e.g. petrol or supermarket); 9 other medical assistance (e.g. medication); 3 flu vaccinations for ineligible whānu (paid); 6 something el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Out of 17 total respondents (17 ineligible to answer): 14 offered catch-up vaccines for babies and young children; 14 offered hygiene packs; 13 flu vaccinations for ineligible whānau (unpaid); 13 COVID testing; 12 food parcels; 10 a health care assessment; 10 other vaccines (measles, shingles, etc); 9 vouchers (e.g. petrol or supermarket); 9 other medical assistance (e.g. medication); 3 flu vaccinations for ineligible whānu (paid); 6 something els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6400" cy="2883600"/>
                    </a:xfrm>
                    <a:prstGeom prst="rect">
                      <a:avLst/>
                    </a:prstGeom>
                    <a:noFill/>
                  </pic:spPr>
                </pic:pic>
              </a:graphicData>
            </a:graphic>
          </wp:inline>
        </w:drawing>
      </w:r>
    </w:p>
    <w:p w14:paraId="72E89ACB" w14:textId="77777777" w:rsidR="003B6B7F" w:rsidRDefault="003B6B7F" w:rsidP="002E007F">
      <w:pPr>
        <w:pStyle w:val="NoSpacing"/>
      </w:pPr>
    </w:p>
    <w:p w14:paraId="3C0654C4" w14:textId="77777777" w:rsidR="00701C17" w:rsidRPr="00BA37BC" w:rsidRDefault="00701C17" w:rsidP="00701C17">
      <w:pPr>
        <w:pStyle w:val="BodyText"/>
      </w:pPr>
      <w:r>
        <w:t xml:space="preserve">Providers </w:t>
      </w:r>
      <w:r w:rsidRPr="00BA37BC">
        <w:t xml:space="preserve">spoke </w:t>
      </w:r>
      <w:r>
        <w:t xml:space="preserve">about </w:t>
      </w:r>
      <w:r w:rsidRPr="00BA37BC">
        <w:t xml:space="preserve">taking the opportunity </w:t>
      </w:r>
      <w:r>
        <w:t>to be</w:t>
      </w:r>
      <w:r w:rsidRPr="00BA37BC">
        <w:t xml:space="preserve"> in a whānau</w:t>
      </w:r>
      <w:r>
        <w:t xml:space="preserve"> </w:t>
      </w:r>
      <w:r w:rsidRPr="00BA37BC">
        <w:t>home or the whānau presenting to a site</w:t>
      </w:r>
      <w:r>
        <w:t xml:space="preserve"> to ask them about their needs, then offering support there and then, or agreeing to follow up with them later.</w:t>
      </w:r>
    </w:p>
    <w:p w14:paraId="59EEBDDD" w14:textId="5CDAA608" w:rsidR="00701C17" w:rsidRPr="00BA37BC" w:rsidRDefault="00701C17" w:rsidP="00701C17">
      <w:pPr>
        <w:pStyle w:val="BodyText"/>
      </w:pPr>
      <w:r w:rsidRPr="00BA37BC">
        <w:t xml:space="preserve">Many providers offered additional medical services, such as catch-up vaccines for </w:t>
      </w:r>
      <w:proofErr w:type="spellStart"/>
      <w:r w:rsidRPr="00BA37BC">
        <w:t>pēpī</w:t>
      </w:r>
      <w:proofErr w:type="spellEnd"/>
      <w:r w:rsidRPr="00BA37BC">
        <w:t xml:space="preserve"> and </w:t>
      </w:r>
      <w:proofErr w:type="spellStart"/>
      <w:r w:rsidRPr="00BA37BC">
        <w:t>tamariki</w:t>
      </w:r>
      <w:proofErr w:type="spellEnd"/>
      <w:r w:rsidRPr="00BA37BC">
        <w:t xml:space="preserve">, </w:t>
      </w:r>
      <w:r>
        <w:t>COVID-19</w:t>
      </w:r>
      <w:r w:rsidRPr="00BA37BC">
        <w:t xml:space="preserve"> testing </w:t>
      </w:r>
      <w:r>
        <w:t>flu</w:t>
      </w:r>
      <w:r w:rsidRPr="00BA37BC">
        <w:t xml:space="preserve"> vaccines, health care assessments and other vaccines for the whānau. A few providers spoke of providing access to mental health support services.</w:t>
      </w:r>
      <w:r>
        <w:t xml:space="preserve"> Some</w:t>
      </w:r>
      <w:r w:rsidRPr="00BA37BC">
        <w:t xml:space="preserve"> providers </w:t>
      </w:r>
      <w:r>
        <w:t xml:space="preserve">were able to provide </w:t>
      </w:r>
      <w:r w:rsidRPr="00BA37BC">
        <w:t>hygiene packs</w:t>
      </w:r>
      <w:r>
        <w:t xml:space="preserve"> and</w:t>
      </w:r>
      <w:r w:rsidRPr="00BA37BC">
        <w:t xml:space="preserve"> food parcels</w:t>
      </w:r>
      <w:r>
        <w:t xml:space="preserve"> as part of their COVID-19</w:t>
      </w:r>
      <w:r w:rsidR="00C1523E">
        <w:t xml:space="preserve"> </w:t>
      </w:r>
      <w:r>
        <w:t>response.</w:t>
      </w:r>
    </w:p>
    <w:p w14:paraId="1E05A3DB" w14:textId="75104F57" w:rsidR="00701C17" w:rsidRDefault="00701C17" w:rsidP="00233A07">
      <w:pPr>
        <w:pStyle w:val="BodyText"/>
      </w:pPr>
      <w:r w:rsidRPr="00BA37BC">
        <w:t xml:space="preserve">About half of </w:t>
      </w:r>
      <w:r>
        <w:t xml:space="preserve">all </w:t>
      </w:r>
      <w:r w:rsidRPr="00BA37BC">
        <w:t xml:space="preserve">providers offered petrol </w:t>
      </w:r>
      <w:r>
        <w:t xml:space="preserve">and </w:t>
      </w:r>
      <w:r w:rsidRPr="00233A07">
        <w:t>supermarket</w:t>
      </w:r>
      <w:r w:rsidRPr="00BA37BC">
        <w:t xml:space="preserve"> vouchers</w:t>
      </w:r>
      <w:r>
        <w:t xml:space="preserve"> to whānau to increase access to service by reducing the cost of transport. Providers know that the cost of fuel can be a barrier to some whānau being able to travel to services. They offer petrol so whānau can put fuel in the car to travel to sites. They also offer supermarket vouchers, knowing that sometimes whānau may have taken money from their food bu</w:t>
      </w:r>
      <w:r w:rsidR="00233A07">
        <w:t>dget to buy fuel.</w:t>
      </w:r>
    </w:p>
    <w:p w14:paraId="4DA5A70E" w14:textId="295E905F" w:rsidR="00CA3202" w:rsidRDefault="00CA3202" w:rsidP="00CA3202">
      <w:pPr>
        <w:pStyle w:val="Heading2"/>
      </w:pPr>
      <w:bookmarkStart w:id="96" w:name="_Toc58347848"/>
      <w:bookmarkStart w:id="97" w:name="_Toc70763276"/>
      <w:r>
        <w:t xml:space="preserve">MIVP whānau-centred </w:t>
      </w:r>
      <w:r w:rsidR="002E2269">
        <w:t xml:space="preserve">services </w:t>
      </w:r>
      <w:r w:rsidR="00E21C87">
        <w:t>and</w:t>
      </w:r>
      <w:r w:rsidR="002E2269">
        <w:t xml:space="preserve"> </w:t>
      </w:r>
      <w:r>
        <w:t xml:space="preserve">outreach </w:t>
      </w:r>
      <w:r w:rsidR="002E2269">
        <w:t xml:space="preserve">are </w:t>
      </w:r>
      <w:proofErr w:type="gramStart"/>
      <w:r>
        <w:t>effective</w:t>
      </w:r>
      <w:bookmarkEnd w:id="96"/>
      <w:bookmarkEnd w:id="97"/>
      <w:proofErr w:type="gramEnd"/>
    </w:p>
    <w:p w14:paraId="7E274646" w14:textId="344C0B4B" w:rsidR="00636367" w:rsidRPr="00837B50" w:rsidRDefault="00CA3202" w:rsidP="00837B50">
      <w:pPr>
        <w:pStyle w:val="BodyText"/>
      </w:pPr>
      <w:r>
        <w:t xml:space="preserve">Almost all </w:t>
      </w:r>
      <w:r w:rsidRPr="4AA8C661">
        <w:t>(</w:t>
      </w:r>
      <w:r>
        <w:t>16/17</w:t>
      </w:r>
      <w:r w:rsidRPr="4AA8C661">
        <w:t>) providers indicated they took a whānau-centred approach a</w:t>
      </w:r>
      <w:r>
        <w:t>s</w:t>
      </w:r>
      <w:r w:rsidRPr="4AA8C661">
        <w:t xml:space="preserve"> part of their MIVP-funded activities</w:t>
      </w:r>
      <w:r>
        <w:t xml:space="preserve">. Almost all </w:t>
      </w:r>
      <w:r w:rsidR="00636367">
        <w:t xml:space="preserve">providers </w:t>
      </w:r>
      <w:r>
        <w:t xml:space="preserve">(16/17) indicated that a whānau-centred approach combined </w:t>
      </w:r>
      <w:r>
        <w:lastRenderedPageBreak/>
        <w:t xml:space="preserve">with a community outreach focus </w:t>
      </w:r>
      <w:r w:rsidRPr="4AA8C661">
        <w:t>was highly effective for getting whānau in their community vaccinated.</w:t>
      </w:r>
      <w:r>
        <w:t xml:space="preserve"> </w:t>
      </w:r>
      <w:r w:rsidR="00636367">
        <w:t xml:space="preserve">(See </w:t>
      </w:r>
      <w:r w:rsidR="00636367">
        <w:fldChar w:fldCharType="begin"/>
      </w:r>
      <w:r w:rsidR="00636367">
        <w:instrText xml:space="preserve"> REF _Ref61817691 \h </w:instrText>
      </w:r>
      <w:r w:rsidR="00636367">
        <w:fldChar w:fldCharType="separate"/>
      </w:r>
      <w:r w:rsidR="009B082D" w:rsidRPr="00701C17">
        <w:t xml:space="preserve">Figure </w:t>
      </w:r>
      <w:r w:rsidR="009B082D">
        <w:rPr>
          <w:noProof/>
        </w:rPr>
        <w:t>8</w:t>
      </w:r>
      <w:r w:rsidR="00636367">
        <w:fldChar w:fldCharType="end"/>
      </w:r>
      <w:r w:rsidR="00636367">
        <w:t>).</w:t>
      </w:r>
    </w:p>
    <w:p w14:paraId="03FC5DBD" w14:textId="0E9EB4A4" w:rsidR="00CA3202" w:rsidRPr="00701C17" w:rsidRDefault="00CA3202" w:rsidP="00900633">
      <w:pPr>
        <w:pStyle w:val="Caption"/>
      </w:pPr>
      <w:bookmarkStart w:id="98" w:name="_Ref61817691"/>
      <w:bookmarkStart w:id="99" w:name="_Toc62703580"/>
      <w:r w:rsidRPr="00701C17">
        <w:t xml:space="preserve">Figure </w:t>
      </w:r>
      <w:r w:rsidRPr="00701C17">
        <w:fldChar w:fldCharType="begin"/>
      </w:r>
      <w:r w:rsidRPr="00701C17">
        <w:instrText>SEQ Figure \* ARABIC</w:instrText>
      </w:r>
      <w:r w:rsidRPr="00701C17">
        <w:fldChar w:fldCharType="separate"/>
      </w:r>
      <w:r w:rsidR="009B082D">
        <w:rPr>
          <w:noProof/>
        </w:rPr>
        <w:t>8</w:t>
      </w:r>
      <w:r w:rsidRPr="00701C17">
        <w:fldChar w:fldCharType="end"/>
      </w:r>
      <w:bookmarkEnd w:id="98"/>
      <w:r w:rsidRPr="00701C17">
        <w:t>. The degree to which the following approaches were effective for getting whānau in provider communities vaccinated?</w:t>
      </w:r>
      <w:bookmarkEnd w:id="99"/>
      <w:r w:rsidRPr="00701C17">
        <w:t xml:space="preserve"> </w:t>
      </w:r>
    </w:p>
    <w:p w14:paraId="03A4D416" w14:textId="53B057DD" w:rsidR="00CA3202" w:rsidRDefault="00CA3202" w:rsidP="00CA3202">
      <w:pPr>
        <w:pStyle w:val="NoSpacing"/>
      </w:pPr>
      <w:r>
        <w:rPr>
          <w:noProof/>
        </w:rPr>
        <w:drawing>
          <wp:inline distT="0" distB="0" distL="0" distR="0" wp14:anchorId="6568FAD9" wp14:editId="404A364A">
            <wp:extent cx="4837814" cy="2720987"/>
            <wp:effectExtent l="0" t="0" r="1270" b="3175"/>
            <wp:docPr id="20" name="Picture 20" descr="Out of 17 total respondents (17 ineligible to answer): taking a whānau-centre, holistic approach - 16 said was effective to a high degree and 1 to a limited degree. Partnering with marae, community organisations, churches, sports clubs local communities - 14 said effective to a high degree, 2 to a moderate degree and 1 to a limited degree. Going to places where whānau gather - 12 said effective to a high degree, 3 to a moderate degree, 1 to a limited degree (1 don't know/didn't use). Contacting whanau from a GP list - 7 said effective to a high degree, 2 to a moderate degree, 3 to a limited degree, 1 not at all effective (4 don't know/didn't 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ut of 17 total respondents (17 ineligible to answer): taking a whānau-centre, holistic approach - 16 said was effective to a high degree and 1 to a limited degree. Partnering with marae, community organisations, churches, sports clubs local communities - 14 said effective to a high degree, 2 to a moderate degree and 1 to a limited degree. Going to places where whānau gather - 12 said effective to a high degree, 3 to a moderate degree, 1 to a limited degree (1 don't know/didn't use). Contacting whanau from a GP list - 7 said effective to a high degree, 2 to a moderate degree, 3 to a limited degree, 1 not at all effective (4 don't know/didn't us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6228" cy="2736968"/>
                    </a:xfrm>
                    <a:prstGeom prst="rect">
                      <a:avLst/>
                    </a:prstGeom>
                    <a:noFill/>
                  </pic:spPr>
                </pic:pic>
              </a:graphicData>
            </a:graphic>
          </wp:inline>
        </w:drawing>
      </w:r>
    </w:p>
    <w:p w14:paraId="1844CE8A" w14:textId="38CF4626" w:rsidR="00A90477" w:rsidRPr="000D46A7" w:rsidRDefault="00A90477" w:rsidP="00CA3202">
      <w:pPr>
        <w:pStyle w:val="BodyText"/>
        <w:numPr>
          <w:ilvl w:val="0"/>
          <w:numId w:val="0"/>
        </w:numPr>
      </w:pPr>
    </w:p>
    <w:tbl>
      <w:tblPr>
        <w:tblStyle w:val="TableGrid"/>
        <w:tblW w:w="0" w:type="auto"/>
        <w:tblBorders>
          <w:top w:val="none" w:sz="0" w:space="0" w:color="auto"/>
          <w:left w:val="none" w:sz="0" w:space="0" w:color="auto"/>
          <w:bottom w:val="double" w:sz="4" w:space="0" w:color="212B5D" w:themeColor="accent1"/>
          <w:right w:val="none" w:sz="0" w:space="0" w:color="auto"/>
          <w:insideH w:val="none" w:sz="0" w:space="0" w:color="auto"/>
          <w:insideV w:val="none" w:sz="0" w:space="0" w:color="auto"/>
        </w:tblBorders>
        <w:tblLook w:val="04A0" w:firstRow="1" w:lastRow="0" w:firstColumn="1" w:lastColumn="0" w:noHBand="0" w:noVBand="1"/>
      </w:tblPr>
      <w:tblGrid>
        <w:gridCol w:w="8210"/>
      </w:tblGrid>
      <w:tr w:rsidR="00A90477" w:rsidRPr="00DF3F74" w14:paraId="7B01DC96" w14:textId="77777777" w:rsidTr="00EE7DB8">
        <w:tc>
          <w:tcPr>
            <w:tcW w:w="8210" w:type="dxa"/>
            <w:tcBorders>
              <w:top w:val="double" w:sz="4" w:space="0" w:color="212B5D" w:themeColor="accent1"/>
              <w:bottom w:val="double" w:sz="4" w:space="0" w:color="212B5D" w:themeColor="accent1"/>
            </w:tcBorders>
            <w:shd w:val="clear" w:color="auto" w:fill="auto"/>
          </w:tcPr>
          <w:p w14:paraId="22B453DC" w14:textId="77777777" w:rsidR="00A90477" w:rsidRPr="00DF3F74" w:rsidRDefault="00A90477" w:rsidP="00F34E63">
            <w:pPr>
              <w:pStyle w:val="Heading2"/>
              <w:spacing w:before="240" w:after="240"/>
              <w:outlineLvl w:val="1"/>
            </w:pPr>
            <w:bookmarkStart w:id="100" w:name="_Toc58347850"/>
            <w:bookmarkStart w:id="101" w:name="_Toc70763277"/>
            <w:r w:rsidRPr="00DF3F74">
              <w:t xml:space="preserve">Strategy </w:t>
            </w:r>
            <w:r>
              <w:t>3</w:t>
            </w:r>
            <w:r w:rsidRPr="00DF3F74">
              <w:t xml:space="preserve">: </w:t>
            </w:r>
            <w:r>
              <w:t>Workforce capability</w:t>
            </w:r>
            <w:bookmarkEnd w:id="100"/>
            <w:bookmarkEnd w:id="101"/>
          </w:p>
        </w:tc>
      </w:tr>
    </w:tbl>
    <w:p w14:paraId="501A4E3D" w14:textId="77777777" w:rsidR="00A90477" w:rsidRDefault="00A90477" w:rsidP="00A90477">
      <w:pPr>
        <w:pStyle w:val="Heading2"/>
      </w:pPr>
      <w:bookmarkStart w:id="102" w:name="_Toc58178678"/>
      <w:bookmarkStart w:id="103" w:name="_Toc58347851"/>
      <w:bookmarkStart w:id="104" w:name="_Toc70763278"/>
      <w:r>
        <w:t>Māori</w:t>
      </w:r>
      <w:r w:rsidRPr="00460381">
        <w:t xml:space="preserve"> providers traditionally underfunded</w:t>
      </w:r>
      <w:bookmarkEnd w:id="102"/>
      <w:bookmarkEnd w:id="103"/>
      <w:bookmarkEnd w:id="104"/>
    </w:p>
    <w:p w14:paraId="1C3862EA" w14:textId="77777777" w:rsidR="00A90477" w:rsidRDefault="00A90477" w:rsidP="00A90477">
      <w:pPr>
        <w:pStyle w:val="BodyText"/>
      </w:pPr>
      <w:r>
        <w:t>Māori health providers have historically been underfunded, given the strategic importance of their work to support and increase health outcomes for Māori in their communities.</w:t>
      </w:r>
      <w:r>
        <w:rPr>
          <w:rStyle w:val="FootnoteReference"/>
        </w:rPr>
        <w:footnoteReference w:id="16"/>
      </w:r>
      <w:r>
        <w:t xml:space="preserve"> Constrained funding means provider leadership often faces tough decisions: whether, for example, to hire more staff, deliver staff training, offer higher wages (often to match DHB or non-</w:t>
      </w:r>
      <w:r w:rsidRPr="00A66B7C">
        <w:t>Māori</w:t>
      </w:r>
      <w:r>
        <w:t>, non-Pacific organisations), or reimburse petrol costs for home visits in rural areas. Providers often prioritise initiatives for whānau over activities that would improve their longer-term sustainability, such as workforce development.</w:t>
      </w:r>
    </w:p>
    <w:p w14:paraId="3A375BF0" w14:textId="77777777" w:rsidR="00A90477" w:rsidRDefault="00A90477" w:rsidP="00A90477">
      <w:pPr>
        <w:pStyle w:val="Heading2"/>
      </w:pPr>
      <w:bookmarkStart w:id="105" w:name="_Toc58347852"/>
      <w:bookmarkStart w:id="106" w:name="_Toc70763279"/>
      <w:r>
        <w:t xml:space="preserve">An expert and experienced </w:t>
      </w:r>
      <w:r w:rsidRPr="00A66B7C">
        <w:t xml:space="preserve">Māori </w:t>
      </w:r>
      <w:r>
        <w:t xml:space="preserve">workforce is </w:t>
      </w:r>
      <w:proofErr w:type="gramStart"/>
      <w:r>
        <w:t>critical</w:t>
      </w:r>
      <w:bookmarkEnd w:id="105"/>
      <w:bookmarkEnd w:id="106"/>
      <w:proofErr w:type="gramEnd"/>
    </w:p>
    <w:p w14:paraId="78CED11D" w14:textId="30499072" w:rsidR="00A90477" w:rsidRDefault="00A90477" w:rsidP="00A90477">
      <w:pPr>
        <w:pStyle w:val="BodyText"/>
      </w:pPr>
      <w:r>
        <w:t xml:space="preserve">As a result, some providers have a limited pool of Māori nurses and staff who can vaccinate. The limited pools of suitable staff are exacerbated when delivering mobile outreach services, requiring more staff to deliver services safely and effectively. </w:t>
      </w:r>
    </w:p>
    <w:p w14:paraId="313937F4" w14:textId="77777777" w:rsidR="00A90477" w:rsidRDefault="00A90477" w:rsidP="00A90477">
      <w:pPr>
        <w:pStyle w:val="BodyText"/>
      </w:pPr>
      <w:r>
        <w:t xml:space="preserve">As noted earlier, many whānau prefer </w:t>
      </w:r>
      <w:r w:rsidRPr="00A66B7C">
        <w:t xml:space="preserve">Māori </w:t>
      </w:r>
      <w:r>
        <w:t xml:space="preserve">health providers and Māori vaccinators who reflect them and their community. Providers believe an expert and experienced </w:t>
      </w:r>
      <w:r w:rsidRPr="00A66B7C">
        <w:t xml:space="preserve">Māori </w:t>
      </w:r>
      <w:r>
        <w:t xml:space="preserve">workforce is critical. Whānau are more open to engaging, relationships are easier to </w:t>
      </w:r>
      <w:proofErr w:type="gramStart"/>
      <w:r>
        <w:t>develop</w:t>
      </w:r>
      <w:proofErr w:type="gramEnd"/>
      <w:r>
        <w:t xml:space="preserve"> and trust builds quicker. This in turn, increases whānau access to vaccination services.</w:t>
      </w:r>
    </w:p>
    <w:p w14:paraId="7B244D33" w14:textId="77777777" w:rsidR="00A90477" w:rsidRPr="00460381" w:rsidRDefault="00A90477" w:rsidP="00A90477">
      <w:pPr>
        <w:pStyle w:val="BodyText"/>
      </w:pPr>
      <w:r>
        <w:t xml:space="preserve">Some regions recognised that increasing the Māori vaccinator workforce was key to achieving vaccination equity. </w:t>
      </w:r>
      <w:proofErr w:type="gramStart"/>
      <w:r>
        <w:t>This is why</w:t>
      </w:r>
      <w:proofErr w:type="gramEnd"/>
      <w:r>
        <w:t xml:space="preserve"> they included capacity and capability development activities as part of their MIVP-funded approach. </w:t>
      </w:r>
    </w:p>
    <w:p w14:paraId="3AB29B42" w14:textId="3B4A8801" w:rsidR="00A90477" w:rsidRDefault="00A90477" w:rsidP="00A90477">
      <w:pPr>
        <w:pStyle w:val="Heading3"/>
      </w:pPr>
      <w:r>
        <w:lastRenderedPageBreak/>
        <w:t>MIVP funding helped build v</w:t>
      </w:r>
      <w:r w:rsidRPr="00594121">
        <w:t xml:space="preserve">accinator capacity and </w:t>
      </w:r>
      <w:proofErr w:type="gramStart"/>
      <w:r w:rsidRPr="00594121">
        <w:t>capability</w:t>
      </w:r>
      <w:proofErr w:type="gramEnd"/>
      <w:r w:rsidR="00080339">
        <w:t xml:space="preserve"> </w:t>
      </w:r>
    </w:p>
    <w:p w14:paraId="70FB0505" w14:textId="465E5800" w:rsidR="00A90477" w:rsidRDefault="00A90477" w:rsidP="00A90477">
      <w:pPr>
        <w:pStyle w:val="BodyText"/>
      </w:pPr>
      <w:r>
        <w:t xml:space="preserve">In some regions, </w:t>
      </w:r>
      <w:r w:rsidRPr="009B632B">
        <w:t>MIVP helped augment the workforce of vaccinators</w:t>
      </w:r>
      <w:r w:rsidR="00D4230C" w:rsidRPr="009B632B">
        <w:t xml:space="preserve">, and </w:t>
      </w:r>
      <w:r w:rsidRPr="009B632B">
        <w:t xml:space="preserve">the free online vaccination training for flu and selected other immunisations was useful. </w:t>
      </w:r>
      <w:r w:rsidR="009B632B">
        <w:t xml:space="preserve">Some </w:t>
      </w:r>
      <w:r w:rsidRPr="009B632B">
        <w:t xml:space="preserve">regions </w:t>
      </w:r>
      <w:r w:rsidR="009B632B">
        <w:t xml:space="preserve">(providers and DHBs) </w:t>
      </w:r>
      <w:r w:rsidRPr="009B632B">
        <w:t xml:space="preserve">used funding for training to upskill staff in their organisations or partner organisations, including paying for travel to training locations. </w:t>
      </w:r>
    </w:p>
    <w:p w14:paraId="68FC8D0C" w14:textId="3C21A7D6" w:rsidR="00A90477" w:rsidRDefault="00A90477" w:rsidP="00A90477">
      <w:pPr>
        <w:pStyle w:val="BodyText"/>
      </w:pPr>
      <w:r>
        <w:t>In one region, the DHB coordinated the training of nursing students, midwives and nurses working with providers in the region. A primary driver for this was to increase numbers of local vaccinators in the short-term and increase longer</w:t>
      </w:r>
      <w:r w:rsidR="00F70234">
        <w:t xml:space="preserve"> </w:t>
      </w:r>
      <w:r>
        <w:t xml:space="preserve">term sustainability of the vaccination workforce for flu and possibly other immunisations. Senior leaders in this region suggested that DHBs have other existing funding pools that could (and should) be directed towards increasing the overall capacity and capability of Māori vaccinators. </w:t>
      </w:r>
    </w:p>
    <w:p w14:paraId="3BBBE57E" w14:textId="77777777" w:rsidR="00A90477" w:rsidRDefault="00A90477" w:rsidP="00A90477">
      <w:pPr>
        <w:pStyle w:val="BodyText"/>
      </w:pPr>
      <w:r>
        <w:t xml:space="preserve">In another approach, the DHB organised for vaccinators to sit alongside provider staff while providers upskilled their staff. And when providers </w:t>
      </w:r>
      <w:proofErr w:type="gramStart"/>
      <w:r>
        <w:t>signalled</w:t>
      </w:r>
      <w:proofErr w:type="gramEnd"/>
      <w:r>
        <w:t xml:space="preserve"> they were ready, DHB staff stepped back. </w:t>
      </w:r>
    </w:p>
    <w:p w14:paraId="243370BB" w14:textId="79B8AB04" w:rsidR="002E2269" w:rsidRDefault="002E2269" w:rsidP="002E2269">
      <w:pPr>
        <w:pStyle w:val="BodyText"/>
      </w:pPr>
      <w:r>
        <w:t xml:space="preserve">In contrast, in </w:t>
      </w:r>
      <w:r w:rsidR="00F70234">
        <w:t>one</w:t>
      </w:r>
      <w:r>
        <w:t xml:space="preserve"> region where the DHB was funded, the contracted provider was not supported to increase their vaccination capability. Instead, the provider organised temporary clinics and nurses from the PHO administered vaccinations. But this limited the options for vaccinating on the weekend as PHO nurses “don’t work after</w:t>
      </w:r>
      <w:r w:rsidR="00F70234">
        <w:t>-</w:t>
      </w:r>
      <w:r>
        <w:t xml:space="preserve">hours”. This region experienced an overall improvement for Māori flu vaccinations but </w:t>
      </w:r>
      <w:r w:rsidR="00F70234">
        <w:t xml:space="preserve">overall </w:t>
      </w:r>
      <w:r>
        <w:t xml:space="preserve">a much stronger improvement for </w:t>
      </w:r>
      <w:r w:rsidR="00EC6371">
        <w:t>non-Maori,</w:t>
      </w:r>
      <w:r>
        <w:t xml:space="preserve"> non-Pacific </w:t>
      </w:r>
      <w:r w:rsidR="00F70234">
        <w:t>people</w:t>
      </w:r>
      <w:r>
        <w:t xml:space="preserve">. </w:t>
      </w:r>
    </w:p>
    <w:p w14:paraId="254731BC" w14:textId="77777777" w:rsidR="00A90477" w:rsidRDefault="00A90477" w:rsidP="00A90477">
      <w:pPr>
        <w:pStyle w:val="Heading2"/>
      </w:pPr>
      <w:bookmarkStart w:id="107" w:name="_Toc58347853"/>
      <w:bookmarkStart w:id="108" w:name="_Toc70763280"/>
      <w:r>
        <w:t>MIVP funding helped build vaccination and mobilisation</w:t>
      </w:r>
      <w:r w:rsidRPr="00594121">
        <w:t xml:space="preserve"> </w:t>
      </w:r>
      <w:proofErr w:type="gramStart"/>
      <w:r w:rsidRPr="00594121">
        <w:t>capability</w:t>
      </w:r>
      <w:bookmarkEnd w:id="107"/>
      <w:bookmarkEnd w:id="108"/>
      <w:proofErr w:type="gramEnd"/>
    </w:p>
    <w:p w14:paraId="374BC0A1" w14:textId="62231FF5" w:rsidR="00A90477" w:rsidRDefault="00A90477" w:rsidP="00A90477">
      <w:pPr>
        <w:pStyle w:val="BodyText"/>
      </w:pPr>
      <w:r>
        <w:t>In some regions, MIVP funding enabled training in administ</w:t>
      </w:r>
      <w:r w:rsidR="00F70234">
        <w:t>er</w:t>
      </w:r>
      <w:r>
        <w:t xml:space="preserve">ing and managing vaccines. Some providers received funding and support, particularly from DHBs, to achieve cold chain accreditation to store and manage vaccines themselves. In one region, the DHB spoke of setting up a central store of vaccines that providers could access with </w:t>
      </w:r>
      <w:r w:rsidR="00F70234">
        <w:t xml:space="preserve">prior </w:t>
      </w:r>
      <w:r>
        <w:t>notice for any outreach activities. This allowed providers to deliver vaccinations in community sites</w:t>
      </w:r>
      <w:r w:rsidR="00F70234">
        <w:t xml:space="preserve"> that had limited or no suitable storage</w:t>
      </w:r>
      <w:r>
        <w:t xml:space="preserve">, such as churches. </w:t>
      </w:r>
    </w:p>
    <w:p w14:paraId="7029B754" w14:textId="63299EEE" w:rsidR="00A90477" w:rsidRPr="009279D5" w:rsidRDefault="0055097E" w:rsidP="00A90477">
      <w:pPr>
        <w:pStyle w:val="BodyText"/>
      </w:pPr>
      <w:r>
        <w:t>T</w:t>
      </w:r>
      <w:r w:rsidR="00A90477" w:rsidRPr="009279D5">
        <w:t>emporary</w:t>
      </w:r>
      <w:r>
        <w:t xml:space="preserve"> pop-up</w:t>
      </w:r>
      <w:r w:rsidR="00A90477" w:rsidRPr="009279D5">
        <w:t xml:space="preserve"> clinics </w:t>
      </w:r>
      <w:r>
        <w:t xml:space="preserve">were </w:t>
      </w:r>
      <w:r w:rsidR="00A90477" w:rsidRPr="009279D5">
        <w:t>new</w:t>
      </w:r>
      <w:r>
        <w:t xml:space="preserve"> to most providers. Providers and DHBs hired or purchased </w:t>
      </w:r>
      <w:r w:rsidR="00A90477" w:rsidRPr="009279D5">
        <w:t xml:space="preserve">physical assets needed to deliver services </w:t>
      </w:r>
      <w:r>
        <w:t xml:space="preserve">such as gazebos and tables </w:t>
      </w:r>
      <w:r w:rsidR="00A90477" w:rsidRPr="009279D5">
        <w:t xml:space="preserve">and cold chain </w:t>
      </w:r>
      <w:r>
        <w:t xml:space="preserve">equipment </w:t>
      </w:r>
      <w:r w:rsidR="00A90477" w:rsidRPr="009279D5">
        <w:t xml:space="preserve">such as chilly bins and fridges. </w:t>
      </w:r>
    </w:p>
    <w:p w14:paraId="0B6AFF5D" w14:textId="77777777" w:rsidR="00A90477" w:rsidRDefault="00A90477" w:rsidP="00A90477">
      <w:pPr>
        <w:pStyle w:val="BodyText"/>
      </w:pPr>
      <w:r>
        <w:t xml:space="preserve">Some regions spoke of a need to empower providers to deliver vaccines by including vaccinations in their contracts. </w:t>
      </w:r>
    </w:p>
    <w:p w14:paraId="2448664D" w14:textId="1D5F01BC" w:rsidR="00A90477" w:rsidRDefault="00A90477" w:rsidP="00A90477">
      <w:pPr>
        <w:pStyle w:val="Heading2"/>
      </w:pPr>
      <w:bookmarkStart w:id="109" w:name="_Toc58347854"/>
      <w:bookmarkStart w:id="110" w:name="_Toc70763281"/>
      <w:r>
        <w:t xml:space="preserve">Data unlocks responsive decision-making, efficiency and </w:t>
      </w:r>
      <w:proofErr w:type="gramStart"/>
      <w:r>
        <w:t>effectiveness</w:t>
      </w:r>
      <w:bookmarkEnd w:id="109"/>
      <w:bookmarkEnd w:id="110"/>
      <w:proofErr w:type="gramEnd"/>
    </w:p>
    <w:p w14:paraId="088950EC" w14:textId="651EB0D5" w:rsidR="00A90477" w:rsidRDefault="00A90477" w:rsidP="00A90477">
      <w:pPr>
        <w:pStyle w:val="BodyText"/>
      </w:pPr>
      <w:r>
        <w:t xml:space="preserve">Knowing where to find Māori to vaccinate, both generally </w:t>
      </w:r>
      <w:proofErr w:type="gramStart"/>
      <w:r>
        <w:t xml:space="preserve">and </w:t>
      </w:r>
      <w:r w:rsidR="00F70234">
        <w:t>also</w:t>
      </w:r>
      <w:proofErr w:type="gramEnd"/>
      <w:r w:rsidR="00F70234">
        <w:t xml:space="preserve"> </w:t>
      </w:r>
      <w:r>
        <w:t xml:space="preserve">specific individuals, was a core part of MIVP-funded approaches in many regions. Providers and DHBs used administrative databases to identify whānau and eligible Māori for communications activities and to identify locations where whānau and eligible Māori would likely be for outreach activities. </w:t>
      </w:r>
    </w:p>
    <w:p w14:paraId="16F22303" w14:textId="77777777" w:rsidR="00A90477" w:rsidRDefault="00A90477" w:rsidP="00A90477">
      <w:pPr>
        <w:pStyle w:val="BodyText"/>
      </w:pPr>
      <w:r>
        <w:t>DHBs</w:t>
      </w:r>
      <w:proofErr w:type="gramStart"/>
      <w:r>
        <w:t>, in particular, talked</w:t>
      </w:r>
      <w:proofErr w:type="gramEnd"/>
      <w:r>
        <w:t xml:space="preserve"> about the challenges of accessing data – and the unwillingness of some PHOs and provider organisations to share data. At an individual organisation level this makes sense. </w:t>
      </w:r>
      <w:proofErr w:type="gramStart"/>
      <w:r>
        <w:t>However</w:t>
      </w:r>
      <w:proofErr w:type="gramEnd"/>
      <w:r>
        <w:t xml:space="preserve"> it made it difficult to take a regional overview to support the planning and coordination of vaccine and services.</w:t>
      </w:r>
    </w:p>
    <w:p w14:paraId="6235E32F" w14:textId="211C5EF8" w:rsidR="00A90477" w:rsidRDefault="00A90477" w:rsidP="00EC6371">
      <w:pPr>
        <w:pStyle w:val="QuoteSmallBlue"/>
      </w:pPr>
      <w:r w:rsidRPr="00102798">
        <w:t xml:space="preserve">The data – </w:t>
      </w:r>
      <w:proofErr w:type="gramStart"/>
      <w:r w:rsidRPr="00102798">
        <w:t>it</w:t>
      </w:r>
      <w:r w:rsidR="00F70234">
        <w:t>’</w:t>
      </w:r>
      <w:r w:rsidRPr="00102798">
        <w:t>s</w:t>
      </w:r>
      <w:proofErr w:type="gramEnd"/>
      <w:r w:rsidRPr="00102798">
        <w:t xml:space="preserve"> data sharing – is a major barrier for improvement.  Yeah.  And I did raise it with the </w:t>
      </w:r>
      <w:r w:rsidR="000414E3">
        <w:t>Māori</w:t>
      </w:r>
      <w:r w:rsidRPr="00102798">
        <w:t xml:space="preserve"> Directorate and said, </w:t>
      </w:r>
      <w:r w:rsidR="00F70234">
        <w:t>‘W</w:t>
      </w:r>
      <w:r w:rsidRPr="00102798">
        <w:t>e have to do something differently moving forward around the willingness to share information so that we can make improvements.</w:t>
      </w:r>
      <w:r w:rsidR="00F70234">
        <w:t>’</w:t>
      </w:r>
      <w:r>
        <w:t xml:space="preserve"> (DHB </w:t>
      </w:r>
      <w:r w:rsidR="00F70234" w:rsidRPr="00102798">
        <w:t>–</w:t>
      </w:r>
      <w:r>
        <w:t xml:space="preserve"> GM Māori)</w:t>
      </w:r>
    </w:p>
    <w:p w14:paraId="48596BA6" w14:textId="482F2DD2" w:rsidR="00A90477" w:rsidRPr="00F93E26" w:rsidRDefault="00A90477" w:rsidP="00EC6371">
      <w:pPr>
        <w:pStyle w:val="QuoteSmallBlue"/>
      </w:pPr>
      <w:r>
        <w:t>D</w:t>
      </w:r>
      <w:r w:rsidRPr="00F93E26">
        <w:t xml:space="preserve">uring </w:t>
      </w:r>
      <w:r w:rsidR="00F70234">
        <w:t>[the COVID-19] L</w:t>
      </w:r>
      <w:r w:rsidRPr="00F93E26">
        <w:t xml:space="preserve">ockdown it was </w:t>
      </w:r>
      <w:proofErr w:type="gramStart"/>
      <w:r w:rsidRPr="00F93E26">
        <w:t>really easy</w:t>
      </w:r>
      <w:proofErr w:type="gramEnd"/>
      <w:r w:rsidRPr="00F93E26">
        <w:t xml:space="preserve"> to get their registers and their </w:t>
      </w:r>
      <w:r w:rsidR="000414E3">
        <w:t>whānau</w:t>
      </w:r>
      <w:r w:rsidRPr="00F93E26">
        <w:t xml:space="preserve"> because they own their GP practice</w:t>
      </w:r>
      <w:r>
        <w:t>.</w:t>
      </w:r>
      <w:r w:rsidRPr="00F93E26">
        <w:t xml:space="preserve"> </w:t>
      </w:r>
      <w:r>
        <w:t>H</w:t>
      </w:r>
      <w:r w:rsidRPr="00F93E26">
        <w:t xml:space="preserve">owever </w:t>
      </w:r>
      <w:r>
        <w:t xml:space="preserve">[PHO] is </w:t>
      </w:r>
      <w:r w:rsidRPr="00F93E26">
        <w:t xml:space="preserve">a different situation in that </w:t>
      </w:r>
      <w:proofErr w:type="gramStart"/>
      <w:r w:rsidRPr="00F93E26">
        <w:t>they’re</w:t>
      </w:r>
      <w:proofErr w:type="gramEnd"/>
      <w:r w:rsidRPr="00F93E26">
        <w:t xml:space="preserve"> all independent businesses and you have to go through </w:t>
      </w:r>
      <w:r w:rsidRPr="00F93E26">
        <w:lastRenderedPageBreak/>
        <w:t xml:space="preserve">proper ownership structures and then they have to agree at that end and then come back with their registers. </w:t>
      </w:r>
      <w:proofErr w:type="gramStart"/>
      <w:r w:rsidRPr="00F93E26">
        <w:t>So</w:t>
      </w:r>
      <w:proofErr w:type="gramEnd"/>
      <w:r w:rsidRPr="00F93E26">
        <w:t xml:space="preserve"> it was a much, much lengthier process.</w:t>
      </w:r>
      <w:r>
        <w:t xml:space="preserve"> (DHB </w:t>
      </w:r>
      <w:r w:rsidR="00F70234" w:rsidRPr="00102798">
        <w:t>–</w:t>
      </w:r>
      <w:r w:rsidR="00F70234">
        <w:t xml:space="preserve"> </w:t>
      </w:r>
      <w:r>
        <w:t>Project Coordinator)</w:t>
      </w:r>
    </w:p>
    <w:p w14:paraId="29839686" w14:textId="54FD9B18" w:rsidR="00A90477" w:rsidRDefault="00A90477" w:rsidP="00A90477">
      <w:pPr>
        <w:pStyle w:val="BodyText"/>
      </w:pPr>
      <w:r>
        <w:t xml:space="preserve">Quick and reliable access to NIR and other related data was crucial. Some providers and DHBs improved their data infrastructure and systems </w:t>
      </w:r>
      <w:r w:rsidR="002A6909">
        <w:t xml:space="preserve">while participating in </w:t>
      </w:r>
      <w:r>
        <w:t xml:space="preserve">the MIVP. In one region, the funding enabled IT training and support for data administration. </w:t>
      </w:r>
    </w:p>
    <w:p w14:paraId="383256A4" w14:textId="65C1DA02" w:rsidR="00A90477" w:rsidRPr="002B76B3" w:rsidRDefault="00A90477" w:rsidP="00A90477">
      <w:pPr>
        <w:pStyle w:val="BodyText"/>
      </w:pPr>
      <w:r w:rsidRPr="002B76B3">
        <w:t>Capturing and entering patient data when delivering outreach and mobile services is challenging</w:t>
      </w:r>
      <w:r w:rsidR="002A6909" w:rsidRPr="002B76B3">
        <w:t xml:space="preserve"> but important for</w:t>
      </w:r>
      <w:r w:rsidRPr="002B76B3">
        <w:t xml:space="preserve"> getting reliable and timely NIR data. Some regions spoke of relying on paper forms, which could be unwieldy when outdoors. Paper forms also increased the possibility for whānau to enter inaccurate personal details when completing a form for a whānau group. A possible solution was to buy electronic devices to capture information</w:t>
      </w:r>
      <w:r w:rsidR="002A6909" w:rsidRPr="002B76B3">
        <w:t xml:space="preserve"> –</w:t>
      </w:r>
      <w:r w:rsidRPr="002B76B3">
        <w:t xml:space="preserve"> if there was enough funding</w:t>
      </w:r>
      <w:r w:rsidR="002A6909" w:rsidRPr="002B76B3">
        <w:t xml:space="preserve"> and</w:t>
      </w:r>
      <w:r w:rsidRPr="002B76B3">
        <w:t xml:space="preserve"> a reliable </w:t>
      </w:r>
      <w:r w:rsidR="002A6909" w:rsidRPr="002B76B3">
        <w:t>i</w:t>
      </w:r>
      <w:r w:rsidRPr="002B76B3">
        <w:t>nternet connection to update databases. In one region, the DHB develop</w:t>
      </w:r>
      <w:r w:rsidR="002B76B3" w:rsidRPr="002B76B3">
        <w:t>ed</w:t>
      </w:r>
      <w:r w:rsidRPr="002B76B3">
        <w:t xml:space="preserve"> an app to enable data and reporting to be as close to real-time as possible. In another region, DHB staff spoke of ensuring providers in the region had access to the NIR and setting up alternative </w:t>
      </w:r>
      <w:r w:rsidR="003923C3" w:rsidRPr="002B76B3">
        <w:t>mean</w:t>
      </w:r>
      <w:r w:rsidRPr="002B76B3">
        <w:t xml:space="preserve">s to enter where necessary. </w:t>
      </w:r>
    </w:p>
    <w:p w14:paraId="7E32A1BF" w14:textId="4FB395C2" w:rsidR="00A90477" w:rsidRDefault="00A90477" w:rsidP="00A90477">
      <w:pPr>
        <w:pStyle w:val="BodyText"/>
      </w:pPr>
      <w:r>
        <w:t>In one region, providers collaborated on a shared database of Māori they served</w:t>
      </w:r>
      <w:r w:rsidR="003923C3">
        <w:t>,</w:t>
      </w:r>
      <w:r>
        <w:t xml:space="preserve"> because existing databases from PHOs did not capture Māori in the areas local providers served. As a result, they could monitor progress down to individual households. </w:t>
      </w:r>
    </w:p>
    <w:p w14:paraId="77742A39" w14:textId="1901D72C" w:rsidR="00A90477" w:rsidRDefault="00A90477" w:rsidP="00EC6371">
      <w:pPr>
        <w:pStyle w:val="QuoteSmallBlue"/>
      </w:pPr>
      <w:r w:rsidRPr="00B52F29">
        <w:t>We were able to give impact reports on households</w:t>
      </w:r>
      <w:r w:rsidR="003923C3">
        <w:t>,</w:t>
      </w:r>
      <w:r w:rsidRPr="00B52F29">
        <w:t xml:space="preserve"> whereas </w:t>
      </w:r>
      <w:proofErr w:type="gramStart"/>
      <w:r w:rsidRPr="00B52F29">
        <w:t>that’s</w:t>
      </w:r>
      <w:proofErr w:type="gramEnd"/>
      <w:r w:rsidRPr="00B52F29">
        <w:t xml:space="preserve"> never ever been captured. We were able to look at the makeup of our whānau and from that we’ve been able to build a resilience plan for </w:t>
      </w:r>
      <w:r>
        <w:t>[our]</w:t>
      </w:r>
      <w:r w:rsidRPr="00B52F29">
        <w:t xml:space="preserve"> </w:t>
      </w:r>
      <w:proofErr w:type="gramStart"/>
      <w:r w:rsidRPr="00B52F29">
        <w:t>Māori.(</w:t>
      </w:r>
      <w:proofErr w:type="gramEnd"/>
      <w:r w:rsidRPr="00B52F29">
        <w:t>Provider – direct</w:t>
      </w:r>
      <w:r w:rsidR="003923C3">
        <w:t>-</w:t>
      </w:r>
      <w:r w:rsidRPr="00B52F29">
        <w:t>funded)</w:t>
      </w:r>
    </w:p>
    <w:p w14:paraId="3E84C711" w14:textId="354D1018" w:rsidR="00A90477" w:rsidRDefault="00A90477" w:rsidP="00A90477">
      <w:pPr>
        <w:pStyle w:val="BodyText"/>
      </w:pPr>
      <w:r>
        <w:t xml:space="preserve">A focus on accurate and timely data capture provided </w:t>
      </w:r>
      <w:r w:rsidR="003923C3">
        <w:t>one</w:t>
      </w:r>
      <w:r>
        <w:t xml:space="preserve"> regional collective with regular and reliable information to monitor their progress and performance. This enabled the collective to reflect on their successes, generally and compared to other regions. This positive acknowledgement of their effort created further positive motivation during the campaign. It also enabled them to identify which activities and approaches seemed effective, any areas needing intervention or troubleshooting, and which providers appeared to be sufficiently capable or needed extra support. </w:t>
      </w:r>
    </w:p>
    <w:p w14:paraId="06D5A27C" w14:textId="3A6F69D2" w:rsidR="00A90477" w:rsidRPr="00EE57CC" w:rsidRDefault="00A90477" w:rsidP="00EC6371">
      <w:pPr>
        <w:pStyle w:val="QuoteSmallBlue"/>
        <w:rPr>
          <w:rFonts w:eastAsia="Arial Nova Light"/>
        </w:rPr>
      </w:pPr>
      <w:r w:rsidRPr="00B52F29">
        <w:t>We were getting so excited because we were thinking</w:t>
      </w:r>
      <w:r w:rsidR="003923C3">
        <w:t>, ‘O</w:t>
      </w:r>
      <w:r w:rsidRPr="00B52F29">
        <w:t xml:space="preserve">h my </w:t>
      </w:r>
      <w:proofErr w:type="gramStart"/>
      <w:r w:rsidRPr="00B52F29">
        <w:t>God</w:t>
      </w:r>
      <w:proofErr w:type="gramEnd"/>
      <w:r w:rsidRPr="00B52F29">
        <w:t xml:space="preserve"> it’s working you know</w:t>
      </w:r>
      <w:r w:rsidR="003923C3">
        <w:t xml:space="preserve">.’ </w:t>
      </w:r>
      <w:proofErr w:type="gramStart"/>
      <w:r w:rsidR="003923C3">
        <w:t>S</w:t>
      </w:r>
      <w:r w:rsidRPr="00B52F29">
        <w:t>o</w:t>
      </w:r>
      <w:proofErr w:type="gramEnd"/>
      <w:r w:rsidRPr="00B52F29">
        <w:t xml:space="preserve"> the whole group was getting all enthusiastic, we’re checking our results every week </w:t>
      </w:r>
      <w:r w:rsidR="003923C3">
        <w:t>‘O</w:t>
      </w:r>
      <w:r w:rsidRPr="00B52F29">
        <w:t>h my God we’re up another</w:t>
      </w:r>
      <w:r w:rsidR="003923C3">
        <w:t>’</w:t>
      </w:r>
      <w:r w:rsidRPr="00B52F29">
        <w:t xml:space="preserve">, and we kept looking at the other you know DHBs thinking </w:t>
      </w:r>
      <w:r w:rsidR="003923C3">
        <w:t>‘O</w:t>
      </w:r>
      <w:r w:rsidRPr="00B52F29">
        <w:t>h how come they’re not going up you know</w:t>
      </w:r>
      <w:r w:rsidR="003923C3">
        <w:t>?’</w:t>
      </w:r>
      <w:r w:rsidRPr="00B52F29">
        <w:t xml:space="preserve"> </w:t>
      </w:r>
      <w:proofErr w:type="gramStart"/>
      <w:r w:rsidR="003923C3">
        <w:t>S</w:t>
      </w:r>
      <w:r w:rsidRPr="00B52F29">
        <w:t>o</w:t>
      </w:r>
      <w:proofErr w:type="gramEnd"/>
      <w:r w:rsidRPr="00B52F29">
        <w:t xml:space="preserve"> we suddenly noticed we were shooting up and everybody </w:t>
      </w:r>
      <w:r w:rsidR="003923C3">
        <w:t xml:space="preserve">[else] </w:t>
      </w:r>
      <w:r w:rsidRPr="00B52F29">
        <w:t xml:space="preserve">had kind of stabilised, but we kept climbing and I think it was that enthusiasm once we had got ourselves together. (DHB </w:t>
      </w:r>
      <w:r w:rsidR="003923C3">
        <w:rPr>
          <w:rFonts w:ascii="Courier New" w:hAnsi="Courier New" w:cs="Courier New"/>
        </w:rPr>
        <w:t>–</w:t>
      </w:r>
      <w:r w:rsidR="003923C3">
        <w:t xml:space="preserve"> </w:t>
      </w:r>
      <w:r w:rsidRPr="00B52F29">
        <w:t>Māori Health)</w:t>
      </w:r>
      <w:r>
        <w:t xml:space="preserve"> </w:t>
      </w:r>
    </w:p>
    <w:p w14:paraId="4CC71137" w14:textId="05B88B29" w:rsidR="00A90477" w:rsidRDefault="00A90477" w:rsidP="00A90477">
      <w:pPr>
        <w:pStyle w:val="BodyText"/>
      </w:pPr>
      <w:r>
        <w:t xml:space="preserve">In one region, the DHB </w:t>
      </w:r>
      <w:r w:rsidR="003923C3">
        <w:t>coordinated</w:t>
      </w:r>
      <w:r>
        <w:t xml:space="preserve"> activities and vaccines. More timely and accurate data about outreach activities (delivered and planned), vaccine stock location and vaccinations delivered enabled them to forecast vaccine demand and source vaccine as needed for planned activities. As a result, they could more efficiently manage their limited vaccine stock overall. </w:t>
      </w:r>
    </w:p>
    <w:p w14:paraId="0BEC3E3B" w14:textId="4F0ACE74" w:rsidR="00A90477" w:rsidRDefault="00A90477" w:rsidP="00A90477">
      <w:pPr>
        <w:pStyle w:val="BodyText"/>
      </w:pPr>
      <w:r>
        <w:t>There remains a challenge of capturing</w:t>
      </w:r>
      <w:r w:rsidR="003923C3">
        <w:t xml:space="preserve"> information about</w:t>
      </w:r>
      <w:r>
        <w:t xml:space="preserve"> whānau </w:t>
      </w:r>
      <w:r w:rsidR="003923C3">
        <w:t xml:space="preserve">who </w:t>
      </w:r>
      <w:r>
        <w:t xml:space="preserve">decline vaccinations, particularly </w:t>
      </w:r>
      <w:r w:rsidR="003923C3">
        <w:t xml:space="preserve">as part of </w:t>
      </w:r>
      <w:r>
        <w:t xml:space="preserve">outreach activities. Without a consistent way to record an individual’s decline to receive a vaccine, they may receive repeat targeted </w:t>
      </w:r>
      <w:proofErr w:type="gramStart"/>
      <w:r>
        <w:t>communications</w:t>
      </w:r>
      <w:proofErr w:type="gramEnd"/>
      <w:r>
        <w:t xml:space="preserve"> and</w:t>
      </w:r>
      <w:r w:rsidR="003923C3">
        <w:t xml:space="preserve"> this may</w:t>
      </w:r>
      <w:r>
        <w:t xml:space="preserve"> increase their </w:t>
      </w:r>
      <w:r w:rsidR="003923C3">
        <w:t xml:space="preserve">frustration and </w:t>
      </w:r>
      <w:r>
        <w:t xml:space="preserve">risk of disengagement from health providers. </w:t>
      </w:r>
    </w:p>
    <w:p w14:paraId="011C0959" w14:textId="6C9F06AA" w:rsidR="00A90477" w:rsidRDefault="00A90477" w:rsidP="00A90477">
      <w:pPr>
        <w:pStyle w:val="BodyText"/>
      </w:pPr>
      <w:r>
        <w:t>Broader systemic challenges of the reliance on census data for population figures hamper the use of NIR data. Māori are historically under</w:t>
      </w:r>
      <w:r w:rsidR="003923C3">
        <w:t>-</w:t>
      </w:r>
      <w:r>
        <w:t xml:space="preserve">reported </w:t>
      </w:r>
      <w:r w:rsidR="003923C3">
        <w:t xml:space="preserve">in </w:t>
      </w:r>
      <w:r>
        <w:t xml:space="preserve">national censuses, and this reduces the usability of NIR. </w:t>
      </w:r>
    </w:p>
    <w:p w14:paraId="2B9F3961" w14:textId="2BCF8F63" w:rsidR="00A90477" w:rsidRDefault="00A90477" w:rsidP="00A90477">
      <w:pPr>
        <w:pStyle w:val="BodyText"/>
      </w:pPr>
      <w:r>
        <w:t xml:space="preserve">Data capture and sharing raises concerns of data sovereignty and governance. A lack of trust exists between some providers, PHOs and DHBs (Māori directorates and other units). As a result, some providers and DHBs spoke of an unwillingness to share data with other parties in their region. </w:t>
      </w:r>
    </w:p>
    <w:p w14:paraId="70825F09" w14:textId="77777777" w:rsidR="00A90477" w:rsidRPr="00A90477" w:rsidRDefault="00A90477" w:rsidP="00A90477"/>
    <w:p w14:paraId="050983E1" w14:textId="7D9789F0" w:rsidR="002A1DC2" w:rsidRDefault="00C8444C" w:rsidP="00590A9B">
      <w:pPr>
        <w:pStyle w:val="Heading1"/>
      </w:pPr>
      <w:bookmarkStart w:id="111" w:name="_Toc70763282"/>
      <w:r>
        <w:lastRenderedPageBreak/>
        <w:t>The design and implementation of the MIVP</w:t>
      </w:r>
      <w:bookmarkEnd w:id="111"/>
    </w:p>
    <w:tbl>
      <w:tblPr>
        <w:tblStyle w:val="TableGrid"/>
        <w:tblW w:w="5000" w:type="pct"/>
        <w:tblLook w:val="04A0" w:firstRow="1" w:lastRow="0" w:firstColumn="1" w:lastColumn="0" w:noHBand="0" w:noVBand="1"/>
      </w:tblPr>
      <w:tblGrid>
        <w:gridCol w:w="8488"/>
      </w:tblGrid>
      <w:tr w:rsidR="00855C9E" w14:paraId="20A6CDA2" w14:textId="77777777" w:rsidTr="00837B50">
        <w:tc>
          <w:tcPr>
            <w:tcW w:w="5000" w:type="pct"/>
            <w:shd w:val="clear" w:color="auto" w:fill="D5DCE4" w:themeFill="text2" w:themeFillTint="33"/>
          </w:tcPr>
          <w:p w14:paraId="3204F032" w14:textId="79C5ED8A" w:rsidR="00FB24D9" w:rsidRPr="00B743E5" w:rsidRDefault="00FB24D9" w:rsidP="00FB24D9">
            <w:pPr>
              <w:pStyle w:val="Heading2"/>
              <w:outlineLvl w:val="1"/>
              <w:rPr>
                <w:color w:val="000000" w:themeColor="text1"/>
              </w:rPr>
            </w:pPr>
            <w:bookmarkStart w:id="112" w:name="_Toc58347856"/>
            <w:bookmarkStart w:id="113" w:name="_Toc58484979"/>
            <w:bookmarkStart w:id="114" w:name="_Toc70763283"/>
            <w:r w:rsidRPr="00B743E5">
              <w:rPr>
                <w:color w:val="000000" w:themeColor="text1"/>
              </w:rPr>
              <w:t>A snapshot</w:t>
            </w:r>
            <w:bookmarkEnd w:id="112"/>
            <w:bookmarkEnd w:id="113"/>
            <w:bookmarkEnd w:id="114"/>
            <w:r w:rsidRPr="00B743E5">
              <w:rPr>
                <w:color w:val="000000" w:themeColor="text1"/>
              </w:rPr>
              <w:t xml:space="preserve"> </w:t>
            </w:r>
          </w:p>
          <w:p w14:paraId="4F213BE2" w14:textId="57E1D7E6" w:rsidR="00EE4638" w:rsidRPr="00B743E5" w:rsidRDefault="00FB24D9" w:rsidP="00246B9F">
            <w:pPr>
              <w:rPr>
                <w:color w:val="000000" w:themeColor="text1"/>
              </w:rPr>
            </w:pPr>
            <w:r w:rsidRPr="00B743E5">
              <w:rPr>
                <w:color w:val="000000" w:themeColor="text1"/>
              </w:rPr>
              <w:t>Overall</w:t>
            </w:r>
            <w:r w:rsidR="003923C3">
              <w:rPr>
                <w:color w:val="000000" w:themeColor="text1"/>
              </w:rPr>
              <w:t>,</w:t>
            </w:r>
            <w:r w:rsidRPr="00B743E5">
              <w:rPr>
                <w:color w:val="000000" w:themeColor="text1"/>
              </w:rPr>
              <w:t xml:space="preserve"> providers </w:t>
            </w:r>
            <w:r w:rsidR="00DD32E7" w:rsidRPr="00B743E5">
              <w:rPr>
                <w:color w:val="000000" w:themeColor="text1"/>
              </w:rPr>
              <w:t>were positive the application process</w:t>
            </w:r>
            <w:r w:rsidRPr="00B743E5">
              <w:rPr>
                <w:color w:val="000000" w:themeColor="text1"/>
              </w:rPr>
              <w:t xml:space="preserve">; DHBs less so. </w:t>
            </w:r>
            <w:r w:rsidR="00EE4638" w:rsidRPr="00B743E5">
              <w:rPr>
                <w:color w:val="000000" w:themeColor="text1"/>
              </w:rPr>
              <w:t xml:space="preserve">The dual funding </w:t>
            </w:r>
            <w:r w:rsidR="00246B9F" w:rsidRPr="00B743E5">
              <w:rPr>
                <w:color w:val="000000" w:themeColor="text1"/>
              </w:rPr>
              <w:t xml:space="preserve">approach </w:t>
            </w:r>
            <w:r w:rsidR="00EE4638" w:rsidRPr="00B743E5">
              <w:rPr>
                <w:color w:val="000000" w:themeColor="text1"/>
              </w:rPr>
              <w:t xml:space="preserve">mostly </w:t>
            </w:r>
            <w:r w:rsidRPr="00B743E5">
              <w:rPr>
                <w:color w:val="000000" w:themeColor="text1"/>
              </w:rPr>
              <w:t xml:space="preserve">worked to get funding quickly out to the sector. </w:t>
            </w:r>
            <w:r w:rsidR="003923C3">
              <w:rPr>
                <w:color w:val="000000" w:themeColor="text1"/>
              </w:rPr>
              <w:t>H</w:t>
            </w:r>
            <w:r w:rsidR="00EE4638" w:rsidRPr="00B743E5">
              <w:rPr>
                <w:color w:val="000000" w:themeColor="text1"/>
              </w:rPr>
              <w:t>owever</w:t>
            </w:r>
            <w:r w:rsidR="003923C3">
              <w:rPr>
                <w:color w:val="000000" w:themeColor="text1"/>
              </w:rPr>
              <w:t>,</w:t>
            </w:r>
            <w:r w:rsidR="00EE4638" w:rsidRPr="00B743E5">
              <w:rPr>
                <w:color w:val="000000" w:themeColor="text1"/>
              </w:rPr>
              <w:t xml:space="preserve"> some DHB</w:t>
            </w:r>
            <w:r w:rsidR="003923C3">
              <w:rPr>
                <w:color w:val="000000" w:themeColor="text1"/>
              </w:rPr>
              <w:t>s</w:t>
            </w:r>
            <w:r w:rsidR="00EE4638" w:rsidRPr="00B743E5">
              <w:rPr>
                <w:color w:val="000000" w:themeColor="text1"/>
              </w:rPr>
              <w:t xml:space="preserve"> </w:t>
            </w:r>
            <w:r w:rsidR="003923C3">
              <w:rPr>
                <w:color w:val="000000" w:themeColor="text1"/>
              </w:rPr>
              <w:t>were slow to</w:t>
            </w:r>
            <w:r w:rsidR="003923C3" w:rsidRPr="00B743E5">
              <w:rPr>
                <w:color w:val="000000" w:themeColor="text1"/>
              </w:rPr>
              <w:t xml:space="preserve"> </w:t>
            </w:r>
            <w:r w:rsidR="00EE4638" w:rsidRPr="00B743E5">
              <w:rPr>
                <w:color w:val="000000" w:themeColor="text1"/>
              </w:rPr>
              <w:t xml:space="preserve">get funding out to providers. This resulted in missed vaccination opportunities. </w:t>
            </w:r>
          </w:p>
          <w:p w14:paraId="42543434" w14:textId="2FDDBCAA" w:rsidR="00EE4638" w:rsidRPr="00B743E5" w:rsidRDefault="00EE4638" w:rsidP="00246B9F">
            <w:pPr>
              <w:rPr>
                <w:color w:val="000000" w:themeColor="text1"/>
              </w:rPr>
            </w:pPr>
            <w:r w:rsidRPr="00B743E5">
              <w:rPr>
                <w:color w:val="000000" w:themeColor="text1"/>
              </w:rPr>
              <w:t>MIVP has supported the creation and strengthening of some relationships</w:t>
            </w:r>
            <w:r w:rsidR="003923C3">
              <w:rPr>
                <w:color w:val="000000" w:themeColor="text1"/>
              </w:rPr>
              <w:t xml:space="preserve"> in some regions</w:t>
            </w:r>
            <w:r w:rsidRPr="00B743E5">
              <w:rPr>
                <w:color w:val="000000" w:themeColor="text1"/>
              </w:rPr>
              <w:t xml:space="preserve">, </w:t>
            </w:r>
            <w:r w:rsidR="003923C3">
              <w:rPr>
                <w:color w:val="000000" w:themeColor="text1"/>
              </w:rPr>
              <w:t>while</w:t>
            </w:r>
            <w:r w:rsidR="003923C3" w:rsidRPr="00B743E5">
              <w:rPr>
                <w:color w:val="000000" w:themeColor="text1"/>
              </w:rPr>
              <w:t xml:space="preserve"> </w:t>
            </w:r>
            <w:r w:rsidRPr="00B743E5">
              <w:rPr>
                <w:color w:val="000000" w:themeColor="text1"/>
              </w:rPr>
              <w:t xml:space="preserve">in other regions </w:t>
            </w:r>
            <w:r w:rsidR="003923C3">
              <w:rPr>
                <w:color w:val="000000" w:themeColor="text1"/>
              </w:rPr>
              <w:t>this did not occur</w:t>
            </w:r>
            <w:r w:rsidRPr="00B743E5">
              <w:rPr>
                <w:color w:val="000000" w:themeColor="text1"/>
              </w:rPr>
              <w:t xml:space="preserve">. </w:t>
            </w:r>
            <w:r w:rsidR="003923C3">
              <w:rPr>
                <w:color w:val="000000" w:themeColor="text1"/>
              </w:rPr>
              <w:t>Also, t</w:t>
            </w:r>
            <w:r w:rsidRPr="00B743E5">
              <w:rPr>
                <w:color w:val="000000" w:themeColor="text1"/>
              </w:rPr>
              <w:t>here was also variability in the networking relationships within DHB</w:t>
            </w:r>
            <w:r w:rsidR="003923C3">
              <w:rPr>
                <w:color w:val="000000" w:themeColor="text1"/>
              </w:rPr>
              <w:t>s</w:t>
            </w:r>
            <w:r w:rsidRPr="00B743E5">
              <w:rPr>
                <w:color w:val="000000" w:themeColor="text1"/>
              </w:rPr>
              <w:t xml:space="preserve"> and their support of MIVP.</w:t>
            </w:r>
          </w:p>
          <w:p w14:paraId="5CAA60C4" w14:textId="260BD992" w:rsidR="00DD32E7" w:rsidRPr="00B743E5" w:rsidRDefault="00EE4638" w:rsidP="00246B9F">
            <w:pPr>
              <w:rPr>
                <w:color w:val="000000" w:themeColor="text1"/>
              </w:rPr>
            </w:pPr>
            <w:r w:rsidRPr="00B743E5">
              <w:rPr>
                <w:color w:val="000000" w:themeColor="text1"/>
              </w:rPr>
              <w:t xml:space="preserve">Providers and DHBs </w:t>
            </w:r>
            <w:r w:rsidR="003923C3">
              <w:rPr>
                <w:color w:val="000000" w:themeColor="text1"/>
              </w:rPr>
              <w:t xml:space="preserve">have </w:t>
            </w:r>
            <w:r w:rsidRPr="00B743E5">
              <w:rPr>
                <w:color w:val="000000" w:themeColor="text1"/>
              </w:rPr>
              <w:t>express</w:t>
            </w:r>
            <w:r w:rsidR="003923C3">
              <w:rPr>
                <w:color w:val="000000" w:themeColor="text1"/>
              </w:rPr>
              <w:t>ed</w:t>
            </w:r>
            <w:r w:rsidRPr="00B743E5">
              <w:rPr>
                <w:color w:val="000000" w:themeColor="text1"/>
              </w:rPr>
              <w:t xml:space="preserve"> interest in participating in MIVP in 2021</w:t>
            </w:r>
            <w:r w:rsidR="003923C3">
              <w:rPr>
                <w:color w:val="000000" w:themeColor="text1"/>
              </w:rPr>
              <w:t>. They</w:t>
            </w:r>
            <w:r w:rsidR="00246B9F" w:rsidRPr="00B743E5">
              <w:rPr>
                <w:color w:val="000000" w:themeColor="text1"/>
              </w:rPr>
              <w:t xml:space="preserve"> would largely deliver the same suite of services and activities</w:t>
            </w:r>
            <w:r w:rsidR="003923C3">
              <w:rPr>
                <w:color w:val="000000" w:themeColor="text1"/>
              </w:rPr>
              <w:t>, and m</w:t>
            </w:r>
            <w:r w:rsidR="00246B9F" w:rsidRPr="00B743E5">
              <w:rPr>
                <w:color w:val="000000" w:themeColor="text1"/>
              </w:rPr>
              <w:t xml:space="preserve">ost providers and DHBs </w:t>
            </w:r>
            <w:r w:rsidR="003923C3">
              <w:rPr>
                <w:color w:val="000000" w:themeColor="text1"/>
              </w:rPr>
              <w:t xml:space="preserve">have </w:t>
            </w:r>
            <w:r w:rsidR="00246B9F" w:rsidRPr="00B743E5">
              <w:rPr>
                <w:color w:val="000000" w:themeColor="text1"/>
              </w:rPr>
              <w:t xml:space="preserve">indicated they would need the same amount </w:t>
            </w:r>
            <w:r w:rsidR="003923C3">
              <w:rPr>
                <w:color w:val="000000" w:themeColor="text1"/>
              </w:rPr>
              <w:t xml:space="preserve">of funding </w:t>
            </w:r>
            <w:r w:rsidR="00246B9F" w:rsidRPr="00B743E5">
              <w:rPr>
                <w:color w:val="000000" w:themeColor="text1"/>
              </w:rPr>
              <w:t xml:space="preserve">or more. </w:t>
            </w:r>
            <w:r w:rsidR="00DD32E7" w:rsidRPr="00B743E5">
              <w:rPr>
                <w:color w:val="000000" w:themeColor="text1"/>
              </w:rPr>
              <w:t xml:space="preserve">A </w:t>
            </w:r>
            <w:r w:rsidR="00246B9F" w:rsidRPr="00B743E5">
              <w:rPr>
                <w:color w:val="000000" w:themeColor="text1"/>
              </w:rPr>
              <w:t xml:space="preserve">few </w:t>
            </w:r>
            <w:r w:rsidR="00DD32E7" w:rsidRPr="00B743E5">
              <w:rPr>
                <w:color w:val="000000" w:themeColor="text1"/>
              </w:rPr>
              <w:t>indicated they would need less funding</w:t>
            </w:r>
            <w:r w:rsidR="003923C3">
              <w:rPr>
                <w:color w:val="000000" w:themeColor="text1"/>
              </w:rPr>
              <w:t>,</w:t>
            </w:r>
            <w:r w:rsidR="00DD32E7" w:rsidRPr="00B743E5">
              <w:rPr>
                <w:color w:val="000000" w:themeColor="text1"/>
              </w:rPr>
              <w:t xml:space="preserve"> as some capacity</w:t>
            </w:r>
            <w:r w:rsidR="003923C3">
              <w:rPr>
                <w:color w:val="000000" w:themeColor="text1"/>
              </w:rPr>
              <w:t xml:space="preserve"> or infrastructure</w:t>
            </w:r>
            <w:r w:rsidR="00DD32E7" w:rsidRPr="00B743E5">
              <w:rPr>
                <w:color w:val="000000" w:themeColor="text1"/>
              </w:rPr>
              <w:t xml:space="preserve"> </w:t>
            </w:r>
            <w:r w:rsidR="00246B9F" w:rsidRPr="00B743E5">
              <w:rPr>
                <w:color w:val="000000" w:themeColor="text1"/>
              </w:rPr>
              <w:t>(</w:t>
            </w:r>
            <w:r w:rsidR="003923C3">
              <w:rPr>
                <w:color w:val="000000" w:themeColor="text1"/>
              </w:rPr>
              <w:t>such as</w:t>
            </w:r>
            <w:r w:rsidR="00246B9F" w:rsidRPr="00B743E5">
              <w:rPr>
                <w:color w:val="000000" w:themeColor="text1"/>
              </w:rPr>
              <w:t xml:space="preserve"> gazebos</w:t>
            </w:r>
            <w:r w:rsidR="003923C3">
              <w:rPr>
                <w:color w:val="000000" w:themeColor="text1"/>
              </w:rPr>
              <w:t xml:space="preserve"> and</w:t>
            </w:r>
            <w:r w:rsidR="00246B9F" w:rsidRPr="00B743E5">
              <w:rPr>
                <w:color w:val="000000" w:themeColor="text1"/>
              </w:rPr>
              <w:t xml:space="preserve"> refrigerators) </w:t>
            </w:r>
            <w:r w:rsidR="003923C3">
              <w:rPr>
                <w:color w:val="000000" w:themeColor="text1"/>
              </w:rPr>
              <w:t>is now in place and</w:t>
            </w:r>
            <w:r w:rsidR="00246B9F" w:rsidRPr="00B743E5">
              <w:rPr>
                <w:color w:val="000000" w:themeColor="text1"/>
              </w:rPr>
              <w:t xml:space="preserve"> </w:t>
            </w:r>
            <w:r w:rsidR="00DD32E7" w:rsidRPr="00B743E5">
              <w:rPr>
                <w:color w:val="000000" w:themeColor="text1"/>
              </w:rPr>
              <w:t>could be utilised in 2021</w:t>
            </w:r>
            <w:r w:rsidR="00246B9F" w:rsidRPr="00B743E5">
              <w:rPr>
                <w:color w:val="000000" w:themeColor="text1"/>
              </w:rPr>
              <w:t>, and alternative funding sources also identified (</w:t>
            </w:r>
            <w:proofErr w:type="gramStart"/>
            <w:r w:rsidR="00246B9F" w:rsidRPr="00B743E5">
              <w:rPr>
                <w:color w:val="000000" w:themeColor="text1"/>
              </w:rPr>
              <w:t>e.g.</w:t>
            </w:r>
            <w:proofErr w:type="gramEnd"/>
            <w:r w:rsidR="00246B9F" w:rsidRPr="00B743E5">
              <w:rPr>
                <w:color w:val="000000" w:themeColor="text1"/>
              </w:rPr>
              <w:t xml:space="preserve"> DHB and other workforce development funding).</w:t>
            </w:r>
          </w:p>
          <w:p w14:paraId="4C421F58" w14:textId="1B7EE1F1" w:rsidR="00246B9F" w:rsidRPr="00B743E5" w:rsidRDefault="00B743E5" w:rsidP="00246B9F">
            <w:pPr>
              <w:rPr>
                <w:color w:val="000000" w:themeColor="text1"/>
                <w:szCs w:val="20"/>
              </w:rPr>
            </w:pPr>
            <w:r>
              <w:rPr>
                <w:color w:val="000000" w:themeColor="text1"/>
                <w:szCs w:val="20"/>
              </w:rPr>
              <w:t xml:space="preserve">If MIVP is to be implemented in 2021 providers, DHBs and the evaluators </w:t>
            </w:r>
            <w:r w:rsidR="00670B83">
              <w:rPr>
                <w:color w:val="000000" w:themeColor="text1"/>
                <w:szCs w:val="20"/>
              </w:rPr>
              <w:t xml:space="preserve">have </w:t>
            </w:r>
            <w:r>
              <w:rPr>
                <w:color w:val="000000" w:themeColor="text1"/>
                <w:szCs w:val="20"/>
              </w:rPr>
              <w:t>put forward the following considerations:</w:t>
            </w:r>
          </w:p>
          <w:p w14:paraId="387FBEE2" w14:textId="2FA67A13" w:rsidR="00246B9F" w:rsidRPr="00B743E5" w:rsidRDefault="00EE4638" w:rsidP="00B14BA5">
            <w:pPr>
              <w:pStyle w:val="ListParagraph"/>
              <w:numPr>
                <w:ilvl w:val="0"/>
                <w:numId w:val="11"/>
              </w:numPr>
              <w:rPr>
                <w:color w:val="000000" w:themeColor="text1"/>
              </w:rPr>
            </w:pPr>
            <w:r w:rsidRPr="00B743E5">
              <w:rPr>
                <w:color w:val="000000" w:themeColor="text1"/>
              </w:rPr>
              <w:t>Increas</w:t>
            </w:r>
            <w:r w:rsidR="00B743E5">
              <w:rPr>
                <w:color w:val="000000" w:themeColor="text1"/>
              </w:rPr>
              <w:t xml:space="preserve">e </w:t>
            </w:r>
            <w:r w:rsidRPr="00B743E5">
              <w:rPr>
                <w:color w:val="000000" w:themeColor="text1"/>
              </w:rPr>
              <w:t xml:space="preserve">awareness of MIVP to attract more </w:t>
            </w:r>
            <w:proofErr w:type="gramStart"/>
            <w:r w:rsidRPr="00B743E5">
              <w:rPr>
                <w:color w:val="000000" w:themeColor="text1"/>
              </w:rPr>
              <w:t>applications</w:t>
            </w:r>
            <w:proofErr w:type="gramEnd"/>
          </w:p>
          <w:p w14:paraId="3B3743DF" w14:textId="20A6020C" w:rsidR="00246B9F" w:rsidRPr="00B743E5" w:rsidRDefault="00246B9F" w:rsidP="00B14BA5">
            <w:pPr>
              <w:pStyle w:val="ListParagraph"/>
              <w:numPr>
                <w:ilvl w:val="0"/>
                <w:numId w:val="11"/>
              </w:numPr>
              <w:rPr>
                <w:color w:val="000000" w:themeColor="text1"/>
              </w:rPr>
            </w:pPr>
            <w:r w:rsidRPr="00B743E5">
              <w:rPr>
                <w:color w:val="000000" w:themeColor="text1"/>
              </w:rPr>
              <w:t>I</w:t>
            </w:r>
            <w:r w:rsidR="00EE4638" w:rsidRPr="00B743E5">
              <w:rPr>
                <w:color w:val="000000" w:themeColor="text1"/>
              </w:rPr>
              <w:t>mprov</w:t>
            </w:r>
            <w:r w:rsidR="00B743E5">
              <w:rPr>
                <w:color w:val="000000" w:themeColor="text1"/>
              </w:rPr>
              <w:t>e</w:t>
            </w:r>
            <w:r w:rsidR="00EE4638" w:rsidRPr="00B743E5">
              <w:rPr>
                <w:color w:val="000000" w:themeColor="text1"/>
              </w:rPr>
              <w:t xml:space="preserve"> communications about MIVP to assist providers and DHBs to apply for funding</w:t>
            </w:r>
            <w:r w:rsidR="00670B83">
              <w:rPr>
                <w:color w:val="000000" w:themeColor="text1"/>
              </w:rPr>
              <w:t>,</w:t>
            </w:r>
            <w:r w:rsidRPr="00B743E5">
              <w:rPr>
                <w:color w:val="000000" w:themeColor="text1"/>
              </w:rPr>
              <w:t xml:space="preserve"> especially </w:t>
            </w:r>
            <w:r w:rsidR="00670B83">
              <w:rPr>
                <w:color w:val="000000" w:themeColor="text1"/>
              </w:rPr>
              <w:t xml:space="preserve">about </w:t>
            </w:r>
            <w:r w:rsidRPr="00B743E5">
              <w:rPr>
                <w:color w:val="000000" w:themeColor="text1"/>
              </w:rPr>
              <w:t xml:space="preserve">the two participation options for providers so they can make an informed </w:t>
            </w:r>
            <w:proofErr w:type="gramStart"/>
            <w:r w:rsidRPr="00B743E5">
              <w:rPr>
                <w:color w:val="000000" w:themeColor="text1"/>
              </w:rPr>
              <w:t>decision</w:t>
            </w:r>
            <w:proofErr w:type="gramEnd"/>
          </w:p>
          <w:p w14:paraId="3653C73A" w14:textId="1BA9435B" w:rsidR="00246B9F" w:rsidRPr="00B743E5" w:rsidRDefault="00246B9F" w:rsidP="00B14BA5">
            <w:pPr>
              <w:pStyle w:val="ListParagraph"/>
              <w:numPr>
                <w:ilvl w:val="0"/>
                <w:numId w:val="11"/>
              </w:numPr>
              <w:rPr>
                <w:color w:val="000000" w:themeColor="text1"/>
                <w:szCs w:val="20"/>
              </w:rPr>
            </w:pPr>
            <w:r w:rsidRPr="00B743E5">
              <w:rPr>
                <w:color w:val="000000" w:themeColor="text1"/>
                <w:szCs w:val="20"/>
              </w:rPr>
              <w:t>Encourag</w:t>
            </w:r>
            <w:r w:rsidR="00B743E5">
              <w:rPr>
                <w:color w:val="000000" w:themeColor="text1"/>
                <w:szCs w:val="20"/>
              </w:rPr>
              <w:t xml:space="preserve">e </w:t>
            </w:r>
            <w:r w:rsidRPr="00B743E5">
              <w:rPr>
                <w:color w:val="000000" w:themeColor="text1"/>
                <w:szCs w:val="20"/>
              </w:rPr>
              <w:t>and support</w:t>
            </w:r>
            <w:r w:rsidR="00B743E5">
              <w:rPr>
                <w:color w:val="000000" w:themeColor="text1"/>
                <w:szCs w:val="20"/>
              </w:rPr>
              <w:t xml:space="preserve"> </w:t>
            </w:r>
            <w:r w:rsidRPr="00B743E5">
              <w:rPr>
                <w:color w:val="000000" w:themeColor="text1"/>
                <w:szCs w:val="20"/>
              </w:rPr>
              <w:t xml:space="preserve">DHBs to work with providers to develop collaborative </w:t>
            </w:r>
            <w:proofErr w:type="gramStart"/>
            <w:r w:rsidRPr="00B743E5">
              <w:rPr>
                <w:color w:val="000000" w:themeColor="text1"/>
                <w:szCs w:val="20"/>
              </w:rPr>
              <w:t>applications</w:t>
            </w:r>
            <w:proofErr w:type="gramEnd"/>
          </w:p>
          <w:p w14:paraId="439CAD7B" w14:textId="32B55ADD" w:rsidR="00246B9F" w:rsidRPr="00B743E5" w:rsidRDefault="00246B9F" w:rsidP="00B14BA5">
            <w:pPr>
              <w:pStyle w:val="ListParagraph"/>
              <w:numPr>
                <w:ilvl w:val="0"/>
                <w:numId w:val="11"/>
              </w:numPr>
              <w:rPr>
                <w:color w:val="000000" w:themeColor="text1"/>
                <w:szCs w:val="20"/>
              </w:rPr>
            </w:pPr>
            <w:r w:rsidRPr="00B743E5">
              <w:rPr>
                <w:color w:val="000000" w:themeColor="text1"/>
                <w:szCs w:val="20"/>
              </w:rPr>
              <w:t xml:space="preserve">Review the DHB attestation process for confirming provide </w:t>
            </w:r>
            <w:proofErr w:type="gramStart"/>
            <w:r w:rsidRPr="00B743E5">
              <w:rPr>
                <w:color w:val="000000" w:themeColor="text1"/>
                <w:szCs w:val="20"/>
              </w:rPr>
              <w:t>capability</w:t>
            </w:r>
            <w:proofErr w:type="gramEnd"/>
          </w:p>
          <w:p w14:paraId="25F51E26" w14:textId="4AF3AEAD" w:rsidR="00246B9F" w:rsidRPr="00B743E5" w:rsidRDefault="00246B9F" w:rsidP="00B14BA5">
            <w:pPr>
              <w:pStyle w:val="ListParagraph"/>
              <w:numPr>
                <w:ilvl w:val="0"/>
                <w:numId w:val="11"/>
              </w:numPr>
              <w:rPr>
                <w:color w:val="000000" w:themeColor="text1"/>
                <w:szCs w:val="20"/>
              </w:rPr>
            </w:pPr>
            <w:r w:rsidRPr="00B743E5">
              <w:rPr>
                <w:color w:val="000000" w:themeColor="text1"/>
                <w:szCs w:val="20"/>
              </w:rPr>
              <w:t xml:space="preserve">Review the MIVP assessment processes, systems and criteria to support provider innovation and innovative </w:t>
            </w:r>
            <w:proofErr w:type="gramStart"/>
            <w:r w:rsidRPr="00B743E5">
              <w:rPr>
                <w:color w:val="000000" w:themeColor="text1"/>
                <w:szCs w:val="20"/>
              </w:rPr>
              <w:t>approaches</w:t>
            </w:r>
            <w:proofErr w:type="gramEnd"/>
          </w:p>
          <w:p w14:paraId="03E510A2" w14:textId="77777777" w:rsidR="00B743E5" w:rsidRPr="00B743E5" w:rsidRDefault="00246B9F" w:rsidP="00B14BA5">
            <w:pPr>
              <w:pStyle w:val="ListParagraph"/>
              <w:numPr>
                <w:ilvl w:val="0"/>
                <w:numId w:val="11"/>
              </w:numPr>
              <w:rPr>
                <w:color w:val="000000" w:themeColor="text1"/>
                <w:szCs w:val="20"/>
              </w:rPr>
            </w:pPr>
            <w:r w:rsidRPr="00B743E5">
              <w:rPr>
                <w:color w:val="000000" w:themeColor="text1"/>
                <w:szCs w:val="20"/>
              </w:rPr>
              <w:t xml:space="preserve">Look to get funding out to DHBs and providers as early as </w:t>
            </w:r>
            <w:proofErr w:type="gramStart"/>
            <w:r w:rsidRPr="00B743E5">
              <w:rPr>
                <w:color w:val="000000" w:themeColor="text1"/>
                <w:szCs w:val="20"/>
              </w:rPr>
              <w:t>possible</w:t>
            </w:r>
            <w:proofErr w:type="gramEnd"/>
            <w:r w:rsidRPr="00B743E5">
              <w:rPr>
                <w:color w:val="000000" w:themeColor="text1"/>
                <w:szCs w:val="20"/>
              </w:rPr>
              <w:t xml:space="preserve"> </w:t>
            </w:r>
          </w:p>
          <w:p w14:paraId="23D6E58D" w14:textId="06FE7C04" w:rsidR="00246B9F" w:rsidRPr="00B743E5" w:rsidRDefault="00B743E5" w:rsidP="00B14BA5">
            <w:pPr>
              <w:pStyle w:val="ListParagraph"/>
              <w:numPr>
                <w:ilvl w:val="0"/>
                <w:numId w:val="11"/>
              </w:numPr>
              <w:rPr>
                <w:color w:val="000000" w:themeColor="text1"/>
                <w:szCs w:val="20"/>
              </w:rPr>
            </w:pPr>
            <w:r w:rsidRPr="00B743E5">
              <w:rPr>
                <w:color w:val="000000" w:themeColor="text1"/>
                <w:szCs w:val="20"/>
              </w:rPr>
              <w:t>Consult with DHBs about how the Ministry can support them to get funding out to providers in a timely manner</w:t>
            </w:r>
            <w:r>
              <w:rPr>
                <w:color w:val="000000" w:themeColor="text1"/>
                <w:szCs w:val="20"/>
              </w:rPr>
              <w:t xml:space="preserve"> </w:t>
            </w:r>
            <w:r w:rsidR="00670B83">
              <w:rPr>
                <w:color w:val="000000" w:themeColor="text1"/>
                <w:szCs w:val="20"/>
              </w:rPr>
              <w:t>and</w:t>
            </w:r>
            <w:r>
              <w:rPr>
                <w:color w:val="000000" w:themeColor="text1"/>
                <w:szCs w:val="20"/>
              </w:rPr>
              <w:t xml:space="preserve"> set performance expectations and timeframes for DHBs to get funding to providers. </w:t>
            </w:r>
          </w:p>
          <w:p w14:paraId="115C654C" w14:textId="5ECF0C40" w:rsidR="00DD32E7" w:rsidRDefault="00B743E5" w:rsidP="00B743E5">
            <w:r w:rsidRPr="00B743E5">
              <w:rPr>
                <w:color w:val="000000" w:themeColor="text1"/>
              </w:rPr>
              <w:t>There is a need to revisit the funding allocation formula.</w:t>
            </w:r>
            <w:r w:rsidRPr="00B743E5">
              <w:rPr>
                <w:b/>
                <w:bCs/>
                <w:color w:val="000000" w:themeColor="text1"/>
              </w:rPr>
              <w:t xml:space="preserve"> </w:t>
            </w:r>
            <w:r w:rsidRPr="00B743E5">
              <w:rPr>
                <w:color w:val="000000" w:themeColor="text1"/>
              </w:rPr>
              <w:t xml:space="preserve">The current funding approach takes account of Māori regional population and equity rates. However, a more nuanced approach is needed that takes account of vaccination and equity trends, as well as provider and DHB performance in 2020 (and historically), and their capability to use the funding to best effect. </w:t>
            </w:r>
          </w:p>
        </w:tc>
      </w:tr>
    </w:tbl>
    <w:p w14:paraId="3A2B7C18" w14:textId="40C7703D" w:rsidR="00855C9E" w:rsidRPr="00C2096B" w:rsidRDefault="00670B83" w:rsidP="00855C9E">
      <w:pPr>
        <w:pStyle w:val="Heading2"/>
      </w:pPr>
      <w:bookmarkStart w:id="115" w:name="_Toc70763284"/>
      <w:r>
        <w:t>Three main expectations</w:t>
      </w:r>
      <w:bookmarkEnd w:id="115"/>
    </w:p>
    <w:p w14:paraId="2BF18309" w14:textId="7DACC129" w:rsidR="00855C9E" w:rsidRPr="002E2269" w:rsidRDefault="00855C9E" w:rsidP="002E2269">
      <w:pPr>
        <w:pStyle w:val="BodyText"/>
      </w:pPr>
      <w:r w:rsidRPr="002E2269">
        <w:t>This section explores the broader MIVP design intent and programme implementation. As well as the goals of increased flu vaccinations and improved equity, the Ministry had three main design and implementation expectations for the programme. First</w:t>
      </w:r>
      <w:r w:rsidR="00670B83">
        <w:t>ly</w:t>
      </w:r>
      <w:r w:rsidRPr="002E2269">
        <w:t xml:space="preserve">, the MIVP application process aimed to be timely and straight forward for providers to complete. </w:t>
      </w:r>
      <w:r w:rsidR="003A503E" w:rsidRPr="002E2269">
        <w:t>Second</w:t>
      </w:r>
      <w:r w:rsidR="00670B83">
        <w:t>ly</w:t>
      </w:r>
      <w:r w:rsidR="003A503E" w:rsidRPr="002E2269">
        <w:t>, the programme offered greater flexibility in a dual funding model. Third</w:t>
      </w:r>
      <w:r w:rsidR="00670B83">
        <w:t>ly</w:t>
      </w:r>
      <w:r w:rsidRPr="002E2269">
        <w:t xml:space="preserve">, the </w:t>
      </w:r>
      <w:r w:rsidR="00670B83">
        <w:t>P</w:t>
      </w:r>
      <w:r w:rsidRPr="002E2269">
        <w:t>rogramme aimed to support relationship-building between DHBs and providers and within DHB</w:t>
      </w:r>
      <w:r w:rsidR="003A503E" w:rsidRPr="002E2269">
        <w:t>s</w:t>
      </w:r>
      <w:r w:rsidRPr="002E2269">
        <w:t xml:space="preserve">. This section reflects on progress against these expectations. It </w:t>
      </w:r>
      <w:r w:rsidR="002E2269" w:rsidRPr="002E2269">
        <w:t xml:space="preserve">also captures provider and DHB </w:t>
      </w:r>
      <w:r w:rsidRPr="002E2269">
        <w:t xml:space="preserve">interest </w:t>
      </w:r>
      <w:r w:rsidR="002E2269" w:rsidRPr="002E2269">
        <w:t xml:space="preserve">and needs if they were to implement </w:t>
      </w:r>
      <w:r w:rsidRPr="002E2269">
        <w:t xml:space="preserve">MIVP in 2021. </w:t>
      </w:r>
    </w:p>
    <w:p w14:paraId="6B3CC3F6" w14:textId="77777777" w:rsidR="00855C9E" w:rsidRDefault="00855C9E" w:rsidP="00855C9E">
      <w:pPr>
        <w:pStyle w:val="Heading2"/>
      </w:pPr>
      <w:bookmarkStart w:id="116" w:name="_Toc58347858"/>
      <w:bookmarkStart w:id="117" w:name="_Toc70763285"/>
      <w:r>
        <w:t>Broader MIVP expectations</w:t>
      </w:r>
      <w:bookmarkEnd w:id="116"/>
      <w:bookmarkEnd w:id="117"/>
    </w:p>
    <w:p w14:paraId="1536B074" w14:textId="06C455FB" w:rsidR="00855C9E" w:rsidRDefault="00855C9E" w:rsidP="00855C9E">
      <w:pPr>
        <w:pStyle w:val="BodyText"/>
      </w:pPr>
      <w:r>
        <w:t xml:space="preserve">MIVP was implemented </w:t>
      </w:r>
      <w:r w:rsidR="00E14CB7">
        <w:t xml:space="preserve">at pace as part of </w:t>
      </w:r>
      <w:r w:rsidR="00E14CB7">
        <w:rPr>
          <w:iCs/>
          <w:lang w:val="en-AU"/>
        </w:rPr>
        <w:t xml:space="preserve">the </w:t>
      </w:r>
      <w:r w:rsidR="00E14CB7" w:rsidRPr="00E14CB7">
        <w:rPr>
          <w:iCs/>
          <w:lang w:val="en-AU"/>
        </w:rPr>
        <w:t>Initial COVID-19 Māori Response Action Plan</w:t>
      </w:r>
      <w:r>
        <w:t xml:space="preserve">. </w:t>
      </w:r>
      <w:r w:rsidR="00E14CB7">
        <w:t xml:space="preserve">The aim of MIVP was to </w:t>
      </w:r>
      <w:r>
        <w:t xml:space="preserve">increase access to the flu </w:t>
      </w:r>
      <w:r w:rsidR="00AE495E">
        <w:t>vaccinations</w:t>
      </w:r>
      <w:r>
        <w:t xml:space="preserve"> for vulnerable Māori groups, particularly </w:t>
      </w:r>
      <w:proofErr w:type="spellStart"/>
      <w:r w:rsidR="00EC6371">
        <w:lastRenderedPageBreak/>
        <w:t>kaumātua</w:t>
      </w:r>
      <w:proofErr w:type="spellEnd"/>
      <w:r w:rsidR="00EC6371">
        <w:t xml:space="preserve"> </w:t>
      </w:r>
      <w:r w:rsidR="00670B83">
        <w:t xml:space="preserve">aged </w:t>
      </w:r>
      <w:r>
        <w:t>over 65 years. MIVP aimed to get funding out to the sector as quickly as possible, given</w:t>
      </w:r>
      <w:r w:rsidRPr="006B513E">
        <w:t xml:space="preserve"> </w:t>
      </w:r>
      <w:r>
        <w:t xml:space="preserve">the recognised and added health risk for Māori. </w:t>
      </w:r>
    </w:p>
    <w:p w14:paraId="42E55D85" w14:textId="645817CC" w:rsidR="00855C9E" w:rsidRPr="006E7554" w:rsidRDefault="00664E67" w:rsidP="00855C9E">
      <w:pPr>
        <w:pStyle w:val="BodyText"/>
      </w:pPr>
      <w:r>
        <w:t xml:space="preserve">The </w:t>
      </w:r>
      <w:r w:rsidR="00855C9E" w:rsidRPr="006E7554">
        <w:t xml:space="preserve">broader design intent of MIVP </w:t>
      </w:r>
      <w:r>
        <w:t xml:space="preserve">was </w:t>
      </w:r>
      <w:r w:rsidR="00855C9E" w:rsidRPr="006E7554">
        <w:t>to test funding approaches and processes</w:t>
      </w:r>
      <w:r w:rsidR="00855C9E">
        <w:t xml:space="preserve">. </w:t>
      </w:r>
      <w:r w:rsidR="00855C9E" w:rsidRPr="006E7554">
        <w:t xml:space="preserve">MIVP </w:t>
      </w:r>
      <w:r w:rsidR="00855C9E">
        <w:t xml:space="preserve">therefore </w:t>
      </w:r>
      <w:r w:rsidR="00855C9E" w:rsidRPr="006E7554">
        <w:t>provided an opportunity to:</w:t>
      </w:r>
    </w:p>
    <w:p w14:paraId="74419772" w14:textId="5995A93D" w:rsidR="00855C9E" w:rsidRPr="00901187" w:rsidRDefault="00855C9E" w:rsidP="00901187">
      <w:pPr>
        <w:pStyle w:val="Bullet"/>
      </w:pPr>
      <w:r w:rsidRPr="00901187">
        <w:t>test the application process and the responsiveness of the Ministry to</w:t>
      </w:r>
      <w:r w:rsidR="00B271FD">
        <w:t>:</w:t>
      </w:r>
    </w:p>
    <w:p w14:paraId="135BF258" w14:textId="1382E79B" w:rsidR="00855C9E" w:rsidRPr="00901187" w:rsidRDefault="00855C9E" w:rsidP="002715D4">
      <w:pPr>
        <w:pStyle w:val="Bullet"/>
        <w:numPr>
          <w:ilvl w:val="1"/>
          <w:numId w:val="2"/>
        </w:numPr>
        <w:ind w:left="851" w:hanging="425"/>
      </w:pPr>
      <w:r w:rsidRPr="00901187">
        <w:t>develop an easy to complete application process for DHBs and Māori providers</w:t>
      </w:r>
    </w:p>
    <w:p w14:paraId="496CCC3F" w14:textId="77777777" w:rsidR="00855C9E" w:rsidRPr="00901187" w:rsidRDefault="00855C9E" w:rsidP="002715D4">
      <w:pPr>
        <w:pStyle w:val="Bullet"/>
        <w:numPr>
          <w:ilvl w:val="1"/>
          <w:numId w:val="2"/>
        </w:numPr>
        <w:ind w:left="851" w:hanging="425"/>
      </w:pPr>
      <w:r w:rsidRPr="00901187">
        <w:t xml:space="preserve">provide enough information for the Ministry to assess applications </w:t>
      </w:r>
      <w:proofErr w:type="gramStart"/>
      <w:r w:rsidRPr="00901187">
        <w:t>robustly</w:t>
      </w:r>
      <w:proofErr w:type="gramEnd"/>
    </w:p>
    <w:p w14:paraId="6DE46227" w14:textId="5D8A7594" w:rsidR="00855C9E" w:rsidRPr="00901187" w:rsidRDefault="00855C9E" w:rsidP="002715D4">
      <w:pPr>
        <w:pStyle w:val="Bullet"/>
        <w:numPr>
          <w:ilvl w:val="1"/>
          <w:numId w:val="2"/>
        </w:numPr>
        <w:ind w:left="851" w:hanging="425"/>
      </w:pPr>
      <w:r w:rsidRPr="00901187">
        <w:t>get funding out quickly (</w:t>
      </w:r>
      <w:r w:rsidR="00B271FD">
        <w:t>that is,</w:t>
      </w:r>
      <w:r w:rsidRPr="00901187">
        <w:t xml:space="preserve"> procure, assess and contract quickly), support innovation and respond to unique provider contexts and opportunities.</w:t>
      </w:r>
    </w:p>
    <w:p w14:paraId="2F6A0907" w14:textId="77777777" w:rsidR="002E2269" w:rsidRDefault="00855C9E" w:rsidP="002E2269">
      <w:pPr>
        <w:pStyle w:val="Bullet"/>
      </w:pPr>
      <w:r w:rsidRPr="00901187">
        <w:t xml:space="preserve">test the efficacy of the </w:t>
      </w:r>
      <w:proofErr w:type="gramStart"/>
      <w:r w:rsidRPr="00901187">
        <w:t>dual-funding</w:t>
      </w:r>
      <w:proofErr w:type="gramEnd"/>
      <w:r w:rsidRPr="00901187">
        <w:t xml:space="preserve"> model </w:t>
      </w:r>
    </w:p>
    <w:p w14:paraId="09D0F7AC" w14:textId="23CDA89A" w:rsidR="002E2269" w:rsidRPr="002E2269" w:rsidRDefault="002E2269" w:rsidP="002E2269">
      <w:pPr>
        <w:pStyle w:val="Bullet"/>
      </w:pPr>
      <w:r w:rsidRPr="002E2269">
        <w:rPr>
          <w:szCs w:val="20"/>
        </w:rPr>
        <w:t>support collaborative applications between DHBs and providers (who decided to be part of a DHB application) resulting in</w:t>
      </w:r>
      <w:r w:rsidR="00B271FD">
        <w:rPr>
          <w:szCs w:val="20"/>
        </w:rPr>
        <w:t>:</w:t>
      </w:r>
    </w:p>
    <w:p w14:paraId="30BA28C0" w14:textId="77777777" w:rsidR="002E2269" w:rsidRPr="002E2269" w:rsidRDefault="002E2269" w:rsidP="002E2269">
      <w:pPr>
        <w:pStyle w:val="Bullet"/>
        <w:numPr>
          <w:ilvl w:val="1"/>
          <w:numId w:val="2"/>
        </w:numPr>
        <w:ind w:left="851" w:hanging="425"/>
      </w:pPr>
      <w:r w:rsidRPr="002E2269">
        <w:t xml:space="preserve">providers and DHBs having a shared understanding of what was happening in their </w:t>
      </w:r>
      <w:proofErr w:type="gramStart"/>
      <w:r w:rsidRPr="002E2269">
        <w:t>region</w:t>
      </w:r>
      <w:proofErr w:type="gramEnd"/>
    </w:p>
    <w:p w14:paraId="10A95285" w14:textId="77777777" w:rsidR="002E2269" w:rsidRDefault="002E2269" w:rsidP="002E2269">
      <w:pPr>
        <w:pStyle w:val="Bullet"/>
        <w:numPr>
          <w:ilvl w:val="1"/>
          <w:numId w:val="2"/>
        </w:numPr>
        <w:ind w:left="851" w:hanging="425"/>
      </w:pPr>
      <w:r w:rsidRPr="002E2269">
        <w:t>a regionally coordinated approach, playing to the strengths of individual providers.</w:t>
      </w:r>
    </w:p>
    <w:p w14:paraId="2BD653D9" w14:textId="5622D95B" w:rsidR="002E2269" w:rsidRPr="002E2269" w:rsidRDefault="002E2269" w:rsidP="002E2269">
      <w:pPr>
        <w:pStyle w:val="Bullet"/>
        <w:numPr>
          <w:ilvl w:val="1"/>
          <w:numId w:val="2"/>
        </w:numPr>
        <w:ind w:left="851" w:hanging="425"/>
      </w:pPr>
      <w:r w:rsidRPr="002E2269">
        <w:t>strengthen relationships between DHBS and providers</w:t>
      </w:r>
      <w:r w:rsidR="00B271FD">
        <w:t>.</w:t>
      </w:r>
    </w:p>
    <w:p w14:paraId="585B6381" w14:textId="23C9DCC3" w:rsidR="002E2269" w:rsidRPr="002E2269" w:rsidRDefault="002E2269" w:rsidP="002E2269">
      <w:pPr>
        <w:rPr>
          <w:szCs w:val="20"/>
        </w:rPr>
      </w:pPr>
      <w:r w:rsidRPr="002E2269">
        <w:rPr>
          <w:szCs w:val="20"/>
        </w:rPr>
        <w:t>Even where providers elect</w:t>
      </w:r>
      <w:r>
        <w:rPr>
          <w:szCs w:val="20"/>
        </w:rPr>
        <w:t>ed</w:t>
      </w:r>
      <w:r w:rsidRPr="002E2269">
        <w:rPr>
          <w:szCs w:val="20"/>
        </w:rPr>
        <w:t xml:space="preserve"> to apply directly to the Ministry, it was hoped they would have a good understanding of what assistance </w:t>
      </w:r>
      <w:r w:rsidR="00B271FD">
        <w:rPr>
          <w:szCs w:val="20"/>
        </w:rPr>
        <w:t>their local</w:t>
      </w:r>
      <w:r w:rsidRPr="002E2269">
        <w:rPr>
          <w:szCs w:val="20"/>
        </w:rPr>
        <w:t xml:space="preserve"> DHB could offer and explore opportunities to work together.</w:t>
      </w:r>
    </w:p>
    <w:p w14:paraId="060650D0" w14:textId="61F0946D" w:rsidR="00855C9E" w:rsidRDefault="003A503E" w:rsidP="00855C9E">
      <w:pPr>
        <w:pStyle w:val="Heading2"/>
      </w:pPr>
      <w:bookmarkStart w:id="118" w:name="_Toc70763286"/>
      <w:r>
        <w:t>Providers were positive about the application process</w:t>
      </w:r>
      <w:r w:rsidR="00B271FD">
        <w:t>;</w:t>
      </w:r>
      <w:r>
        <w:t xml:space="preserve"> DHBs less so</w:t>
      </w:r>
      <w:bookmarkEnd w:id="118"/>
    </w:p>
    <w:p w14:paraId="47309A09" w14:textId="40B872B9" w:rsidR="00ED345B" w:rsidRDefault="00855C9E" w:rsidP="00E21C87">
      <w:pPr>
        <w:spacing w:before="0" w:after="160" w:line="259" w:lineRule="auto"/>
      </w:pPr>
      <w:r>
        <w:t xml:space="preserve">The MIVP </w:t>
      </w:r>
      <w:r w:rsidR="00B271FD">
        <w:t>included a trial of</w:t>
      </w:r>
      <w:r>
        <w:t xml:space="preserve"> an online application form. Providers who applied directly first had their application checked by their DHB. </w:t>
      </w:r>
      <w:r w:rsidR="006238CF">
        <w:t>Overall</w:t>
      </w:r>
      <w:r w:rsidR="00ED345B">
        <w:t xml:space="preserve">, </w:t>
      </w:r>
      <w:r w:rsidR="006238CF">
        <w:t xml:space="preserve">providers were </w:t>
      </w:r>
      <w:r w:rsidR="00B271FD">
        <w:t>positive to a high or moderate degree as illustrated in</w:t>
      </w:r>
      <w:r w:rsidR="004C16E3">
        <w:t xml:space="preserve"> </w:t>
      </w:r>
      <w:r w:rsidR="004C16E3">
        <w:fldChar w:fldCharType="begin"/>
      </w:r>
      <w:r w:rsidR="004C16E3">
        <w:instrText xml:space="preserve"> REF _Ref62702119 \h </w:instrText>
      </w:r>
      <w:r w:rsidR="004C16E3">
        <w:fldChar w:fldCharType="separate"/>
      </w:r>
      <w:r w:rsidR="009B082D">
        <w:t xml:space="preserve">Figure </w:t>
      </w:r>
      <w:r w:rsidR="009B082D">
        <w:rPr>
          <w:noProof/>
        </w:rPr>
        <w:t>9</w:t>
      </w:r>
      <w:r w:rsidR="004C16E3">
        <w:fldChar w:fldCharType="end"/>
      </w:r>
      <w:r w:rsidR="00B271FD">
        <w:t xml:space="preserve">, and </w:t>
      </w:r>
      <w:r w:rsidR="00E91132">
        <w:t xml:space="preserve">consistently </w:t>
      </w:r>
      <w:r w:rsidR="006238CF">
        <w:t>more positive about the application process than DHBs</w:t>
      </w:r>
      <w:r w:rsidR="00B271FD">
        <w:t>.</w:t>
      </w:r>
    </w:p>
    <w:p w14:paraId="30784108" w14:textId="2B1315E4" w:rsidR="00B271FD" w:rsidRPr="004E6DA7" w:rsidRDefault="00B271FD" w:rsidP="00E21C87">
      <w:pPr>
        <w:spacing w:before="0" w:after="160" w:line="259" w:lineRule="auto"/>
      </w:pPr>
      <w:r>
        <w:t>Specifically, providers said:</w:t>
      </w:r>
    </w:p>
    <w:p w14:paraId="3E9850FE" w14:textId="76E73A2B" w:rsidR="00855C9E" w:rsidRDefault="00ED345B" w:rsidP="00253705">
      <w:pPr>
        <w:pStyle w:val="Bullet"/>
      </w:pPr>
      <w:r>
        <w:t>D</w:t>
      </w:r>
      <w:r w:rsidR="00E91132">
        <w:t>ecision</w:t>
      </w:r>
      <w:r w:rsidR="00B271FD">
        <w:t>-</w:t>
      </w:r>
      <w:r w:rsidR="00E91132">
        <w:t xml:space="preserve">making was transparent </w:t>
      </w:r>
      <w:r w:rsidR="00B271FD">
        <w:t>–</w:t>
      </w:r>
      <w:r w:rsidR="00E91132">
        <w:t xml:space="preserve"> more than half (</w:t>
      </w:r>
      <w:r w:rsidR="00253705">
        <w:t>10/16</w:t>
      </w:r>
      <w:r w:rsidR="00E91132">
        <w:t xml:space="preserve">) </w:t>
      </w:r>
      <w:r w:rsidR="00A63B56">
        <w:t xml:space="preserve">of </w:t>
      </w:r>
      <w:r w:rsidR="00E91132">
        <w:t xml:space="preserve">providers </w:t>
      </w:r>
      <w:r w:rsidR="00432FE4">
        <w:t xml:space="preserve">compared to less than a third (5/16) of </w:t>
      </w:r>
      <w:proofErr w:type="gramStart"/>
      <w:r w:rsidR="00432FE4">
        <w:t>DHBs</w:t>
      </w:r>
      <w:proofErr w:type="gramEnd"/>
      <w:r w:rsidR="00432FE4">
        <w:t xml:space="preserve"> </w:t>
      </w:r>
    </w:p>
    <w:p w14:paraId="1AF40CC9" w14:textId="1FAF8DB7" w:rsidR="00E91132" w:rsidRDefault="00ED345B" w:rsidP="00E91132">
      <w:pPr>
        <w:pStyle w:val="Bullet"/>
      </w:pPr>
      <w:r>
        <w:t>F</w:t>
      </w:r>
      <w:r w:rsidR="00D121FA">
        <w:t>unding was allocated fairly</w:t>
      </w:r>
      <w:r w:rsidR="00E91132">
        <w:t xml:space="preserve"> </w:t>
      </w:r>
      <w:r w:rsidR="00B271FD">
        <w:t>–</w:t>
      </w:r>
      <w:r w:rsidR="00E91132">
        <w:t xml:space="preserve"> </w:t>
      </w:r>
      <w:r w:rsidR="00432FE4">
        <w:t xml:space="preserve">half </w:t>
      </w:r>
      <w:r w:rsidR="00A63B56">
        <w:t xml:space="preserve">of </w:t>
      </w:r>
      <w:r w:rsidR="00432FE4">
        <w:t>providers (</w:t>
      </w:r>
      <w:r w:rsidR="00E91132">
        <w:t>8</w:t>
      </w:r>
      <w:r w:rsidR="00432FE4">
        <w:t>/16) compared to</w:t>
      </w:r>
      <w:r w:rsidR="00E91132">
        <w:t xml:space="preserve"> </w:t>
      </w:r>
      <w:r>
        <w:t xml:space="preserve">a </w:t>
      </w:r>
      <w:r w:rsidR="00E91132">
        <w:t xml:space="preserve">quarter </w:t>
      </w:r>
      <w:r>
        <w:t>(4/16)</w:t>
      </w:r>
      <w:r w:rsidR="00A63B56">
        <w:t xml:space="preserve"> of</w:t>
      </w:r>
      <w:r>
        <w:t xml:space="preserve"> </w:t>
      </w:r>
      <w:proofErr w:type="gramStart"/>
      <w:r w:rsidR="00E91132">
        <w:t>DHBs</w:t>
      </w:r>
      <w:proofErr w:type="gramEnd"/>
      <w:r w:rsidR="00E91132">
        <w:t xml:space="preserve"> </w:t>
      </w:r>
    </w:p>
    <w:p w14:paraId="144B4864" w14:textId="7D9FF4D2" w:rsidR="00D121FA" w:rsidRDefault="00ED345B" w:rsidP="002715D4">
      <w:pPr>
        <w:pStyle w:val="Bullet"/>
      </w:pPr>
      <w:r>
        <w:t>T</w:t>
      </w:r>
      <w:r w:rsidR="00D121FA">
        <w:t>he eligibility criteria were clear</w:t>
      </w:r>
      <w:r>
        <w:t xml:space="preserve"> – more than half (10/16) </w:t>
      </w:r>
      <w:r w:rsidR="00A63B56">
        <w:t xml:space="preserve">of </w:t>
      </w:r>
      <w:r>
        <w:t xml:space="preserve">providers compared to a half (8/16) of the </w:t>
      </w:r>
      <w:proofErr w:type="gramStart"/>
      <w:r>
        <w:t>DHBs</w:t>
      </w:r>
      <w:proofErr w:type="gramEnd"/>
    </w:p>
    <w:p w14:paraId="5C19D7D5" w14:textId="53D56081" w:rsidR="00D121FA" w:rsidRDefault="00D121FA" w:rsidP="00253705">
      <w:pPr>
        <w:pStyle w:val="Bullet"/>
      </w:pPr>
      <w:r>
        <w:t>Communications were timely and responsive</w:t>
      </w:r>
      <w:r w:rsidR="00ED345B">
        <w:t xml:space="preserve"> </w:t>
      </w:r>
      <w:r w:rsidR="00A63B56">
        <w:t>–</w:t>
      </w:r>
      <w:r w:rsidR="00ED345B">
        <w:t xml:space="preserve"> </w:t>
      </w:r>
      <w:r w:rsidR="00A63B56">
        <w:t xml:space="preserve">half the providers (8/16) compared to a </w:t>
      </w:r>
      <w:r w:rsidR="00ED345B">
        <w:t>few (3/</w:t>
      </w:r>
      <w:r w:rsidR="00A63B56">
        <w:t>1</w:t>
      </w:r>
      <w:r w:rsidR="00ED345B">
        <w:t xml:space="preserve">6) </w:t>
      </w:r>
      <w:proofErr w:type="gramStart"/>
      <w:r w:rsidR="00ED345B">
        <w:t>DHBs</w:t>
      </w:r>
      <w:proofErr w:type="gramEnd"/>
    </w:p>
    <w:p w14:paraId="6635E285" w14:textId="57F35A17" w:rsidR="00D121FA" w:rsidRDefault="00D121FA" w:rsidP="00253705">
      <w:pPr>
        <w:pStyle w:val="Bullet"/>
      </w:pPr>
      <w:r>
        <w:t xml:space="preserve">DHB endorsement of providers </w:t>
      </w:r>
      <w:r w:rsidR="00076BD2">
        <w:t xml:space="preserve">in the </w:t>
      </w:r>
      <w:r>
        <w:t>application process was appropriate</w:t>
      </w:r>
      <w:r w:rsidR="00A63B56">
        <w:t xml:space="preserve"> – half the providers (8/16) compared to some (6/16) </w:t>
      </w:r>
      <w:proofErr w:type="gramStart"/>
      <w:r w:rsidR="00A63B56">
        <w:t>DHBs</w:t>
      </w:r>
      <w:proofErr w:type="gramEnd"/>
    </w:p>
    <w:p w14:paraId="6378A816" w14:textId="56EF40F8" w:rsidR="00B75433" w:rsidRPr="00475951" w:rsidRDefault="00D121FA" w:rsidP="00475951">
      <w:pPr>
        <w:pStyle w:val="Bullet"/>
      </w:pPr>
      <w:r>
        <w:t>The online application process was easy to use</w:t>
      </w:r>
      <w:r w:rsidR="00A63B56">
        <w:t xml:space="preserve"> – half of the providers (8/16) compared to some </w:t>
      </w:r>
      <w:r w:rsidR="00A90583">
        <w:t xml:space="preserve">(5/16) </w:t>
      </w:r>
      <w:r w:rsidR="00A63B56">
        <w:t>DHBs</w:t>
      </w:r>
      <w:r w:rsidR="00017E55">
        <w:t>.</w:t>
      </w:r>
    </w:p>
    <w:p w14:paraId="54103AF8" w14:textId="77777777" w:rsidR="00E21C87" w:rsidRDefault="00E21C87">
      <w:pPr>
        <w:spacing w:before="0" w:after="160" w:line="259" w:lineRule="auto"/>
        <w:rPr>
          <w:i/>
          <w:iCs/>
          <w:color w:val="0B5A6E" w:themeColor="accent3" w:themeShade="80"/>
          <w:sz w:val="16"/>
          <w:szCs w:val="18"/>
        </w:rPr>
      </w:pPr>
      <w:bookmarkStart w:id="119" w:name="_Ref61817605"/>
      <w:r>
        <w:br w:type="page"/>
      </w:r>
    </w:p>
    <w:p w14:paraId="637B6FAA" w14:textId="690491F7" w:rsidR="00B75433" w:rsidRDefault="00B75433" w:rsidP="00900633">
      <w:pPr>
        <w:pStyle w:val="Caption"/>
        <w:rPr>
          <w:rFonts w:eastAsia="Arial Nova Light"/>
        </w:rPr>
      </w:pPr>
      <w:bookmarkStart w:id="120" w:name="_Ref62702119"/>
      <w:bookmarkStart w:id="121" w:name="_Toc62703581"/>
      <w:r>
        <w:lastRenderedPageBreak/>
        <w:t xml:space="preserve">Figure </w:t>
      </w:r>
      <w:fldSimple w:instr=" SEQ Figure \* ARABIC ">
        <w:r w:rsidR="009B082D">
          <w:rPr>
            <w:noProof/>
          </w:rPr>
          <w:t>9</w:t>
        </w:r>
      </w:fldSimple>
      <w:bookmarkEnd w:id="119"/>
      <w:bookmarkEnd w:id="120"/>
      <w:r w:rsidR="00B757CC">
        <w:rPr>
          <w:noProof/>
        </w:rPr>
        <w:t>.</w:t>
      </w:r>
      <w:r>
        <w:t xml:space="preserve"> </w:t>
      </w:r>
      <w:r>
        <w:rPr>
          <w:rFonts w:eastAsia="Arial Nova Light"/>
        </w:rPr>
        <w:t xml:space="preserve">Feedback from providers </w:t>
      </w:r>
      <w:r w:rsidR="00636367">
        <w:rPr>
          <w:rFonts w:eastAsia="Arial Nova Light"/>
        </w:rPr>
        <w:t xml:space="preserve">and DHBs </w:t>
      </w:r>
      <w:r>
        <w:rPr>
          <w:rFonts w:eastAsia="Arial Nova Light"/>
        </w:rPr>
        <w:t>on the administration and implementation of the MIVP by the Ministry</w:t>
      </w:r>
      <w:bookmarkEnd w:id="121"/>
    </w:p>
    <w:p w14:paraId="2968913B" w14:textId="132AFA6E" w:rsidR="00B75433" w:rsidRDefault="00B75433" w:rsidP="00B75433">
      <w:r>
        <w:rPr>
          <w:noProof/>
        </w:rPr>
        <w:drawing>
          <wp:inline distT="0" distB="0" distL="0" distR="0" wp14:anchorId="639A1633" wp14:editId="1F110729">
            <wp:extent cx="5285106" cy="2545307"/>
            <wp:effectExtent l="0" t="0" r="0" b="7620"/>
            <wp:docPr id="29" name="Picture 29" descr="Image Part 1 of 2. Out of 16 DHB responses (3 chose not to respond) and 18 Provider responses (1 chose not to respond and 17 ineligible): 5 from DHBs thought decision-making was transparent to a high or medium degree (1 and 4), compared with 10 from providers (7 and 3). &#10;DHBs were generally more positive about the clarity of eligibility criteria and appropriateness of DHB endorsement of providers in the application process. &#10;Providers were generally more positive about the transparency of decision-making, fairness of funding allocation, timelines and responsiveness of communications, and ease of the online application to compl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Part 1 of 2. Out of 16 DHB responses (3 chose not to respond) and 18 Provider responses (1 chose not to respond and 17 ineligible): 5 from DHBs thought decision-making was transparent to a high or medium degree (1 and 4), compared with 10 from providers (7 and 3). &#10;DHBs were generally more positive about the clarity of eligibility criteria and appropriateness of DHB endorsement of providers in the application process. &#10;Providers were generally more positive about the transparency of decision-making, fairness of funding allocation, timelines and responsiveness of communications, and ease of the online application to complete. "/>
                    <pic:cNvPicPr>
                      <a:picLocks noChangeAspect="1" noChangeArrowheads="1"/>
                    </pic:cNvPicPr>
                  </pic:nvPicPr>
                  <pic:blipFill rotWithShape="1">
                    <a:blip r:embed="rId28">
                      <a:extLst>
                        <a:ext uri="{28A0092B-C50C-407E-A947-70E740481C1C}">
                          <a14:useLocalDpi xmlns:a14="http://schemas.microsoft.com/office/drawing/2010/main" val="0"/>
                        </a:ext>
                      </a:extLst>
                    </a:blip>
                    <a:srcRect b="14394"/>
                    <a:stretch/>
                  </pic:blipFill>
                  <pic:spPr bwMode="auto">
                    <a:xfrm>
                      <a:off x="0" y="0"/>
                      <a:ext cx="5317520" cy="2560917"/>
                    </a:xfrm>
                    <a:prstGeom prst="rect">
                      <a:avLst/>
                    </a:prstGeom>
                    <a:noFill/>
                    <a:ln>
                      <a:noFill/>
                    </a:ln>
                    <a:extLst>
                      <a:ext uri="{53640926-AAD7-44D8-BBD7-CCE9431645EC}">
                        <a14:shadowObscured xmlns:a14="http://schemas.microsoft.com/office/drawing/2010/main"/>
                      </a:ext>
                    </a:extLst>
                  </pic:spPr>
                </pic:pic>
              </a:graphicData>
            </a:graphic>
          </wp:inline>
        </w:drawing>
      </w:r>
    </w:p>
    <w:p w14:paraId="26FC29F1" w14:textId="77777777" w:rsidR="00DD32E7" w:rsidRDefault="00B75433" w:rsidP="00017E55">
      <w:r>
        <w:rPr>
          <w:noProof/>
        </w:rPr>
        <w:drawing>
          <wp:inline distT="0" distB="0" distL="0" distR="0" wp14:anchorId="5C62F4DA" wp14:editId="424CEA89">
            <wp:extent cx="5275743" cy="2879677"/>
            <wp:effectExtent l="0" t="0" r="1270" b="0"/>
            <wp:docPr id="30" name="Picture 30" descr="Image Part 2 of 2. As per previou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Part 2 of 2. As per previous imag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8579" cy="2919433"/>
                    </a:xfrm>
                    <a:prstGeom prst="rect">
                      <a:avLst/>
                    </a:prstGeom>
                    <a:noFill/>
                  </pic:spPr>
                </pic:pic>
              </a:graphicData>
            </a:graphic>
          </wp:inline>
        </w:drawing>
      </w:r>
    </w:p>
    <w:p w14:paraId="3365D0C3" w14:textId="6B390DE1" w:rsidR="00DD32E7" w:rsidRDefault="00DD32E7" w:rsidP="00DD32E7">
      <w:pPr>
        <w:pStyle w:val="Heading2"/>
      </w:pPr>
      <w:bookmarkStart w:id="122" w:name="_Toc70763287"/>
      <w:r>
        <w:t xml:space="preserve">Reflections and considerations for procurement and contracting of MIVP in </w:t>
      </w:r>
      <w:proofErr w:type="gramStart"/>
      <w:r>
        <w:t>2021</w:t>
      </w:r>
      <w:bookmarkEnd w:id="122"/>
      <w:proofErr w:type="gramEnd"/>
    </w:p>
    <w:p w14:paraId="0D85B367" w14:textId="5B6CDB5F" w:rsidR="00855C9E" w:rsidRDefault="005A2922" w:rsidP="00475951">
      <w:pPr>
        <w:pStyle w:val="BodyText"/>
      </w:pPr>
      <w:r>
        <w:fldChar w:fldCharType="begin"/>
      </w:r>
      <w:r>
        <w:instrText xml:space="preserve"> REF _Ref62702179 \h </w:instrText>
      </w:r>
      <w:r>
        <w:fldChar w:fldCharType="separate"/>
      </w:r>
      <w:r w:rsidR="009B082D">
        <w:t xml:space="preserve">Table </w:t>
      </w:r>
      <w:r w:rsidR="009B082D">
        <w:rPr>
          <w:noProof/>
        </w:rPr>
        <w:t>5</w:t>
      </w:r>
      <w:r>
        <w:fldChar w:fldCharType="end"/>
      </w:r>
      <w:r w:rsidR="00855C9E">
        <w:t xml:space="preserve"> summarise</w:t>
      </w:r>
      <w:r w:rsidR="00350653">
        <w:t>s</w:t>
      </w:r>
      <w:r w:rsidR="00855C9E">
        <w:t xml:space="preserve"> the key implementation learnings around the application </w:t>
      </w:r>
      <w:r w:rsidR="00E21C87">
        <w:t xml:space="preserve">and implementation </w:t>
      </w:r>
      <w:r w:rsidR="00855C9E">
        <w:t>process</w:t>
      </w:r>
      <w:r w:rsidR="00CB62BA">
        <w:t>.</w:t>
      </w:r>
      <w:r w:rsidR="00855C9E">
        <w:t xml:space="preserve"> </w:t>
      </w:r>
      <w:r w:rsidR="00CB62BA">
        <w:t xml:space="preserve">It draws on </w:t>
      </w:r>
      <w:r w:rsidR="002E2269">
        <w:t>provider and DHB feedback and analysis by the evaluation team</w:t>
      </w:r>
      <w:r w:rsidR="00CB62BA">
        <w:t>.</w:t>
      </w:r>
      <w:r w:rsidR="002E2269">
        <w:t xml:space="preserve"> </w:t>
      </w:r>
      <w:r w:rsidR="00CB62BA">
        <w:t xml:space="preserve">It </w:t>
      </w:r>
      <w:r w:rsidR="002E2269">
        <w:t xml:space="preserve">puts forward key </w:t>
      </w:r>
      <w:r w:rsidR="00B271FD">
        <w:t xml:space="preserve">points for </w:t>
      </w:r>
      <w:r w:rsidR="00855C9E">
        <w:t xml:space="preserve">the Ministry </w:t>
      </w:r>
      <w:r w:rsidR="00B271FD">
        <w:t xml:space="preserve">to consider if it </w:t>
      </w:r>
      <w:proofErr w:type="gramStart"/>
      <w:r w:rsidR="00CB62BA">
        <w:t>was</w:t>
      </w:r>
      <w:proofErr w:type="gramEnd"/>
      <w:r w:rsidR="00CB62BA">
        <w:t xml:space="preserve"> to </w:t>
      </w:r>
      <w:r w:rsidR="00855C9E">
        <w:t xml:space="preserve">implement MIVP </w:t>
      </w:r>
      <w:r w:rsidR="00CB62BA">
        <w:t>in 2021</w:t>
      </w:r>
      <w:r w:rsidR="00855C9E">
        <w:t>.</w:t>
      </w:r>
    </w:p>
    <w:p w14:paraId="5D404145" w14:textId="300DE5F1" w:rsidR="00855C9E" w:rsidRDefault="00855C9E" w:rsidP="00900633">
      <w:pPr>
        <w:pStyle w:val="Caption"/>
      </w:pPr>
      <w:bookmarkStart w:id="123" w:name="_Ref62702179"/>
      <w:bookmarkStart w:id="124" w:name="_Toc62703561"/>
      <w:r>
        <w:t xml:space="preserve">Table </w:t>
      </w:r>
      <w:r>
        <w:fldChar w:fldCharType="begin"/>
      </w:r>
      <w:r>
        <w:instrText>SEQ Table \* ARABIC</w:instrText>
      </w:r>
      <w:r>
        <w:fldChar w:fldCharType="separate"/>
      </w:r>
      <w:r w:rsidR="009B082D">
        <w:rPr>
          <w:noProof/>
        </w:rPr>
        <w:t>5</w:t>
      </w:r>
      <w:r>
        <w:fldChar w:fldCharType="end"/>
      </w:r>
      <w:bookmarkEnd w:id="123"/>
      <w:r>
        <w:t xml:space="preserve">. Reflections on the 2020 MIVP </w:t>
      </w:r>
      <w:r w:rsidR="00F82FEC">
        <w:t xml:space="preserve">procurement and contracting </w:t>
      </w:r>
      <w:r>
        <w:t xml:space="preserve">process: Considerations to inform the application process in </w:t>
      </w:r>
      <w:proofErr w:type="gramStart"/>
      <w:r>
        <w:t>2021</w:t>
      </w:r>
      <w:bookmarkEnd w:id="124"/>
      <w:proofErr w:type="gramEnd"/>
    </w:p>
    <w:tbl>
      <w:tblPr>
        <w:tblStyle w:val="ListTable3-Accent5"/>
        <w:tblW w:w="889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963"/>
        <w:gridCol w:w="2964"/>
        <w:gridCol w:w="2964"/>
      </w:tblGrid>
      <w:tr w:rsidR="00855C9E" w:rsidRPr="00AB53B5" w14:paraId="4DB820C8" w14:textId="77777777" w:rsidTr="00BF5E38">
        <w:trPr>
          <w:cnfStyle w:val="100000000000" w:firstRow="1" w:lastRow="0" w:firstColumn="0" w:lastColumn="0" w:oddVBand="0" w:evenVBand="0" w:oddHBand="0" w:evenHBand="0" w:firstRowFirstColumn="0" w:firstRowLastColumn="0" w:lastRowFirstColumn="0" w:lastRowLastColumn="0"/>
          <w:trHeight w:val="507"/>
        </w:trPr>
        <w:tc>
          <w:tcPr>
            <w:cnfStyle w:val="001000000100" w:firstRow="0" w:lastRow="0" w:firstColumn="1" w:lastColumn="0" w:oddVBand="0" w:evenVBand="0" w:oddHBand="0" w:evenHBand="0" w:firstRowFirstColumn="1" w:firstRowLastColumn="0" w:lastRowFirstColumn="0" w:lastRowLastColumn="0"/>
            <w:tcW w:w="2963" w:type="dxa"/>
            <w:tcBorders>
              <w:bottom w:val="single" w:sz="4" w:space="0" w:color="000000" w:themeColor="text1"/>
            </w:tcBorders>
            <w:shd w:val="clear" w:color="auto" w:fill="212B5D" w:themeFill="accent1"/>
          </w:tcPr>
          <w:p w14:paraId="0514DF84" w14:textId="77777777" w:rsidR="00855C9E" w:rsidRPr="00BA630F" w:rsidRDefault="00855C9E" w:rsidP="00B75433">
            <w:pPr>
              <w:spacing w:before="60"/>
            </w:pPr>
            <w:r w:rsidRPr="00BA630F">
              <w:t>On the one hand…</w:t>
            </w:r>
          </w:p>
        </w:tc>
        <w:tc>
          <w:tcPr>
            <w:tcW w:w="2964" w:type="dxa"/>
            <w:tcBorders>
              <w:bottom w:val="single" w:sz="4" w:space="0" w:color="000000" w:themeColor="text1"/>
            </w:tcBorders>
            <w:shd w:val="clear" w:color="auto" w:fill="212B5D" w:themeFill="accent1"/>
          </w:tcPr>
          <w:p w14:paraId="0CCF9091" w14:textId="77777777" w:rsidR="00855C9E" w:rsidRPr="00BA630F" w:rsidRDefault="00855C9E" w:rsidP="00B75433">
            <w:pPr>
              <w:spacing w:before="60"/>
              <w:cnfStyle w:val="100000000000" w:firstRow="1" w:lastRow="0" w:firstColumn="0" w:lastColumn="0" w:oddVBand="0" w:evenVBand="0" w:oddHBand="0" w:evenHBand="0" w:firstRowFirstColumn="0" w:firstRowLastColumn="0" w:lastRowFirstColumn="0" w:lastRowLastColumn="0"/>
            </w:pPr>
            <w:r w:rsidRPr="00BA630F">
              <w:t xml:space="preserve">On the other </w:t>
            </w:r>
            <w:proofErr w:type="gramStart"/>
            <w:r w:rsidRPr="00BA630F">
              <w:t>hand</w:t>
            </w:r>
            <w:proofErr w:type="gramEnd"/>
            <w:r w:rsidRPr="00BA630F">
              <w:t>…</w:t>
            </w:r>
          </w:p>
        </w:tc>
        <w:tc>
          <w:tcPr>
            <w:tcW w:w="2964" w:type="dxa"/>
            <w:tcBorders>
              <w:bottom w:val="single" w:sz="4" w:space="0" w:color="000000" w:themeColor="text1"/>
            </w:tcBorders>
            <w:shd w:val="clear" w:color="auto" w:fill="212B5D" w:themeFill="accent1"/>
          </w:tcPr>
          <w:p w14:paraId="11E9B457" w14:textId="77777777" w:rsidR="00855C9E" w:rsidRPr="00BA630F" w:rsidRDefault="00855C9E" w:rsidP="00B75433">
            <w:pPr>
              <w:spacing w:before="60"/>
              <w:cnfStyle w:val="100000000000" w:firstRow="1" w:lastRow="0" w:firstColumn="0" w:lastColumn="0" w:oddVBand="0" w:evenVBand="0" w:oddHBand="0" w:evenHBand="0" w:firstRowFirstColumn="0" w:firstRowLastColumn="0" w:lastRowFirstColumn="0" w:lastRowLastColumn="0"/>
            </w:pPr>
            <w:r w:rsidRPr="00BA630F">
              <w:t>Considerations for the Ministry</w:t>
            </w:r>
          </w:p>
        </w:tc>
      </w:tr>
      <w:tr w:rsidR="00EC265F" w:rsidRPr="00CF7738" w14:paraId="5FD5BC7B" w14:textId="77777777" w:rsidTr="002E007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8891" w:type="dxa"/>
            <w:gridSpan w:val="3"/>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FF11C40" w14:textId="2327A562" w:rsidR="00EC265F" w:rsidRPr="002E230F" w:rsidRDefault="002E2269" w:rsidP="002E007F">
            <w:pPr>
              <w:rPr>
                <w:szCs w:val="20"/>
              </w:rPr>
            </w:pPr>
            <w:r>
              <w:rPr>
                <w:szCs w:val="20"/>
              </w:rPr>
              <w:t>Awareness of MIVP</w:t>
            </w:r>
          </w:p>
        </w:tc>
      </w:tr>
      <w:tr w:rsidR="003119F6" w:rsidRPr="00E05485" w14:paraId="0F3A676E" w14:textId="77777777" w:rsidTr="0046393C">
        <w:trPr>
          <w:trHeight w:val="557"/>
        </w:trPr>
        <w:tc>
          <w:tcPr>
            <w:cnfStyle w:val="001000000000" w:firstRow="0" w:lastRow="0" w:firstColumn="1" w:lastColumn="0" w:oddVBand="0" w:evenVBand="0" w:oddHBand="0" w:evenHBand="0" w:firstRowFirstColumn="0" w:firstRowLastColumn="0" w:lastRowFirstColumn="0" w:lastRowLastColumn="0"/>
            <w:tcW w:w="2963" w:type="dxa"/>
            <w:tcBorders>
              <w:top w:val="single" w:sz="4" w:space="0" w:color="000000" w:themeColor="text1"/>
              <w:bottom w:val="single" w:sz="2" w:space="0" w:color="auto"/>
            </w:tcBorders>
          </w:tcPr>
          <w:p w14:paraId="2D968506" w14:textId="04434903" w:rsidR="003119F6" w:rsidRDefault="003119F6" w:rsidP="003119F6">
            <w:r w:rsidRPr="00E05485">
              <w:rPr>
                <w:b w:val="0"/>
                <w:bCs w:val="0"/>
              </w:rPr>
              <w:t xml:space="preserve">All DHBs were aware of the MIVP programme through the DHB Māori GM network. Providers found out about MIVP through letters sent by the Ministry to </w:t>
            </w:r>
            <w:proofErr w:type="gramStart"/>
            <w:r w:rsidRPr="00E05485">
              <w:rPr>
                <w:b w:val="0"/>
                <w:bCs w:val="0"/>
              </w:rPr>
              <w:t>approved</w:t>
            </w:r>
            <w:proofErr w:type="gramEnd"/>
            <w:r w:rsidRPr="00E05485">
              <w:rPr>
                <w:b w:val="0"/>
                <w:bCs w:val="0"/>
              </w:rPr>
              <w:t xml:space="preserve"> Māori </w:t>
            </w:r>
            <w:r w:rsidRPr="00E05485">
              <w:rPr>
                <w:b w:val="0"/>
                <w:bCs w:val="0"/>
              </w:rPr>
              <w:lastRenderedPageBreak/>
              <w:t xml:space="preserve">health and disability providers and </w:t>
            </w:r>
            <w:r w:rsidR="002E2269">
              <w:rPr>
                <w:b w:val="0"/>
                <w:bCs w:val="0"/>
              </w:rPr>
              <w:t xml:space="preserve">some </w:t>
            </w:r>
            <w:r w:rsidRPr="00E05485">
              <w:rPr>
                <w:b w:val="0"/>
                <w:bCs w:val="0"/>
              </w:rPr>
              <w:t>through their DHB.</w:t>
            </w:r>
          </w:p>
          <w:p w14:paraId="16D28197" w14:textId="0279FDFE" w:rsidR="002E2269" w:rsidRPr="0046393C" w:rsidRDefault="002E2269" w:rsidP="002E2269">
            <w:pPr>
              <w:rPr>
                <w:b w:val="0"/>
                <w:bCs w:val="0"/>
              </w:rPr>
            </w:pPr>
          </w:p>
        </w:tc>
        <w:tc>
          <w:tcPr>
            <w:tcW w:w="2964" w:type="dxa"/>
            <w:tcBorders>
              <w:top w:val="single" w:sz="4" w:space="0" w:color="000000" w:themeColor="text1"/>
              <w:bottom w:val="single" w:sz="2" w:space="0" w:color="auto"/>
            </w:tcBorders>
          </w:tcPr>
          <w:p w14:paraId="47D62C17" w14:textId="5F945ED9" w:rsidR="0046393C" w:rsidRDefault="00F82FEC" w:rsidP="00B75433">
            <w:pPr>
              <w:cnfStyle w:val="000000000000" w:firstRow="0" w:lastRow="0" w:firstColumn="0" w:lastColumn="0" w:oddVBand="0" w:evenVBand="0" w:oddHBand="0" w:evenHBand="0" w:firstRowFirstColumn="0" w:firstRowLastColumn="0" w:lastRowFirstColumn="0" w:lastRowLastColumn="0"/>
            </w:pPr>
            <w:r w:rsidRPr="00E05485">
              <w:lastRenderedPageBreak/>
              <w:t>A</w:t>
            </w:r>
            <w:r w:rsidR="00C25BCE" w:rsidRPr="00E05485">
              <w:t xml:space="preserve"> total of 35 applications </w:t>
            </w:r>
            <w:r w:rsidRPr="00E05485">
              <w:t xml:space="preserve">were received </w:t>
            </w:r>
            <w:r w:rsidR="00C25BCE" w:rsidRPr="00E05485">
              <w:t xml:space="preserve">from providers and DHBs, fewer than the </w:t>
            </w:r>
            <w:r w:rsidR="00B271FD">
              <w:t xml:space="preserve">estimated of </w:t>
            </w:r>
            <w:r w:rsidR="00C25BCE" w:rsidRPr="00E05485">
              <w:t>70</w:t>
            </w:r>
            <w:r w:rsidR="00B271FD">
              <w:t>.</w:t>
            </w:r>
            <w:r w:rsidR="00C25BCE" w:rsidRPr="00E05485">
              <w:t xml:space="preserve"> MIVP achieved coverage across 19 of the 20 DHB regions</w:t>
            </w:r>
            <w:r w:rsidR="00B271FD">
              <w:t>.</w:t>
            </w:r>
          </w:p>
          <w:p w14:paraId="3393665E" w14:textId="7015DE0C" w:rsidR="002E2269" w:rsidRPr="00794620" w:rsidRDefault="0046393C" w:rsidP="002E2269">
            <w:pPr>
              <w:cnfStyle w:val="000000000000" w:firstRow="0" w:lastRow="0" w:firstColumn="0" w:lastColumn="0" w:oddVBand="0" w:evenVBand="0" w:oddHBand="0" w:evenHBand="0" w:firstRowFirstColumn="0" w:firstRowLastColumn="0" w:lastRowFirstColumn="0" w:lastRowLastColumn="0"/>
              <w:rPr>
                <w:szCs w:val="20"/>
              </w:rPr>
            </w:pPr>
            <w:r>
              <w:lastRenderedPageBreak/>
              <w:t>M</w:t>
            </w:r>
            <w:r w:rsidR="003119F6" w:rsidRPr="00E05485">
              <w:t>ore</w:t>
            </w:r>
            <w:r w:rsidR="00C25BCE" w:rsidRPr="00E05485">
              <w:t xml:space="preserve"> </w:t>
            </w:r>
            <w:r w:rsidR="002E2269">
              <w:t xml:space="preserve">provider </w:t>
            </w:r>
            <w:r w:rsidR="003119F6" w:rsidRPr="00E05485">
              <w:t>applications are need</w:t>
            </w:r>
            <w:r w:rsidR="00B271FD">
              <w:t>ed</w:t>
            </w:r>
            <w:r w:rsidR="003119F6" w:rsidRPr="00E05485">
              <w:t xml:space="preserve"> to </w:t>
            </w:r>
            <w:r w:rsidR="002E2269" w:rsidRPr="001D50AD">
              <w:rPr>
                <w:szCs w:val="20"/>
              </w:rPr>
              <w:t>ensure full coverage across the country</w:t>
            </w:r>
            <w:r w:rsidR="00B271FD">
              <w:rPr>
                <w:szCs w:val="20"/>
              </w:rPr>
              <w:t>.</w:t>
            </w:r>
            <w:r w:rsidR="002E2269">
              <w:rPr>
                <w:szCs w:val="20"/>
              </w:rPr>
              <w:t xml:space="preserve"> </w:t>
            </w:r>
          </w:p>
        </w:tc>
        <w:tc>
          <w:tcPr>
            <w:tcW w:w="2964" w:type="dxa"/>
            <w:tcBorders>
              <w:top w:val="single" w:sz="4" w:space="0" w:color="000000" w:themeColor="text1"/>
              <w:bottom w:val="single" w:sz="2" w:space="0" w:color="auto"/>
            </w:tcBorders>
          </w:tcPr>
          <w:p w14:paraId="58184610" w14:textId="11F46F91" w:rsidR="002E2269" w:rsidRPr="00EC6371" w:rsidRDefault="003119F6" w:rsidP="005E1A72">
            <w:pPr>
              <w:cnfStyle w:val="000000000000" w:firstRow="0" w:lastRow="0" w:firstColumn="0" w:lastColumn="0" w:oddVBand="0" w:evenVBand="0" w:oddHBand="0" w:evenHBand="0" w:firstRowFirstColumn="0" w:firstRowLastColumn="0" w:lastRowFirstColumn="0" w:lastRowLastColumn="0"/>
            </w:pPr>
            <w:r w:rsidRPr="00EC6371">
              <w:lastRenderedPageBreak/>
              <w:t xml:space="preserve">Increase awareness of MIVP to attract more applications from providers through DHBs </w:t>
            </w:r>
            <w:r w:rsidR="00F82FEC" w:rsidRPr="00EC6371">
              <w:t xml:space="preserve">or </w:t>
            </w:r>
            <w:r w:rsidRPr="00EC6371">
              <w:t>direct to the Ministry</w:t>
            </w:r>
            <w:r w:rsidR="00F82FEC" w:rsidRPr="00EC6371">
              <w:t>.</w:t>
            </w:r>
            <w:r w:rsidR="002E2269" w:rsidRPr="00EC6371">
              <w:t xml:space="preserve"> </w:t>
            </w:r>
          </w:p>
          <w:p w14:paraId="5E27F80F" w14:textId="6968D53B" w:rsidR="00E05485" w:rsidRPr="00EC6371" w:rsidRDefault="002E2269" w:rsidP="00B14BA5">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i/>
                <w:iCs/>
                <w:sz w:val="18"/>
                <w:szCs w:val="18"/>
              </w:rPr>
            </w:pPr>
            <w:r w:rsidRPr="00EC6371">
              <w:rPr>
                <w:i/>
                <w:iCs/>
                <w:sz w:val="18"/>
                <w:szCs w:val="18"/>
              </w:rPr>
              <w:t xml:space="preserve">Consider sending out communications to a broader </w:t>
            </w:r>
            <w:r w:rsidRPr="00EC6371">
              <w:rPr>
                <w:i/>
                <w:iCs/>
                <w:sz w:val="18"/>
                <w:szCs w:val="18"/>
              </w:rPr>
              <w:lastRenderedPageBreak/>
              <w:t>range of organisations and not just Māori health and disability providers and DHBs who might promote awareness of MIVP or partner with providers and DHBs</w:t>
            </w:r>
            <w:r w:rsidR="00B271FD">
              <w:rPr>
                <w:i/>
                <w:iCs/>
                <w:sz w:val="18"/>
                <w:szCs w:val="18"/>
              </w:rPr>
              <w:t>, such as</w:t>
            </w:r>
            <w:r w:rsidRPr="00EC6371">
              <w:rPr>
                <w:i/>
                <w:iCs/>
                <w:sz w:val="18"/>
                <w:szCs w:val="18"/>
              </w:rPr>
              <w:t xml:space="preserve"> Whānau Ora Commissioning Agencies.</w:t>
            </w:r>
          </w:p>
          <w:p w14:paraId="0E8E4D90" w14:textId="7295CA50" w:rsidR="002E2269" w:rsidRPr="00EC6371" w:rsidRDefault="002E2269" w:rsidP="002E2269">
            <w:pPr>
              <w:cnfStyle w:val="000000000000" w:firstRow="0" w:lastRow="0" w:firstColumn="0" w:lastColumn="0" w:oddVBand="0" w:evenVBand="0" w:oddHBand="0" w:evenHBand="0" w:firstRowFirstColumn="0" w:firstRowLastColumn="0" w:lastRowFirstColumn="0" w:lastRowLastColumn="0"/>
            </w:pPr>
            <w:r w:rsidRPr="00EC6371">
              <w:t>Address information barriers to applying for MIVP</w:t>
            </w:r>
            <w:r w:rsidR="00794620" w:rsidRPr="00EC6371">
              <w:t xml:space="preserve"> by improving communications about MIVP to assist providers and DHBs to apply for </w:t>
            </w:r>
            <w:proofErr w:type="gramStart"/>
            <w:r w:rsidR="00794620" w:rsidRPr="00EC6371">
              <w:t>funding</w:t>
            </w:r>
            <w:proofErr w:type="gramEnd"/>
          </w:p>
          <w:p w14:paraId="4DE2C207" w14:textId="7E0087FA" w:rsidR="002E2269" w:rsidRPr="002E2269" w:rsidRDefault="002E2269" w:rsidP="00B14BA5">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i/>
                <w:iCs/>
                <w:sz w:val="18"/>
                <w:szCs w:val="18"/>
              </w:rPr>
            </w:pPr>
            <w:r>
              <w:rPr>
                <w:i/>
                <w:iCs/>
                <w:sz w:val="18"/>
                <w:szCs w:val="18"/>
              </w:rPr>
              <w:t xml:space="preserve">Consider </w:t>
            </w:r>
            <w:r w:rsidRPr="002E2269">
              <w:rPr>
                <w:i/>
                <w:iCs/>
                <w:sz w:val="18"/>
                <w:szCs w:val="18"/>
              </w:rPr>
              <w:t xml:space="preserve">providing </w:t>
            </w:r>
            <w:r>
              <w:rPr>
                <w:i/>
                <w:iCs/>
                <w:sz w:val="18"/>
                <w:szCs w:val="18"/>
              </w:rPr>
              <w:t xml:space="preserve">more information resources such as FAQs, </w:t>
            </w:r>
            <w:r w:rsidR="00794620">
              <w:rPr>
                <w:i/>
                <w:iCs/>
                <w:sz w:val="18"/>
                <w:szCs w:val="18"/>
              </w:rPr>
              <w:t>costing guideline, a pricing schedule</w:t>
            </w:r>
            <w:r>
              <w:rPr>
                <w:i/>
                <w:iCs/>
                <w:sz w:val="18"/>
                <w:szCs w:val="18"/>
              </w:rPr>
              <w:t xml:space="preserve">, </w:t>
            </w:r>
            <w:r w:rsidR="00794620">
              <w:rPr>
                <w:i/>
                <w:iCs/>
                <w:sz w:val="18"/>
                <w:szCs w:val="18"/>
              </w:rPr>
              <w:t xml:space="preserve">successful strategies, top </w:t>
            </w:r>
            <w:proofErr w:type="gramStart"/>
            <w:r w:rsidR="00794620">
              <w:rPr>
                <w:i/>
                <w:iCs/>
                <w:sz w:val="18"/>
                <w:szCs w:val="18"/>
              </w:rPr>
              <w:t>tips</w:t>
            </w:r>
            <w:proofErr w:type="gramEnd"/>
            <w:r w:rsidR="00794620">
              <w:rPr>
                <w:i/>
                <w:iCs/>
                <w:sz w:val="18"/>
                <w:szCs w:val="18"/>
              </w:rPr>
              <w:t xml:space="preserve"> </w:t>
            </w:r>
            <w:r>
              <w:rPr>
                <w:i/>
                <w:iCs/>
                <w:sz w:val="18"/>
                <w:szCs w:val="18"/>
              </w:rPr>
              <w:t>and case studies.</w:t>
            </w:r>
          </w:p>
        </w:tc>
      </w:tr>
      <w:tr w:rsidR="003A503E" w:rsidRPr="00CF7738" w14:paraId="207993C7" w14:textId="77777777" w:rsidTr="0066794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8891" w:type="dxa"/>
            <w:gridSpan w:val="3"/>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D7C9C01" w14:textId="3550815C" w:rsidR="003A503E" w:rsidRPr="002E230F" w:rsidRDefault="002E2269" w:rsidP="0066794F">
            <w:pPr>
              <w:rPr>
                <w:szCs w:val="20"/>
              </w:rPr>
            </w:pPr>
            <w:r>
              <w:rPr>
                <w:szCs w:val="20"/>
              </w:rPr>
              <w:lastRenderedPageBreak/>
              <w:t xml:space="preserve">Awareness of the two </w:t>
            </w:r>
            <w:r w:rsidR="003A503E">
              <w:rPr>
                <w:szCs w:val="20"/>
              </w:rPr>
              <w:t xml:space="preserve">ways </w:t>
            </w:r>
            <w:r w:rsidR="00990395">
              <w:rPr>
                <w:szCs w:val="20"/>
              </w:rPr>
              <w:t xml:space="preserve">providers </w:t>
            </w:r>
            <w:r>
              <w:rPr>
                <w:szCs w:val="20"/>
              </w:rPr>
              <w:t xml:space="preserve">can </w:t>
            </w:r>
            <w:r w:rsidR="003A503E">
              <w:rPr>
                <w:szCs w:val="20"/>
              </w:rPr>
              <w:t>participate in MIVP (dual funding model)</w:t>
            </w:r>
          </w:p>
        </w:tc>
      </w:tr>
      <w:tr w:rsidR="003A503E" w:rsidRPr="00E05485" w14:paraId="43DBC789" w14:textId="77777777" w:rsidTr="0066794F">
        <w:trPr>
          <w:trHeight w:val="1225"/>
        </w:trPr>
        <w:tc>
          <w:tcPr>
            <w:cnfStyle w:val="001000000000" w:firstRow="0" w:lastRow="0" w:firstColumn="1" w:lastColumn="0" w:oddVBand="0" w:evenVBand="0" w:oddHBand="0" w:evenHBand="0" w:firstRowFirstColumn="0" w:firstRowLastColumn="0" w:lastRowFirstColumn="0" w:lastRowLastColumn="0"/>
            <w:tcW w:w="2963" w:type="dxa"/>
            <w:tcBorders>
              <w:top w:val="single" w:sz="2" w:space="0" w:color="auto"/>
            </w:tcBorders>
          </w:tcPr>
          <w:p w14:paraId="732702B8" w14:textId="77777777" w:rsidR="003A503E" w:rsidRPr="00E05485" w:rsidRDefault="003A503E" w:rsidP="0066794F">
            <w:pPr>
              <w:rPr>
                <w:szCs w:val="20"/>
              </w:rPr>
            </w:pPr>
            <w:r w:rsidRPr="00E05485">
              <w:rPr>
                <w:b w:val="0"/>
                <w:bCs w:val="0"/>
                <w:szCs w:val="20"/>
              </w:rPr>
              <w:t>Providers could apply directly to the Ministry, or they could be part of their DHB</w:t>
            </w:r>
            <w:r>
              <w:rPr>
                <w:b w:val="0"/>
                <w:bCs w:val="0"/>
                <w:szCs w:val="20"/>
              </w:rPr>
              <w:t xml:space="preserve">’s </w:t>
            </w:r>
            <w:r w:rsidRPr="00E05485">
              <w:rPr>
                <w:b w:val="0"/>
                <w:bCs w:val="0"/>
                <w:szCs w:val="20"/>
              </w:rPr>
              <w:t>application.</w:t>
            </w:r>
          </w:p>
        </w:tc>
        <w:tc>
          <w:tcPr>
            <w:tcW w:w="2964" w:type="dxa"/>
            <w:tcBorders>
              <w:top w:val="single" w:sz="2" w:space="0" w:color="auto"/>
            </w:tcBorders>
          </w:tcPr>
          <w:p w14:paraId="3AA04D59" w14:textId="77777777" w:rsidR="003A503E" w:rsidRPr="00E05485" w:rsidRDefault="003A503E" w:rsidP="0066794F">
            <w:pPr>
              <w:cnfStyle w:val="000000000000" w:firstRow="0" w:lastRow="0" w:firstColumn="0" w:lastColumn="0" w:oddVBand="0" w:evenVBand="0" w:oddHBand="0" w:evenHBand="0" w:firstRowFirstColumn="0" w:firstRowLastColumn="0" w:lastRowFirstColumn="0" w:lastRowLastColumn="0"/>
              <w:rPr>
                <w:szCs w:val="20"/>
              </w:rPr>
            </w:pPr>
            <w:r w:rsidRPr="00E05485">
              <w:rPr>
                <w:szCs w:val="20"/>
              </w:rPr>
              <w:t>Many providers were unaware that they could apply directly to the Ministry.</w:t>
            </w:r>
          </w:p>
        </w:tc>
        <w:tc>
          <w:tcPr>
            <w:tcW w:w="2964" w:type="dxa"/>
            <w:tcBorders>
              <w:top w:val="single" w:sz="2" w:space="0" w:color="auto"/>
            </w:tcBorders>
          </w:tcPr>
          <w:p w14:paraId="32C41697" w14:textId="77777777" w:rsidR="003A503E" w:rsidRPr="00EC6371" w:rsidRDefault="003A503E" w:rsidP="0066794F">
            <w:pPr>
              <w:cnfStyle w:val="000000000000" w:firstRow="0" w:lastRow="0" w:firstColumn="0" w:lastColumn="0" w:oddVBand="0" w:evenVBand="0" w:oddHBand="0" w:evenHBand="0" w:firstRowFirstColumn="0" w:firstRowLastColumn="0" w:lastRowFirstColumn="0" w:lastRowLastColumn="0"/>
            </w:pPr>
            <w:r w:rsidRPr="00EC6371">
              <w:t>Improve communications about the two ways providers can participate in MIVP so they can make informed decisions.</w:t>
            </w:r>
          </w:p>
          <w:p w14:paraId="03C8DE08" w14:textId="77777777" w:rsidR="003A503E" w:rsidRPr="00794620" w:rsidRDefault="00794620" w:rsidP="00B14BA5">
            <w:pPr>
              <w:pStyle w:val="ListParagraph"/>
              <w:numPr>
                <w:ilvl w:val="0"/>
                <w:numId w:val="8"/>
              </w:numPr>
              <w:spacing w:before="60" w:after="60"/>
              <w:ind w:left="357" w:hanging="357"/>
              <w:contextualSpacing w:val="0"/>
              <w:cnfStyle w:val="000000000000" w:firstRow="0" w:lastRow="0" w:firstColumn="0" w:lastColumn="0" w:oddVBand="0" w:evenVBand="0" w:oddHBand="0" w:evenHBand="0" w:firstRowFirstColumn="0" w:firstRowLastColumn="0" w:lastRowFirstColumn="0" w:lastRowLastColumn="0"/>
              <w:rPr>
                <w:i/>
                <w:iCs/>
                <w:sz w:val="18"/>
                <w:szCs w:val="18"/>
              </w:rPr>
            </w:pPr>
            <w:r w:rsidRPr="00794620">
              <w:rPr>
                <w:i/>
                <w:iCs/>
                <w:sz w:val="18"/>
                <w:szCs w:val="18"/>
              </w:rPr>
              <w:t>Consider p</w:t>
            </w:r>
            <w:r w:rsidR="003A503E" w:rsidRPr="00794620">
              <w:rPr>
                <w:i/>
                <w:iCs/>
                <w:sz w:val="18"/>
                <w:szCs w:val="18"/>
              </w:rPr>
              <w:t>rovid</w:t>
            </w:r>
            <w:r w:rsidRPr="00794620">
              <w:rPr>
                <w:i/>
                <w:iCs/>
                <w:sz w:val="18"/>
                <w:szCs w:val="18"/>
              </w:rPr>
              <w:t xml:space="preserve">ing </w:t>
            </w:r>
            <w:r w:rsidR="003A503E" w:rsidRPr="00794620">
              <w:rPr>
                <w:i/>
                <w:iCs/>
                <w:sz w:val="18"/>
                <w:szCs w:val="18"/>
              </w:rPr>
              <w:t>information about the pros and cons of each option.</w:t>
            </w:r>
          </w:p>
          <w:p w14:paraId="27A36EBB" w14:textId="2D559ACD" w:rsidR="00794620" w:rsidRPr="003075DD" w:rsidRDefault="00794620" w:rsidP="00B14BA5">
            <w:pPr>
              <w:pStyle w:val="ListParagraph"/>
              <w:numPr>
                <w:ilvl w:val="0"/>
                <w:numId w:val="8"/>
              </w:numPr>
              <w:spacing w:before="60" w:after="60"/>
              <w:ind w:left="357" w:hanging="357"/>
              <w:contextualSpacing w:val="0"/>
              <w:cnfStyle w:val="000000000000" w:firstRow="0" w:lastRow="0" w:firstColumn="0" w:lastColumn="0" w:oddVBand="0" w:evenVBand="0" w:oddHBand="0" w:evenHBand="0" w:firstRowFirstColumn="0" w:firstRowLastColumn="0" w:lastRowFirstColumn="0" w:lastRowLastColumn="0"/>
              <w:rPr>
                <w:szCs w:val="20"/>
              </w:rPr>
            </w:pPr>
            <w:r w:rsidRPr="00794620">
              <w:rPr>
                <w:i/>
                <w:iCs/>
                <w:sz w:val="18"/>
                <w:szCs w:val="18"/>
              </w:rPr>
              <w:t>Consider tasking DHBs with the responsibility to ensure providers are aware of the two funding options.</w:t>
            </w:r>
          </w:p>
        </w:tc>
      </w:tr>
      <w:tr w:rsidR="002E2269" w:rsidRPr="00CF7738" w14:paraId="4D3B3846" w14:textId="77777777" w:rsidTr="0066794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8891" w:type="dxa"/>
            <w:gridSpan w:val="3"/>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B44E612" w14:textId="204A7C37" w:rsidR="002E2269" w:rsidRPr="002E230F" w:rsidRDefault="00794620" w:rsidP="0066794F">
            <w:pPr>
              <w:rPr>
                <w:szCs w:val="20"/>
              </w:rPr>
            </w:pPr>
            <w:r>
              <w:rPr>
                <w:szCs w:val="20"/>
              </w:rPr>
              <w:t>C</w:t>
            </w:r>
            <w:r w:rsidR="002E2269">
              <w:rPr>
                <w:szCs w:val="20"/>
              </w:rPr>
              <w:t>ollaborative applications between DHBs and providers</w:t>
            </w:r>
          </w:p>
        </w:tc>
      </w:tr>
      <w:tr w:rsidR="002E2269" w:rsidRPr="005115F1" w14:paraId="79DAC36B" w14:textId="77777777" w:rsidTr="00794620">
        <w:trPr>
          <w:trHeight w:val="557"/>
        </w:trPr>
        <w:tc>
          <w:tcPr>
            <w:cnfStyle w:val="001000000000" w:firstRow="0" w:lastRow="0" w:firstColumn="1" w:lastColumn="0" w:oddVBand="0" w:evenVBand="0" w:oddHBand="0" w:evenHBand="0" w:firstRowFirstColumn="0" w:firstRowLastColumn="0" w:lastRowFirstColumn="0" w:lastRowLastColumn="0"/>
            <w:tcW w:w="2963" w:type="dxa"/>
          </w:tcPr>
          <w:p w14:paraId="2746F9BB" w14:textId="07AF76B5" w:rsidR="002E2269" w:rsidRPr="003142AB" w:rsidRDefault="002E2269" w:rsidP="0066794F">
            <w:r>
              <w:rPr>
                <w:b w:val="0"/>
                <w:bCs w:val="0"/>
                <w:szCs w:val="20"/>
              </w:rPr>
              <w:t xml:space="preserve">The Ministry envisaged </w:t>
            </w:r>
            <w:r w:rsidRPr="001D50AD">
              <w:rPr>
                <w:b w:val="0"/>
                <w:bCs w:val="0"/>
                <w:szCs w:val="20"/>
              </w:rPr>
              <w:t xml:space="preserve">that the </w:t>
            </w:r>
            <w:r>
              <w:rPr>
                <w:b w:val="0"/>
                <w:bCs w:val="0"/>
                <w:szCs w:val="20"/>
              </w:rPr>
              <w:t xml:space="preserve">process would support </w:t>
            </w:r>
            <w:r w:rsidRPr="006E34F1">
              <w:rPr>
                <w:b w:val="0"/>
                <w:bCs w:val="0"/>
              </w:rPr>
              <w:t>collaborative application</w:t>
            </w:r>
            <w:r>
              <w:rPr>
                <w:b w:val="0"/>
                <w:bCs w:val="0"/>
              </w:rPr>
              <w:t>s</w:t>
            </w:r>
            <w:r w:rsidRPr="006E34F1">
              <w:rPr>
                <w:b w:val="0"/>
                <w:bCs w:val="0"/>
              </w:rPr>
              <w:t xml:space="preserve"> </w:t>
            </w:r>
            <w:r w:rsidR="00794620">
              <w:rPr>
                <w:b w:val="0"/>
                <w:bCs w:val="0"/>
              </w:rPr>
              <w:t>between DHBs and providers who decided to be part of a DHB application.</w:t>
            </w:r>
          </w:p>
        </w:tc>
        <w:tc>
          <w:tcPr>
            <w:tcW w:w="2964" w:type="dxa"/>
          </w:tcPr>
          <w:p w14:paraId="0A05CBA3" w14:textId="0C83E41A" w:rsidR="002E2269" w:rsidRPr="001D50AD" w:rsidRDefault="002E2269" w:rsidP="0066794F">
            <w:pPr>
              <w:cnfStyle w:val="000000000000" w:firstRow="0" w:lastRow="0" w:firstColumn="0" w:lastColumn="0" w:oddVBand="0" w:evenVBand="0" w:oddHBand="0" w:evenHBand="0" w:firstRowFirstColumn="0" w:firstRowLastColumn="0" w:lastRowFirstColumn="0" w:lastRowLastColumn="0"/>
              <w:rPr>
                <w:szCs w:val="20"/>
              </w:rPr>
            </w:pPr>
            <w:r w:rsidRPr="001D50AD">
              <w:rPr>
                <w:szCs w:val="20"/>
              </w:rPr>
              <w:t xml:space="preserve">Few DHB applications were clearly collaborative. </w:t>
            </w:r>
            <w:r w:rsidR="00794620">
              <w:rPr>
                <w:szCs w:val="20"/>
              </w:rPr>
              <w:t xml:space="preserve"> </w:t>
            </w:r>
          </w:p>
        </w:tc>
        <w:tc>
          <w:tcPr>
            <w:tcW w:w="2964" w:type="dxa"/>
          </w:tcPr>
          <w:p w14:paraId="1B61DBDF" w14:textId="77777777" w:rsidR="002E2269" w:rsidRPr="00EC6371" w:rsidRDefault="002E2269" w:rsidP="0066794F">
            <w:pPr>
              <w:cnfStyle w:val="000000000000" w:firstRow="0" w:lastRow="0" w:firstColumn="0" w:lastColumn="0" w:oddVBand="0" w:evenVBand="0" w:oddHBand="0" w:evenHBand="0" w:firstRowFirstColumn="0" w:firstRowLastColumn="0" w:lastRowFirstColumn="0" w:lastRowLastColumn="0"/>
            </w:pPr>
            <w:r w:rsidRPr="00EC6371">
              <w:t>Encourage and support DHBs to engage collaboratively with providers.</w:t>
            </w:r>
          </w:p>
          <w:p w14:paraId="143CC192" w14:textId="075E8E02" w:rsidR="002E2269" w:rsidRPr="00794620" w:rsidRDefault="00794620" w:rsidP="00B14BA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Cs w:val="20"/>
              </w:rPr>
            </w:pPr>
            <w:r w:rsidRPr="00794620">
              <w:rPr>
                <w:i/>
                <w:iCs/>
                <w:sz w:val="18"/>
                <w:szCs w:val="18"/>
              </w:rPr>
              <w:t xml:space="preserve">Consider providing </w:t>
            </w:r>
            <w:r w:rsidR="002E2269" w:rsidRPr="00794620">
              <w:rPr>
                <w:i/>
                <w:iCs/>
                <w:sz w:val="18"/>
                <w:szCs w:val="18"/>
              </w:rPr>
              <w:t>examples of how DHBs have successfully supported and worked with providers to showcase the benefits of a collaborative approach for providers</w:t>
            </w:r>
            <w:r>
              <w:rPr>
                <w:i/>
                <w:iCs/>
                <w:sz w:val="18"/>
                <w:szCs w:val="18"/>
              </w:rPr>
              <w:t xml:space="preserve"> and for whānau.</w:t>
            </w:r>
          </w:p>
        </w:tc>
      </w:tr>
      <w:tr w:rsidR="00794620" w:rsidRPr="00CF7738" w14:paraId="311C42F5" w14:textId="77777777" w:rsidTr="0066794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8891" w:type="dxa"/>
            <w:gridSpan w:val="3"/>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9AB710A" w14:textId="2C859C60" w:rsidR="00794620" w:rsidRPr="002E230F" w:rsidRDefault="00794620" w:rsidP="0066794F">
            <w:pPr>
              <w:rPr>
                <w:szCs w:val="20"/>
              </w:rPr>
            </w:pPr>
            <w:r>
              <w:rPr>
                <w:szCs w:val="20"/>
              </w:rPr>
              <w:t>DHB endorsement of provider capability</w:t>
            </w:r>
          </w:p>
        </w:tc>
      </w:tr>
      <w:tr w:rsidR="00794620" w:rsidRPr="00413822" w14:paraId="01D38D1E" w14:textId="77777777" w:rsidTr="00880DE8">
        <w:trPr>
          <w:trHeight w:val="1124"/>
        </w:trPr>
        <w:tc>
          <w:tcPr>
            <w:cnfStyle w:val="001000000000" w:firstRow="0" w:lastRow="0" w:firstColumn="1" w:lastColumn="0" w:oddVBand="0" w:evenVBand="0" w:oddHBand="0" w:evenHBand="0" w:firstRowFirstColumn="0" w:firstRowLastColumn="0" w:lastRowFirstColumn="0" w:lastRowLastColumn="0"/>
            <w:tcW w:w="2963" w:type="dxa"/>
            <w:tcBorders>
              <w:right w:val="none" w:sz="0" w:space="0" w:color="auto"/>
            </w:tcBorders>
          </w:tcPr>
          <w:p w14:paraId="24417EEE" w14:textId="75C9242D" w:rsidR="00794620" w:rsidRPr="001D50AD" w:rsidRDefault="00794620" w:rsidP="0066794F">
            <w:pPr>
              <w:rPr>
                <w:szCs w:val="20"/>
              </w:rPr>
            </w:pPr>
            <w:r>
              <w:rPr>
                <w:b w:val="0"/>
                <w:bCs w:val="0"/>
                <w:szCs w:val="20"/>
              </w:rPr>
              <w:t>Providers applying directly to the Ministry needed to secure endorsement of their delivery capability and community connectedness from their DHB, as part of the application process.</w:t>
            </w:r>
          </w:p>
        </w:tc>
        <w:tc>
          <w:tcPr>
            <w:tcW w:w="2964" w:type="dxa"/>
          </w:tcPr>
          <w:p w14:paraId="7FAF46B3" w14:textId="407DDA31" w:rsidR="00794620" w:rsidRPr="001D50AD" w:rsidRDefault="00794620" w:rsidP="0066794F">
            <w:pPr>
              <w:cnfStyle w:val="000000000000" w:firstRow="0" w:lastRow="0" w:firstColumn="0" w:lastColumn="0" w:oddVBand="0" w:evenVBand="0" w:oddHBand="0" w:evenHBand="0" w:firstRowFirstColumn="0" w:firstRowLastColumn="0" w:lastRowFirstColumn="0" w:lastRowLastColumn="0"/>
              <w:rPr>
                <w:szCs w:val="20"/>
              </w:rPr>
            </w:pPr>
            <w:r w:rsidRPr="001D50AD">
              <w:rPr>
                <w:szCs w:val="20"/>
              </w:rPr>
              <w:t xml:space="preserve">It is not clear whether needing DHB sign-off </w:t>
            </w:r>
            <w:r w:rsidR="00B271FD">
              <w:rPr>
                <w:szCs w:val="20"/>
              </w:rPr>
              <w:t>reduc</w:t>
            </w:r>
            <w:r>
              <w:rPr>
                <w:szCs w:val="20"/>
              </w:rPr>
              <w:t>ed</w:t>
            </w:r>
            <w:r w:rsidRPr="001D50AD">
              <w:rPr>
                <w:szCs w:val="20"/>
              </w:rPr>
              <w:t xml:space="preserve"> the possible pool of provider applicants – particularly in regions </w:t>
            </w:r>
            <w:r>
              <w:rPr>
                <w:szCs w:val="20"/>
              </w:rPr>
              <w:t>without</w:t>
            </w:r>
            <w:r w:rsidRPr="001D50AD">
              <w:rPr>
                <w:szCs w:val="20"/>
              </w:rPr>
              <w:t xml:space="preserve"> existing relationships</w:t>
            </w:r>
            <w:r>
              <w:rPr>
                <w:szCs w:val="20"/>
              </w:rPr>
              <w:t>,</w:t>
            </w:r>
            <w:r w:rsidRPr="001D50AD">
              <w:rPr>
                <w:szCs w:val="20"/>
              </w:rPr>
              <w:t xml:space="preserve"> </w:t>
            </w:r>
            <w:r>
              <w:rPr>
                <w:szCs w:val="20"/>
              </w:rPr>
              <w:t xml:space="preserve">where </w:t>
            </w:r>
            <w:r w:rsidRPr="001D50AD">
              <w:rPr>
                <w:szCs w:val="20"/>
              </w:rPr>
              <w:t>they</w:t>
            </w:r>
            <w:r>
              <w:rPr>
                <w:szCs w:val="20"/>
              </w:rPr>
              <w:t xml:space="preserve"> were</w:t>
            </w:r>
            <w:r w:rsidRPr="001D50AD">
              <w:rPr>
                <w:szCs w:val="20"/>
              </w:rPr>
              <w:t xml:space="preserve"> strained</w:t>
            </w:r>
            <w:r>
              <w:rPr>
                <w:szCs w:val="20"/>
              </w:rPr>
              <w:t xml:space="preserve"> or where the provider </w:t>
            </w:r>
            <w:r>
              <w:rPr>
                <w:szCs w:val="20"/>
              </w:rPr>
              <w:lastRenderedPageBreak/>
              <w:t>and DHB might be seen as being competitors.</w:t>
            </w:r>
          </w:p>
          <w:p w14:paraId="023843DB" w14:textId="77777777" w:rsidR="00794620" w:rsidRPr="001D50AD" w:rsidRDefault="00794620" w:rsidP="0066794F">
            <w:pPr>
              <w:cnfStyle w:val="000000000000" w:firstRow="0" w:lastRow="0" w:firstColumn="0" w:lastColumn="0" w:oddVBand="0" w:evenVBand="0" w:oddHBand="0" w:evenHBand="0" w:firstRowFirstColumn="0" w:firstRowLastColumn="0" w:lastRowFirstColumn="0" w:lastRowLastColumn="0"/>
              <w:rPr>
                <w:szCs w:val="20"/>
              </w:rPr>
            </w:pPr>
            <w:r w:rsidRPr="001D50AD">
              <w:rPr>
                <w:szCs w:val="20"/>
              </w:rPr>
              <w:t xml:space="preserve">Some providers </w:t>
            </w:r>
            <w:r>
              <w:rPr>
                <w:szCs w:val="20"/>
              </w:rPr>
              <w:t>filed</w:t>
            </w:r>
            <w:r w:rsidRPr="001D50AD">
              <w:rPr>
                <w:szCs w:val="20"/>
              </w:rPr>
              <w:t xml:space="preserve"> their application without secur</w:t>
            </w:r>
            <w:r>
              <w:rPr>
                <w:szCs w:val="20"/>
              </w:rPr>
              <w:t>ing</w:t>
            </w:r>
            <w:r w:rsidRPr="001D50AD">
              <w:rPr>
                <w:szCs w:val="20"/>
              </w:rPr>
              <w:t xml:space="preserve"> the</w:t>
            </w:r>
            <w:r>
              <w:rPr>
                <w:szCs w:val="20"/>
              </w:rPr>
              <w:t>ir</w:t>
            </w:r>
            <w:r w:rsidRPr="001D50AD">
              <w:rPr>
                <w:szCs w:val="20"/>
              </w:rPr>
              <w:t xml:space="preserve"> DHB</w:t>
            </w:r>
            <w:r>
              <w:rPr>
                <w:szCs w:val="20"/>
              </w:rPr>
              <w:t>’s</w:t>
            </w:r>
            <w:r w:rsidRPr="001D50AD">
              <w:rPr>
                <w:szCs w:val="20"/>
              </w:rPr>
              <w:t xml:space="preserve"> endorsement. The Ministry followed up with DHBs to confirm provider capability and community connectedness. </w:t>
            </w:r>
          </w:p>
        </w:tc>
        <w:tc>
          <w:tcPr>
            <w:tcW w:w="2964" w:type="dxa"/>
          </w:tcPr>
          <w:p w14:paraId="0244E7A6" w14:textId="11E4CC84" w:rsidR="00794620" w:rsidRPr="00EC6371" w:rsidRDefault="00794620" w:rsidP="00794620">
            <w:pPr>
              <w:cnfStyle w:val="000000000000" w:firstRow="0" w:lastRow="0" w:firstColumn="0" w:lastColumn="0" w:oddVBand="0" w:evenVBand="0" w:oddHBand="0" w:evenHBand="0" w:firstRowFirstColumn="0" w:firstRowLastColumn="0" w:lastRowFirstColumn="0" w:lastRowLastColumn="0"/>
            </w:pPr>
            <w:r w:rsidRPr="00EC6371">
              <w:lastRenderedPageBreak/>
              <w:t xml:space="preserve">Revisit the </w:t>
            </w:r>
            <w:r w:rsidR="00246B9F" w:rsidRPr="00EC6371">
              <w:t xml:space="preserve">DHB </w:t>
            </w:r>
            <w:r w:rsidRPr="00EC6371">
              <w:t>attestation process for confirming provide capability</w:t>
            </w:r>
            <w:r w:rsidR="00B271FD">
              <w:t>.</w:t>
            </w:r>
          </w:p>
          <w:p w14:paraId="28776C5A" w14:textId="2555074D" w:rsidR="00794620" w:rsidRPr="00794620" w:rsidRDefault="00794620" w:rsidP="00B14BA5">
            <w:pPr>
              <w:pStyle w:val="ListParagraph"/>
              <w:numPr>
                <w:ilvl w:val="0"/>
                <w:numId w:val="8"/>
              </w:numPr>
              <w:spacing w:before="60" w:after="60"/>
              <w:ind w:left="357" w:hanging="357"/>
              <w:contextualSpacing w:val="0"/>
              <w:cnfStyle w:val="000000000000" w:firstRow="0" w:lastRow="0" w:firstColumn="0" w:lastColumn="0" w:oddVBand="0" w:evenVBand="0" w:oddHBand="0" w:evenHBand="0" w:firstRowFirstColumn="0" w:firstRowLastColumn="0" w:lastRowFirstColumn="0" w:lastRowLastColumn="0"/>
              <w:rPr>
                <w:szCs w:val="20"/>
              </w:rPr>
            </w:pPr>
            <w:r>
              <w:rPr>
                <w:i/>
                <w:iCs/>
                <w:sz w:val="18"/>
                <w:szCs w:val="18"/>
              </w:rPr>
              <w:t xml:space="preserve">Consider seeking DHB feedback on provider capability as part of the application assessment </w:t>
            </w:r>
            <w:r>
              <w:rPr>
                <w:i/>
                <w:iCs/>
                <w:sz w:val="18"/>
                <w:szCs w:val="18"/>
              </w:rPr>
              <w:lastRenderedPageBreak/>
              <w:t>process (</w:t>
            </w:r>
            <w:r w:rsidR="00B271FD">
              <w:rPr>
                <w:i/>
                <w:iCs/>
                <w:sz w:val="18"/>
                <w:szCs w:val="18"/>
              </w:rPr>
              <w:t>that is</w:t>
            </w:r>
            <w:r>
              <w:rPr>
                <w:i/>
                <w:iCs/>
                <w:sz w:val="18"/>
                <w:szCs w:val="18"/>
              </w:rPr>
              <w:t>, not as part of the application process).</w:t>
            </w:r>
          </w:p>
          <w:p w14:paraId="438FE1BB" w14:textId="4BD2DFBF" w:rsidR="00794620" w:rsidRPr="00794620" w:rsidRDefault="00794620" w:rsidP="00B14BA5">
            <w:pPr>
              <w:pStyle w:val="ListParagraph"/>
              <w:numPr>
                <w:ilvl w:val="0"/>
                <w:numId w:val="8"/>
              </w:numPr>
              <w:spacing w:before="60" w:after="60"/>
              <w:ind w:left="357" w:hanging="357"/>
              <w:contextualSpacing w:val="0"/>
              <w:cnfStyle w:val="000000000000" w:firstRow="0" w:lastRow="0" w:firstColumn="0" w:lastColumn="0" w:oddVBand="0" w:evenVBand="0" w:oddHBand="0" w:evenHBand="0" w:firstRowFirstColumn="0" w:firstRowLastColumn="0" w:lastRowFirstColumn="0" w:lastRowLastColumn="0"/>
              <w:rPr>
                <w:szCs w:val="20"/>
              </w:rPr>
            </w:pPr>
            <w:r>
              <w:rPr>
                <w:i/>
                <w:iCs/>
                <w:sz w:val="18"/>
                <w:szCs w:val="18"/>
              </w:rPr>
              <w:t xml:space="preserve">Consider identifying other quality assurance and feedback mechanisms that could be used by the Ministry to attest to provider capability and community connectedness. </w:t>
            </w:r>
          </w:p>
        </w:tc>
      </w:tr>
      <w:tr w:rsidR="00794620" w:rsidRPr="00CF7738" w14:paraId="178F7059" w14:textId="77777777" w:rsidTr="0066794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8891" w:type="dxa"/>
            <w:gridSpan w:val="3"/>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D789F97" w14:textId="4B510DF1" w:rsidR="00794620" w:rsidRPr="002E230F" w:rsidRDefault="00794620" w:rsidP="0066794F">
            <w:pPr>
              <w:rPr>
                <w:szCs w:val="20"/>
              </w:rPr>
            </w:pPr>
            <w:r>
              <w:rPr>
                <w:szCs w:val="20"/>
              </w:rPr>
              <w:lastRenderedPageBreak/>
              <w:t>Encouraging innovation, managing perceived risk</w:t>
            </w:r>
          </w:p>
        </w:tc>
      </w:tr>
      <w:tr w:rsidR="00855C9E" w:rsidRPr="005115F1" w14:paraId="03953F8C" w14:textId="77777777" w:rsidTr="00B75433">
        <w:trPr>
          <w:trHeight w:val="2684"/>
        </w:trPr>
        <w:tc>
          <w:tcPr>
            <w:cnfStyle w:val="001000000000" w:firstRow="0" w:lastRow="0" w:firstColumn="1" w:lastColumn="0" w:oddVBand="0" w:evenVBand="0" w:oddHBand="0" w:evenHBand="0" w:firstRowFirstColumn="0" w:firstRowLastColumn="0" w:lastRowFirstColumn="0" w:lastRowLastColumn="0"/>
            <w:tcW w:w="2963" w:type="dxa"/>
            <w:tcBorders>
              <w:right w:val="none" w:sz="0" w:space="0" w:color="auto"/>
            </w:tcBorders>
          </w:tcPr>
          <w:p w14:paraId="2510C23A" w14:textId="77777777" w:rsidR="00855C9E" w:rsidRPr="001D50AD" w:rsidRDefault="00855C9E" w:rsidP="00B75433">
            <w:pPr>
              <w:rPr>
                <w:b w:val="0"/>
                <w:bCs w:val="0"/>
                <w:szCs w:val="20"/>
              </w:rPr>
            </w:pPr>
            <w:r w:rsidRPr="001D50AD">
              <w:rPr>
                <w:b w:val="0"/>
                <w:bCs w:val="0"/>
                <w:szCs w:val="20"/>
              </w:rPr>
              <w:t xml:space="preserve">MIVP encouraged applicants to propose innovative approaches. </w:t>
            </w:r>
          </w:p>
        </w:tc>
        <w:tc>
          <w:tcPr>
            <w:tcW w:w="2964" w:type="dxa"/>
          </w:tcPr>
          <w:p w14:paraId="589CB5F3" w14:textId="4A80E3D5" w:rsidR="00855C9E" w:rsidRPr="005E1A72" w:rsidRDefault="00BE2E9F" w:rsidP="005E1A72">
            <w:pPr>
              <w:cnfStyle w:val="000000000000" w:firstRow="0" w:lastRow="0" w:firstColumn="0" w:lastColumn="0" w:oddVBand="0" w:evenVBand="0" w:oddHBand="0" w:evenHBand="0" w:firstRowFirstColumn="0" w:firstRowLastColumn="0" w:lastRowFirstColumn="0" w:lastRowLastColumn="0"/>
              <w:rPr>
                <w:szCs w:val="20"/>
              </w:rPr>
            </w:pPr>
            <w:r>
              <w:rPr>
                <w:szCs w:val="20"/>
              </w:rPr>
              <w:t>However, r</w:t>
            </w:r>
            <w:r w:rsidR="00855C9E" w:rsidRPr="001D50AD">
              <w:rPr>
                <w:szCs w:val="20"/>
              </w:rPr>
              <w:t>isk mitigation at the application and approval process stages potentially dampened opportunity for genuine innovation.</w:t>
            </w:r>
          </w:p>
          <w:p w14:paraId="6EABA32C" w14:textId="03443CF3" w:rsidR="005E1A72" w:rsidRPr="00794620" w:rsidRDefault="005E1A72" w:rsidP="00A90583">
            <w:pPr>
              <w:jc w:val="center"/>
              <w:cnfStyle w:val="000000000000" w:firstRow="0" w:lastRow="0" w:firstColumn="0" w:lastColumn="0" w:oddVBand="0" w:evenVBand="0" w:oddHBand="0" w:evenHBand="0" w:firstRowFirstColumn="0" w:firstRowLastColumn="0" w:lastRowFirstColumn="0" w:lastRowLastColumn="0"/>
              <w:rPr>
                <w:i/>
                <w:iCs/>
                <w:color w:val="44546A" w:themeColor="text2"/>
                <w:sz w:val="18"/>
                <w:szCs w:val="22"/>
              </w:rPr>
            </w:pPr>
            <w:r w:rsidRPr="00794620">
              <w:rPr>
                <w:i/>
                <w:iCs/>
                <w:color w:val="44546A" w:themeColor="text2"/>
                <w:sz w:val="18"/>
                <w:szCs w:val="22"/>
              </w:rPr>
              <w:t>“</w:t>
            </w:r>
            <w:r w:rsidR="00A90583" w:rsidRPr="00794620">
              <w:rPr>
                <w:i/>
                <w:iCs/>
                <w:color w:val="44546A" w:themeColor="text2"/>
                <w:sz w:val="18"/>
                <w:szCs w:val="22"/>
              </w:rPr>
              <w:t>S</w:t>
            </w:r>
            <w:r w:rsidR="00BE2E9F" w:rsidRPr="00794620">
              <w:rPr>
                <w:i/>
                <w:iCs/>
                <w:color w:val="44546A" w:themeColor="text2"/>
                <w:sz w:val="18"/>
                <w:szCs w:val="22"/>
              </w:rPr>
              <w:t>ome of their analysis was, well, over the top.</w:t>
            </w:r>
            <w:r w:rsidR="00B271FD">
              <w:rPr>
                <w:i/>
                <w:iCs/>
                <w:color w:val="44546A" w:themeColor="text2"/>
                <w:sz w:val="18"/>
                <w:szCs w:val="22"/>
              </w:rPr>
              <w:t>,</w:t>
            </w:r>
            <w:r w:rsidR="00BE2E9F" w:rsidRPr="00794620">
              <w:rPr>
                <w:i/>
                <w:iCs/>
                <w:color w:val="44546A" w:themeColor="text2"/>
                <w:sz w:val="18"/>
                <w:szCs w:val="22"/>
              </w:rPr>
              <w:t xml:space="preserve">. and </w:t>
            </w:r>
            <w:r w:rsidR="00794620" w:rsidRPr="00794620">
              <w:rPr>
                <w:i/>
                <w:iCs/>
                <w:color w:val="44546A" w:themeColor="text2"/>
                <w:sz w:val="18"/>
                <w:szCs w:val="22"/>
              </w:rPr>
              <w:t>i</w:t>
            </w:r>
            <w:r w:rsidRPr="00794620">
              <w:rPr>
                <w:i/>
                <w:iCs/>
                <w:color w:val="44546A" w:themeColor="text2"/>
                <w:sz w:val="18"/>
                <w:szCs w:val="22"/>
              </w:rPr>
              <w:t>nnovation was getting pushed back to the wall.” (DHB Manager)</w:t>
            </w:r>
          </w:p>
          <w:p w14:paraId="3A237F85" w14:textId="5E460EA6" w:rsidR="00A63B56" w:rsidRDefault="00855C9E" w:rsidP="005E1A72">
            <w:pPr>
              <w:cnfStyle w:val="000000000000" w:firstRow="0" w:lastRow="0" w:firstColumn="0" w:lastColumn="0" w:oddVBand="0" w:evenVBand="0" w:oddHBand="0" w:evenHBand="0" w:firstRowFirstColumn="0" w:firstRowLastColumn="0" w:lastRowFirstColumn="0" w:lastRowLastColumn="0"/>
              <w:rPr>
                <w:szCs w:val="20"/>
              </w:rPr>
            </w:pPr>
            <w:r w:rsidRPr="001D50AD">
              <w:rPr>
                <w:szCs w:val="20"/>
              </w:rPr>
              <w:t>DHBs and providers suggest</w:t>
            </w:r>
            <w:r>
              <w:rPr>
                <w:szCs w:val="20"/>
              </w:rPr>
              <w:t>ed</w:t>
            </w:r>
            <w:r w:rsidRPr="001D50AD">
              <w:rPr>
                <w:szCs w:val="20"/>
              </w:rPr>
              <w:t xml:space="preserve"> that the Ministry did not always have a good sense of what innovation looked like on the grou</w:t>
            </w:r>
            <w:r>
              <w:rPr>
                <w:szCs w:val="20"/>
              </w:rPr>
              <w:t xml:space="preserve">nd. </w:t>
            </w:r>
          </w:p>
          <w:p w14:paraId="0EFD0EA3" w14:textId="2222286E" w:rsidR="00855C9E" w:rsidRPr="00A90583" w:rsidRDefault="005E1A72" w:rsidP="00A90583">
            <w:pPr>
              <w:jc w:val="center"/>
              <w:cnfStyle w:val="000000000000" w:firstRow="0" w:lastRow="0" w:firstColumn="0" w:lastColumn="0" w:oddVBand="0" w:evenVBand="0" w:oddHBand="0" w:evenHBand="0" w:firstRowFirstColumn="0" w:firstRowLastColumn="0" w:lastRowFirstColumn="0" w:lastRowLastColumn="0"/>
              <w:rPr>
                <w:i/>
                <w:iCs/>
                <w:color w:val="44546A" w:themeColor="text2"/>
              </w:rPr>
            </w:pPr>
            <w:r w:rsidRPr="00794620">
              <w:rPr>
                <w:i/>
                <w:iCs/>
                <w:color w:val="44546A" w:themeColor="text2"/>
                <w:sz w:val="18"/>
                <w:szCs w:val="22"/>
              </w:rPr>
              <w:t>“Their desktop analysis was far removed from the realities we're working in” (DHB Manager)</w:t>
            </w:r>
          </w:p>
        </w:tc>
        <w:tc>
          <w:tcPr>
            <w:tcW w:w="2964" w:type="dxa"/>
          </w:tcPr>
          <w:p w14:paraId="3AB68F01" w14:textId="746B8870" w:rsidR="00794620" w:rsidRPr="00EC6371" w:rsidRDefault="00794620" w:rsidP="00B75433">
            <w:pPr>
              <w:cnfStyle w:val="000000000000" w:firstRow="0" w:lastRow="0" w:firstColumn="0" w:lastColumn="0" w:oddVBand="0" w:evenVBand="0" w:oddHBand="0" w:evenHBand="0" w:firstRowFirstColumn="0" w:firstRowLastColumn="0" w:lastRowFirstColumn="0" w:lastRowLastColumn="0"/>
            </w:pPr>
            <w:r w:rsidRPr="00EC6371">
              <w:t>Review the MIVP assessment processes</w:t>
            </w:r>
            <w:r w:rsidR="00336D36" w:rsidRPr="00EC6371">
              <w:t>,</w:t>
            </w:r>
            <w:r w:rsidRPr="00EC6371">
              <w:t xml:space="preserve"> </w:t>
            </w:r>
            <w:proofErr w:type="gramStart"/>
            <w:r w:rsidRPr="00EC6371">
              <w:t>systems</w:t>
            </w:r>
            <w:proofErr w:type="gramEnd"/>
            <w:r w:rsidRPr="00EC6371">
              <w:t xml:space="preserve"> </w:t>
            </w:r>
            <w:r w:rsidR="00336D36" w:rsidRPr="00EC6371">
              <w:t xml:space="preserve">and criteria </w:t>
            </w:r>
            <w:r w:rsidRPr="00EC6371">
              <w:t xml:space="preserve">to support innovation. </w:t>
            </w:r>
          </w:p>
          <w:p w14:paraId="72DEE8E5" w14:textId="72100CF8" w:rsidR="00794620" w:rsidRDefault="00794620" w:rsidP="00B14BA5">
            <w:pPr>
              <w:pStyle w:val="ListParagraph"/>
              <w:numPr>
                <w:ilvl w:val="0"/>
                <w:numId w:val="8"/>
              </w:numPr>
              <w:spacing w:before="60" w:after="60"/>
              <w:ind w:left="357" w:hanging="357"/>
              <w:contextualSpacing w:val="0"/>
              <w:cnfStyle w:val="000000000000" w:firstRow="0" w:lastRow="0" w:firstColumn="0" w:lastColumn="0" w:oddVBand="0" w:evenVBand="0" w:oddHBand="0" w:evenHBand="0" w:firstRowFirstColumn="0" w:firstRowLastColumn="0" w:lastRowFirstColumn="0" w:lastRowLastColumn="0"/>
              <w:rPr>
                <w:i/>
                <w:iCs/>
                <w:sz w:val="18"/>
                <w:szCs w:val="18"/>
              </w:rPr>
            </w:pPr>
            <w:r w:rsidRPr="00794620">
              <w:rPr>
                <w:i/>
                <w:iCs/>
                <w:sz w:val="18"/>
                <w:szCs w:val="18"/>
              </w:rPr>
              <w:t xml:space="preserve">Consider assessing </w:t>
            </w:r>
            <w:r>
              <w:rPr>
                <w:i/>
                <w:iCs/>
                <w:sz w:val="18"/>
                <w:szCs w:val="18"/>
              </w:rPr>
              <w:t xml:space="preserve">applications </w:t>
            </w:r>
            <w:r w:rsidRPr="00794620">
              <w:rPr>
                <w:i/>
                <w:iCs/>
                <w:sz w:val="18"/>
                <w:szCs w:val="18"/>
              </w:rPr>
              <w:t>at a strategic or macro level</w:t>
            </w:r>
            <w:r>
              <w:rPr>
                <w:i/>
                <w:iCs/>
                <w:sz w:val="18"/>
                <w:szCs w:val="18"/>
              </w:rPr>
              <w:t>. For example</w:t>
            </w:r>
            <w:r w:rsidR="00B271FD">
              <w:rPr>
                <w:i/>
                <w:iCs/>
                <w:sz w:val="18"/>
                <w:szCs w:val="18"/>
              </w:rPr>
              <w:t>,</w:t>
            </w:r>
            <w:r>
              <w:rPr>
                <w:i/>
                <w:iCs/>
                <w:sz w:val="18"/>
                <w:szCs w:val="18"/>
              </w:rPr>
              <w:t xml:space="preserve"> </w:t>
            </w:r>
            <w:r w:rsidR="00B271FD">
              <w:rPr>
                <w:i/>
                <w:iCs/>
                <w:sz w:val="18"/>
                <w:szCs w:val="18"/>
              </w:rPr>
              <w:t xml:space="preserve">they could be assessed </w:t>
            </w:r>
            <w:r>
              <w:rPr>
                <w:i/>
                <w:iCs/>
                <w:sz w:val="18"/>
                <w:szCs w:val="18"/>
              </w:rPr>
              <w:t xml:space="preserve">against the three core MIVP strategies (mobilisation, whānau-centred and workforce capability) </w:t>
            </w:r>
            <w:r w:rsidRPr="00794620">
              <w:rPr>
                <w:i/>
                <w:iCs/>
                <w:sz w:val="18"/>
                <w:szCs w:val="18"/>
              </w:rPr>
              <w:t xml:space="preserve">as opposed to </w:t>
            </w:r>
            <w:r>
              <w:rPr>
                <w:i/>
                <w:iCs/>
                <w:sz w:val="18"/>
                <w:szCs w:val="18"/>
              </w:rPr>
              <w:t xml:space="preserve">at a </w:t>
            </w:r>
            <w:r w:rsidRPr="00794620">
              <w:rPr>
                <w:i/>
                <w:iCs/>
                <w:sz w:val="18"/>
                <w:szCs w:val="18"/>
              </w:rPr>
              <w:t>micro level</w:t>
            </w:r>
            <w:r>
              <w:rPr>
                <w:i/>
                <w:iCs/>
                <w:sz w:val="18"/>
                <w:szCs w:val="18"/>
              </w:rPr>
              <w:t xml:space="preserve"> or a highly detailed assessment.</w:t>
            </w:r>
          </w:p>
          <w:p w14:paraId="1D273126" w14:textId="2DA880B9" w:rsidR="00855C9E" w:rsidRPr="00794620" w:rsidRDefault="00794620" w:rsidP="00B14BA5">
            <w:pPr>
              <w:pStyle w:val="ListParagraph"/>
              <w:numPr>
                <w:ilvl w:val="0"/>
                <w:numId w:val="8"/>
              </w:numPr>
              <w:spacing w:before="60" w:after="60"/>
              <w:ind w:left="357" w:hanging="357"/>
              <w:contextualSpacing w:val="0"/>
              <w:cnfStyle w:val="000000000000" w:firstRow="0" w:lastRow="0" w:firstColumn="0" w:lastColumn="0" w:oddVBand="0" w:evenVBand="0" w:oddHBand="0" w:evenHBand="0" w:firstRowFirstColumn="0" w:firstRowLastColumn="0" w:lastRowFirstColumn="0" w:lastRowLastColumn="0"/>
              <w:rPr>
                <w:i/>
                <w:iCs/>
                <w:sz w:val="18"/>
                <w:szCs w:val="18"/>
              </w:rPr>
            </w:pPr>
            <w:r>
              <w:rPr>
                <w:i/>
                <w:iCs/>
                <w:sz w:val="18"/>
                <w:szCs w:val="18"/>
              </w:rPr>
              <w:t>Consider how risk and innovation can be better balanced when assessing applications.</w:t>
            </w:r>
          </w:p>
        </w:tc>
      </w:tr>
      <w:tr w:rsidR="00336D36" w:rsidRPr="00CF7738" w14:paraId="04344F56" w14:textId="77777777" w:rsidTr="0066794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8891" w:type="dxa"/>
            <w:gridSpan w:val="3"/>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7CDFB74" w14:textId="77777777" w:rsidR="00336D36" w:rsidRPr="002E230F" w:rsidRDefault="00336D36" w:rsidP="0066794F">
            <w:pPr>
              <w:rPr>
                <w:szCs w:val="20"/>
              </w:rPr>
            </w:pPr>
            <w:r>
              <w:rPr>
                <w:szCs w:val="20"/>
              </w:rPr>
              <w:t>The timeliness of the application process and distribution of funding</w:t>
            </w:r>
          </w:p>
        </w:tc>
      </w:tr>
      <w:tr w:rsidR="00336D36" w:rsidRPr="005115F1" w14:paraId="7F742263" w14:textId="77777777" w:rsidTr="00DD32E7">
        <w:trPr>
          <w:trHeight w:val="416"/>
        </w:trPr>
        <w:tc>
          <w:tcPr>
            <w:cnfStyle w:val="001000000000" w:firstRow="0" w:lastRow="0" w:firstColumn="1" w:lastColumn="0" w:oddVBand="0" w:evenVBand="0" w:oddHBand="0" w:evenHBand="0" w:firstRowFirstColumn="0" w:firstRowLastColumn="0" w:lastRowFirstColumn="0" w:lastRowLastColumn="0"/>
            <w:tcW w:w="2963" w:type="dxa"/>
            <w:tcBorders>
              <w:right w:val="none" w:sz="0" w:space="0" w:color="auto"/>
            </w:tcBorders>
          </w:tcPr>
          <w:p w14:paraId="65D44093" w14:textId="77777777" w:rsidR="00336D36" w:rsidRPr="001D50AD" w:rsidRDefault="00336D36" w:rsidP="0066794F">
            <w:pPr>
              <w:rPr>
                <w:szCs w:val="20"/>
              </w:rPr>
            </w:pPr>
            <w:r>
              <w:rPr>
                <w:b w:val="0"/>
                <w:bCs w:val="0"/>
                <w:szCs w:val="20"/>
              </w:rPr>
              <w:t>Both providers and DHBs reported the Ministry processed most</w:t>
            </w:r>
            <w:r w:rsidRPr="001D50AD">
              <w:rPr>
                <w:b w:val="0"/>
                <w:bCs w:val="0"/>
                <w:szCs w:val="20"/>
              </w:rPr>
              <w:t xml:space="preserve"> applications relatively quickly, including addressing legal and technology challenges</w:t>
            </w:r>
            <w:r>
              <w:rPr>
                <w:b w:val="0"/>
                <w:bCs w:val="0"/>
                <w:szCs w:val="20"/>
              </w:rPr>
              <w:t>.</w:t>
            </w:r>
            <w:r w:rsidRPr="001D50AD">
              <w:rPr>
                <w:b w:val="0"/>
                <w:bCs w:val="0"/>
                <w:szCs w:val="20"/>
              </w:rPr>
              <w:t xml:space="preserve"> </w:t>
            </w:r>
          </w:p>
          <w:p w14:paraId="1ABE394C" w14:textId="343D07E1" w:rsidR="00336D36" w:rsidRPr="00794620" w:rsidRDefault="00336D36" w:rsidP="00EC6371">
            <w:pPr>
              <w:rPr>
                <w:b w:val="0"/>
                <w:bCs w:val="0"/>
                <w:i/>
                <w:iCs/>
                <w:color w:val="44546A" w:themeColor="text2"/>
                <w:sz w:val="18"/>
                <w:szCs w:val="22"/>
              </w:rPr>
            </w:pPr>
            <w:r>
              <w:rPr>
                <w:b w:val="0"/>
                <w:bCs w:val="0"/>
                <w:i/>
                <w:iCs/>
                <w:color w:val="44546A" w:themeColor="text2"/>
                <w:sz w:val="18"/>
                <w:szCs w:val="22"/>
              </w:rPr>
              <w:t>“</w:t>
            </w:r>
            <w:r w:rsidRPr="00794620">
              <w:rPr>
                <w:b w:val="0"/>
                <w:bCs w:val="0"/>
                <w:i/>
                <w:iCs/>
                <w:color w:val="44546A" w:themeColor="text2"/>
                <w:sz w:val="18"/>
                <w:szCs w:val="22"/>
              </w:rPr>
              <w:t xml:space="preserve">If you compare the Ministry resources for this programme compared to </w:t>
            </w:r>
            <w:proofErr w:type="gramStart"/>
            <w:r w:rsidRPr="00794620">
              <w:rPr>
                <w:b w:val="0"/>
                <w:bCs w:val="0"/>
                <w:i/>
                <w:iCs/>
                <w:color w:val="44546A" w:themeColor="text2"/>
                <w:sz w:val="18"/>
                <w:szCs w:val="22"/>
              </w:rPr>
              <w:t>ourselves</w:t>
            </w:r>
            <w:proofErr w:type="gramEnd"/>
            <w:r w:rsidRPr="00794620">
              <w:rPr>
                <w:b w:val="0"/>
                <w:bCs w:val="0"/>
                <w:i/>
                <w:iCs/>
                <w:color w:val="44546A" w:themeColor="text2"/>
                <w:sz w:val="18"/>
                <w:szCs w:val="22"/>
              </w:rPr>
              <w:t xml:space="preserve"> </w:t>
            </w:r>
            <w:r w:rsidR="00B271FD">
              <w:rPr>
                <w:b w:val="0"/>
                <w:bCs w:val="0"/>
                <w:i/>
                <w:iCs/>
                <w:color w:val="44546A" w:themeColor="text2"/>
                <w:sz w:val="18"/>
                <w:szCs w:val="22"/>
              </w:rPr>
              <w:t>[</w:t>
            </w:r>
            <w:r w:rsidRPr="00794620">
              <w:rPr>
                <w:b w:val="0"/>
                <w:bCs w:val="0"/>
                <w:i/>
                <w:iCs/>
                <w:color w:val="44546A" w:themeColor="text2"/>
                <w:sz w:val="18"/>
                <w:szCs w:val="22"/>
              </w:rPr>
              <w:t>DHBs</w:t>
            </w:r>
            <w:r w:rsidR="00B271FD">
              <w:rPr>
                <w:b w:val="0"/>
                <w:bCs w:val="0"/>
                <w:i/>
                <w:iCs/>
                <w:color w:val="44546A" w:themeColor="text2"/>
                <w:sz w:val="18"/>
                <w:szCs w:val="22"/>
              </w:rPr>
              <w:t>],</w:t>
            </w:r>
            <w:r w:rsidRPr="00794620">
              <w:rPr>
                <w:b w:val="0"/>
                <w:bCs w:val="0"/>
                <w:i/>
                <w:iCs/>
                <w:color w:val="44546A" w:themeColor="text2"/>
                <w:sz w:val="18"/>
                <w:szCs w:val="22"/>
              </w:rPr>
              <w:t xml:space="preserve"> gosh, and calculate our time and paths, the Ministry was very timely and responsive</w:t>
            </w:r>
            <w:r>
              <w:rPr>
                <w:b w:val="0"/>
                <w:bCs w:val="0"/>
                <w:i/>
                <w:iCs/>
                <w:color w:val="44546A" w:themeColor="text2"/>
                <w:sz w:val="18"/>
                <w:szCs w:val="22"/>
              </w:rPr>
              <w:t>.”</w:t>
            </w:r>
            <w:r w:rsidRPr="00794620">
              <w:rPr>
                <w:b w:val="0"/>
                <w:bCs w:val="0"/>
                <w:i/>
                <w:iCs/>
                <w:color w:val="44546A" w:themeColor="text2"/>
                <w:sz w:val="18"/>
                <w:szCs w:val="22"/>
              </w:rPr>
              <w:t xml:space="preserve"> (</w:t>
            </w:r>
            <w:r w:rsidR="003142AB" w:rsidRPr="00794620">
              <w:rPr>
                <w:b w:val="0"/>
                <w:bCs w:val="0"/>
                <w:i/>
                <w:iCs/>
                <w:color w:val="44546A" w:themeColor="text2"/>
                <w:sz w:val="18"/>
                <w:szCs w:val="22"/>
              </w:rPr>
              <w:t xml:space="preserve">DHB </w:t>
            </w:r>
            <w:r w:rsidRPr="00794620">
              <w:rPr>
                <w:b w:val="0"/>
                <w:bCs w:val="0"/>
                <w:i/>
                <w:iCs/>
                <w:color w:val="44546A" w:themeColor="text2"/>
                <w:sz w:val="18"/>
                <w:szCs w:val="22"/>
              </w:rPr>
              <w:t>GM Māori)</w:t>
            </w:r>
          </w:p>
          <w:p w14:paraId="0EA8CFAF" w14:textId="77777777" w:rsidR="00336D36" w:rsidRPr="00FC57FD" w:rsidRDefault="00336D36" w:rsidP="0066794F">
            <w:pPr>
              <w:rPr>
                <w:rFonts w:ascii="Arial" w:hAnsi="Arial"/>
              </w:rPr>
            </w:pPr>
          </w:p>
        </w:tc>
        <w:tc>
          <w:tcPr>
            <w:tcW w:w="2964" w:type="dxa"/>
          </w:tcPr>
          <w:p w14:paraId="07C788AB" w14:textId="77777777" w:rsidR="00336D36" w:rsidRDefault="00336D36" w:rsidP="0066794F">
            <w:pPr>
              <w:cnfStyle w:val="000000000000" w:firstRow="0" w:lastRow="0" w:firstColumn="0" w:lastColumn="0" w:oddVBand="0" w:evenVBand="0" w:oddHBand="0" w:evenHBand="0" w:firstRowFirstColumn="0" w:firstRowLastColumn="0" w:lastRowFirstColumn="0" w:lastRowLastColumn="0"/>
              <w:rPr>
                <w:szCs w:val="20"/>
              </w:rPr>
            </w:pPr>
            <w:r>
              <w:rPr>
                <w:szCs w:val="20"/>
              </w:rPr>
              <w:t xml:space="preserve">Vaccinations were a new area of work for the Ministry </w:t>
            </w:r>
            <w:r w:rsidRPr="001D50AD">
              <w:rPr>
                <w:szCs w:val="20"/>
              </w:rPr>
              <w:t>contract managers</w:t>
            </w:r>
            <w:r>
              <w:rPr>
                <w:szCs w:val="20"/>
              </w:rPr>
              <w:t>,</w:t>
            </w:r>
            <w:r w:rsidRPr="001D50AD">
              <w:rPr>
                <w:szCs w:val="20"/>
              </w:rPr>
              <w:t xml:space="preserve"> and this </w:t>
            </w:r>
            <w:r>
              <w:rPr>
                <w:szCs w:val="20"/>
              </w:rPr>
              <w:t xml:space="preserve">sometimes </w:t>
            </w:r>
            <w:r w:rsidRPr="001D50AD">
              <w:rPr>
                <w:szCs w:val="20"/>
              </w:rPr>
              <w:t xml:space="preserve">impacted on the approval response time. </w:t>
            </w:r>
          </w:p>
          <w:p w14:paraId="66469BC3" w14:textId="77777777" w:rsidR="00336D36" w:rsidRDefault="00336D36" w:rsidP="00336D36">
            <w:pPr>
              <w:cnfStyle w:val="000000000000" w:firstRow="0" w:lastRow="0" w:firstColumn="0" w:lastColumn="0" w:oddVBand="0" w:evenVBand="0" w:oddHBand="0" w:evenHBand="0" w:firstRowFirstColumn="0" w:firstRowLastColumn="0" w:lastRowFirstColumn="0" w:lastRowLastColumn="0"/>
              <w:rPr>
                <w:szCs w:val="20"/>
              </w:rPr>
            </w:pPr>
            <w:r w:rsidRPr="001D50AD">
              <w:rPr>
                <w:szCs w:val="20"/>
              </w:rPr>
              <w:t xml:space="preserve">There was a wide variation in costings because no indicative pricing schedule accompanied the application form. </w:t>
            </w:r>
          </w:p>
          <w:p w14:paraId="56A6E2E6" w14:textId="6885686B" w:rsidR="00336D36" w:rsidRPr="001D50AD" w:rsidRDefault="00336D36" w:rsidP="0066794F">
            <w:pPr>
              <w:cnfStyle w:val="000000000000" w:firstRow="0" w:lastRow="0" w:firstColumn="0" w:lastColumn="0" w:oddVBand="0" w:evenVBand="0" w:oddHBand="0" w:evenHBand="0" w:firstRowFirstColumn="0" w:firstRowLastColumn="0" w:lastRowFirstColumn="0" w:lastRowLastColumn="0"/>
              <w:rPr>
                <w:szCs w:val="20"/>
              </w:rPr>
            </w:pPr>
            <w:r>
              <w:rPr>
                <w:szCs w:val="20"/>
              </w:rPr>
              <w:t xml:space="preserve">Processing improved over </w:t>
            </w:r>
            <w:r w:rsidRPr="001D50AD">
              <w:rPr>
                <w:szCs w:val="20"/>
              </w:rPr>
              <w:t xml:space="preserve">time </w:t>
            </w:r>
            <w:r>
              <w:rPr>
                <w:szCs w:val="20"/>
              </w:rPr>
              <w:t xml:space="preserve">as the contract managers gained an improved </w:t>
            </w:r>
            <w:r w:rsidRPr="001D50AD">
              <w:rPr>
                <w:szCs w:val="20"/>
              </w:rPr>
              <w:t>understanding of the flu vaccination context</w:t>
            </w:r>
            <w:r>
              <w:rPr>
                <w:szCs w:val="20"/>
              </w:rPr>
              <w:t xml:space="preserve">. They also developed </w:t>
            </w:r>
            <w:r w:rsidRPr="001D50AD">
              <w:rPr>
                <w:szCs w:val="20"/>
              </w:rPr>
              <w:t>a pricing schedule</w:t>
            </w:r>
            <w:r>
              <w:rPr>
                <w:szCs w:val="20"/>
              </w:rPr>
              <w:t>.</w:t>
            </w:r>
          </w:p>
          <w:p w14:paraId="5B5B71D6" w14:textId="4919BF22" w:rsidR="00336D36" w:rsidRDefault="00336D36" w:rsidP="0066794F">
            <w:pPr>
              <w:cnfStyle w:val="000000000000" w:firstRow="0" w:lastRow="0" w:firstColumn="0" w:lastColumn="0" w:oddVBand="0" w:evenVBand="0" w:oddHBand="0" w:evenHBand="0" w:firstRowFirstColumn="0" w:firstRowLastColumn="0" w:lastRowFirstColumn="0" w:lastRowLastColumn="0"/>
              <w:rPr>
                <w:szCs w:val="20"/>
              </w:rPr>
            </w:pPr>
            <w:r w:rsidRPr="001D50AD">
              <w:rPr>
                <w:szCs w:val="20"/>
              </w:rPr>
              <w:t xml:space="preserve">There were delays in developing contracts and </w:t>
            </w:r>
            <w:r>
              <w:rPr>
                <w:szCs w:val="20"/>
              </w:rPr>
              <w:t xml:space="preserve">this resulted in funding </w:t>
            </w:r>
            <w:r w:rsidRPr="001D50AD">
              <w:rPr>
                <w:szCs w:val="20"/>
              </w:rPr>
              <w:t xml:space="preserve">getting </w:t>
            </w:r>
            <w:r>
              <w:rPr>
                <w:szCs w:val="20"/>
              </w:rPr>
              <w:t xml:space="preserve">out to providers and DHBs later than planned. </w:t>
            </w:r>
          </w:p>
          <w:p w14:paraId="3D856492" w14:textId="370F9C49" w:rsidR="00336D36" w:rsidRDefault="00336D36" w:rsidP="0066794F">
            <w:pPr>
              <w:cnfStyle w:val="000000000000" w:firstRow="0" w:lastRow="0" w:firstColumn="0" w:lastColumn="0" w:oddVBand="0" w:evenVBand="0" w:oddHBand="0" w:evenHBand="0" w:firstRowFirstColumn="0" w:firstRowLastColumn="0" w:lastRowFirstColumn="0" w:lastRowLastColumn="0"/>
              <w:rPr>
                <w:szCs w:val="20"/>
              </w:rPr>
            </w:pPr>
            <w:r>
              <w:rPr>
                <w:szCs w:val="20"/>
              </w:rPr>
              <w:t>S</w:t>
            </w:r>
            <w:r w:rsidRPr="001D50AD">
              <w:rPr>
                <w:szCs w:val="20"/>
              </w:rPr>
              <w:t xml:space="preserve">ome </w:t>
            </w:r>
            <w:r>
              <w:rPr>
                <w:szCs w:val="20"/>
              </w:rPr>
              <w:t>vaccination opportunities were lost</w:t>
            </w:r>
            <w:r w:rsidR="00B271FD">
              <w:rPr>
                <w:szCs w:val="20"/>
              </w:rPr>
              <w:t xml:space="preserve">, for example a </w:t>
            </w:r>
            <w:r w:rsidR="00B271FD">
              <w:rPr>
                <w:szCs w:val="20"/>
              </w:rPr>
              <w:lastRenderedPageBreak/>
              <w:t>possible</w:t>
            </w:r>
            <w:r>
              <w:rPr>
                <w:szCs w:val="20"/>
              </w:rPr>
              <w:t xml:space="preserve"> combined approach with COVID-19 testing or COVID-19 whānau outreach.</w:t>
            </w:r>
          </w:p>
          <w:p w14:paraId="5E2B083D" w14:textId="2FF96568" w:rsidR="00336D36" w:rsidRPr="001D50AD" w:rsidRDefault="00336D36" w:rsidP="0066794F">
            <w:pPr>
              <w:cnfStyle w:val="000000000000" w:firstRow="0" w:lastRow="0" w:firstColumn="0" w:lastColumn="0" w:oddVBand="0" w:evenVBand="0" w:oddHBand="0" w:evenHBand="0" w:firstRowFirstColumn="0" w:firstRowLastColumn="0" w:lastRowFirstColumn="0" w:lastRowLastColumn="0"/>
              <w:rPr>
                <w:szCs w:val="20"/>
              </w:rPr>
            </w:pPr>
            <w:r>
              <w:rPr>
                <w:szCs w:val="20"/>
              </w:rPr>
              <w:t xml:space="preserve">The Ministry is now in a better position to process and approve applications, develop </w:t>
            </w:r>
            <w:proofErr w:type="gramStart"/>
            <w:r>
              <w:rPr>
                <w:szCs w:val="20"/>
              </w:rPr>
              <w:t>contracts</w:t>
            </w:r>
            <w:proofErr w:type="gramEnd"/>
            <w:r>
              <w:rPr>
                <w:szCs w:val="20"/>
              </w:rPr>
              <w:t xml:space="preserve"> and distribute funding more quickly, because they know more about flu vaccination services and costs. </w:t>
            </w:r>
          </w:p>
        </w:tc>
        <w:tc>
          <w:tcPr>
            <w:tcW w:w="2964" w:type="dxa"/>
          </w:tcPr>
          <w:p w14:paraId="09DD0777" w14:textId="6D51393C" w:rsidR="00336D36" w:rsidRPr="003142AB" w:rsidRDefault="00336D36" w:rsidP="003142AB">
            <w:pPr>
              <w:cnfStyle w:val="000000000000" w:firstRow="0" w:lastRow="0" w:firstColumn="0" w:lastColumn="0" w:oddVBand="0" w:evenVBand="0" w:oddHBand="0" w:evenHBand="0" w:firstRowFirstColumn="0" w:firstRowLastColumn="0" w:lastRowFirstColumn="0" w:lastRowLastColumn="0"/>
            </w:pPr>
            <w:r w:rsidRPr="00EC6371">
              <w:lastRenderedPageBreak/>
              <w:t>Consolidate the system and process learning to further streamline assessment, contracting and distribution of funding.</w:t>
            </w:r>
          </w:p>
        </w:tc>
      </w:tr>
      <w:tr w:rsidR="00336D36" w:rsidRPr="00CF7738" w14:paraId="427DA091" w14:textId="77777777" w:rsidTr="0066794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8891" w:type="dxa"/>
            <w:gridSpan w:val="3"/>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A301AB7" w14:textId="55ABDABD" w:rsidR="00336D36" w:rsidRDefault="00336D36" w:rsidP="0066794F">
            <w:pPr>
              <w:rPr>
                <w:szCs w:val="20"/>
              </w:rPr>
            </w:pPr>
            <w:r>
              <w:rPr>
                <w:szCs w:val="20"/>
              </w:rPr>
              <w:t>Distribution of funding to providers and DHBs</w:t>
            </w:r>
          </w:p>
        </w:tc>
      </w:tr>
      <w:tr w:rsidR="00336D36" w:rsidRPr="00214E6D" w14:paraId="7604C9B5" w14:textId="77777777" w:rsidTr="0066794F">
        <w:trPr>
          <w:trHeight w:val="1225"/>
        </w:trPr>
        <w:tc>
          <w:tcPr>
            <w:cnfStyle w:val="001000000000" w:firstRow="0" w:lastRow="0" w:firstColumn="1" w:lastColumn="0" w:oddVBand="0" w:evenVBand="0" w:oddHBand="0" w:evenHBand="0" w:firstRowFirstColumn="0" w:firstRowLastColumn="0" w:lastRowFirstColumn="0" w:lastRowLastColumn="0"/>
            <w:tcW w:w="2963" w:type="dxa"/>
            <w:tcBorders>
              <w:right w:val="none" w:sz="0" w:space="0" w:color="auto"/>
            </w:tcBorders>
          </w:tcPr>
          <w:p w14:paraId="6885BC74" w14:textId="77777777" w:rsidR="00336D36" w:rsidRPr="001D50AD" w:rsidRDefault="00336D36" w:rsidP="0066794F">
            <w:pPr>
              <w:rPr>
                <w:b w:val="0"/>
                <w:bCs w:val="0"/>
                <w:szCs w:val="20"/>
              </w:rPr>
            </w:pPr>
            <w:r w:rsidRPr="001D50AD">
              <w:rPr>
                <w:b w:val="0"/>
                <w:bCs w:val="0"/>
                <w:szCs w:val="20"/>
              </w:rPr>
              <w:t xml:space="preserve">The </w:t>
            </w:r>
            <w:r>
              <w:rPr>
                <w:b w:val="0"/>
                <w:bCs w:val="0"/>
                <w:szCs w:val="20"/>
              </w:rPr>
              <w:t xml:space="preserve">MIVP </w:t>
            </w:r>
            <w:r w:rsidRPr="001D50AD">
              <w:rPr>
                <w:b w:val="0"/>
                <w:bCs w:val="0"/>
                <w:szCs w:val="20"/>
              </w:rPr>
              <w:t xml:space="preserve">contacts ran from I July to 30 September 2020. </w:t>
            </w:r>
          </w:p>
          <w:p w14:paraId="6D9BAFEA" w14:textId="77777777" w:rsidR="00336D36" w:rsidRPr="001D50AD" w:rsidRDefault="00336D36" w:rsidP="0066794F">
            <w:pPr>
              <w:rPr>
                <w:b w:val="0"/>
                <w:bCs w:val="0"/>
                <w:szCs w:val="20"/>
              </w:rPr>
            </w:pPr>
          </w:p>
        </w:tc>
        <w:tc>
          <w:tcPr>
            <w:tcW w:w="2964" w:type="dxa"/>
          </w:tcPr>
          <w:p w14:paraId="72CB2109" w14:textId="113379E3" w:rsidR="00336D36" w:rsidRDefault="00336D36" w:rsidP="0066794F">
            <w:pPr>
              <w:cnfStyle w:val="000000000000" w:firstRow="0" w:lastRow="0" w:firstColumn="0" w:lastColumn="0" w:oddVBand="0" w:evenVBand="0" w:oddHBand="0" w:evenHBand="0" w:firstRowFirstColumn="0" w:firstRowLastColumn="0" w:lastRowFirstColumn="0" w:lastRowLastColumn="0"/>
              <w:rPr>
                <w:szCs w:val="20"/>
              </w:rPr>
            </w:pPr>
            <w:r w:rsidRPr="001D50AD">
              <w:rPr>
                <w:szCs w:val="20"/>
              </w:rPr>
              <w:t>Providers and DHBs suggest that funding needs to get out earlier if</w:t>
            </w:r>
            <w:r>
              <w:rPr>
                <w:szCs w:val="20"/>
              </w:rPr>
              <w:t xml:space="preserve"> MIVP </w:t>
            </w:r>
            <w:r w:rsidRPr="001D50AD">
              <w:rPr>
                <w:szCs w:val="20"/>
              </w:rPr>
              <w:t>goes ahead in 2021</w:t>
            </w:r>
            <w:r>
              <w:rPr>
                <w:szCs w:val="20"/>
              </w:rPr>
              <w:t>. One provider reported starting their planning for</w:t>
            </w:r>
            <w:r w:rsidR="00AD6FD4">
              <w:rPr>
                <w:szCs w:val="20"/>
              </w:rPr>
              <w:t xml:space="preserve"> 2021</w:t>
            </w:r>
            <w:r>
              <w:rPr>
                <w:szCs w:val="20"/>
              </w:rPr>
              <w:t xml:space="preserve"> flu vaccinations in </w:t>
            </w:r>
            <w:r w:rsidRPr="001D50AD">
              <w:rPr>
                <w:szCs w:val="20"/>
              </w:rPr>
              <w:t>November</w:t>
            </w:r>
            <w:r>
              <w:rPr>
                <w:szCs w:val="20"/>
              </w:rPr>
              <w:t xml:space="preserve"> or </w:t>
            </w:r>
            <w:r w:rsidRPr="001D50AD">
              <w:rPr>
                <w:szCs w:val="20"/>
              </w:rPr>
              <w:t>December 2020.</w:t>
            </w:r>
          </w:p>
          <w:p w14:paraId="08B894EE" w14:textId="44008558" w:rsidR="00336D36" w:rsidRPr="001D50AD" w:rsidRDefault="00336D36" w:rsidP="00336D36">
            <w:pPr>
              <w:cnfStyle w:val="000000000000" w:firstRow="0" w:lastRow="0" w:firstColumn="0" w:lastColumn="0" w:oddVBand="0" w:evenVBand="0" w:oddHBand="0" w:evenHBand="0" w:firstRowFirstColumn="0" w:firstRowLastColumn="0" w:lastRowFirstColumn="0" w:lastRowLastColumn="0"/>
              <w:rPr>
                <w:szCs w:val="20"/>
              </w:rPr>
            </w:pPr>
            <w:r>
              <w:rPr>
                <w:szCs w:val="20"/>
              </w:rPr>
              <w:t xml:space="preserve">Confirming whether MIVP will run again in 2021 </w:t>
            </w:r>
            <w:r w:rsidR="00AD6FD4">
              <w:rPr>
                <w:szCs w:val="20"/>
              </w:rPr>
              <w:t xml:space="preserve">in a timely way would </w:t>
            </w:r>
            <w:r w:rsidRPr="00336D36">
              <w:rPr>
                <w:szCs w:val="20"/>
              </w:rPr>
              <w:t xml:space="preserve">allow for </w:t>
            </w:r>
            <w:r>
              <w:rPr>
                <w:szCs w:val="20"/>
              </w:rPr>
              <w:t xml:space="preserve">improved </w:t>
            </w:r>
            <w:r w:rsidRPr="00336D36">
              <w:rPr>
                <w:szCs w:val="20"/>
              </w:rPr>
              <w:t>planning</w:t>
            </w:r>
            <w:r w:rsidR="00AD6FD4">
              <w:rPr>
                <w:szCs w:val="20"/>
              </w:rPr>
              <w:t xml:space="preserve"> and</w:t>
            </w:r>
            <w:r w:rsidRPr="00336D36">
              <w:rPr>
                <w:szCs w:val="20"/>
              </w:rPr>
              <w:t xml:space="preserve"> sharing of ideas </w:t>
            </w:r>
            <w:r>
              <w:rPr>
                <w:szCs w:val="20"/>
              </w:rPr>
              <w:t xml:space="preserve">between providers and between DHBs, </w:t>
            </w:r>
            <w:r w:rsidR="00AD6FD4">
              <w:rPr>
                <w:szCs w:val="20"/>
              </w:rPr>
              <w:t xml:space="preserve">and it would </w:t>
            </w:r>
            <w:r>
              <w:rPr>
                <w:szCs w:val="20"/>
              </w:rPr>
              <w:t>support regional</w:t>
            </w:r>
            <w:r w:rsidR="00AD6FD4">
              <w:rPr>
                <w:szCs w:val="20"/>
              </w:rPr>
              <w:t>ly</w:t>
            </w:r>
            <w:r>
              <w:rPr>
                <w:szCs w:val="20"/>
              </w:rPr>
              <w:t xml:space="preserve"> coordinat</w:t>
            </w:r>
            <w:r w:rsidR="00AD6FD4">
              <w:rPr>
                <w:szCs w:val="20"/>
              </w:rPr>
              <w:t>ed</w:t>
            </w:r>
            <w:r>
              <w:rPr>
                <w:szCs w:val="20"/>
              </w:rPr>
              <w:t xml:space="preserve"> or collaborative applications.</w:t>
            </w:r>
          </w:p>
        </w:tc>
        <w:tc>
          <w:tcPr>
            <w:tcW w:w="2964" w:type="dxa"/>
          </w:tcPr>
          <w:p w14:paraId="237E9853" w14:textId="6308490C" w:rsidR="00336D36" w:rsidRPr="00EC6371" w:rsidRDefault="00336D36" w:rsidP="00336D36">
            <w:pPr>
              <w:cnfStyle w:val="000000000000" w:firstRow="0" w:lastRow="0" w:firstColumn="0" w:lastColumn="0" w:oddVBand="0" w:evenVBand="0" w:oddHBand="0" w:evenHBand="0" w:firstRowFirstColumn="0" w:firstRowLastColumn="0" w:lastRowFirstColumn="0" w:lastRowLastColumn="0"/>
            </w:pPr>
            <w:r w:rsidRPr="00EC6371">
              <w:t>Look to get funding out to DHBs and providers as early as possible</w:t>
            </w:r>
            <w:r w:rsidR="00AD6FD4">
              <w:t>.</w:t>
            </w:r>
          </w:p>
          <w:p w14:paraId="31032CC2" w14:textId="02DA8004" w:rsidR="00336D36" w:rsidRPr="00336D36" w:rsidRDefault="00336D36" w:rsidP="00B14BA5">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Cs w:val="20"/>
              </w:rPr>
            </w:pPr>
            <w:r>
              <w:rPr>
                <w:i/>
                <w:iCs/>
                <w:sz w:val="18"/>
                <w:szCs w:val="18"/>
              </w:rPr>
              <w:t>Consider advising the sector as soon as possible – even in the absence of a detailed implementation plan – if MIVP funding will be available in 2021.</w:t>
            </w:r>
          </w:p>
          <w:p w14:paraId="6B4FD54A" w14:textId="4DF8830C" w:rsidR="00336D36" w:rsidRPr="00235461" w:rsidRDefault="00336D36" w:rsidP="00B14BA5">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Cs w:val="20"/>
              </w:rPr>
            </w:pPr>
            <w:r>
              <w:rPr>
                <w:i/>
                <w:iCs/>
                <w:sz w:val="18"/>
                <w:szCs w:val="18"/>
              </w:rPr>
              <w:t xml:space="preserve">Set realistic </w:t>
            </w:r>
            <w:r w:rsidRPr="00336D36">
              <w:rPr>
                <w:i/>
                <w:iCs/>
                <w:sz w:val="18"/>
                <w:szCs w:val="18"/>
              </w:rPr>
              <w:t>timeframes</w:t>
            </w:r>
            <w:r>
              <w:rPr>
                <w:i/>
                <w:iCs/>
                <w:sz w:val="18"/>
                <w:szCs w:val="18"/>
              </w:rPr>
              <w:t xml:space="preserve"> for each phase of the MIVP process – and communicate these to the sector</w:t>
            </w:r>
            <w:r w:rsidR="00235461">
              <w:rPr>
                <w:i/>
                <w:iCs/>
                <w:sz w:val="18"/>
                <w:szCs w:val="18"/>
              </w:rPr>
              <w:t>.</w:t>
            </w:r>
          </w:p>
          <w:p w14:paraId="700B212E" w14:textId="645C8F76" w:rsidR="00235461" w:rsidRPr="00336D36" w:rsidRDefault="00235461" w:rsidP="00B14BA5">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Cs w:val="20"/>
              </w:rPr>
            </w:pPr>
            <w:r>
              <w:rPr>
                <w:i/>
                <w:iCs/>
                <w:sz w:val="18"/>
                <w:szCs w:val="18"/>
              </w:rPr>
              <w:t>Ensure there is sufficient resource to meet the stated timeframes.</w:t>
            </w:r>
          </w:p>
        </w:tc>
      </w:tr>
      <w:tr w:rsidR="00336D36" w:rsidRPr="00CF7738" w14:paraId="173214FE" w14:textId="77777777" w:rsidTr="0066794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8891" w:type="dxa"/>
            <w:gridSpan w:val="3"/>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0BB2974" w14:textId="77777777" w:rsidR="00336D36" w:rsidRDefault="00336D36" w:rsidP="0066794F">
            <w:pPr>
              <w:rPr>
                <w:szCs w:val="20"/>
              </w:rPr>
            </w:pPr>
            <w:r>
              <w:rPr>
                <w:szCs w:val="20"/>
              </w:rPr>
              <w:t>Funding from some DHBs was slow to get out to providers</w:t>
            </w:r>
          </w:p>
        </w:tc>
      </w:tr>
      <w:tr w:rsidR="00336D36" w:rsidRPr="00214E6D" w14:paraId="673F683F" w14:textId="77777777" w:rsidTr="0066794F">
        <w:trPr>
          <w:trHeight w:val="766"/>
        </w:trPr>
        <w:tc>
          <w:tcPr>
            <w:cnfStyle w:val="001000000000" w:firstRow="0" w:lastRow="0" w:firstColumn="1" w:lastColumn="0" w:oddVBand="0" w:evenVBand="0" w:oddHBand="0" w:evenHBand="0" w:firstRowFirstColumn="0" w:firstRowLastColumn="0" w:lastRowFirstColumn="0" w:lastRowLastColumn="0"/>
            <w:tcW w:w="2963" w:type="dxa"/>
            <w:tcBorders>
              <w:right w:val="none" w:sz="0" w:space="0" w:color="auto"/>
            </w:tcBorders>
          </w:tcPr>
          <w:p w14:paraId="775C238B" w14:textId="77777777" w:rsidR="00336D36" w:rsidRPr="001D50AD" w:rsidRDefault="00336D36" w:rsidP="0066794F">
            <w:pPr>
              <w:rPr>
                <w:b w:val="0"/>
                <w:bCs w:val="0"/>
                <w:szCs w:val="20"/>
              </w:rPr>
            </w:pPr>
            <w:r w:rsidRPr="001D50AD">
              <w:rPr>
                <w:b w:val="0"/>
                <w:bCs w:val="0"/>
                <w:szCs w:val="20"/>
              </w:rPr>
              <w:t xml:space="preserve">Providers and DHBs said the Ministry </w:t>
            </w:r>
            <w:r>
              <w:rPr>
                <w:b w:val="0"/>
                <w:bCs w:val="0"/>
                <w:szCs w:val="20"/>
              </w:rPr>
              <w:t xml:space="preserve">MIVP </w:t>
            </w:r>
            <w:r w:rsidRPr="001D50AD">
              <w:rPr>
                <w:b w:val="0"/>
                <w:bCs w:val="0"/>
                <w:szCs w:val="20"/>
              </w:rPr>
              <w:t>applications</w:t>
            </w:r>
            <w:r>
              <w:rPr>
                <w:b w:val="0"/>
                <w:bCs w:val="0"/>
                <w:szCs w:val="20"/>
              </w:rPr>
              <w:t>, contracts and funding were timely (within the extended timeframes advised by the Ministry).</w:t>
            </w:r>
          </w:p>
        </w:tc>
        <w:tc>
          <w:tcPr>
            <w:tcW w:w="2964" w:type="dxa"/>
          </w:tcPr>
          <w:p w14:paraId="14A992A2" w14:textId="77777777" w:rsidR="00235461" w:rsidRDefault="00336D36" w:rsidP="0066794F">
            <w:pPr>
              <w:cnfStyle w:val="000000000000" w:firstRow="0" w:lastRow="0" w:firstColumn="0" w:lastColumn="0" w:oddVBand="0" w:evenVBand="0" w:oddHBand="0" w:evenHBand="0" w:firstRowFirstColumn="0" w:firstRowLastColumn="0" w:lastRowFirstColumn="0" w:lastRowLastColumn="0"/>
              <w:rPr>
                <w:szCs w:val="20"/>
              </w:rPr>
            </w:pPr>
            <w:r>
              <w:rPr>
                <w:szCs w:val="20"/>
              </w:rPr>
              <w:t xml:space="preserve">However, some DHBs were reported as </w:t>
            </w:r>
            <w:proofErr w:type="gramStart"/>
            <w:r>
              <w:rPr>
                <w:szCs w:val="20"/>
              </w:rPr>
              <w:t>very slow</w:t>
            </w:r>
            <w:proofErr w:type="gramEnd"/>
            <w:r>
              <w:rPr>
                <w:szCs w:val="20"/>
              </w:rPr>
              <w:t xml:space="preserve"> at developing contracts and getting funding out to providers, as late as August 2020 for one DHB. </w:t>
            </w:r>
          </w:p>
          <w:p w14:paraId="0568C178" w14:textId="77777777" w:rsidR="00770D49" w:rsidRDefault="00336D36" w:rsidP="0066794F">
            <w:pPr>
              <w:cnfStyle w:val="000000000000" w:firstRow="0" w:lastRow="0" w:firstColumn="0" w:lastColumn="0" w:oddVBand="0" w:evenVBand="0" w:oddHBand="0" w:evenHBand="0" w:firstRowFirstColumn="0" w:firstRowLastColumn="0" w:lastRowFirstColumn="0" w:lastRowLastColumn="0"/>
              <w:rPr>
                <w:szCs w:val="20"/>
              </w:rPr>
            </w:pPr>
            <w:r>
              <w:rPr>
                <w:szCs w:val="20"/>
              </w:rPr>
              <w:t>Some providers started their MIVP activities in advance of a contract or funding</w:t>
            </w:r>
            <w:r w:rsidR="00770D49">
              <w:rPr>
                <w:szCs w:val="20"/>
              </w:rPr>
              <w:t xml:space="preserve"> – and carried the financial burden until funding came through. </w:t>
            </w:r>
          </w:p>
          <w:p w14:paraId="24CC9272" w14:textId="5D2524AF" w:rsidR="00F718CC" w:rsidRPr="001D50AD" w:rsidRDefault="00770D49" w:rsidP="00770D49">
            <w:pPr>
              <w:cnfStyle w:val="000000000000" w:firstRow="0" w:lastRow="0" w:firstColumn="0" w:lastColumn="0" w:oddVBand="0" w:evenVBand="0" w:oddHBand="0" w:evenHBand="0" w:firstRowFirstColumn="0" w:firstRowLastColumn="0" w:lastRowFirstColumn="0" w:lastRowLastColumn="0"/>
              <w:rPr>
                <w:szCs w:val="20"/>
              </w:rPr>
            </w:pPr>
            <w:r>
              <w:rPr>
                <w:szCs w:val="20"/>
              </w:rPr>
              <w:t xml:space="preserve">Some </w:t>
            </w:r>
            <w:r w:rsidR="00336D36">
              <w:rPr>
                <w:szCs w:val="20"/>
              </w:rPr>
              <w:t xml:space="preserve">providers were not </w:t>
            </w:r>
            <w:proofErr w:type="gramStart"/>
            <w:r w:rsidR="00336D36">
              <w:rPr>
                <w:szCs w:val="20"/>
              </w:rPr>
              <w:t>in a position</w:t>
            </w:r>
            <w:proofErr w:type="gramEnd"/>
            <w:r w:rsidR="00336D36">
              <w:rPr>
                <w:szCs w:val="20"/>
              </w:rPr>
              <w:t xml:space="preserve"> to </w:t>
            </w:r>
            <w:r>
              <w:rPr>
                <w:szCs w:val="20"/>
              </w:rPr>
              <w:t xml:space="preserve">implement them MIVP activities and therefore </w:t>
            </w:r>
            <w:r w:rsidR="00336D36">
              <w:rPr>
                <w:szCs w:val="20"/>
              </w:rPr>
              <w:t>lost</w:t>
            </w:r>
            <w:r w:rsidR="00336D36" w:rsidRPr="001D50AD">
              <w:rPr>
                <w:szCs w:val="20"/>
              </w:rPr>
              <w:t xml:space="preserve"> </w:t>
            </w:r>
            <w:r w:rsidR="00336D36">
              <w:rPr>
                <w:szCs w:val="20"/>
              </w:rPr>
              <w:t xml:space="preserve">early vaccination </w:t>
            </w:r>
            <w:r w:rsidR="00336D36" w:rsidRPr="001D50AD">
              <w:rPr>
                <w:szCs w:val="20"/>
              </w:rPr>
              <w:t>opportunities</w:t>
            </w:r>
            <w:r>
              <w:rPr>
                <w:szCs w:val="20"/>
              </w:rPr>
              <w:t xml:space="preserve">. </w:t>
            </w:r>
          </w:p>
        </w:tc>
        <w:tc>
          <w:tcPr>
            <w:tcW w:w="2964" w:type="dxa"/>
          </w:tcPr>
          <w:p w14:paraId="03EA1C82" w14:textId="12713BE4" w:rsidR="00770D49" w:rsidRPr="00EC6371" w:rsidRDefault="00770D49" w:rsidP="00770D49">
            <w:pPr>
              <w:cnfStyle w:val="000000000000" w:firstRow="0" w:lastRow="0" w:firstColumn="0" w:lastColumn="0" w:oddVBand="0" w:evenVBand="0" w:oddHBand="0" w:evenHBand="0" w:firstRowFirstColumn="0" w:firstRowLastColumn="0" w:lastRowFirstColumn="0" w:lastRowLastColumn="0"/>
            </w:pPr>
            <w:r w:rsidRPr="00EC6371">
              <w:t>Consult with DHBs about how the Ministry can support them to develop contracts and getting funding out to providers in a timely manner.</w:t>
            </w:r>
          </w:p>
          <w:p w14:paraId="410A591B" w14:textId="5A7DC0C7" w:rsidR="00CB62BA" w:rsidRPr="00336D36" w:rsidRDefault="00F718CC" w:rsidP="00B14BA5">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Cs w:val="20"/>
              </w:rPr>
            </w:pPr>
            <w:r>
              <w:rPr>
                <w:i/>
                <w:iCs/>
                <w:sz w:val="18"/>
                <w:szCs w:val="18"/>
              </w:rPr>
              <w:t>Consider setting clear timing expectations for DHBs to contract with their MIVP providers</w:t>
            </w:r>
            <w:r w:rsidR="00AD6FD4">
              <w:rPr>
                <w:i/>
                <w:iCs/>
                <w:sz w:val="18"/>
                <w:szCs w:val="18"/>
              </w:rPr>
              <w:t>.</w:t>
            </w:r>
          </w:p>
          <w:p w14:paraId="7AF36A3C" w14:textId="77777777" w:rsidR="00336D36" w:rsidRPr="001D50AD" w:rsidRDefault="00336D36" w:rsidP="00F718CC">
            <w:pPr>
              <w:cnfStyle w:val="000000000000" w:firstRow="0" w:lastRow="0" w:firstColumn="0" w:lastColumn="0" w:oddVBand="0" w:evenVBand="0" w:oddHBand="0" w:evenHBand="0" w:firstRowFirstColumn="0" w:firstRowLastColumn="0" w:lastRowFirstColumn="0" w:lastRowLastColumn="0"/>
              <w:rPr>
                <w:szCs w:val="20"/>
              </w:rPr>
            </w:pPr>
          </w:p>
        </w:tc>
      </w:tr>
      <w:tr w:rsidR="00B67ED9" w:rsidRPr="00CF7738" w14:paraId="05CF77E5" w14:textId="77777777" w:rsidTr="0066794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8891" w:type="dxa"/>
            <w:gridSpan w:val="3"/>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14A98A9" w14:textId="72CCCD07" w:rsidR="00B67ED9" w:rsidRDefault="00B67ED9" w:rsidP="0066794F">
            <w:pPr>
              <w:rPr>
                <w:szCs w:val="20"/>
              </w:rPr>
            </w:pPr>
            <w:r>
              <w:rPr>
                <w:szCs w:val="20"/>
              </w:rPr>
              <w:t xml:space="preserve">Monitoring and reporting on MIVP progress, </w:t>
            </w:r>
            <w:proofErr w:type="gramStart"/>
            <w:r>
              <w:rPr>
                <w:szCs w:val="20"/>
              </w:rPr>
              <w:t>outcomes</w:t>
            </w:r>
            <w:proofErr w:type="gramEnd"/>
            <w:r>
              <w:rPr>
                <w:szCs w:val="20"/>
              </w:rPr>
              <w:t xml:space="preserve"> and impact</w:t>
            </w:r>
          </w:p>
        </w:tc>
      </w:tr>
      <w:tr w:rsidR="00B67ED9" w:rsidRPr="00B67ED9" w14:paraId="5A4E63B9" w14:textId="77777777" w:rsidTr="0066794F">
        <w:trPr>
          <w:trHeight w:val="766"/>
        </w:trPr>
        <w:tc>
          <w:tcPr>
            <w:cnfStyle w:val="001000000000" w:firstRow="0" w:lastRow="0" w:firstColumn="1" w:lastColumn="0" w:oddVBand="0" w:evenVBand="0" w:oddHBand="0" w:evenHBand="0" w:firstRowFirstColumn="0" w:firstRowLastColumn="0" w:lastRowFirstColumn="0" w:lastRowLastColumn="0"/>
            <w:tcW w:w="2963" w:type="dxa"/>
          </w:tcPr>
          <w:p w14:paraId="1181C766" w14:textId="73DCA3E2" w:rsidR="00B67ED9" w:rsidRPr="00B67ED9" w:rsidRDefault="00B67ED9" w:rsidP="00B67ED9">
            <w:pPr>
              <w:rPr>
                <w:b w:val="0"/>
                <w:bCs w:val="0"/>
                <w:szCs w:val="20"/>
              </w:rPr>
            </w:pPr>
            <w:r>
              <w:rPr>
                <w:b w:val="0"/>
                <w:bCs w:val="0"/>
                <w:szCs w:val="20"/>
              </w:rPr>
              <w:t>The MIVP online application for</w:t>
            </w:r>
            <w:r w:rsidR="009D4AA2">
              <w:rPr>
                <w:b w:val="0"/>
                <w:bCs w:val="0"/>
                <w:szCs w:val="20"/>
              </w:rPr>
              <w:t>m</w:t>
            </w:r>
            <w:r>
              <w:rPr>
                <w:b w:val="0"/>
                <w:bCs w:val="0"/>
                <w:szCs w:val="20"/>
              </w:rPr>
              <w:t xml:space="preserve"> provided good information </w:t>
            </w:r>
            <w:r>
              <w:rPr>
                <w:b w:val="0"/>
                <w:bCs w:val="0"/>
                <w:szCs w:val="20"/>
              </w:rPr>
              <w:lastRenderedPageBreak/>
              <w:t>about providers who applied directly and DHBs.</w:t>
            </w:r>
          </w:p>
          <w:p w14:paraId="6BE99C05" w14:textId="05DCB341" w:rsidR="00B67ED9" w:rsidRPr="00B67ED9" w:rsidRDefault="00B67ED9" w:rsidP="00B67ED9">
            <w:pPr>
              <w:rPr>
                <w:b w:val="0"/>
                <w:bCs w:val="0"/>
                <w:szCs w:val="20"/>
              </w:rPr>
            </w:pPr>
            <w:r>
              <w:rPr>
                <w:b w:val="0"/>
                <w:bCs w:val="0"/>
                <w:szCs w:val="20"/>
              </w:rPr>
              <w:t>The Ministry use</w:t>
            </w:r>
            <w:r w:rsidR="00F262D5">
              <w:rPr>
                <w:b w:val="0"/>
                <w:bCs w:val="0"/>
                <w:szCs w:val="20"/>
              </w:rPr>
              <w:t>s</w:t>
            </w:r>
            <w:r>
              <w:rPr>
                <w:b w:val="0"/>
                <w:bCs w:val="0"/>
                <w:szCs w:val="20"/>
              </w:rPr>
              <w:t xml:space="preserve"> NIR data to track </w:t>
            </w:r>
            <w:r w:rsidR="00F262D5">
              <w:rPr>
                <w:b w:val="0"/>
                <w:bCs w:val="0"/>
                <w:szCs w:val="20"/>
              </w:rPr>
              <w:t xml:space="preserve">all </w:t>
            </w:r>
            <w:r w:rsidR="00AD6FD4">
              <w:rPr>
                <w:b w:val="0"/>
                <w:bCs w:val="0"/>
                <w:szCs w:val="20"/>
              </w:rPr>
              <w:t xml:space="preserve">flu </w:t>
            </w:r>
            <w:r>
              <w:rPr>
                <w:b w:val="0"/>
                <w:bCs w:val="0"/>
                <w:szCs w:val="20"/>
              </w:rPr>
              <w:t>immunisation rates.</w:t>
            </w:r>
          </w:p>
        </w:tc>
        <w:tc>
          <w:tcPr>
            <w:tcW w:w="2964" w:type="dxa"/>
          </w:tcPr>
          <w:p w14:paraId="11653C91" w14:textId="76AFA450" w:rsidR="00B67ED9" w:rsidRDefault="00B67ED9" w:rsidP="00B67ED9">
            <w:pPr>
              <w:cnfStyle w:val="000000000000" w:firstRow="0" w:lastRow="0" w:firstColumn="0" w:lastColumn="0" w:oddVBand="0" w:evenVBand="0" w:oddHBand="0" w:evenHBand="0" w:firstRowFirstColumn="0" w:firstRowLastColumn="0" w:lastRowFirstColumn="0" w:lastRowLastColumn="0"/>
              <w:rPr>
                <w:szCs w:val="20"/>
              </w:rPr>
            </w:pPr>
            <w:r>
              <w:rPr>
                <w:szCs w:val="20"/>
              </w:rPr>
              <w:lastRenderedPageBreak/>
              <w:t xml:space="preserve">The list of providers who were funded as part of DHB applications was incomplete. Without this information it is not </w:t>
            </w:r>
            <w:r>
              <w:rPr>
                <w:szCs w:val="20"/>
              </w:rPr>
              <w:lastRenderedPageBreak/>
              <w:t>possible to accurately gauge and report on programme reach; or to elicit feedback from this group of providers.</w:t>
            </w:r>
          </w:p>
          <w:p w14:paraId="43F4E6A2" w14:textId="75501062" w:rsidR="00B67ED9" w:rsidRDefault="00B67ED9" w:rsidP="00B67ED9">
            <w:pPr>
              <w:cnfStyle w:val="000000000000" w:firstRow="0" w:lastRow="0" w:firstColumn="0" w:lastColumn="0" w:oddVBand="0" w:evenVBand="0" w:oddHBand="0" w:evenHBand="0" w:firstRowFirstColumn="0" w:firstRowLastColumn="0" w:lastRowFirstColumn="0" w:lastRowLastColumn="0"/>
              <w:rPr>
                <w:szCs w:val="20"/>
              </w:rPr>
            </w:pPr>
            <w:r>
              <w:rPr>
                <w:szCs w:val="20"/>
              </w:rPr>
              <w:t xml:space="preserve">NIR does not capture immunisation data by individual providers. This means it is not possible to clearly attribute MIVP administered vaccinations from those delivered by non- Māori non-Pacific organisations; and </w:t>
            </w:r>
            <w:proofErr w:type="gramStart"/>
            <w:r>
              <w:rPr>
                <w:szCs w:val="20"/>
              </w:rPr>
              <w:t>therefore</w:t>
            </w:r>
            <w:proofErr w:type="gramEnd"/>
            <w:r>
              <w:rPr>
                <w:szCs w:val="20"/>
              </w:rPr>
              <w:t xml:space="preserve"> the impact of MIVP.</w:t>
            </w:r>
          </w:p>
          <w:p w14:paraId="7C136BF1" w14:textId="775597B5" w:rsidR="00B67ED9" w:rsidRDefault="00B67ED9" w:rsidP="00B67ED9">
            <w:pPr>
              <w:cnfStyle w:val="000000000000" w:firstRow="0" w:lastRow="0" w:firstColumn="0" w:lastColumn="0" w:oddVBand="0" w:evenVBand="0" w:oddHBand="0" w:evenHBand="0" w:firstRowFirstColumn="0" w:firstRowLastColumn="0" w:lastRowFirstColumn="0" w:lastRowLastColumn="0"/>
              <w:rPr>
                <w:szCs w:val="20"/>
              </w:rPr>
            </w:pPr>
            <w:r>
              <w:rPr>
                <w:szCs w:val="20"/>
              </w:rPr>
              <w:t xml:space="preserve">Developing an online system to capture </w:t>
            </w:r>
            <w:r w:rsidRPr="00B67ED9">
              <w:rPr>
                <w:i/>
                <w:iCs/>
                <w:szCs w:val="20"/>
              </w:rPr>
              <w:t>total weekly immunisations</w:t>
            </w:r>
            <w:r>
              <w:rPr>
                <w:szCs w:val="20"/>
              </w:rPr>
              <w:t xml:space="preserve"> by providers would remedy this. As providers and DHBs are already entering this information into NIR, it will be important to keep the information required to the absolute minimum. </w:t>
            </w:r>
          </w:p>
        </w:tc>
        <w:tc>
          <w:tcPr>
            <w:tcW w:w="2964" w:type="dxa"/>
          </w:tcPr>
          <w:p w14:paraId="79C73411" w14:textId="6CFF3A33" w:rsidR="00B67ED9" w:rsidRPr="00EC6371" w:rsidRDefault="00B67ED9" w:rsidP="00B67ED9">
            <w:pPr>
              <w:cnfStyle w:val="000000000000" w:firstRow="0" w:lastRow="0" w:firstColumn="0" w:lastColumn="0" w:oddVBand="0" w:evenVBand="0" w:oddHBand="0" w:evenHBand="0" w:firstRowFirstColumn="0" w:firstRowLastColumn="0" w:lastRowFirstColumn="0" w:lastRowLastColumn="0"/>
            </w:pPr>
            <w:r w:rsidRPr="00EC6371">
              <w:lastRenderedPageBreak/>
              <w:t xml:space="preserve">Revise the MIPV data capture and provider/DHB reporting </w:t>
            </w:r>
            <w:r w:rsidRPr="00EC6371">
              <w:lastRenderedPageBreak/>
              <w:t>systems to improve attribution of MIVP funding to outcomes</w:t>
            </w:r>
            <w:r w:rsidR="00AD6FD4">
              <w:t>.</w:t>
            </w:r>
          </w:p>
          <w:p w14:paraId="6A255CE5" w14:textId="6FA24820" w:rsidR="00B67ED9" w:rsidRPr="00B67ED9" w:rsidRDefault="00B67ED9" w:rsidP="00B14BA5">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Cs w:val="20"/>
              </w:rPr>
            </w:pPr>
            <w:r>
              <w:rPr>
                <w:i/>
                <w:iCs/>
                <w:sz w:val="18"/>
                <w:szCs w:val="18"/>
              </w:rPr>
              <w:t xml:space="preserve">Consider revising the DHB application form to ensure they identify all of the providers who are part a collaborative </w:t>
            </w:r>
            <w:proofErr w:type="gramStart"/>
            <w:r>
              <w:rPr>
                <w:i/>
                <w:iCs/>
                <w:sz w:val="18"/>
                <w:szCs w:val="18"/>
              </w:rPr>
              <w:t>application</w:t>
            </w:r>
            <w:proofErr w:type="gramEnd"/>
          </w:p>
          <w:p w14:paraId="1020EDC5" w14:textId="166430AB" w:rsidR="00B67ED9" w:rsidRPr="00473C44" w:rsidRDefault="00B67ED9" w:rsidP="00B14BA5">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Cs w:val="20"/>
              </w:rPr>
            </w:pPr>
            <w:r>
              <w:rPr>
                <w:i/>
                <w:iCs/>
                <w:sz w:val="18"/>
                <w:szCs w:val="18"/>
              </w:rPr>
              <w:t>Consider requiring all providers to electronically provide the total number of immunisations completed on a weekly basis.</w:t>
            </w:r>
          </w:p>
        </w:tc>
      </w:tr>
    </w:tbl>
    <w:p w14:paraId="2F2F2081" w14:textId="77777777" w:rsidR="00336D36" w:rsidRDefault="00336D36">
      <w:pPr>
        <w:spacing w:after="160" w:line="259" w:lineRule="auto"/>
      </w:pPr>
      <w:bookmarkStart w:id="125" w:name="_Toc58347860"/>
    </w:p>
    <w:p w14:paraId="18ECD1F6" w14:textId="0783BB47" w:rsidR="00855C9E" w:rsidRDefault="00855C9E" w:rsidP="00855C9E">
      <w:pPr>
        <w:pStyle w:val="Heading2"/>
      </w:pPr>
      <w:bookmarkStart w:id="126" w:name="_Toc70763288"/>
      <w:r>
        <w:t>Dual funding model</w:t>
      </w:r>
      <w:bookmarkEnd w:id="125"/>
      <w:bookmarkEnd w:id="126"/>
    </w:p>
    <w:p w14:paraId="503F7C92" w14:textId="5119DEBE" w:rsidR="00855C9E" w:rsidRDefault="00855C9E" w:rsidP="00855C9E">
      <w:pPr>
        <w:pStyle w:val="BodyText"/>
      </w:pPr>
      <w:r>
        <w:t xml:space="preserve">The Ministry recognised that relational trust issues exist between some DHBs and providers. The risk was that without a dual funding model, the contracting process might lock out some providers. Losing </w:t>
      </w:r>
      <w:r w:rsidR="0015357C">
        <w:t>the</w:t>
      </w:r>
      <w:r>
        <w:t xml:space="preserve"> vaccination capacity </w:t>
      </w:r>
      <w:r w:rsidR="0015357C">
        <w:t xml:space="preserve">of those providers </w:t>
      </w:r>
      <w:r>
        <w:t xml:space="preserve">would directly impact on whānau and Māori communities’ ability to access flu vaccinations. Therefore, </w:t>
      </w:r>
      <w:r w:rsidR="00B87C51">
        <w:t xml:space="preserve">the </w:t>
      </w:r>
      <w:r>
        <w:t xml:space="preserve">MIVP dual funding model allowed providers to choose to apply directly to the Ministry for funding or to be part of a funding application with their DHB. The Ministry </w:t>
      </w:r>
      <w:proofErr w:type="gramStart"/>
      <w:r>
        <w:t>direct</w:t>
      </w:r>
      <w:r w:rsidR="00B87C51">
        <w:t>-</w:t>
      </w:r>
      <w:r>
        <w:t>funded</w:t>
      </w:r>
      <w:proofErr w:type="gramEnd"/>
      <w:r>
        <w:t xml:space="preserve"> 18 providers while another 40 providers were part of eight applications by DHBs. (See </w:t>
      </w:r>
      <w:r>
        <w:fldChar w:fldCharType="begin"/>
      </w:r>
      <w:r>
        <w:instrText xml:space="preserve"> REF _Ref58253808 \h  \* MERGEFORMAT </w:instrText>
      </w:r>
      <w:r>
        <w:fldChar w:fldCharType="separate"/>
      </w:r>
      <w:r w:rsidR="009B082D">
        <w:t xml:space="preserve">Table </w:t>
      </w:r>
      <w:r w:rsidR="009B082D">
        <w:rPr>
          <w:noProof/>
        </w:rPr>
        <w:t>1</w:t>
      </w:r>
      <w:r>
        <w:fldChar w:fldCharType="end"/>
      </w:r>
      <w:r>
        <w:t xml:space="preserve">, page </w:t>
      </w:r>
      <w:r>
        <w:fldChar w:fldCharType="begin"/>
      </w:r>
      <w:r>
        <w:instrText xml:space="preserve"> PAGEREF _Ref58259079 \h </w:instrText>
      </w:r>
      <w:r>
        <w:fldChar w:fldCharType="separate"/>
      </w:r>
      <w:r w:rsidR="000B6910">
        <w:rPr>
          <w:noProof/>
        </w:rPr>
        <w:t>12</w:t>
      </w:r>
      <w:r>
        <w:fldChar w:fldCharType="end"/>
      </w:r>
      <w:r>
        <w:t>).</w:t>
      </w:r>
    </w:p>
    <w:p w14:paraId="2E9ABB57" w14:textId="7A6243ED" w:rsidR="00855C9E" w:rsidRDefault="00855C9E" w:rsidP="00855C9E">
      <w:pPr>
        <w:pStyle w:val="BodyText"/>
      </w:pPr>
      <w:r>
        <w:t xml:space="preserve">There were four </w:t>
      </w:r>
      <w:r w:rsidR="0015357C">
        <w:t xml:space="preserve">additional </w:t>
      </w:r>
      <w:r>
        <w:t>reasons for the dual funding model. First</w:t>
      </w:r>
      <w:r w:rsidR="00B87C51">
        <w:t>ly</w:t>
      </w:r>
      <w:r>
        <w:t xml:space="preserve">, the funding aimed to get flu vaccination services into Māori communities as quickly as possible. Having two funding streams </w:t>
      </w:r>
      <w:r w:rsidR="0015357C">
        <w:t>provided two distribution channels</w:t>
      </w:r>
      <w:r>
        <w:t xml:space="preserve">. Also, DHB contracting processes are sometimes considered slow, and the Ministry wanted </w:t>
      </w:r>
      <w:r w:rsidR="00B87C51">
        <w:t xml:space="preserve">to be sure it would have </w:t>
      </w:r>
      <w:r>
        <w:t>quick option</w:t>
      </w:r>
      <w:r w:rsidR="001F4AE6">
        <w:t>s</w:t>
      </w:r>
      <w:r>
        <w:t>.</w:t>
      </w:r>
      <w:r w:rsidR="00235461">
        <w:t xml:space="preserve"> </w:t>
      </w:r>
      <w:r w:rsidR="00B87C51">
        <w:t>In the event, a</w:t>
      </w:r>
      <w:r w:rsidR="00235461">
        <w:t>s noted earlier, slow contracting processes by some DHB resulted in</w:t>
      </w:r>
      <w:r w:rsidR="00B87C51">
        <w:t xml:space="preserve"> some</w:t>
      </w:r>
      <w:r w:rsidR="00235461">
        <w:t xml:space="preserve"> lost vaccination opportunities </w:t>
      </w:r>
      <w:r w:rsidR="00770D49">
        <w:t>and some providers having to carry the costs until funding came through from their DHB.</w:t>
      </w:r>
      <w:r w:rsidR="00235461">
        <w:t xml:space="preserve"> For 2020 therefore, </w:t>
      </w:r>
      <w:r w:rsidR="00770D49">
        <w:t xml:space="preserve">this supports </w:t>
      </w:r>
      <w:r w:rsidR="00235461">
        <w:t xml:space="preserve">the </w:t>
      </w:r>
      <w:r w:rsidR="00770D49">
        <w:t xml:space="preserve">value </w:t>
      </w:r>
      <w:r w:rsidR="00235461">
        <w:t xml:space="preserve">of the dual funding approach </w:t>
      </w:r>
      <w:r w:rsidR="00B87C51">
        <w:rPr>
          <w:rFonts w:ascii="Courier New" w:hAnsi="Courier New" w:cs="Courier New"/>
        </w:rPr>
        <w:t>–</w:t>
      </w:r>
      <w:r w:rsidR="00770D49">
        <w:t xml:space="preserve"> </w:t>
      </w:r>
      <w:r w:rsidR="00235461">
        <w:t xml:space="preserve">and direct funding of providers. </w:t>
      </w:r>
    </w:p>
    <w:p w14:paraId="0111CB55" w14:textId="26D4D0BD" w:rsidR="00855C9E" w:rsidRDefault="00855C9E" w:rsidP="00855C9E">
      <w:pPr>
        <w:pStyle w:val="BodyText"/>
      </w:pPr>
      <w:r>
        <w:t>Second</w:t>
      </w:r>
      <w:r w:rsidR="00B87C51">
        <w:t>ly</w:t>
      </w:r>
      <w:r w:rsidR="00770D49">
        <w:t>,</w:t>
      </w:r>
      <w:r>
        <w:t xml:space="preserve"> the fund aimed to offer equal opportunities for DHBs and providers constraining neither by bureaucracy. The Ministry aimed to ensure its processes were fair, timely and efficient. Third</w:t>
      </w:r>
      <w:r w:rsidR="00B87C51">
        <w:t>ly</w:t>
      </w:r>
      <w:r>
        <w:t>, MIVP created an authorising environment for providers to innovate and develop their own ideas, without having to justify these to their DHB. Fourth</w:t>
      </w:r>
      <w:r w:rsidR="00B87C51">
        <w:t>ly</w:t>
      </w:r>
      <w:r>
        <w:t xml:space="preserve">, the Ministry recognised that not all providers feel respected and supported by DHBs. </w:t>
      </w:r>
    </w:p>
    <w:p w14:paraId="261DA6C6" w14:textId="3FBDAFB6" w:rsidR="00855C9E" w:rsidRPr="002C79C1" w:rsidRDefault="00855C9E" w:rsidP="00855C9E">
      <w:pPr>
        <w:pStyle w:val="BodyText"/>
      </w:pPr>
      <w:r>
        <w:t>The quality assurance process for direct</w:t>
      </w:r>
      <w:r w:rsidR="00B87C51">
        <w:t>-</w:t>
      </w:r>
      <w:r>
        <w:t>funded projects was that DHBs checked providers</w:t>
      </w:r>
      <w:r w:rsidR="00B87C51">
        <w:t>’</w:t>
      </w:r>
      <w:r>
        <w:t xml:space="preserve"> applications and then attested their capability to the Ministry. However, the assessment panel kept a right of review to revisit any DHB endorsements or lack thereof.</w:t>
      </w:r>
      <w:r w:rsidR="002C79C1">
        <w:t xml:space="preserve"> </w:t>
      </w:r>
      <w:r w:rsidR="002C79C1">
        <w:rPr>
          <w:rFonts w:eastAsia="Arial Nova Light" w:cs="Arial Nova Light"/>
          <w:szCs w:val="20"/>
        </w:rPr>
        <w:t>T</w:t>
      </w:r>
      <w:r w:rsidRPr="002C79C1">
        <w:rPr>
          <w:rFonts w:eastAsia="Arial Nova Light" w:cs="Arial Nova Light"/>
          <w:szCs w:val="20"/>
        </w:rPr>
        <w:t xml:space="preserve">here were </w:t>
      </w:r>
      <w:r w:rsidR="002C79C1">
        <w:rPr>
          <w:rFonts w:eastAsia="Arial Nova Light" w:cs="Arial Nova Light"/>
          <w:szCs w:val="20"/>
        </w:rPr>
        <w:t xml:space="preserve">a couple of </w:t>
      </w:r>
      <w:r w:rsidRPr="002C79C1">
        <w:rPr>
          <w:rFonts w:eastAsia="Arial Nova Light" w:cs="Arial Nova Light"/>
          <w:szCs w:val="20"/>
        </w:rPr>
        <w:t xml:space="preserve">applications where providers had </w:t>
      </w:r>
      <w:proofErr w:type="gramStart"/>
      <w:r w:rsidRPr="002C79C1">
        <w:rPr>
          <w:rFonts w:eastAsia="Arial Nova Light" w:cs="Arial Nova Light"/>
          <w:szCs w:val="20"/>
        </w:rPr>
        <w:t>signalled</w:t>
      </w:r>
      <w:proofErr w:type="gramEnd"/>
      <w:r w:rsidRPr="002C79C1">
        <w:rPr>
          <w:rFonts w:eastAsia="Arial Nova Light" w:cs="Arial Nova Light"/>
          <w:szCs w:val="20"/>
        </w:rPr>
        <w:t xml:space="preserve"> they had discussed their application with their DHB</w:t>
      </w:r>
      <w:r w:rsidR="00B87C51">
        <w:rPr>
          <w:rFonts w:eastAsia="Arial Nova Light" w:cs="Arial Nova Light"/>
          <w:szCs w:val="20"/>
        </w:rPr>
        <w:t>, yet</w:t>
      </w:r>
      <w:r w:rsidR="003551F4" w:rsidRPr="002C79C1">
        <w:rPr>
          <w:rFonts w:eastAsia="Arial Nova Light" w:cs="Arial Nova Light"/>
          <w:szCs w:val="20"/>
        </w:rPr>
        <w:t xml:space="preserve"> DHBs reported not being familiar </w:t>
      </w:r>
      <w:r w:rsidRPr="002C79C1">
        <w:rPr>
          <w:rFonts w:eastAsia="Arial Nova Light" w:cs="Arial Nova Light"/>
          <w:szCs w:val="20"/>
        </w:rPr>
        <w:t xml:space="preserve">with </w:t>
      </w:r>
      <w:r w:rsidR="003551F4" w:rsidRPr="002C79C1">
        <w:rPr>
          <w:rFonts w:eastAsia="Arial Nova Light" w:cs="Arial Nova Light"/>
          <w:szCs w:val="20"/>
        </w:rPr>
        <w:t>the application</w:t>
      </w:r>
      <w:r w:rsidRPr="002C79C1">
        <w:rPr>
          <w:rFonts w:eastAsia="Arial Nova Light" w:cs="Arial Nova Light"/>
          <w:szCs w:val="20"/>
        </w:rPr>
        <w:t xml:space="preserve">. </w:t>
      </w:r>
      <w:r w:rsidR="004D0569">
        <w:rPr>
          <w:rFonts w:eastAsia="Arial Nova Light" w:cs="Arial Nova Light"/>
          <w:szCs w:val="20"/>
        </w:rPr>
        <w:t xml:space="preserve">When this occurred, the </w:t>
      </w:r>
      <w:r w:rsidR="003551F4" w:rsidRPr="002C79C1">
        <w:rPr>
          <w:rFonts w:eastAsia="Arial Nova Light" w:cs="Arial Nova Light"/>
          <w:szCs w:val="20"/>
        </w:rPr>
        <w:t xml:space="preserve">Ministry </w:t>
      </w:r>
      <w:r w:rsidR="004D0569">
        <w:rPr>
          <w:rFonts w:eastAsia="Arial Nova Light" w:cs="Arial Nova Light"/>
          <w:szCs w:val="20"/>
        </w:rPr>
        <w:t xml:space="preserve">consulted </w:t>
      </w:r>
      <w:r w:rsidR="003551F4" w:rsidRPr="002C79C1">
        <w:rPr>
          <w:rFonts w:eastAsia="Arial Nova Light" w:cs="Arial Nova Light"/>
          <w:szCs w:val="20"/>
        </w:rPr>
        <w:t xml:space="preserve">with the </w:t>
      </w:r>
      <w:r w:rsidR="004D0569">
        <w:rPr>
          <w:rFonts w:eastAsia="Arial Nova Light" w:cs="Arial Nova Light"/>
          <w:szCs w:val="20"/>
        </w:rPr>
        <w:t>re</w:t>
      </w:r>
      <w:r w:rsidR="00B87C51">
        <w:rPr>
          <w:rFonts w:eastAsia="Arial Nova Light" w:cs="Arial Nova Light"/>
          <w:szCs w:val="20"/>
        </w:rPr>
        <w:t>levant</w:t>
      </w:r>
      <w:r w:rsidR="004D0569">
        <w:rPr>
          <w:rFonts w:eastAsia="Arial Nova Light" w:cs="Arial Nova Light"/>
          <w:szCs w:val="20"/>
        </w:rPr>
        <w:t xml:space="preserve"> </w:t>
      </w:r>
      <w:r w:rsidR="003551F4" w:rsidRPr="002C79C1">
        <w:rPr>
          <w:rFonts w:eastAsia="Arial Nova Light" w:cs="Arial Nova Light"/>
          <w:szCs w:val="20"/>
        </w:rPr>
        <w:t>DHB as part of the panel assessment process.</w:t>
      </w:r>
    </w:p>
    <w:p w14:paraId="1E9CD1F1" w14:textId="1BA8F654" w:rsidR="0053430E" w:rsidRDefault="0053430E" w:rsidP="0053430E">
      <w:pPr>
        <w:pStyle w:val="BodyText"/>
      </w:pPr>
      <w:r>
        <w:t>A</w:t>
      </w:r>
      <w:r w:rsidR="00B87C51">
        <w:t>t</w:t>
      </w:r>
      <w:r>
        <w:t xml:space="preserve"> the outset, the dual funding approach was not universally popular with DHBs. However, DHBs got on-board, accepting that they did not have an automatic monopoly on designing and approving </w:t>
      </w:r>
      <w:r>
        <w:lastRenderedPageBreak/>
        <w:t xml:space="preserve">funding and </w:t>
      </w:r>
      <w:r w:rsidR="00B87C51">
        <w:t xml:space="preserve">that they </w:t>
      </w:r>
      <w:r>
        <w:t xml:space="preserve">had to work differently with their providers. Post the implementation of MIVP in 2020, funding providers directly remains less popular with DHBs (see </w:t>
      </w:r>
      <w:r>
        <w:fldChar w:fldCharType="begin"/>
      </w:r>
      <w:r>
        <w:instrText xml:space="preserve"> REF _Ref61792548 \h </w:instrText>
      </w:r>
      <w:r>
        <w:fldChar w:fldCharType="separate"/>
      </w:r>
      <w:r w:rsidR="009B082D">
        <w:t xml:space="preserve">Figure </w:t>
      </w:r>
      <w:r w:rsidR="009B082D">
        <w:rPr>
          <w:noProof/>
        </w:rPr>
        <w:t>10</w:t>
      </w:r>
      <w:r>
        <w:fldChar w:fldCharType="end"/>
      </w:r>
      <w:r>
        <w:t>).</w:t>
      </w:r>
    </w:p>
    <w:p w14:paraId="012ED2DC" w14:textId="547863F2" w:rsidR="0053430E" w:rsidRPr="00D727A1" w:rsidRDefault="0053430E" w:rsidP="0053430E">
      <w:pPr>
        <w:pStyle w:val="Heading3"/>
      </w:pPr>
      <w:r w:rsidRPr="00FB515A">
        <w:t xml:space="preserve">Providers </w:t>
      </w:r>
      <w:r w:rsidR="00FB515A" w:rsidRPr="00FB515A">
        <w:t xml:space="preserve">more than DHBs </w:t>
      </w:r>
      <w:r w:rsidRPr="00FB515A">
        <w:t xml:space="preserve">thought the dual funding model was a good </w:t>
      </w:r>
      <w:proofErr w:type="gramStart"/>
      <w:r w:rsidRPr="00FB515A">
        <w:t>idea</w:t>
      </w:r>
      <w:proofErr w:type="gramEnd"/>
    </w:p>
    <w:p w14:paraId="7C5C0042" w14:textId="77777777" w:rsidR="0053430E" w:rsidRDefault="0053430E" w:rsidP="0053430E">
      <w:pPr>
        <w:pStyle w:val="BodyText"/>
      </w:pPr>
      <w:r>
        <w:t>In terms of applications, Providers and DHBs were asked whether allowing funding applications from DHBs and Māori providers was a good idea. Many (13/17) providers believed allowing funding applications from both DHBs and providers was a good idea. DHBs were less convinced, with only a few (3/17) indicating yes, to a high or moderate degree.</w:t>
      </w:r>
    </w:p>
    <w:p w14:paraId="7082E8F9" w14:textId="120DD59C" w:rsidR="0053430E" w:rsidRDefault="0053430E" w:rsidP="00900633">
      <w:pPr>
        <w:pStyle w:val="Caption"/>
      </w:pPr>
      <w:bookmarkStart w:id="127" w:name="_Ref61792548"/>
      <w:bookmarkStart w:id="128" w:name="_Toc62703582"/>
      <w:r>
        <w:t xml:space="preserve">Figure </w:t>
      </w:r>
      <w:r>
        <w:fldChar w:fldCharType="begin"/>
      </w:r>
      <w:r>
        <w:instrText>SEQ Figure \* ARABIC</w:instrText>
      </w:r>
      <w:r>
        <w:fldChar w:fldCharType="separate"/>
      </w:r>
      <w:r w:rsidR="009B082D">
        <w:rPr>
          <w:noProof/>
        </w:rPr>
        <w:t>10</w:t>
      </w:r>
      <w:r>
        <w:fldChar w:fldCharType="end"/>
      </w:r>
      <w:bookmarkEnd w:id="127"/>
      <w:r>
        <w:t>. The degree to which allowing funding applications from DHBs and providers was a good idea.</w:t>
      </w:r>
      <w:bookmarkEnd w:id="128"/>
    </w:p>
    <w:p w14:paraId="1DBA0C54" w14:textId="6EBABF69" w:rsidR="00F5606A" w:rsidRDefault="00F5606A" w:rsidP="0053430E">
      <w:pPr>
        <w:pStyle w:val="CommentText"/>
      </w:pPr>
      <w:r>
        <w:rPr>
          <w:noProof/>
        </w:rPr>
        <w:drawing>
          <wp:inline distT="0" distB="0" distL="0" distR="0" wp14:anchorId="58EB2C1A" wp14:editId="4BA4C8B2">
            <wp:extent cx="5217024" cy="2934269"/>
            <wp:effectExtent l="0" t="0" r="3175" b="0"/>
            <wp:docPr id="19" name="Picture 19" descr="Out of 16 DHB responses (2 chose not to respond) and 17 Provider responses (17 ineligible): Providers overwhelmingly believed allowing funding applications from both DHBs and providers was a good idea - 9 toa high degree, 4 to a moderate degree, and 1 to a limited degree (1 not at all, 2 don't know). In comparison, from DHBs 1 to a high degree, 2 to a moderate degree, 8 to a limited degree and 2 not at all (3 don't kn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Out of 16 DHB responses (2 chose not to respond) and 17 Provider responses (17 ineligible): Providers overwhelmingly believed allowing funding applications from both DHBs and providers was a good idea - 9 toa high degree, 4 to a moderate degree, and 1 to a limited degree (1 not at all, 2 don't know). In comparison, from DHBs 1 to a high degree, 2 to a moderate degree, 8 to a limited degree and 2 not at all (3 don't know)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3738" cy="2949294"/>
                    </a:xfrm>
                    <a:prstGeom prst="rect">
                      <a:avLst/>
                    </a:prstGeom>
                    <a:noFill/>
                  </pic:spPr>
                </pic:pic>
              </a:graphicData>
            </a:graphic>
          </wp:inline>
        </w:drawing>
      </w:r>
    </w:p>
    <w:p w14:paraId="5258FB16" w14:textId="77777777" w:rsidR="00837B50" w:rsidRDefault="00837B50" w:rsidP="00837B50">
      <w:pPr>
        <w:pStyle w:val="NoSpacing"/>
      </w:pPr>
    </w:p>
    <w:p w14:paraId="6ED64BDC" w14:textId="08F409CC" w:rsidR="00855C9E" w:rsidRDefault="00855C9E" w:rsidP="004D0569">
      <w:pPr>
        <w:pStyle w:val="BodyText"/>
        <w:rPr>
          <w:rFonts w:eastAsia="Arial Nova Light"/>
        </w:rPr>
      </w:pPr>
      <w:r w:rsidRPr="0088008B">
        <w:rPr>
          <w:rFonts w:eastAsia="Arial Nova Light"/>
        </w:rPr>
        <w:t xml:space="preserve">Some DHB and </w:t>
      </w:r>
      <w:r w:rsidRPr="003551F4">
        <w:rPr>
          <w:rFonts w:eastAsia="Arial Nova Light"/>
        </w:rPr>
        <w:t>provider</w:t>
      </w:r>
      <w:r w:rsidR="00B87C51">
        <w:rPr>
          <w:rFonts w:eastAsia="Arial Nova Light"/>
        </w:rPr>
        <w:t xml:space="preserve"> staff</w:t>
      </w:r>
      <w:r w:rsidRPr="003551F4">
        <w:rPr>
          <w:rFonts w:eastAsia="Arial Nova Light"/>
        </w:rPr>
        <w:t xml:space="preserve"> shared that there was confusion about eligibility to apply. On the one hand, many providers (16/1</w:t>
      </w:r>
      <w:r w:rsidR="003551F4" w:rsidRPr="003551F4">
        <w:rPr>
          <w:rFonts w:eastAsia="Arial Nova Light"/>
        </w:rPr>
        <w:t>9</w:t>
      </w:r>
      <w:r w:rsidRPr="003551F4">
        <w:rPr>
          <w:rFonts w:eastAsia="Arial Nova Light"/>
        </w:rPr>
        <w:t>) funded</w:t>
      </w:r>
      <w:r w:rsidRPr="0088008B">
        <w:rPr>
          <w:rFonts w:eastAsia="Arial Nova Light"/>
        </w:rPr>
        <w:t xml:space="preserve"> indirectly through their local DHB were not aware that they could have applied directly for funding. On the other hand, one direct</w:t>
      </w:r>
      <w:r w:rsidR="00B87C51">
        <w:rPr>
          <w:rFonts w:eastAsia="Arial Nova Light"/>
        </w:rPr>
        <w:t>-</w:t>
      </w:r>
      <w:r w:rsidRPr="0088008B">
        <w:rPr>
          <w:rFonts w:eastAsia="Arial Nova Light"/>
        </w:rPr>
        <w:t xml:space="preserve">funded provider told us </w:t>
      </w:r>
      <w:r>
        <w:rPr>
          <w:rFonts w:eastAsia="Arial Nova Light"/>
        </w:rPr>
        <w:t>a DHB</w:t>
      </w:r>
      <w:r w:rsidRPr="0088008B">
        <w:rPr>
          <w:rFonts w:eastAsia="Arial Nova Light"/>
        </w:rPr>
        <w:t xml:space="preserve"> invited t</w:t>
      </w:r>
      <w:r>
        <w:rPr>
          <w:rFonts w:eastAsia="Arial Nova Light"/>
        </w:rPr>
        <w:t>hem t</w:t>
      </w:r>
      <w:r w:rsidRPr="0088008B">
        <w:rPr>
          <w:rFonts w:eastAsia="Arial Nova Light"/>
        </w:rPr>
        <w:t>o collaborate</w:t>
      </w:r>
      <w:r w:rsidR="00B87C51">
        <w:rPr>
          <w:rFonts w:eastAsia="Arial Nova Light"/>
        </w:rPr>
        <w:t>, but t</w:t>
      </w:r>
      <w:r>
        <w:rPr>
          <w:rFonts w:eastAsia="Arial Nova Light"/>
        </w:rPr>
        <w:t xml:space="preserve">hey </w:t>
      </w:r>
      <w:r w:rsidRPr="0088008B">
        <w:rPr>
          <w:rFonts w:eastAsia="Arial Nova Light"/>
        </w:rPr>
        <w:t>had already prepared their own application a</w:t>
      </w:r>
      <w:r w:rsidR="00B87C51">
        <w:rPr>
          <w:rFonts w:eastAsia="Arial Nova Light"/>
        </w:rPr>
        <w:t>s they</w:t>
      </w:r>
      <w:r w:rsidRPr="0088008B">
        <w:rPr>
          <w:rFonts w:eastAsia="Arial Nova Light"/>
        </w:rPr>
        <w:t xml:space="preserve"> </w:t>
      </w:r>
      <w:r w:rsidR="00B87C51">
        <w:rPr>
          <w:rFonts w:eastAsia="Arial Nova Light"/>
        </w:rPr>
        <w:t>had been</w:t>
      </w:r>
      <w:r w:rsidR="00B87C51" w:rsidRPr="0088008B">
        <w:rPr>
          <w:rFonts w:eastAsia="Arial Nova Light"/>
        </w:rPr>
        <w:t xml:space="preserve"> </w:t>
      </w:r>
      <w:r w:rsidRPr="0088008B">
        <w:rPr>
          <w:rFonts w:eastAsia="Arial Nova Light"/>
        </w:rPr>
        <w:t>unaware that</w:t>
      </w:r>
      <w:r w:rsidR="004D0569">
        <w:rPr>
          <w:rFonts w:eastAsia="Arial Nova Light"/>
        </w:rPr>
        <w:t xml:space="preserve"> </w:t>
      </w:r>
      <w:r w:rsidRPr="0088008B">
        <w:rPr>
          <w:rFonts w:eastAsia="Arial Nova Light"/>
        </w:rPr>
        <w:t>funding was available for DHBs.</w:t>
      </w:r>
      <w:r>
        <w:rPr>
          <w:rFonts w:eastAsia="Arial Nova Light"/>
        </w:rPr>
        <w:t xml:space="preserve"> </w:t>
      </w:r>
    </w:p>
    <w:p w14:paraId="2E292A9D" w14:textId="34EA1F76" w:rsidR="00855C9E" w:rsidRDefault="00855C9E" w:rsidP="00855C9E">
      <w:pPr>
        <w:pStyle w:val="BodyText"/>
      </w:pPr>
      <w:r>
        <w:t>In practice</w:t>
      </w:r>
      <w:r w:rsidR="002C79C1">
        <w:t>,</w:t>
      </w:r>
      <w:r>
        <w:t xml:space="preserve"> having a dual funding model resulted in three funding and relationship platforms for engagement.</w:t>
      </w:r>
    </w:p>
    <w:p w14:paraId="7C548DE4" w14:textId="77777777" w:rsidR="00855C9E" w:rsidRPr="005152D5" w:rsidRDefault="00855C9E" w:rsidP="00855C9E">
      <w:pPr>
        <w:pStyle w:val="Heading3"/>
      </w:pPr>
      <w:r>
        <w:t xml:space="preserve">Platform </w:t>
      </w:r>
      <w:r w:rsidRPr="005152D5">
        <w:t xml:space="preserve">1: DHB did not apply </w:t>
      </w:r>
      <w:r>
        <w:t>for MIPV funding and the Ministry direct f</w:t>
      </w:r>
      <w:r w:rsidRPr="005152D5">
        <w:t xml:space="preserve">unded </w:t>
      </w:r>
      <w:proofErr w:type="gramStart"/>
      <w:r>
        <w:t>providers</w:t>
      </w:r>
      <w:proofErr w:type="gramEnd"/>
    </w:p>
    <w:p w14:paraId="52D46142" w14:textId="5226263F" w:rsidR="00855C9E" w:rsidRDefault="00855C9E" w:rsidP="00855C9E">
      <w:pPr>
        <w:pStyle w:val="BodyText"/>
      </w:pPr>
      <w:r>
        <w:t xml:space="preserve">For this approach, providers first knew they could apply for </w:t>
      </w:r>
      <w:r w:rsidR="00B87C51">
        <w:t xml:space="preserve">direct </w:t>
      </w:r>
      <w:r>
        <w:t xml:space="preserve">funding. </w:t>
      </w:r>
      <w:r w:rsidR="00B87C51">
        <w:t>T</w:t>
      </w:r>
      <w:r>
        <w:t xml:space="preserve">hey believed in their own capability to design and deliver a high-quality whānau service. </w:t>
      </w:r>
      <w:r w:rsidR="00B87C51">
        <w:t>T</w:t>
      </w:r>
      <w:r>
        <w:t>he DHB who did not apply for MIVP funding</w:t>
      </w:r>
      <w:r w:rsidR="004D0569">
        <w:t>,</w:t>
      </w:r>
      <w:r>
        <w:t xml:space="preserve"> supported their application.</w:t>
      </w:r>
    </w:p>
    <w:p w14:paraId="4006EE22" w14:textId="65372840" w:rsidR="006E4A1C" w:rsidRDefault="00855C9E" w:rsidP="006E4A1C">
      <w:pPr>
        <w:pStyle w:val="BodyText"/>
      </w:pPr>
      <w:r>
        <w:t xml:space="preserve">In some regions, strong, collaborative relationships </w:t>
      </w:r>
      <w:r w:rsidR="00B87C51">
        <w:t>betwe</w:t>
      </w:r>
      <w:r w:rsidR="00EC6371">
        <w:t>e</w:t>
      </w:r>
      <w:r w:rsidR="00B87C51">
        <w:t>n</w:t>
      </w:r>
      <w:r>
        <w:t xml:space="preserve"> Māori providers and iwi were already in place, and often long-standing. In one region, the positive relationship had been in place for more than a decade, and there </w:t>
      </w:r>
      <w:r w:rsidR="00B87C51">
        <w:t xml:space="preserve">was </w:t>
      </w:r>
      <w:r>
        <w:t>a shared understanding and expectations about roles, ways of working and sharing information. In this region, the DHB saw providers and provider leadership as highly capable, needing little on</w:t>
      </w:r>
      <w:r w:rsidR="00B87C51">
        <w:t>-</w:t>
      </w:r>
      <w:r>
        <w:t>the</w:t>
      </w:r>
      <w:r w:rsidR="00B87C51">
        <w:t>-</w:t>
      </w:r>
      <w:r>
        <w:t>ground or in</w:t>
      </w:r>
      <w:r w:rsidR="00B87C51">
        <w:t>-</w:t>
      </w:r>
      <w:r>
        <w:t>community support. The Māori leaders in the DHB fully supported the provider leading the MIVP local engagement.</w:t>
      </w:r>
    </w:p>
    <w:p w14:paraId="04F0A08B" w14:textId="12938968" w:rsidR="006E4A1C" w:rsidRPr="006E4A1C" w:rsidRDefault="006E4A1C" w:rsidP="00EC6371">
      <w:pPr>
        <w:pStyle w:val="QuoteSmallBlue"/>
      </w:pPr>
      <w:r w:rsidRPr="006E4A1C">
        <w:t xml:space="preserve">We have </w:t>
      </w:r>
      <w:proofErr w:type="gramStart"/>
      <w:r w:rsidRPr="006E4A1C">
        <w:t>a very good</w:t>
      </w:r>
      <w:proofErr w:type="gramEnd"/>
      <w:r w:rsidRPr="006E4A1C">
        <w:t xml:space="preserve"> relationship with Māori providers. And </w:t>
      </w:r>
      <w:proofErr w:type="gramStart"/>
      <w:r w:rsidRPr="006E4A1C">
        <w:t>so</w:t>
      </w:r>
      <w:proofErr w:type="gramEnd"/>
      <w:r w:rsidRPr="006E4A1C">
        <w:t xml:space="preserve"> when this RFP came out, there was no way that I could see other than funding should happen other than to go through the Māori provider channel… The risk you run I think is that </w:t>
      </w:r>
      <w:proofErr w:type="gramStart"/>
      <w:r w:rsidRPr="006E4A1C">
        <w:t>you’ve</w:t>
      </w:r>
      <w:proofErr w:type="gramEnd"/>
      <w:r w:rsidRPr="006E4A1C">
        <w:t xml:space="preserve"> got to be careful that you don’t blow out the provider</w:t>
      </w:r>
      <w:r w:rsidR="00B87C51">
        <w:t>, y</w:t>
      </w:r>
      <w:r w:rsidRPr="006E4A1C">
        <w:t>ou know</w:t>
      </w:r>
      <w:r w:rsidR="00B87C51">
        <w:t>,</w:t>
      </w:r>
      <w:r w:rsidRPr="006E4A1C">
        <w:t xml:space="preserve"> around their capability and capacity</w:t>
      </w:r>
      <w:r w:rsidR="00B62CF0">
        <w:t xml:space="preserve">. (DHB </w:t>
      </w:r>
      <w:r w:rsidR="00B87C51">
        <w:rPr>
          <w:rFonts w:ascii="Courier New" w:hAnsi="Courier New" w:cs="Courier New"/>
        </w:rPr>
        <w:t>–</w:t>
      </w:r>
      <w:r w:rsidR="00B87C51">
        <w:t xml:space="preserve"> </w:t>
      </w:r>
      <w:r w:rsidR="00B62CF0">
        <w:t>GM Māori)</w:t>
      </w:r>
    </w:p>
    <w:p w14:paraId="064170F2" w14:textId="77777777" w:rsidR="00855C9E" w:rsidRDefault="00855C9E" w:rsidP="00855C9E">
      <w:pPr>
        <w:pStyle w:val="BodyText"/>
      </w:pPr>
      <w:r>
        <w:lastRenderedPageBreak/>
        <w:t xml:space="preserve">Factors contributing to strong relationships included DHB Māori leadership perceptions that: </w:t>
      </w:r>
    </w:p>
    <w:p w14:paraId="1796AC0A" w14:textId="77777777" w:rsidR="00855C9E" w:rsidRDefault="00855C9E" w:rsidP="00B14BA5">
      <w:pPr>
        <w:pStyle w:val="Bullet"/>
        <w:numPr>
          <w:ilvl w:val="0"/>
          <w:numId w:val="5"/>
        </w:numPr>
      </w:pPr>
      <w:r>
        <w:t xml:space="preserve">providers were highly competent, had adept leadership and their autonomy should be </w:t>
      </w:r>
      <w:proofErr w:type="gramStart"/>
      <w:r>
        <w:t>encouraged</w:t>
      </w:r>
      <w:proofErr w:type="gramEnd"/>
      <w:r w:rsidRPr="000A38A2">
        <w:t xml:space="preserve"> </w:t>
      </w:r>
    </w:p>
    <w:p w14:paraId="0A52B0FC" w14:textId="77777777" w:rsidR="00855C9E" w:rsidRDefault="00855C9E" w:rsidP="00B14BA5">
      <w:pPr>
        <w:pStyle w:val="Bullet"/>
        <w:numPr>
          <w:ilvl w:val="0"/>
          <w:numId w:val="5"/>
        </w:numPr>
      </w:pPr>
      <w:r>
        <w:t xml:space="preserve">providers were best placed to work with </w:t>
      </w:r>
      <w:proofErr w:type="gramStart"/>
      <w:r>
        <w:t>whānau</w:t>
      </w:r>
      <w:proofErr w:type="gramEnd"/>
      <w:r>
        <w:t xml:space="preserve"> </w:t>
      </w:r>
    </w:p>
    <w:p w14:paraId="215C739D" w14:textId="6CE7E97C" w:rsidR="00855C9E" w:rsidRDefault="00B87C51" w:rsidP="00B14BA5">
      <w:pPr>
        <w:pStyle w:val="Bullet"/>
        <w:numPr>
          <w:ilvl w:val="0"/>
          <w:numId w:val="5"/>
        </w:numPr>
      </w:pPr>
      <w:r>
        <w:t xml:space="preserve">the </w:t>
      </w:r>
      <w:r w:rsidR="00855C9E">
        <w:t xml:space="preserve">DHB could best support this work by advocating for providers and whānau internally within the DHB and externally with other partner organisations such as PHOs. </w:t>
      </w:r>
    </w:p>
    <w:p w14:paraId="19205C38" w14:textId="60A78637" w:rsidR="00855C9E" w:rsidRDefault="00855C9E" w:rsidP="002C79C1">
      <w:pPr>
        <w:pStyle w:val="BodyText"/>
        <w:rPr>
          <w:rFonts w:eastAsia="Arial Nova Light"/>
        </w:rPr>
      </w:pPr>
      <w:r w:rsidRPr="002C79C1">
        <w:rPr>
          <w:rFonts w:eastAsia="Arial Nova Light"/>
        </w:rPr>
        <w:t xml:space="preserve">In some areas, direct funding to providers enabled capable and connected providers to do more of what they already knew worked and faster. However, the sense check of provider applications by DHBs was not enough to ensure collaboration and communication of approaches in all regions. </w:t>
      </w:r>
    </w:p>
    <w:p w14:paraId="097E90DC" w14:textId="47C39177" w:rsidR="00855C9E" w:rsidRPr="005152D5" w:rsidRDefault="00855C9E" w:rsidP="00855C9E">
      <w:pPr>
        <w:pStyle w:val="Heading3"/>
      </w:pPr>
      <w:r>
        <w:t>Platform 2</w:t>
      </w:r>
      <w:r w:rsidRPr="005152D5">
        <w:t xml:space="preserve">: DHB </w:t>
      </w:r>
      <w:r>
        <w:t xml:space="preserve">received MIPV funding and </w:t>
      </w:r>
      <w:r w:rsidRPr="005152D5">
        <w:t xml:space="preserve">Funded </w:t>
      </w:r>
      <w:proofErr w:type="gramStart"/>
      <w:r w:rsidRPr="005152D5">
        <w:t>Provider</w:t>
      </w:r>
      <w:r>
        <w:t>s</w:t>
      </w:r>
      <w:proofErr w:type="gramEnd"/>
    </w:p>
    <w:p w14:paraId="57880A75" w14:textId="37F8864D" w:rsidR="00855C9E" w:rsidRDefault="00855C9E" w:rsidP="00855C9E">
      <w:pPr>
        <w:pStyle w:val="BodyText"/>
      </w:pPr>
      <w:r w:rsidRPr="00C04202">
        <w:t xml:space="preserve">In this </w:t>
      </w:r>
      <w:r>
        <w:t>approach</w:t>
      </w:r>
      <w:r w:rsidRPr="00C04202">
        <w:t xml:space="preserve">, there are two relationship patterns. </w:t>
      </w:r>
      <w:r>
        <w:t>First</w:t>
      </w:r>
      <w:r w:rsidR="00B87C51">
        <w:t>ly</w:t>
      </w:r>
      <w:r>
        <w:t xml:space="preserve">, </w:t>
      </w:r>
      <w:r w:rsidRPr="00C04202">
        <w:t xml:space="preserve">providers choose to be part of the DHB MIVP application. They saw benefits in the DHB managing the contract, helping to coordinate resources across the region and better </w:t>
      </w:r>
      <w:r>
        <w:t xml:space="preserve">support and </w:t>
      </w:r>
      <w:r w:rsidRPr="00C04202">
        <w:t>connect providers to vaccination training, cold chain support and vaccine supply</w:t>
      </w:r>
      <w:r>
        <w:t>. Timing because of COVID-19 meant that some providers lacked the capacity to apply</w:t>
      </w:r>
      <w:r w:rsidR="00473C44">
        <w:t xml:space="preserve"> directly to the Ministry; prioritising </w:t>
      </w:r>
      <w:r>
        <w:t xml:space="preserve">offering support </w:t>
      </w:r>
      <w:r w:rsidR="00473C44">
        <w:t xml:space="preserve">to </w:t>
      </w:r>
      <w:r>
        <w:t xml:space="preserve">whānau and community. </w:t>
      </w:r>
    </w:p>
    <w:p w14:paraId="19060FBC" w14:textId="41E97E58" w:rsidR="00855C9E" w:rsidRDefault="00855C9E" w:rsidP="00473C44">
      <w:pPr>
        <w:pStyle w:val="BodyText"/>
        <w:rPr>
          <w:rFonts w:eastAsia="Arial Nova Light" w:cs="Arial Nova Light"/>
          <w:szCs w:val="20"/>
        </w:rPr>
      </w:pPr>
      <w:r>
        <w:t>In some regions, the way that DHBs approached their MIVP application supported developing new</w:t>
      </w:r>
      <w:r w:rsidR="00273816">
        <w:t xml:space="preserve"> relationships</w:t>
      </w:r>
      <w:r>
        <w:t xml:space="preserve"> or re-kindling past</w:t>
      </w:r>
      <w:r w:rsidR="00273816">
        <w:t xml:space="preserve"> one</w:t>
      </w:r>
      <w:r>
        <w:t xml:space="preserve">s. This included DHBs undertaking joint planning with providers, reflecting providers’ ideas in the </w:t>
      </w:r>
      <w:proofErr w:type="gramStart"/>
      <w:r>
        <w:t>application</w:t>
      </w:r>
      <w:proofErr w:type="gramEnd"/>
      <w:r>
        <w:t xml:space="preserve"> and submitting the application. Further, in </w:t>
      </w:r>
      <w:r>
        <w:rPr>
          <w:rFonts w:eastAsia="Arial Nova Light" w:cs="Arial Nova Light"/>
          <w:szCs w:val="20"/>
        </w:rPr>
        <w:t xml:space="preserve">some areas, direct funding to DHBs allowed them to act as coordinators of resources, </w:t>
      </w:r>
      <w:proofErr w:type="gramStart"/>
      <w:r>
        <w:rPr>
          <w:rFonts w:eastAsia="Arial Nova Light" w:cs="Arial Nova Light"/>
          <w:szCs w:val="20"/>
        </w:rPr>
        <w:t>efforts</w:t>
      </w:r>
      <w:proofErr w:type="gramEnd"/>
      <w:r>
        <w:rPr>
          <w:rFonts w:eastAsia="Arial Nova Light" w:cs="Arial Nova Light"/>
          <w:szCs w:val="20"/>
        </w:rPr>
        <w:t xml:space="preserve"> and data. In these regions, DHBs connected with providers, particularly those that needed added support. </w:t>
      </w:r>
    </w:p>
    <w:p w14:paraId="189661FC" w14:textId="35A0D979" w:rsidR="00855C9E" w:rsidRDefault="00855C9E" w:rsidP="00855C9E">
      <w:pPr>
        <w:pStyle w:val="BodyText"/>
      </w:pPr>
      <w:r>
        <w:t>Relationships between DHBs and providers were impacted by the need for DHBs to have control while providers sought autonomy. At times DHBs struggled with this</w:t>
      </w:r>
      <w:r w:rsidR="00273816">
        <w:t>,</w:t>
      </w:r>
      <w:r>
        <w:t xml:space="preserve"> given they are accountable to the Ministry for the use of MIVP </w:t>
      </w:r>
      <w:proofErr w:type="gramStart"/>
      <w:r>
        <w:t>funding</w:t>
      </w:r>
      <w:proofErr w:type="gramEnd"/>
      <w:r w:rsidR="00273816">
        <w:t xml:space="preserve"> but this needed to be </w:t>
      </w:r>
      <w:r>
        <w:t xml:space="preserve">balanced against the independence of providers. </w:t>
      </w:r>
    </w:p>
    <w:p w14:paraId="5C39CD59" w14:textId="3CAC8609" w:rsidR="00855C9E" w:rsidRDefault="00273816" w:rsidP="00855C9E">
      <w:pPr>
        <w:pStyle w:val="BodyText"/>
      </w:pPr>
      <w:r>
        <w:t>In an alternative pattern</w:t>
      </w:r>
      <w:r w:rsidR="00855C9E">
        <w:t>,</w:t>
      </w:r>
      <w:r>
        <w:t xml:space="preserve"> some</w:t>
      </w:r>
      <w:r w:rsidR="00855C9E">
        <w:t xml:space="preserve"> providers did not know that they could submit an MIVP application </w:t>
      </w:r>
      <w:r>
        <w:t xml:space="preserve">directly </w:t>
      </w:r>
      <w:r w:rsidR="00855C9E">
        <w:t xml:space="preserve">to the Ministry. </w:t>
      </w:r>
      <w:r w:rsidR="0053430E">
        <w:t xml:space="preserve">Some </w:t>
      </w:r>
      <w:r w:rsidR="00855C9E">
        <w:t xml:space="preserve">DHBs ‘automatically’ swept </w:t>
      </w:r>
      <w:r w:rsidR="0053430E">
        <w:t xml:space="preserve">providers </w:t>
      </w:r>
      <w:r w:rsidR="00855C9E">
        <w:t xml:space="preserve">into a contract. In this relationship scenario, sometimes DHBs meaningfully involved providers in developing the application and other times less so. While providers were appreciative of the funding and other support provided by the DHB, they expressed surprise to discover they could </w:t>
      </w:r>
      <w:proofErr w:type="gramStart"/>
      <w:r w:rsidR="00855C9E">
        <w:t>apply in their own right</w:t>
      </w:r>
      <w:proofErr w:type="gramEnd"/>
      <w:r w:rsidR="00855C9E">
        <w:t>.</w:t>
      </w:r>
    </w:p>
    <w:p w14:paraId="3087B024" w14:textId="77777777" w:rsidR="00855C9E" w:rsidRDefault="00855C9E" w:rsidP="00855C9E">
      <w:pPr>
        <w:pStyle w:val="BodyText"/>
      </w:pPr>
      <w:r>
        <w:t>This approach revolves around DHB control and sharing of information. One, where providers know they can apply directly to the Ministry for MIVP funding; and two where providers do not know they can apply to the Ministry. Both involve some level of engagement by providers.</w:t>
      </w:r>
    </w:p>
    <w:p w14:paraId="607D22A1" w14:textId="419EE65B" w:rsidR="00855C9E" w:rsidRDefault="00855C9E" w:rsidP="00855C9E">
      <w:pPr>
        <w:pStyle w:val="BodyText"/>
      </w:pPr>
      <w:r>
        <w:t>We asked providers in the survey, “</w:t>
      </w:r>
      <w:r w:rsidR="00273816">
        <w:t>D</w:t>
      </w:r>
      <w:r>
        <w:t xml:space="preserve">id you know it was possible to apply to the Ministry of Health for MIVP funding. Most (16/19) said no they did not know, a few (2/19) said </w:t>
      </w:r>
      <w:proofErr w:type="gramStart"/>
      <w:r>
        <w:t>yes</w:t>
      </w:r>
      <w:proofErr w:type="gramEnd"/>
      <w:r>
        <w:t xml:space="preserve"> they did know, and one person responded </w:t>
      </w:r>
      <w:r w:rsidR="00273816">
        <w:t>“</w:t>
      </w:r>
      <w:r>
        <w:t>don’t know</w:t>
      </w:r>
      <w:r w:rsidR="00273816">
        <w:t>”</w:t>
      </w:r>
      <w:r>
        <w:t xml:space="preserve"> to the question. Whether by omission or intent, it seems somewhat disingenuous for DHBs not to advise providers that they could apply direct. Trust could erode when providers found out about information not shared with them. This lack of transparency had the potential to undermine an</w:t>
      </w:r>
      <w:r w:rsidR="00716671">
        <w:t>y</w:t>
      </w:r>
      <w:r>
        <w:t xml:space="preserve"> relationship bonding that occurred.</w:t>
      </w:r>
    </w:p>
    <w:p w14:paraId="3BA65441" w14:textId="77777777" w:rsidR="00855C9E" w:rsidRPr="004F40D3" w:rsidRDefault="00855C9E" w:rsidP="00855C9E">
      <w:pPr>
        <w:pStyle w:val="Heading3"/>
      </w:pPr>
      <w:r>
        <w:t xml:space="preserve">Platform </w:t>
      </w:r>
      <w:r w:rsidRPr="004F40D3">
        <w:t xml:space="preserve">3: Direct/Ministry Funded Provider/s, DHB received MIPV </w:t>
      </w:r>
      <w:proofErr w:type="gramStart"/>
      <w:r w:rsidRPr="004F40D3">
        <w:t>funding</w:t>
      </w:r>
      <w:proofErr w:type="gramEnd"/>
    </w:p>
    <w:p w14:paraId="76FB0C50" w14:textId="430411CD" w:rsidR="00855C9E" w:rsidRDefault="00855C9E" w:rsidP="00855C9E">
      <w:pPr>
        <w:pStyle w:val="BodyText"/>
      </w:pPr>
      <w:r>
        <w:t xml:space="preserve">This approach combined both Model 1 </w:t>
      </w:r>
      <w:r w:rsidR="00273816">
        <w:t xml:space="preserve">where </w:t>
      </w:r>
      <w:r>
        <w:t xml:space="preserve">providers </w:t>
      </w:r>
      <w:r w:rsidR="00C71AF8">
        <w:t xml:space="preserve">applied and were funded by </w:t>
      </w:r>
      <w:r>
        <w:t>Ministry and Model 2, where DHBs were the applicant and then funded providers who were part of their application.</w:t>
      </w:r>
    </w:p>
    <w:p w14:paraId="4F0C6E2C" w14:textId="77777777" w:rsidR="00855C9E" w:rsidRDefault="00855C9E" w:rsidP="00855C9E">
      <w:pPr>
        <w:pStyle w:val="Heading2"/>
      </w:pPr>
      <w:bookmarkStart w:id="129" w:name="_Toc58347863"/>
      <w:bookmarkStart w:id="130" w:name="_Toc70763289"/>
      <w:r>
        <w:t>Building relationships between DHBs and providers and within DHBs</w:t>
      </w:r>
      <w:bookmarkEnd w:id="129"/>
      <w:bookmarkEnd w:id="130"/>
    </w:p>
    <w:p w14:paraId="2AEB7D08" w14:textId="77777777" w:rsidR="00855C9E" w:rsidRDefault="00855C9E" w:rsidP="00855C9E">
      <w:pPr>
        <w:pStyle w:val="BodyText"/>
      </w:pPr>
      <w:r>
        <w:t xml:space="preserve">The Ministry considered relationships </w:t>
      </w:r>
      <w:r w:rsidRPr="001D433A">
        <w:t>a</w:t>
      </w:r>
      <w:r>
        <w:t>s</w:t>
      </w:r>
      <w:r w:rsidRPr="001D433A">
        <w:t xml:space="preserve"> </w:t>
      </w:r>
      <w:r>
        <w:t xml:space="preserve">a </w:t>
      </w:r>
      <w:r w:rsidRPr="001D433A">
        <w:t xml:space="preserve">critical aspect of MIVP, </w:t>
      </w:r>
      <w:r>
        <w:t xml:space="preserve">both </w:t>
      </w:r>
      <w:r w:rsidRPr="001D433A">
        <w:t xml:space="preserve">as </w:t>
      </w:r>
      <w:r>
        <w:t xml:space="preserve">an </w:t>
      </w:r>
      <w:r w:rsidRPr="001D433A">
        <w:t xml:space="preserve">enabler and </w:t>
      </w:r>
      <w:r>
        <w:t xml:space="preserve">as an </w:t>
      </w:r>
      <w:r w:rsidRPr="001D433A">
        <w:t>outcome</w:t>
      </w:r>
      <w:r>
        <w:t xml:space="preserve">. The </w:t>
      </w:r>
      <w:r w:rsidRPr="00394C71">
        <w:t xml:space="preserve">Ministry </w:t>
      </w:r>
      <w:r>
        <w:t xml:space="preserve">envisaged </w:t>
      </w:r>
      <w:r w:rsidRPr="00394C71">
        <w:t>that</w:t>
      </w:r>
      <w:r>
        <w:t xml:space="preserve"> MIVP would help strengthen DHB relationships with </w:t>
      </w:r>
      <w:r w:rsidRPr="00394C71">
        <w:t>providers</w:t>
      </w:r>
      <w:r>
        <w:t>, within</w:t>
      </w:r>
      <w:r w:rsidRPr="00394C71">
        <w:t xml:space="preserve"> DHBs</w:t>
      </w:r>
      <w:r>
        <w:t xml:space="preserve"> and </w:t>
      </w:r>
      <w:r w:rsidRPr="00394C71">
        <w:t>across</w:t>
      </w:r>
      <w:r>
        <w:t xml:space="preserve"> DHBs</w:t>
      </w:r>
      <w:r w:rsidRPr="00394C71">
        <w:t xml:space="preserve">. </w:t>
      </w:r>
      <w:r>
        <w:t xml:space="preserve">To a lesser degree, the Ministry also assumed that MIVP would support relationships between providers. </w:t>
      </w:r>
    </w:p>
    <w:p w14:paraId="272856BA" w14:textId="77777777" w:rsidR="00855C9E" w:rsidRDefault="00855C9E" w:rsidP="00855C9E">
      <w:pPr>
        <w:pStyle w:val="BodyText"/>
      </w:pPr>
      <w:r>
        <w:lastRenderedPageBreak/>
        <w:t>The dual funding model means that for MIVP there are different combinations of relationships and inter-relationships.</w:t>
      </w:r>
    </w:p>
    <w:p w14:paraId="5193E799" w14:textId="364F811B" w:rsidR="00855C9E" w:rsidRDefault="00855C9E" w:rsidP="00B14BA5">
      <w:pPr>
        <w:pStyle w:val="BodyText"/>
        <w:numPr>
          <w:ilvl w:val="0"/>
          <w:numId w:val="7"/>
        </w:numPr>
      </w:pPr>
      <w:r>
        <w:t>DHB–DHB funded provider</w:t>
      </w:r>
    </w:p>
    <w:p w14:paraId="3228C41B" w14:textId="4B9157FC" w:rsidR="00855C9E" w:rsidRDefault="00855C9E" w:rsidP="00B14BA5">
      <w:pPr>
        <w:pStyle w:val="BodyText"/>
        <w:numPr>
          <w:ilvl w:val="0"/>
          <w:numId w:val="7"/>
        </w:numPr>
      </w:pPr>
      <w:r>
        <w:t>DHB–</w:t>
      </w:r>
      <w:r w:rsidR="00273816">
        <w:t>d</w:t>
      </w:r>
      <w:r>
        <w:t>irect (Ministry)</w:t>
      </w:r>
      <w:r w:rsidR="00273816">
        <w:t>-</w:t>
      </w:r>
      <w:r>
        <w:t>funded provider</w:t>
      </w:r>
    </w:p>
    <w:p w14:paraId="60F80C62" w14:textId="0A3C2A1E" w:rsidR="00855C9E" w:rsidRDefault="00855C9E" w:rsidP="00B14BA5">
      <w:pPr>
        <w:pStyle w:val="BodyText"/>
        <w:numPr>
          <w:ilvl w:val="0"/>
          <w:numId w:val="7"/>
        </w:numPr>
      </w:pPr>
      <w:r>
        <w:t>DHB–</w:t>
      </w:r>
      <w:r w:rsidR="00273816">
        <w:t>i</w:t>
      </w:r>
      <w:r>
        <w:t>nternal DHB relationships</w:t>
      </w:r>
    </w:p>
    <w:p w14:paraId="26FFFDDE" w14:textId="463C4D1C" w:rsidR="00855C9E" w:rsidRDefault="00855C9E" w:rsidP="00B14BA5">
      <w:pPr>
        <w:pStyle w:val="BodyText"/>
        <w:numPr>
          <w:ilvl w:val="0"/>
          <w:numId w:val="7"/>
        </w:numPr>
      </w:pPr>
      <w:r>
        <w:t>DHB–</w:t>
      </w:r>
      <w:r w:rsidR="00273816">
        <w:t>e</w:t>
      </w:r>
      <w:r>
        <w:t>xternal relationships</w:t>
      </w:r>
    </w:p>
    <w:p w14:paraId="45BB0790" w14:textId="159CB13D" w:rsidR="00855C9E" w:rsidRDefault="00855C9E" w:rsidP="00B14BA5">
      <w:pPr>
        <w:pStyle w:val="BodyText"/>
        <w:numPr>
          <w:ilvl w:val="0"/>
          <w:numId w:val="7"/>
        </w:numPr>
      </w:pPr>
      <w:r>
        <w:t>Provider–</w:t>
      </w:r>
      <w:r w:rsidR="00273816">
        <w:t>p</w:t>
      </w:r>
      <w:r>
        <w:t>rovider</w:t>
      </w:r>
    </w:p>
    <w:p w14:paraId="331DF7F4" w14:textId="7B1C3A80" w:rsidR="00855C9E" w:rsidRDefault="00855C9E" w:rsidP="00855C9E">
      <w:pPr>
        <w:pStyle w:val="BodyText"/>
      </w:pPr>
      <w:r>
        <w:t>Views were mixed about the extent relationships strengthened</w:t>
      </w:r>
      <w:r w:rsidR="00350653">
        <w:t>, as described in</w:t>
      </w:r>
      <w:r w:rsidR="00CF2A9D">
        <w:t xml:space="preserve"> </w:t>
      </w:r>
      <w:r w:rsidR="00CF2A9D">
        <w:fldChar w:fldCharType="begin"/>
      </w:r>
      <w:r w:rsidR="00CF2A9D">
        <w:instrText xml:space="preserve"> REF _Ref62702629 \h </w:instrText>
      </w:r>
      <w:r w:rsidR="00CF2A9D">
        <w:fldChar w:fldCharType="separate"/>
      </w:r>
      <w:r w:rsidR="009B082D">
        <w:t xml:space="preserve">Table </w:t>
      </w:r>
      <w:r w:rsidR="009B082D">
        <w:rPr>
          <w:noProof/>
        </w:rPr>
        <w:t>6</w:t>
      </w:r>
      <w:r w:rsidR="00CF2A9D">
        <w:fldChar w:fldCharType="end"/>
      </w:r>
      <w:r>
        <w:t>.</w:t>
      </w:r>
    </w:p>
    <w:p w14:paraId="1FBE20E9" w14:textId="03A0C577" w:rsidR="00855C9E" w:rsidRDefault="00855C9E" w:rsidP="00900633">
      <w:pPr>
        <w:pStyle w:val="Caption"/>
      </w:pPr>
      <w:bookmarkStart w:id="131" w:name="_Ref62702629"/>
      <w:bookmarkStart w:id="132" w:name="_Toc58387954"/>
      <w:bookmarkStart w:id="133" w:name="_Toc62703562"/>
      <w:bookmarkStart w:id="134" w:name="_Hlk59459023"/>
      <w:r>
        <w:t xml:space="preserve">Table </w:t>
      </w:r>
      <w:r>
        <w:fldChar w:fldCharType="begin"/>
      </w:r>
      <w:r>
        <w:instrText>SEQ Table \* ARABIC</w:instrText>
      </w:r>
      <w:r>
        <w:fldChar w:fldCharType="separate"/>
      </w:r>
      <w:r w:rsidR="009B082D">
        <w:rPr>
          <w:noProof/>
        </w:rPr>
        <w:t>6</w:t>
      </w:r>
      <w:r>
        <w:fldChar w:fldCharType="end"/>
      </w:r>
      <w:bookmarkEnd w:id="131"/>
      <w:r w:rsidR="00B757CC">
        <w:t>.</w:t>
      </w:r>
      <w:r>
        <w:t xml:space="preserve"> Perspectives on relationships between providers and DHBs</w:t>
      </w:r>
      <w:bookmarkEnd w:id="132"/>
      <w:bookmarkEnd w:id="133"/>
    </w:p>
    <w:tbl>
      <w:tblPr>
        <w:tblStyle w:val="ListTable3-Accent2"/>
        <w:tblW w:w="0" w:type="auto"/>
        <w:tblLook w:val="04A0" w:firstRow="1" w:lastRow="0" w:firstColumn="1" w:lastColumn="0" w:noHBand="0" w:noVBand="1"/>
      </w:tblPr>
      <w:tblGrid>
        <w:gridCol w:w="4173"/>
        <w:gridCol w:w="4174"/>
      </w:tblGrid>
      <w:tr w:rsidR="00855C9E" w:rsidRPr="000A38A2" w14:paraId="615DF2A2" w14:textId="77777777" w:rsidTr="00BF5E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73" w:type="dxa"/>
            <w:tcBorders>
              <w:top w:val="single" w:sz="4" w:space="0" w:color="auto"/>
              <w:left w:val="single" w:sz="4" w:space="0" w:color="auto"/>
              <w:bottom w:val="single" w:sz="4" w:space="0" w:color="auto"/>
            </w:tcBorders>
            <w:shd w:val="clear" w:color="auto" w:fill="212B5D" w:themeFill="accent1"/>
          </w:tcPr>
          <w:p w14:paraId="5C01593E" w14:textId="77777777" w:rsidR="00855C9E" w:rsidRPr="000A38A2" w:rsidRDefault="00855C9E" w:rsidP="00350653">
            <w:pPr>
              <w:pStyle w:val="BodyText"/>
              <w:numPr>
                <w:ilvl w:val="0"/>
                <w:numId w:val="0"/>
              </w:numPr>
            </w:pPr>
            <w:bookmarkStart w:id="135" w:name="SW0004"/>
            <w:bookmarkEnd w:id="134"/>
            <w:r w:rsidRPr="000A38A2">
              <w:t>On the one hand we heard about…</w:t>
            </w:r>
          </w:p>
        </w:tc>
        <w:tc>
          <w:tcPr>
            <w:tcW w:w="4174" w:type="dxa"/>
            <w:tcBorders>
              <w:top w:val="single" w:sz="4" w:space="0" w:color="auto"/>
              <w:bottom w:val="single" w:sz="4" w:space="0" w:color="auto"/>
              <w:right w:val="single" w:sz="4" w:space="0" w:color="auto"/>
            </w:tcBorders>
            <w:shd w:val="clear" w:color="auto" w:fill="212B5D" w:themeFill="accent1"/>
          </w:tcPr>
          <w:p w14:paraId="3AC98E1E" w14:textId="77777777" w:rsidR="00855C9E" w:rsidRPr="000A38A2" w:rsidRDefault="00855C9E" w:rsidP="00350653">
            <w:pPr>
              <w:pStyle w:val="BodyText"/>
              <w:numPr>
                <w:ilvl w:val="0"/>
                <w:numId w:val="0"/>
              </w:numPr>
              <w:cnfStyle w:val="100000000000" w:firstRow="1" w:lastRow="0" w:firstColumn="0" w:lastColumn="0" w:oddVBand="0" w:evenVBand="0" w:oddHBand="0" w:evenHBand="0" w:firstRowFirstColumn="0" w:firstRowLastColumn="0" w:lastRowFirstColumn="0" w:lastRowLastColumn="0"/>
            </w:pPr>
            <w:r w:rsidRPr="000A38A2">
              <w:t xml:space="preserve">On the other </w:t>
            </w:r>
            <w:proofErr w:type="gramStart"/>
            <w:r w:rsidRPr="000A38A2">
              <w:t>hand</w:t>
            </w:r>
            <w:proofErr w:type="gramEnd"/>
            <w:r w:rsidRPr="000A38A2">
              <w:t xml:space="preserve"> we heard about…</w:t>
            </w:r>
          </w:p>
        </w:tc>
      </w:tr>
      <w:tr w:rsidR="00855C9E" w:rsidRPr="000A38A2" w14:paraId="6CCDD7E8" w14:textId="77777777" w:rsidTr="00B7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3" w:type="dxa"/>
            <w:tcBorders>
              <w:top w:val="single" w:sz="4" w:space="0" w:color="auto"/>
              <w:left w:val="single" w:sz="4" w:space="0" w:color="auto"/>
              <w:bottom w:val="nil"/>
            </w:tcBorders>
          </w:tcPr>
          <w:p w14:paraId="6C32139B" w14:textId="2DCA655A" w:rsidR="00855C9E" w:rsidRPr="00630FC7" w:rsidRDefault="00855C9E" w:rsidP="00630FC7">
            <w:pPr>
              <w:spacing w:before="60" w:after="60"/>
              <w:rPr>
                <w:b w:val="0"/>
                <w:bCs w:val="0"/>
              </w:rPr>
            </w:pPr>
            <w:proofErr w:type="gramStart"/>
            <w:r w:rsidRPr="00630FC7">
              <w:rPr>
                <w:b w:val="0"/>
                <w:bCs w:val="0"/>
              </w:rPr>
              <w:t>Low</w:t>
            </w:r>
            <w:r w:rsidR="00273816">
              <w:rPr>
                <w:b w:val="0"/>
                <w:bCs w:val="0"/>
              </w:rPr>
              <w:t>-</w:t>
            </w:r>
            <w:r w:rsidRPr="00630FC7">
              <w:rPr>
                <w:b w:val="0"/>
                <w:bCs w:val="0"/>
              </w:rPr>
              <w:t>trust</w:t>
            </w:r>
            <w:proofErr w:type="gramEnd"/>
            <w:r w:rsidRPr="00630FC7">
              <w:rPr>
                <w:b w:val="0"/>
                <w:bCs w:val="0"/>
              </w:rPr>
              <w:t>, fragmented and strained relationships between DHBs and providers.</w:t>
            </w:r>
          </w:p>
        </w:tc>
        <w:tc>
          <w:tcPr>
            <w:tcW w:w="4174" w:type="dxa"/>
            <w:tcBorders>
              <w:top w:val="single" w:sz="4" w:space="0" w:color="auto"/>
              <w:left w:val="nil"/>
              <w:bottom w:val="nil"/>
              <w:right w:val="single" w:sz="4" w:space="0" w:color="auto"/>
            </w:tcBorders>
          </w:tcPr>
          <w:p w14:paraId="58270A95" w14:textId="489EE691" w:rsidR="00855C9E" w:rsidRPr="000A38A2" w:rsidRDefault="00855C9E" w:rsidP="00630FC7">
            <w:pPr>
              <w:spacing w:before="60" w:after="60"/>
              <w:cnfStyle w:val="000000100000" w:firstRow="0" w:lastRow="0" w:firstColumn="0" w:lastColumn="0" w:oddVBand="0" w:evenVBand="0" w:oddHBand="1" w:evenHBand="0" w:firstRowFirstColumn="0" w:firstRowLastColumn="0" w:lastRowFirstColumn="0" w:lastRowLastColumn="0"/>
            </w:pPr>
            <w:r w:rsidRPr="000A38A2">
              <w:t>High</w:t>
            </w:r>
            <w:r w:rsidR="00273816">
              <w:t>-</w:t>
            </w:r>
            <w:r w:rsidRPr="000A38A2">
              <w:t>trust relationships between providers and DHBs; and sometimes PHOs</w:t>
            </w:r>
            <w:r>
              <w:t>.</w:t>
            </w:r>
            <w:r w:rsidRPr="000A38A2">
              <w:t xml:space="preserve"> </w:t>
            </w:r>
          </w:p>
        </w:tc>
      </w:tr>
      <w:tr w:rsidR="00855C9E" w:rsidRPr="000A38A2" w14:paraId="27AD40F0" w14:textId="77777777" w:rsidTr="00B75433">
        <w:tc>
          <w:tcPr>
            <w:cnfStyle w:val="001000000000" w:firstRow="0" w:lastRow="0" w:firstColumn="1" w:lastColumn="0" w:oddVBand="0" w:evenVBand="0" w:oddHBand="0" w:evenHBand="0" w:firstRowFirstColumn="0" w:firstRowLastColumn="0" w:lastRowFirstColumn="0" w:lastRowLastColumn="0"/>
            <w:tcW w:w="4173" w:type="dxa"/>
            <w:tcBorders>
              <w:top w:val="single" w:sz="4" w:space="0" w:color="000000" w:themeColor="text1"/>
              <w:left w:val="single" w:sz="4" w:space="0" w:color="auto"/>
              <w:bottom w:val="single" w:sz="4" w:space="0" w:color="000000" w:themeColor="text1"/>
            </w:tcBorders>
          </w:tcPr>
          <w:p w14:paraId="2FE0E10F" w14:textId="38E9BF47" w:rsidR="00855C9E" w:rsidRPr="00630FC7" w:rsidRDefault="00855C9E" w:rsidP="00630FC7">
            <w:pPr>
              <w:spacing w:before="60" w:after="60"/>
              <w:rPr>
                <w:b w:val="0"/>
                <w:bCs w:val="0"/>
              </w:rPr>
            </w:pPr>
            <w:r w:rsidRPr="00630FC7">
              <w:rPr>
                <w:b w:val="0"/>
                <w:bCs w:val="0"/>
              </w:rPr>
              <w:t xml:space="preserve">Providers waited to deliver MIVP services </w:t>
            </w:r>
            <w:r w:rsidR="004D0569">
              <w:rPr>
                <w:b w:val="0"/>
                <w:bCs w:val="0"/>
              </w:rPr>
              <w:t>until</w:t>
            </w:r>
            <w:r w:rsidRPr="00630FC7">
              <w:rPr>
                <w:b w:val="0"/>
                <w:bCs w:val="0"/>
              </w:rPr>
              <w:t xml:space="preserve"> they </w:t>
            </w:r>
            <w:r w:rsidR="004D0569">
              <w:rPr>
                <w:b w:val="0"/>
                <w:bCs w:val="0"/>
              </w:rPr>
              <w:t xml:space="preserve">had a </w:t>
            </w:r>
            <w:r w:rsidRPr="00630FC7">
              <w:rPr>
                <w:b w:val="0"/>
                <w:bCs w:val="0"/>
              </w:rPr>
              <w:t xml:space="preserve">signed contract and </w:t>
            </w:r>
            <w:r w:rsidR="004D0569">
              <w:rPr>
                <w:b w:val="0"/>
                <w:bCs w:val="0"/>
              </w:rPr>
              <w:t xml:space="preserve">had </w:t>
            </w:r>
            <w:r w:rsidRPr="00630FC7">
              <w:rPr>
                <w:b w:val="0"/>
                <w:bCs w:val="0"/>
              </w:rPr>
              <w:t xml:space="preserve">received funding. </w:t>
            </w:r>
          </w:p>
        </w:tc>
        <w:tc>
          <w:tcPr>
            <w:tcW w:w="4174" w:type="dxa"/>
            <w:tcBorders>
              <w:top w:val="single" w:sz="4" w:space="0" w:color="000000" w:themeColor="text1"/>
              <w:bottom w:val="single" w:sz="4" w:space="0" w:color="000000" w:themeColor="text1"/>
              <w:right w:val="single" w:sz="4" w:space="0" w:color="auto"/>
            </w:tcBorders>
          </w:tcPr>
          <w:p w14:paraId="6126C700" w14:textId="77777777" w:rsidR="00855C9E" w:rsidRPr="000A38A2" w:rsidRDefault="00855C9E" w:rsidP="00630FC7">
            <w:pPr>
              <w:spacing w:before="60" w:after="60"/>
              <w:cnfStyle w:val="000000000000" w:firstRow="0" w:lastRow="0" w:firstColumn="0" w:lastColumn="0" w:oddVBand="0" w:evenVBand="0" w:oddHBand="0" w:evenHBand="0" w:firstRowFirstColumn="0" w:firstRowLastColumn="0" w:lastRowFirstColumn="0" w:lastRowLastColumn="0"/>
            </w:pPr>
            <w:r w:rsidRPr="000A38A2">
              <w:t xml:space="preserve">Providers started delivering MIVP services well before </w:t>
            </w:r>
            <w:r>
              <w:t>receiving a</w:t>
            </w:r>
            <w:r w:rsidRPr="000A38A2">
              <w:t xml:space="preserve"> contract and funding</w:t>
            </w:r>
            <w:r>
              <w:t>.</w:t>
            </w:r>
          </w:p>
        </w:tc>
      </w:tr>
      <w:tr w:rsidR="00855C9E" w:rsidRPr="000A38A2" w14:paraId="127D5E9A" w14:textId="77777777" w:rsidTr="00B7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3" w:type="dxa"/>
            <w:tcBorders>
              <w:top w:val="single" w:sz="4" w:space="0" w:color="000000" w:themeColor="text1"/>
              <w:left w:val="single" w:sz="4" w:space="0" w:color="auto"/>
              <w:bottom w:val="single" w:sz="4" w:space="0" w:color="000000" w:themeColor="text1"/>
            </w:tcBorders>
          </w:tcPr>
          <w:p w14:paraId="3CA10D48" w14:textId="77777777" w:rsidR="00855C9E" w:rsidRPr="00630FC7" w:rsidRDefault="00855C9E" w:rsidP="00630FC7">
            <w:pPr>
              <w:spacing w:before="60" w:after="60"/>
              <w:rPr>
                <w:b w:val="0"/>
                <w:bCs w:val="0"/>
              </w:rPr>
            </w:pPr>
            <w:r w:rsidRPr="00630FC7">
              <w:rPr>
                <w:b w:val="0"/>
                <w:bCs w:val="0"/>
              </w:rPr>
              <w:t>Providers experienced a genuine, ongoing challenge to build and preserve capacity to vaccinate.</w:t>
            </w:r>
          </w:p>
        </w:tc>
        <w:tc>
          <w:tcPr>
            <w:tcW w:w="4174" w:type="dxa"/>
            <w:tcBorders>
              <w:top w:val="single" w:sz="4" w:space="0" w:color="000000" w:themeColor="text1"/>
              <w:bottom w:val="single" w:sz="4" w:space="0" w:color="000000" w:themeColor="text1"/>
              <w:right w:val="single" w:sz="4" w:space="0" w:color="auto"/>
            </w:tcBorders>
          </w:tcPr>
          <w:p w14:paraId="098751AF" w14:textId="234F6CF5" w:rsidR="00855C9E" w:rsidRPr="000A38A2" w:rsidRDefault="00855C9E" w:rsidP="00630FC7">
            <w:pPr>
              <w:spacing w:before="60" w:after="60"/>
              <w:cnfStyle w:val="000000100000" w:firstRow="0" w:lastRow="0" w:firstColumn="0" w:lastColumn="0" w:oddVBand="0" w:evenVBand="0" w:oddHBand="1" w:evenHBand="0" w:firstRowFirstColumn="0" w:firstRowLastColumn="0" w:lastRowFirstColumn="0" w:lastRowLastColumn="0"/>
            </w:pPr>
            <w:r w:rsidRPr="000A38A2">
              <w:t>DHBs suppor</w:t>
            </w:r>
            <w:r>
              <w:t>ted</w:t>
            </w:r>
            <w:r w:rsidRPr="000A38A2">
              <w:t xml:space="preserve"> providers to upskill their workforce including vaccination training and cold chain accreditation</w:t>
            </w:r>
            <w:r w:rsidR="00273816">
              <w:t>.</w:t>
            </w:r>
          </w:p>
          <w:p w14:paraId="275567D7" w14:textId="13001D59" w:rsidR="00855C9E" w:rsidRPr="000A38A2" w:rsidRDefault="00855C9E" w:rsidP="00630FC7">
            <w:pPr>
              <w:spacing w:before="60" w:after="60"/>
              <w:cnfStyle w:val="000000100000" w:firstRow="0" w:lastRow="0" w:firstColumn="0" w:lastColumn="0" w:oddVBand="0" w:evenVBand="0" w:oddHBand="1" w:evenHBand="0" w:firstRowFirstColumn="0" w:firstRowLastColumn="0" w:lastRowFirstColumn="0" w:lastRowLastColumn="0"/>
            </w:pPr>
            <w:r w:rsidRPr="000A38A2">
              <w:t>DHBs buil</w:t>
            </w:r>
            <w:r>
              <w:t>t</w:t>
            </w:r>
            <w:r w:rsidRPr="000A38A2">
              <w:t xml:space="preserve"> current and future vaccination capacity locally</w:t>
            </w:r>
            <w:r w:rsidR="00273816">
              <w:t>, such as</w:t>
            </w:r>
            <w:r w:rsidRPr="000A38A2">
              <w:t xml:space="preserve"> train</w:t>
            </w:r>
            <w:r>
              <w:t>ed</w:t>
            </w:r>
            <w:r w:rsidRPr="000A38A2">
              <w:t xml:space="preserve"> midwives and student nurses</w:t>
            </w:r>
            <w:r w:rsidR="00273816">
              <w:t>.</w:t>
            </w:r>
          </w:p>
        </w:tc>
      </w:tr>
      <w:tr w:rsidR="00855C9E" w:rsidRPr="000A38A2" w14:paraId="57F8DA35" w14:textId="77777777" w:rsidTr="00B75433">
        <w:tc>
          <w:tcPr>
            <w:cnfStyle w:val="001000000000" w:firstRow="0" w:lastRow="0" w:firstColumn="1" w:lastColumn="0" w:oddVBand="0" w:evenVBand="0" w:oddHBand="0" w:evenHBand="0" w:firstRowFirstColumn="0" w:firstRowLastColumn="0" w:lastRowFirstColumn="0" w:lastRowLastColumn="0"/>
            <w:tcW w:w="4173" w:type="dxa"/>
            <w:tcBorders>
              <w:top w:val="single" w:sz="4" w:space="0" w:color="000000" w:themeColor="text1"/>
              <w:left w:val="single" w:sz="4" w:space="0" w:color="auto"/>
              <w:bottom w:val="single" w:sz="4" w:space="0" w:color="000000" w:themeColor="text1"/>
            </w:tcBorders>
          </w:tcPr>
          <w:p w14:paraId="6EA2F5F6" w14:textId="77777777" w:rsidR="00855C9E" w:rsidRPr="00630FC7" w:rsidRDefault="00855C9E" w:rsidP="00350653">
            <w:pPr>
              <w:pStyle w:val="BodyText"/>
              <w:numPr>
                <w:ilvl w:val="0"/>
                <w:numId w:val="0"/>
              </w:numPr>
              <w:spacing w:before="60" w:after="60"/>
              <w:rPr>
                <w:b w:val="0"/>
                <w:bCs w:val="0"/>
              </w:rPr>
            </w:pPr>
            <w:r w:rsidRPr="00630FC7">
              <w:rPr>
                <w:b w:val="0"/>
                <w:bCs w:val="0"/>
              </w:rPr>
              <w:t xml:space="preserve">A belief that Māori providers </w:t>
            </w:r>
            <w:proofErr w:type="gramStart"/>
            <w:r w:rsidRPr="00630FC7">
              <w:rPr>
                <w:b w:val="0"/>
                <w:bCs w:val="0"/>
              </w:rPr>
              <w:t>can’t</w:t>
            </w:r>
            <w:proofErr w:type="gramEnd"/>
            <w:r w:rsidRPr="00630FC7">
              <w:rPr>
                <w:b w:val="0"/>
                <w:bCs w:val="0"/>
              </w:rPr>
              <w:t xml:space="preserve"> vaccinate because they don’t have the capability, and this task should be one for district nurses.</w:t>
            </w:r>
          </w:p>
        </w:tc>
        <w:tc>
          <w:tcPr>
            <w:tcW w:w="4174" w:type="dxa"/>
            <w:tcBorders>
              <w:top w:val="single" w:sz="4" w:space="0" w:color="000000" w:themeColor="text1"/>
              <w:bottom w:val="single" w:sz="4" w:space="0" w:color="000000" w:themeColor="text1"/>
              <w:right w:val="single" w:sz="4" w:space="0" w:color="auto"/>
            </w:tcBorders>
          </w:tcPr>
          <w:p w14:paraId="7CC2CB29" w14:textId="06729C8D" w:rsidR="00855C9E" w:rsidRPr="000A38A2" w:rsidRDefault="00855C9E" w:rsidP="00350653">
            <w:pPr>
              <w:pStyle w:val="BodyText"/>
              <w:numPr>
                <w:ilvl w:val="0"/>
                <w:numId w:val="0"/>
              </w:numPr>
              <w:spacing w:before="60" w:after="60"/>
              <w:cnfStyle w:val="000000000000" w:firstRow="0" w:lastRow="0" w:firstColumn="0" w:lastColumn="0" w:oddVBand="0" w:evenVBand="0" w:oddHBand="0" w:evenHBand="0" w:firstRowFirstColumn="0" w:firstRowLastColumn="0" w:lastRowFirstColumn="0" w:lastRowLastColumn="0"/>
            </w:pPr>
            <w:r w:rsidRPr="0053430E">
              <w:rPr>
                <w:color w:val="000000" w:themeColor="text1"/>
              </w:rPr>
              <w:t>DHB nurses and contracted vaccinators who only work Monday to Friday</w:t>
            </w:r>
            <w:r w:rsidR="004D0569" w:rsidRPr="0053430E">
              <w:rPr>
                <w:color w:val="000000" w:themeColor="text1"/>
              </w:rPr>
              <w:t xml:space="preserve"> and </w:t>
            </w:r>
            <w:r w:rsidRPr="0053430E">
              <w:rPr>
                <w:color w:val="000000" w:themeColor="text1"/>
              </w:rPr>
              <w:t xml:space="preserve">standard business hours </w:t>
            </w:r>
            <w:r w:rsidR="004D0569" w:rsidRPr="0053430E">
              <w:rPr>
                <w:color w:val="000000" w:themeColor="text1"/>
              </w:rPr>
              <w:t xml:space="preserve">resulting in vaccination times that are not accessible were a barrier to </w:t>
            </w:r>
            <w:r w:rsidR="000414E3" w:rsidRPr="0053430E">
              <w:rPr>
                <w:color w:val="000000" w:themeColor="text1"/>
              </w:rPr>
              <w:t>whānau</w:t>
            </w:r>
            <w:r w:rsidRPr="0053430E">
              <w:rPr>
                <w:color w:val="000000" w:themeColor="text1"/>
              </w:rPr>
              <w:t xml:space="preserve">. </w:t>
            </w:r>
          </w:p>
        </w:tc>
      </w:tr>
      <w:tr w:rsidR="00855C9E" w:rsidRPr="000A38A2" w14:paraId="67C54737" w14:textId="77777777" w:rsidTr="00B7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3" w:type="dxa"/>
            <w:tcBorders>
              <w:top w:val="single" w:sz="4" w:space="0" w:color="000000" w:themeColor="text1"/>
              <w:left w:val="single" w:sz="4" w:space="0" w:color="auto"/>
              <w:bottom w:val="single" w:sz="4" w:space="0" w:color="000000" w:themeColor="text1"/>
            </w:tcBorders>
          </w:tcPr>
          <w:p w14:paraId="00D7F5E7" w14:textId="77777777" w:rsidR="00855C9E" w:rsidRPr="00630FC7" w:rsidRDefault="00855C9E" w:rsidP="00350653">
            <w:pPr>
              <w:pStyle w:val="BodyText"/>
              <w:numPr>
                <w:ilvl w:val="0"/>
                <w:numId w:val="0"/>
              </w:numPr>
              <w:spacing w:before="60" w:after="60"/>
              <w:rPr>
                <w:b w:val="0"/>
                <w:bCs w:val="0"/>
              </w:rPr>
            </w:pPr>
            <w:r w:rsidRPr="00630FC7">
              <w:rPr>
                <w:b w:val="0"/>
                <w:bCs w:val="0"/>
              </w:rPr>
              <w:t>Some providers expressed distrust or lacked confidence in their DHB to be inclusive, transparent and behave equitably.</w:t>
            </w:r>
          </w:p>
        </w:tc>
        <w:tc>
          <w:tcPr>
            <w:tcW w:w="4174" w:type="dxa"/>
            <w:tcBorders>
              <w:top w:val="single" w:sz="4" w:space="0" w:color="000000" w:themeColor="text1"/>
              <w:bottom w:val="single" w:sz="4" w:space="0" w:color="000000" w:themeColor="text1"/>
              <w:right w:val="single" w:sz="4" w:space="0" w:color="auto"/>
            </w:tcBorders>
          </w:tcPr>
          <w:p w14:paraId="78015FCE" w14:textId="36DFEC0A" w:rsidR="00855C9E" w:rsidRPr="00ED67FE" w:rsidRDefault="00855C9E" w:rsidP="00350653">
            <w:pPr>
              <w:pStyle w:val="BodyText"/>
              <w:numPr>
                <w:ilvl w:val="0"/>
                <w:numId w:val="0"/>
              </w:numPr>
              <w:spacing w:before="60" w:after="60"/>
              <w:cnfStyle w:val="000000100000" w:firstRow="0" w:lastRow="0" w:firstColumn="0" w:lastColumn="0" w:oddVBand="0" w:evenVBand="0" w:oddHBand="1" w:evenHBand="0" w:firstRowFirstColumn="0" w:firstRowLastColumn="0" w:lastRowFirstColumn="0" w:lastRowLastColumn="0"/>
            </w:pPr>
            <w:r>
              <w:t xml:space="preserve">Other providers </w:t>
            </w:r>
            <w:r w:rsidR="004D0569">
              <w:t xml:space="preserve">had or developed positive, </w:t>
            </w:r>
            <w:proofErr w:type="gramStart"/>
            <w:r w:rsidR="004D0569">
              <w:t>respectful</w:t>
            </w:r>
            <w:proofErr w:type="gramEnd"/>
            <w:r w:rsidR="004D0569">
              <w:t xml:space="preserve"> and responsive relationships </w:t>
            </w:r>
            <w:r>
              <w:t>with their DHB.</w:t>
            </w:r>
          </w:p>
        </w:tc>
      </w:tr>
      <w:tr w:rsidR="00855C9E" w:rsidRPr="000A38A2" w14:paraId="7FC7EA41" w14:textId="77777777" w:rsidTr="00B75433">
        <w:tc>
          <w:tcPr>
            <w:cnfStyle w:val="001000000000" w:firstRow="0" w:lastRow="0" w:firstColumn="1" w:lastColumn="0" w:oddVBand="0" w:evenVBand="0" w:oddHBand="0" w:evenHBand="0" w:firstRowFirstColumn="0" w:firstRowLastColumn="0" w:lastRowFirstColumn="0" w:lastRowLastColumn="0"/>
            <w:tcW w:w="4173" w:type="dxa"/>
            <w:tcBorders>
              <w:top w:val="single" w:sz="4" w:space="0" w:color="000000" w:themeColor="text1"/>
              <w:left w:val="single" w:sz="4" w:space="0" w:color="auto"/>
              <w:bottom w:val="single" w:sz="4" w:space="0" w:color="000000" w:themeColor="text1"/>
            </w:tcBorders>
          </w:tcPr>
          <w:p w14:paraId="1649E538" w14:textId="77777777" w:rsidR="00855C9E" w:rsidRPr="00630FC7" w:rsidRDefault="00855C9E" w:rsidP="00350653">
            <w:pPr>
              <w:pStyle w:val="BodyText"/>
              <w:numPr>
                <w:ilvl w:val="0"/>
                <w:numId w:val="0"/>
              </w:numPr>
              <w:spacing w:before="60" w:after="60"/>
              <w:rPr>
                <w:b w:val="0"/>
                <w:bCs w:val="0"/>
              </w:rPr>
            </w:pPr>
            <w:r w:rsidRPr="00630FC7">
              <w:rPr>
                <w:b w:val="0"/>
                <w:bCs w:val="0"/>
              </w:rPr>
              <w:t>Providers had difficulty accessing vaccine and at times had to cancel planned vaccination clinics.</w:t>
            </w:r>
          </w:p>
        </w:tc>
        <w:tc>
          <w:tcPr>
            <w:tcW w:w="4174" w:type="dxa"/>
            <w:tcBorders>
              <w:top w:val="single" w:sz="4" w:space="0" w:color="000000" w:themeColor="text1"/>
              <w:bottom w:val="single" w:sz="4" w:space="0" w:color="000000" w:themeColor="text1"/>
              <w:right w:val="single" w:sz="4" w:space="0" w:color="auto"/>
            </w:tcBorders>
          </w:tcPr>
          <w:p w14:paraId="2BEB5FD3" w14:textId="77777777" w:rsidR="00855C9E" w:rsidRPr="000A38A2" w:rsidRDefault="00855C9E" w:rsidP="00350653">
            <w:pPr>
              <w:pStyle w:val="BodyText"/>
              <w:numPr>
                <w:ilvl w:val="0"/>
                <w:numId w:val="0"/>
              </w:numPr>
              <w:spacing w:before="60" w:after="60"/>
              <w:cnfStyle w:val="000000000000" w:firstRow="0" w:lastRow="0" w:firstColumn="0" w:lastColumn="0" w:oddVBand="0" w:evenVBand="0" w:oddHBand="0" w:evenHBand="0" w:firstRowFirstColumn="0" w:firstRowLastColumn="0" w:lastRowFirstColumn="0" w:lastRowLastColumn="0"/>
            </w:pPr>
            <w:r w:rsidRPr="000A38A2">
              <w:t>DHB Immunisation coordinators (and sometimes PHOs) coordinat</w:t>
            </w:r>
            <w:r>
              <w:t>ed</w:t>
            </w:r>
            <w:r w:rsidRPr="000A38A2">
              <w:t xml:space="preserve"> the supply of vaccine regionally (when needed)</w:t>
            </w:r>
            <w:r>
              <w:t>.</w:t>
            </w:r>
          </w:p>
        </w:tc>
      </w:tr>
      <w:tr w:rsidR="00855C9E" w:rsidRPr="000A38A2" w14:paraId="4BD9866D" w14:textId="77777777" w:rsidTr="00B7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3" w:type="dxa"/>
            <w:tcBorders>
              <w:top w:val="single" w:sz="4" w:space="0" w:color="000000" w:themeColor="text1"/>
              <w:left w:val="single" w:sz="4" w:space="0" w:color="auto"/>
              <w:bottom w:val="single" w:sz="4" w:space="0" w:color="000000" w:themeColor="text1"/>
            </w:tcBorders>
          </w:tcPr>
          <w:p w14:paraId="3372C031" w14:textId="77777777" w:rsidR="00855C9E" w:rsidRPr="00630FC7" w:rsidRDefault="00855C9E" w:rsidP="00350653">
            <w:pPr>
              <w:pStyle w:val="BodyText"/>
              <w:numPr>
                <w:ilvl w:val="0"/>
                <w:numId w:val="0"/>
              </w:numPr>
              <w:spacing w:before="60" w:after="60"/>
              <w:rPr>
                <w:b w:val="0"/>
                <w:bCs w:val="0"/>
              </w:rPr>
            </w:pPr>
            <w:r w:rsidRPr="00630FC7">
              <w:rPr>
                <w:b w:val="0"/>
                <w:bCs w:val="0"/>
              </w:rPr>
              <w:t xml:space="preserve">Burnt by experience, some providers applied in their own right, seeing DHBs as more of a hindrance then </w:t>
            </w:r>
            <w:proofErr w:type="gramStart"/>
            <w:r w:rsidRPr="00630FC7">
              <w:rPr>
                <w:b w:val="0"/>
                <w:bCs w:val="0"/>
              </w:rPr>
              <w:t>a</w:t>
            </w:r>
            <w:proofErr w:type="gramEnd"/>
            <w:r w:rsidRPr="00630FC7">
              <w:rPr>
                <w:b w:val="0"/>
                <w:bCs w:val="0"/>
              </w:rPr>
              <w:t xml:space="preserve"> help. These providers saw themselves as capable and able to deliver a strong flu vaccination programme with a complimentary set of services and support.</w:t>
            </w:r>
          </w:p>
        </w:tc>
        <w:tc>
          <w:tcPr>
            <w:tcW w:w="4174" w:type="dxa"/>
            <w:tcBorders>
              <w:top w:val="single" w:sz="4" w:space="0" w:color="000000" w:themeColor="text1"/>
              <w:bottom w:val="single" w:sz="4" w:space="0" w:color="000000" w:themeColor="text1"/>
              <w:right w:val="single" w:sz="4" w:space="0" w:color="auto"/>
            </w:tcBorders>
          </w:tcPr>
          <w:p w14:paraId="5443E5F3" w14:textId="77777777" w:rsidR="00855C9E" w:rsidRPr="000A38A2" w:rsidRDefault="00855C9E" w:rsidP="00350653">
            <w:pPr>
              <w:pStyle w:val="BodyText"/>
              <w:numPr>
                <w:ilvl w:val="0"/>
                <w:numId w:val="0"/>
              </w:numPr>
              <w:spacing w:before="60" w:after="60"/>
              <w:cnfStyle w:val="000000100000" w:firstRow="0" w:lastRow="0" w:firstColumn="0" w:lastColumn="0" w:oddVBand="0" w:evenVBand="0" w:oddHBand="1" w:evenHBand="0" w:firstRowFirstColumn="0" w:firstRowLastColumn="0" w:lastRowFirstColumn="0" w:lastRowLastColumn="0"/>
            </w:pPr>
            <w:r w:rsidRPr="000A38A2">
              <w:t xml:space="preserve">Some providers chose to be part of their DHBs application. They saw benefits </w:t>
            </w:r>
            <w:r>
              <w:t>where the</w:t>
            </w:r>
            <w:r w:rsidRPr="000A38A2">
              <w:t xml:space="preserve"> DHB manag</w:t>
            </w:r>
            <w:r>
              <w:t>ed</w:t>
            </w:r>
            <w:r w:rsidRPr="000A38A2">
              <w:t xml:space="preserve"> the contract, help</w:t>
            </w:r>
            <w:r>
              <w:t>ed</w:t>
            </w:r>
            <w:r w:rsidRPr="000A38A2">
              <w:t xml:space="preserve"> to coordinate resources across the region and better-connected providers to vaccination training, cold chain support and vaccine supply.</w:t>
            </w:r>
          </w:p>
        </w:tc>
      </w:tr>
    </w:tbl>
    <w:p w14:paraId="7306D3B1" w14:textId="77777777" w:rsidR="00855C9E" w:rsidRDefault="00855C9E" w:rsidP="00855C9E">
      <w:pPr>
        <w:pStyle w:val="BodyText"/>
      </w:pPr>
      <w:r>
        <w:t>E</w:t>
      </w:r>
      <w:r w:rsidRPr="001D433A">
        <w:t>ach DHB ha</w:t>
      </w:r>
      <w:r>
        <w:t>d</w:t>
      </w:r>
      <w:r w:rsidRPr="001D433A">
        <w:t xml:space="preserve"> a unique relational whakapapa, and there </w:t>
      </w:r>
      <w:r>
        <w:t>were important</w:t>
      </w:r>
      <w:r w:rsidRPr="001D433A">
        <w:t xml:space="preserve"> variation</w:t>
      </w:r>
      <w:r>
        <w:t>s</w:t>
      </w:r>
      <w:r w:rsidRPr="001D433A">
        <w:t xml:space="preserve"> in how they operat</w:t>
      </w:r>
      <w:r>
        <w:t>ed</w:t>
      </w:r>
      <w:r w:rsidRPr="001D433A">
        <w:t xml:space="preserve">. </w:t>
      </w:r>
      <w:r>
        <w:t xml:space="preserve">At the same time, providers had their own institutional memories and relational whakapapa. When relational whakapapa and institutional memories between DHBs and providers honoured, respected, and valued one another, they enabled positive ways of working. In these instances, collaboration, </w:t>
      </w:r>
      <w:proofErr w:type="gramStart"/>
      <w:r>
        <w:t>knowledge</w:t>
      </w:r>
      <w:proofErr w:type="gramEnd"/>
      <w:r>
        <w:t xml:space="preserve"> and resource sharing supported engagement and outreach.</w:t>
      </w:r>
    </w:p>
    <w:p w14:paraId="67F4342B" w14:textId="77777777" w:rsidR="00855C9E" w:rsidRDefault="00855C9E" w:rsidP="00855C9E">
      <w:pPr>
        <w:pStyle w:val="BodyText"/>
      </w:pPr>
      <w:r w:rsidRPr="00782843">
        <w:t>To a certain extent,</w:t>
      </w:r>
      <w:r w:rsidRPr="001D433A">
        <w:t xml:space="preserve"> the evaluat</w:t>
      </w:r>
      <w:r>
        <w:t xml:space="preserve">ors found that </w:t>
      </w:r>
      <w:r w:rsidRPr="001D433A">
        <w:t xml:space="preserve">MIVP </w:t>
      </w:r>
      <w:r>
        <w:t xml:space="preserve">operated </w:t>
      </w:r>
      <w:r w:rsidRPr="001D433A">
        <w:t>as a change agent</w:t>
      </w:r>
      <w:r>
        <w:t xml:space="preserve"> </w:t>
      </w:r>
      <w:r w:rsidRPr="001D433A">
        <w:t xml:space="preserve">supporting improvements in relationships and greater collaboration across DHBs and providers (either direct </w:t>
      </w:r>
      <w:r w:rsidRPr="001D433A">
        <w:lastRenderedPageBreak/>
        <w:t>funded or DHB funded).</w:t>
      </w:r>
      <w:r>
        <w:t xml:space="preserve"> These positive relational changes were obvious in some regions and not in others. </w:t>
      </w:r>
    </w:p>
    <w:p w14:paraId="1E825407" w14:textId="77777777" w:rsidR="00855C9E" w:rsidRDefault="00855C9E" w:rsidP="00855C9E">
      <w:pPr>
        <w:pStyle w:val="BodyText"/>
      </w:pPr>
      <w:bookmarkStart w:id="136" w:name="SW0005"/>
      <w:bookmarkEnd w:id="135"/>
      <w:r>
        <w:t>There was evidence in some regions of new and re-established connections and networks. Providers and DHBs successfully and collaboratively implemented MIVP initiatives. Providers leveraged ways of working together to reach Māori communities. Internal DHB interactions joined better, based on common goals. DHBs made links and communicated with each other around MIVP. All these variations supported providers to develop whānau-centred approaches to carry out flu vaccinations.</w:t>
      </w:r>
    </w:p>
    <w:p w14:paraId="08DE546F" w14:textId="22AE68DE" w:rsidR="00855C9E" w:rsidRDefault="00855C9E" w:rsidP="00855C9E">
      <w:pPr>
        <w:pStyle w:val="BodyText"/>
      </w:pPr>
      <w:r w:rsidRPr="00BD34CD">
        <w:t xml:space="preserve">Perhaps one of </w:t>
      </w:r>
      <w:r>
        <w:t>the providers’</w:t>
      </w:r>
      <w:r w:rsidRPr="00BD34CD">
        <w:t xml:space="preserve"> most significant </w:t>
      </w:r>
      <w:r>
        <w:t xml:space="preserve">points of </w:t>
      </w:r>
      <w:r w:rsidRPr="00BD34CD">
        <w:t xml:space="preserve">contention, regardless of the quality of the relationship with DHBs, </w:t>
      </w:r>
      <w:r>
        <w:t>was</w:t>
      </w:r>
      <w:r w:rsidRPr="00BD34CD">
        <w:t xml:space="preserve"> that</w:t>
      </w:r>
      <w:r w:rsidRPr="00782843">
        <w:t xml:space="preserve"> </w:t>
      </w:r>
      <w:r>
        <w:t>typically DHBs did not take</w:t>
      </w:r>
      <w:r w:rsidRPr="00BD34CD">
        <w:t xml:space="preserve"> </w:t>
      </w:r>
      <w:r>
        <w:t xml:space="preserve">a </w:t>
      </w:r>
      <w:r w:rsidRPr="00BD34CD">
        <w:t>genuine partnership approach</w:t>
      </w:r>
      <w:r>
        <w:t xml:space="preserve"> to assign</w:t>
      </w:r>
      <w:r w:rsidRPr="00BD34CD">
        <w:t xml:space="preserve"> funds and resources. </w:t>
      </w:r>
      <w:r>
        <w:t>Instead, providers thought DHBs shared funds and resources using</w:t>
      </w:r>
      <w:r w:rsidRPr="00BD34CD">
        <w:t xml:space="preserve"> </w:t>
      </w:r>
      <w:r w:rsidR="00273816">
        <w:t xml:space="preserve">an </w:t>
      </w:r>
      <w:r w:rsidRPr="00BD34CD">
        <w:t xml:space="preserve">"incremental transactional process" that </w:t>
      </w:r>
      <w:r>
        <w:t>did</w:t>
      </w:r>
      <w:r w:rsidRPr="00BD34CD">
        <w:t xml:space="preserve"> </w:t>
      </w:r>
      <w:r>
        <w:t xml:space="preserve">not </w:t>
      </w:r>
      <w:r w:rsidRPr="00BD34CD">
        <w:t>reflec</w:t>
      </w:r>
      <w:r>
        <w:t>t</w:t>
      </w:r>
      <w:r w:rsidRPr="00BD34CD">
        <w:t xml:space="preserve"> equity </w:t>
      </w:r>
      <w:r>
        <w:t>n</w:t>
      </w:r>
      <w:r w:rsidRPr="00BD34CD">
        <w:t>or support transformational, long-term change</w:t>
      </w:r>
      <w:r>
        <w:t>.</w:t>
      </w:r>
    </w:p>
    <w:p w14:paraId="5459C92A" w14:textId="77777777" w:rsidR="00855C9E" w:rsidRDefault="00855C9E" w:rsidP="00855C9E">
      <w:pPr>
        <w:pStyle w:val="BodyText"/>
      </w:pPr>
      <w:r w:rsidRPr="003C0853">
        <w:t xml:space="preserve">However, </w:t>
      </w:r>
      <w:r>
        <w:t xml:space="preserve">providers viewed </w:t>
      </w:r>
      <w:r w:rsidRPr="003C0853">
        <w:t xml:space="preserve">MIVP </w:t>
      </w:r>
      <w:r>
        <w:t>as a step</w:t>
      </w:r>
      <w:r w:rsidRPr="003C0853">
        <w:t xml:space="preserve"> to ensur</w:t>
      </w:r>
      <w:r>
        <w:t>ing</w:t>
      </w:r>
      <w:r w:rsidRPr="003C0853">
        <w:t xml:space="preserve"> that knowledge, resources, and the locus of control </w:t>
      </w:r>
      <w:r>
        <w:t>we</w:t>
      </w:r>
      <w:r w:rsidRPr="003C0853">
        <w:t xml:space="preserve">re "fairly" </w:t>
      </w:r>
      <w:r>
        <w:t>distributed to</w:t>
      </w:r>
      <w:r w:rsidRPr="003C0853">
        <w:t xml:space="preserve"> reflect Māori communities</w:t>
      </w:r>
      <w:r>
        <w:t xml:space="preserve">’ needs. </w:t>
      </w:r>
    </w:p>
    <w:p w14:paraId="70CA9A91" w14:textId="5EF53834" w:rsidR="002C79C1" w:rsidRDefault="00855C9E" w:rsidP="00EC6371">
      <w:pPr>
        <w:pStyle w:val="QuoteSmallBlue"/>
        <w:rPr>
          <w:sz w:val="18"/>
          <w:szCs w:val="18"/>
        </w:rPr>
      </w:pPr>
      <w:proofErr w:type="gramStart"/>
      <w:r>
        <w:t>It’s</w:t>
      </w:r>
      <w:proofErr w:type="gramEnd"/>
      <w:r>
        <w:t xml:space="preserve"> almost like you’re set up to fail if you’re not given full access to, you know, all the knowledge and resource that you need to know to do a good job. In saying that, you know, even having this conversation now is a step in the right direction. And having the DHB </w:t>
      </w:r>
      <w:proofErr w:type="gramStart"/>
      <w:r>
        <w:t>actually giving</w:t>
      </w:r>
      <w:proofErr w:type="gramEnd"/>
      <w:r>
        <w:t xml:space="preserve"> [us] a contract, even though it was very, very late [was good]. So, </w:t>
      </w:r>
      <w:proofErr w:type="gramStart"/>
      <w:r>
        <w:t>we’re</w:t>
      </w:r>
      <w:proofErr w:type="gramEnd"/>
      <w:r>
        <w:t xml:space="preserve"> now coming to the end of the flu season and we have only just got our contract two and a half weeks ago. (DHB</w:t>
      </w:r>
      <w:r w:rsidR="00273816">
        <w:t>-</w:t>
      </w:r>
      <w:r>
        <w:t>funded provider).</w:t>
      </w:r>
    </w:p>
    <w:p w14:paraId="3CF5D625" w14:textId="7C0C10FA" w:rsidR="00855C9E" w:rsidRDefault="00855C9E" w:rsidP="00855C9E">
      <w:pPr>
        <w:pStyle w:val="BodyText"/>
      </w:pPr>
      <w:r>
        <w:t xml:space="preserve">Of note, relationships seemed to influence the overall impact. </w:t>
      </w:r>
    </w:p>
    <w:p w14:paraId="5BA80F0F" w14:textId="77777777" w:rsidR="009A3061" w:rsidRDefault="009A3061" w:rsidP="009A3061">
      <w:pPr>
        <w:pStyle w:val="Bullet"/>
      </w:pPr>
      <w:r>
        <w:t>On the one hand hi</w:t>
      </w:r>
      <w:r w:rsidRPr="008D3108">
        <w:t>gh trust relationships were associated with a positive impact on vaccination rates and provider capability development</w:t>
      </w:r>
      <w:r>
        <w:t>.</w:t>
      </w:r>
    </w:p>
    <w:p w14:paraId="152FB329" w14:textId="66091F43" w:rsidR="009A3061" w:rsidRPr="009A3061" w:rsidRDefault="009A3061" w:rsidP="009A3061">
      <w:pPr>
        <w:pStyle w:val="Bullet"/>
      </w:pPr>
      <w:r>
        <w:t xml:space="preserve">On the other </w:t>
      </w:r>
      <w:proofErr w:type="gramStart"/>
      <w:r>
        <w:t>hand</w:t>
      </w:r>
      <w:proofErr w:type="gramEnd"/>
      <w:r>
        <w:t xml:space="preserve"> both</w:t>
      </w:r>
      <w:r w:rsidRPr="000B58DF">
        <w:t xml:space="preserve"> high</w:t>
      </w:r>
      <w:r w:rsidR="00273816">
        <w:t>-</w:t>
      </w:r>
      <w:r w:rsidRPr="000B58DF">
        <w:t>trust and low</w:t>
      </w:r>
      <w:r w:rsidR="00273816">
        <w:t>-</w:t>
      </w:r>
      <w:r w:rsidRPr="000B58DF">
        <w:t xml:space="preserve">trust relationships </w:t>
      </w:r>
      <w:r>
        <w:t xml:space="preserve">were </w:t>
      </w:r>
      <w:r w:rsidRPr="000B58DF">
        <w:t>described in regions with high vaccination rates</w:t>
      </w:r>
      <w:r w:rsidR="00273816">
        <w:t>.</w:t>
      </w:r>
    </w:p>
    <w:p w14:paraId="4F7F70B3" w14:textId="58D43F8D" w:rsidR="00855C9E" w:rsidRDefault="00855C9E" w:rsidP="00855C9E">
      <w:pPr>
        <w:pStyle w:val="BodyText"/>
      </w:pPr>
      <w:r w:rsidRPr="000B58DF">
        <w:t>And relationships seem</w:t>
      </w:r>
      <w:r>
        <w:t>ed</w:t>
      </w:r>
      <w:r w:rsidRPr="000B58DF">
        <w:t xml:space="preserve"> to have been impacted by MIVP.</w:t>
      </w:r>
    </w:p>
    <w:p w14:paraId="74BA7DCE" w14:textId="070145FB" w:rsidR="009A3061" w:rsidRDefault="009A3061" w:rsidP="009A3061">
      <w:pPr>
        <w:pStyle w:val="Bullet"/>
      </w:pPr>
      <w:r>
        <w:t>On the one hand, s</w:t>
      </w:r>
      <w:r w:rsidRPr="008D3108">
        <w:t xml:space="preserve">ome regions used MIVP to initiate new, </w:t>
      </w:r>
      <w:proofErr w:type="gramStart"/>
      <w:r w:rsidRPr="008D3108">
        <w:t>broader</w:t>
      </w:r>
      <w:proofErr w:type="gramEnd"/>
      <w:r w:rsidR="00273816">
        <w:t xml:space="preserve"> and</w:t>
      </w:r>
      <w:r w:rsidRPr="008D3108">
        <w:t xml:space="preserve"> deep</w:t>
      </w:r>
      <w:r w:rsidR="00273816">
        <w:t>er</w:t>
      </w:r>
      <w:r w:rsidRPr="008D3108">
        <w:t xml:space="preserve"> relationships and collaborations</w:t>
      </w:r>
      <w:r>
        <w:t>.</w:t>
      </w:r>
    </w:p>
    <w:p w14:paraId="6196EE05" w14:textId="389E80EF" w:rsidR="009A3061" w:rsidRPr="000B58DF" w:rsidRDefault="009A3061" w:rsidP="009A3061">
      <w:pPr>
        <w:pStyle w:val="Bullet"/>
      </w:pPr>
      <w:r>
        <w:t xml:space="preserve">On the other </w:t>
      </w:r>
      <w:proofErr w:type="gramStart"/>
      <w:r>
        <w:t>hand</w:t>
      </w:r>
      <w:proofErr w:type="gramEnd"/>
      <w:r>
        <w:t xml:space="preserve"> </w:t>
      </w:r>
      <w:r w:rsidR="00273816">
        <w:t xml:space="preserve">some </w:t>
      </w:r>
      <w:r>
        <w:t>r</w:t>
      </w:r>
      <w:r w:rsidRPr="000B58DF">
        <w:t>elationship</w:t>
      </w:r>
      <w:r w:rsidR="00273816">
        <w:t>s</w:t>
      </w:r>
      <w:r w:rsidRPr="000B58DF">
        <w:t xml:space="preserve"> </w:t>
      </w:r>
      <w:r w:rsidR="00273816">
        <w:t>remain</w:t>
      </w:r>
      <w:r w:rsidRPr="000B58DF">
        <w:t>ed relatively unchanged</w:t>
      </w:r>
      <w:r w:rsidR="00273816">
        <w:t xml:space="preserve"> (</w:t>
      </w:r>
      <w:r w:rsidRPr="000B58DF">
        <w:t>whether high or low</w:t>
      </w:r>
      <w:r w:rsidR="00273816">
        <w:t>-</w:t>
      </w:r>
      <w:r w:rsidRPr="000B58DF">
        <w:t>trust before MIPV</w:t>
      </w:r>
      <w:r w:rsidR="00273816">
        <w:t>)</w:t>
      </w:r>
      <w:r>
        <w:t>.</w:t>
      </w:r>
    </w:p>
    <w:p w14:paraId="7DB7D319" w14:textId="33C52498" w:rsidR="00855C9E" w:rsidRPr="00813CF3" w:rsidRDefault="00855C9E" w:rsidP="00855C9E">
      <w:pPr>
        <w:pStyle w:val="BodyText"/>
      </w:pPr>
      <w:r w:rsidRPr="000F7C9B">
        <w:t>Regardless of relationship type, MIVP was successful when relationships worked well, built on trust and respect, and recogni</w:t>
      </w:r>
      <w:r>
        <w:t>sed</w:t>
      </w:r>
      <w:r w:rsidRPr="000F7C9B">
        <w:t xml:space="preserve"> provider mana and status through the equitable sharing of resources</w:t>
      </w:r>
      <w:r>
        <w:t>.</w:t>
      </w:r>
      <w:r w:rsidRPr="000F7C9B">
        <w:t xml:space="preserve"> </w:t>
      </w:r>
      <w:r>
        <w:t>MIVP gave p</w:t>
      </w:r>
      <w:r w:rsidRPr="000F7C9B">
        <w:t xml:space="preserve">roviders the resources and tools to design and drive approaches </w:t>
      </w:r>
      <w:r>
        <w:t xml:space="preserve">to </w:t>
      </w:r>
      <w:r w:rsidRPr="000F7C9B">
        <w:t xml:space="preserve">deliver </w:t>
      </w:r>
      <w:r>
        <w:t>whānau-</w:t>
      </w:r>
      <w:r w:rsidRPr="000F7C9B">
        <w:t>centred services. Releasing resources in this way support</w:t>
      </w:r>
      <w:r>
        <w:t>ed</w:t>
      </w:r>
      <w:r w:rsidRPr="000F7C9B">
        <w:t xml:space="preserve"> providers to re-</w:t>
      </w:r>
      <w:r w:rsidR="00273816">
        <w:t>build</w:t>
      </w:r>
      <w:r w:rsidR="00273816" w:rsidRPr="000F7C9B">
        <w:t xml:space="preserve"> </w:t>
      </w:r>
      <w:r w:rsidRPr="000F7C9B">
        <w:t>trust in a system tha</w:t>
      </w:r>
      <w:r>
        <w:t>t</w:t>
      </w:r>
      <w:r w:rsidRPr="000F7C9B">
        <w:t xml:space="preserve"> previously let them down. </w:t>
      </w:r>
      <w:r>
        <w:t>Providers</w:t>
      </w:r>
      <w:r w:rsidRPr="000F7C9B">
        <w:t xml:space="preserve"> </w:t>
      </w:r>
      <w:r>
        <w:t xml:space="preserve">showed the multiple ways they </w:t>
      </w:r>
      <w:r w:rsidRPr="000F7C9B">
        <w:t xml:space="preserve">built trust </w:t>
      </w:r>
      <w:r>
        <w:t>with</w:t>
      </w:r>
      <w:r w:rsidRPr="000F7C9B">
        <w:t xml:space="preserve"> whā</w:t>
      </w:r>
      <w:r>
        <w:t>n</w:t>
      </w:r>
      <w:r w:rsidRPr="000F7C9B">
        <w:t>au around health care delivery.</w:t>
      </w:r>
    </w:p>
    <w:p w14:paraId="102A6816" w14:textId="20778728" w:rsidR="00855C9E" w:rsidRDefault="00855C9E" w:rsidP="00EC6371">
      <w:pPr>
        <w:pStyle w:val="QuoteSmallBlue"/>
      </w:pPr>
      <w:r w:rsidRPr="00813CF3">
        <w:t xml:space="preserve">To build trust takes time and I think </w:t>
      </w:r>
      <w:proofErr w:type="gramStart"/>
      <w:r w:rsidRPr="00813CF3">
        <w:t>we’ve</w:t>
      </w:r>
      <w:proofErr w:type="gramEnd"/>
      <w:r w:rsidRPr="00813CF3">
        <w:t xml:space="preserve"> got a better opportunity through our Māori, our </w:t>
      </w:r>
      <w:proofErr w:type="spellStart"/>
      <w:r w:rsidRPr="00813CF3">
        <w:t>kaupapa</w:t>
      </w:r>
      <w:proofErr w:type="spellEnd"/>
      <w:r w:rsidRPr="00813CF3">
        <w:t xml:space="preserve"> Māori providers to build trust in the syste</w:t>
      </w:r>
      <w:r>
        <w:t>m, r</w:t>
      </w:r>
      <w:r w:rsidRPr="00813CF3">
        <w:t>ather than through mainstream systems. And yeah</w:t>
      </w:r>
      <w:r>
        <w:t>,</w:t>
      </w:r>
      <w:r w:rsidRPr="00813CF3">
        <w:t xml:space="preserve"> we need a better slice of the resources</w:t>
      </w:r>
      <w:r>
        <w:t>,</w:t>
      </w:r>
      <w:r w:rsidRPr="00813CF3">
        <w:t xml:space="preserve"> and they should go directly to our providers.</w:t>
      </w:r>
      <w:r>
        <w:t xml:space="preserve"> </w:t>
      </w:r>
      <w:r w:rsidRPr="0058225B">
        <w:t>(</w:t>
      </w:r>
      <w:r w:rsidR="00047B12" w:rsidRPr="0058225B">
        <w:t xml:space="preserve">DHB </w:t>
      </w:r>
      <w:r w:rsidRPr="0058225B">
        <w:t>GM Māori)</w:t>
      </w:r>
    </w:p>
    <w:p w14:paraId="488BFFB2" w14:textId="57BA6155" w:rsidR="00790401" w:rsidRPr="00790401" w:rsidRDefault="00790401" w:rsidP="00EE4638">
      <w:pPr>
        <w:pStyle w:val="Heading2"/>
      </w:pPr>
      <w:bookmarkStart w:id="137" w:name="_Toc70763290"/>
      <w:bookmarkEnd w:id="136"/>
      <w:r>
        <w:t xml:space="preserve">Implementing </w:t>
      </w:r>
      <w:r w:rsidRPr="00790401">
        <w:t xml:space="preserve">MIVP </w:t>
      </w:r>
      <w:r>
        <w:t xml:space="preserve">in </w:t>
      </w:r>
      <w:r w:rsidRPr="00790401">
        <w:t>2021</w:t>
      </w:r>
      <w:r w:rsidR="00B86146">
        <w:t xml:space="preserve"> and funding considerations</w:t>
      </w:r>
      <w:bookmarkEnd w:id="137"/>
    </w:p>
    <w:p w14:paraId="6E690375" w14:textId="07CF0441" w:rsidR="001958AE" w:rsidRDefault="001D596E" w:rsidP="00EE4638">
      <w:pPr>
        <w:pStyle w:val="BodyText"/>
      </w:pPr>
      <w:r w:rsidRPr="00AE3F7D">
        <w:t xml:space="preserve">This section </w:t>
      </w:r>
      <w:r w:rsidR="001958AE">
        <w:t xml:space="preserve">briefly </w:t>
      </w:r>
      <w:r>
        <w:t xml:space="preserve">outlines </w:t>
      </w:r>
      <w:r w:rsidRPr="00AE3F7D">
        <w:t xml:space="preserve">provider and DHB </w:t>
      </w:r>
      <w:r>
        <w:t xml:space="preserve">views </w:t>
      </w:r>
      <w:r w:rsidRPr="00AE3F7D">
        <w:t xml:space="preserve">about </w:t>
      </w:r>
      <w:r w:rsidR="0053430E">
        <w:t xml:space="preserve">participating in </w:t>
      </w:r>
      <w:r>
        <w:t xml:space="preserve">MIVP or </w:t>
      </w:r>
      <w:r w:rsidR="0053430E">
        <w:t>a</w:t>
      </w:r>
      <w:r w:rsidRPr="00AE3F7D">
        <w:t xml:space="preserve"> similar programme in 2021</w:t>
      </w:r>
      <w:r w:rsidR="00790401">
        <w:t xml:space="preserve"> and their </w:t>
      </w:r>
      <w:r>
        <w:t xml:space="preserve">needs if </w:t>
      </w:r>
      <w:r w:rsidR="00790401">
        <w:t>deliver</w:t>
      </w:r>
      <w:r w:rsidR="001958AE">
        <w:t>ing</w:t>
      </w:r>
      <w:r w:rsidR="00790401">
        <w:t xml:space="preserve"> </w:t>
      </w:r>
      <w:r w:rsidRPr="00790401">
        <w:t>MIVP in 2021</w:t>
      </w:r>
      <w:r w:rsidR="00790401" w:rsidRPr="00C25570">
        <w:t>.</w:t>
      </w:r>
      <w:r w:rsidRPr="00C25570">
        <w:t xml:space="preserve"> </w:t>
      </w:r>
    </w:p>
    <w:p w14:paraId="5C1CF7C7" w14:textId="1F842B50" w:rsidR="00900633" w:rsidRDefault="00790401" w:rsidP="00EE4638">
      <w:pPr>
        <w:pStyle w:val="BodyText"/>
      </w:pPr>
      <w:r>
        <w:t>Both providers and DHBs express</w:t>
      </w:r>
      <w:r w:rsidR="00DA1647">
        <w:t>ed</w:t>
      </w:r>
      <w:r>
        <w:t xml:space="preserve"> interest in participating in MIVP in 2021.</w:t>
      </w:r>
    </w:p>
    <w:p w14:paraId="55E9A0CD" w14:textId="1CA6193C" w:rsidR="00900633" w:rsidRPr="00DD32E7" w:rsidRDefault="00900633" w:rsidP="00DD32E7">
      <w:pPr>
        <w:pStyle w:val="Heading2"/>
      </w:pPr>
      <w:bookmarkStart w:id="138" w:name="_Toc70763291"/>
      <w:r w:rsidRPr="00DD32E7">
        <w:lastRenderedPageBreak/>
        <w:t xml:space="preserve">MIVP </w:t>
      </w:r>
      <w:r w:rsidR="00790401" w:rsidRPr="00DD32E7">
        <w:t>funding model</w:t>
      </w:r>
      <w:bookmarkEnd w:id="138"/>
      <w:r w:rsidRPr="00DD32E7">
        <w:t xml:space="preserve"> </w:t>
      </w:r>
    </w:p>
    <w:p w14:paraId="74BDA9B8" w14:textId="77777777" w:rsidR="00DD32E7" w:rsidRDefault="00900633" w:rsidP="00DD32E7">
      <w:pPr>
        <w:pStyle w:val="Heading3"/>
      </w:pPr>
      <w:r w:rsidRPr="00DD32E7">
        <w:t>Providers support dual funding; only DHBS supported all funding going through DHBs</w:t>
      </w:r>
      <w:r w:rsidR="00DD32E7" w:rsidRPr="00DD32E7">
        <w:t>.</w:t>
      </w:r>
      <w:r w:rsidR="00DD32E7">
        <w:t xml:space="preserve"> </w:t>
      </w:r>
    </w:p>
    <w:p w14:paraId="42DE0E38" w14:textId="05CD8F0D" w:rsidR="00900633" w:rsidRPr="00DD32E7" w:rsidRDefault="00900633" w:rsidP="00DD32E7">
      <w:pPr>
        <w:pStyle w:val="BodyText"/>
        <w:rPr>
          <w:b/>
          <w:bCs/>
        </w:rPr>
      </w:pPr>
      <w:r>
        <w:t>In terms of future funding channels, most p</w:t>
      </w:r>
      <w:r w:rsidR="00790401">
        <w:t xml:space="preserve">roviders </w:t>
      </w:r>
      <w:r>
        <w:t xml:space="preserve">(12 of 17) and some DHBS (5 of 16) </w:t>
      </w:r>
      <w:r w:rsidR="00790401">
        <w:t xml:space="preserve">support </w:t>
      </w:r>
      <w:r>
        <w:t>funding providers directly or making funding available to both. O</w:t>
      </w:r>
      <w:r w:rsidR="00790401">
        <w:t xml:space="preserve">nly DHBs </w:t>
      </w:r>
      <w:r>
        <w:t xml:space="preserve">(7 of 16) </w:t>
      </w:r>
      <w:r w:rsidR="00790401">
        <w:t>supported all funding going through DHBs</w:t>
      </w:r>
      <w:r w:rsidRPr="00DD32E7">
        <w:rPr>
          <w:lang w:val="en-AU"/>
        </w:rPr>
        <w:t xml:space="preserve"> in the future. </w:t>
      </w:r>
    </w:p>
    <w:p w14:paraId="5C8DC5AF" w14:textId="2522BB42" w:rsidR="00900633" w:rsidRDefault="00900633" w:rsidP="00900633">
      <w:pPr>
        <w:pStyle w:val="Caption"/>
      </w:pPr>
      <w:bookmarkStart w:id="139" w:name="_Toc62703583"/>
      <w:r>
        <w:t xml:space="preserve">Figure </w:t>
      </w:r>
      <w:fldSimple w:instr=" SEQ Figure \* ARABIC ">
        <w:r w:rsidR="009B082D">
          <w:rPr>
            <w:noProof/>
          </w:rPr>
          <w:t>11</w:t>
        </w:r>
      </w:fldSimple>
      <w:r>
        <w:t xml:space="preserve">. Support for funding to go to both DHBs and </w:t>
      </w:r>
      <w:proofErr w:type="gramStart"/>
      <w:r>
        <w:t>providers</w:t>
      </w:r>
      <w:bookmarkEnd w:id="139"/>
      <w:proofErr w:type="gramEnd"/>
    </w:p>
    <w:p w14:paraId="45E5C408" w14:textId="77777777" w:rsidR="00900633" w:rsidRDefault="00900633" w:rsidP="00900633">
      <w:pPr>
        <w:rPr>
          <w:rFonts w:eastAsia="Arial Nova Light"/>
        </w:rPr>
      </w:pPr>
      <w:r>
        <w:rPr>
          <w:rFonts w:eastAsia="Arial Nova Light"/>
          <w:noProof/>
        </w:rPr>
        <w:t xml:space="preserve"> </w:t>
      </w:r>
      <w:r>
        <w:rPr>
          <w:rFonts w:eastAsia="Arial Nova Light"/>
          <w:noProof/>
        </w:rPr>
        <w:drawing>
          <wp:inline distT="0" distB="0" distL="0" distR="0" wp14:anchorId="1A9E519B" wp14:editId="0397B331">
            <wp:extent cx="5166000" cy="2905200"/>
            <wp:effectExtent l="0" t="0" r="3175" b="3175"/>
            <wp:docPr id="32" name="Picture 32" descr="Out of 16 DHB responses (2 chose not to respond) and 17 Provider responses (1 chose not to respond and 17 ineli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Out of 16 DHB responses (2 chose not to respond) and 17 Provider responses (1 chose not to respond and 17 ineligib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6000" cy="2905200"/>
                    </a:xfrm>
                    <a:prstGeom prst="rect">
                      <a:avLst/>
                    </a:prstGeom>
                    <a:noFill/>
                  </pic:spPr>
                </pic:pic>
              </a:graphicData>
            </a:graphic>
          </wp:inline>
        </w:drawing>
      </w:r>
    </w:p>
    <w:p w14:paraId="5A4CF18F" w14:textId="2E6827E5" w:rsidR="00900633" w:rsidRDefault="00900633" w:rsidP="00DD32E7">
      <w:pPr>
        <w:pStyle w:val="Heading2"/>
      </w:pPr>
      <w:bookmarkStart w:id="140" w:name="_Toc70763292"/>
      <w:r>
        <w:t>MIVP services</w:t>
      </w:r>
      <w:bookmarkEnd w:id="140"/>
    </w:p>
    <w:p w14:paraId="44B151A8" w14:textId="77777777" w:rsidR="00DD32E7" w:rsidRPr="00DD32E7" w:rsidRDefault="00900633" w:rsidP="00DD32E7">
      <w:pPr>
        <w:pStyle w:val="Heading3"/>
      </w:pPr>
      <w:r w:rsidRPr="00DD32E7">
        <w:t>P</w:t>
      </w:r>
      <w:r w:rsidR="00790401" w:rsidRPr="00DD32E7">
        <w:t>roviders and DHBs indicated they would mostly do the same things in 202</w:t>
      </w:r>
      <w:r w:rsidR="00DD32E7">
        <w:t xml:space="preserve">1. </w:t>
      </w:r>
    </w:p>
    <w:p w14:paraId="05E3659E" w14:textId="5981AF25" w:rsidR="00DA1647" w:rsidRPr="00837B50" w:rsidRDefault="00900633" w:rsidP="00837B50">
      <w:pPr>
        <w:pStyle w:val="BodyText"/>
        <w:rPr>
          <w:b/>
          <w:bCs/>
        </w:rPr>
      </w:pPr>
      <w:r w:rsidRPr="00DD32E7">
        <w:rPr>
          <w:rFonts w:eastAsia="Arial Nova Light"/>
        </w:rPr>
        <w:t>If they were to deliver MIVP in 2021, both providers and DHBs indicated they would mostly do the same things</w:t>
      </w:r>
      <w:r w:rsidR="00821C62">
        <w:rPr>
          <w:rFonts w:eastAsia="Arial Nova Light"/>
        </w:rPr>
        <w:t xml:space="preserve">. This was the case for </w:t>
      </w:r>
      <w:r w:rsidRPr="00DD32E7">
        <w:rPr>
          <w:rFonts w:eastAsia="Arial Nova Light"/>
        </w:rPr>
        <w:t xml:space="preserve">more than half of providers (22/32) and just over half of DHBs. </w:t>
      </w:r>
    </w:p>
    <w:p w14:paraId="136E86CE" w14:textId="76459367" w:rsidR="00900633" w:rsidRPr="00951E5C" w:rsidRDefault="00900633" w:rsidP="00900633">
      <w:pPr>
        <w:pStyle w:val="Caption"/>
      </w:pPr>
      <w:bookmarkStart w:id="141" w:name="_Toc62703584"/>
      <w:r>
        <w:t xml:space="preserve">Figure </w:t>
      </w:r>
      <w:fldSimple w:instr=" SEQ Figure \* ARABIC ">
        <w:r w:rsidR="009B082D">
          <w:rPr>
            <w:noProof/>
          </w:rPr>
          <w:t>12</w:t>
        </w:r>
      </w:fldSimple>
      <w:r>
        <w:t xml:space="preserve">. Interest in delivering MIVP activities again in 2021, if funding were </w:t>
      </w:r>
      <w:proofErr w:type="gramStart"/>
      <w:r>
        <w:t>available</w:t>
      </w:r>
      <w:bookmarkEnd w:id="141"/>
      <w:proofErr w:type="gramEnd"/>
    </w:p>
    <w:p w14:paraId="123639CC" w14:textId="77777777" w:rsidR="00900633" w:rsidRPr="00AB4E6B" w:rsidRDefault="00900633" w:rsidP="00900633">
      <w:pPr>
        <w:pStyle w:val="BodyText"/>
        <w:numPr>
          <w:ilvl w:val="0"/>
          <w:numId w:val="0"/>
        </w:numPr>
        <w:rPr>
          <w:rFonts w:eastAsia="Arial Nova Light"/>
        </w:rPr>
      </w:pPr>
      <w:r w:rsidRPr="00AB4E6B">
        <w:rPr>
          <w:rFonts w:eastAsia="Arial Nova Light"/>
          <w:noProof/>
        </w:rPr>
        <w:drawing>
          <wp:inline distT="0" distB="0" distL="0" distR="0" wp14:anchorId="41AA1F33" wp14:editId="769631E9">
            <wp:extent cx="5166000" cy="2905200"/>
            <wp:effectExtent l="0" t="0" r="3175" b="3175"/>
            <wp:docPr id="33" name="Picture 33" descr="Out of 18 DHB responses (4 chose not to respond) and 32 Provider responses (5 chose not to respond and 2 ineli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Out of 18 DHB responses (4 chose not to respond) and 32 Provider responses (5 chose not to respond and 2 ineligib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6000" cy="2905200"/>
                    </a:xfrm>
                    <a:prstGeom prst="rect">
                      <a:avLst/>
                    </a:prstGeom>
                    <a:noFill/>
                  </pic:spPr>
                </pic:pic>
              </a:graphicData>
            </a:graphic>
          </wp:inline>
        </w:drawing>
      </w:r>
    </w:p>
    <w:p w14:paraId="5C1C0851" w14:textId="6CCF397B" w:rsidR="00900633" w:rsidRDefault="00900633" w:rsidP="00DD32E7">
      <w:pPr>
        <w:pStyle w:val="Heading2"/>
      </w:pPr>
      <w:bookmarkStart w:id="142" w:name="_Toc70763293"/>
      <w:r>
        <w:lastRenderedPageBreak/>
        <w:t xml:space="preserve">MIVP </w:t>
      </w:r>
      <w:r w:rsidR="00790401" w:rsidRPr="00900633">
        <w:t>Funding needs</w:t>
      </w:r>
      <w:bookmarkEnd w:id="142"/>
    </w:p>
    <w:p w14:paraId="618F3EB6" w14:textId="77777777" w:rsidR="00DD32E7" w:rsidRDefault="00DD32E7" w:rsidP="00DD32E7">
      <w:pPr>
        <w:pStyle w:val="Heading3"/>
      </w:pPr>
      <w:r w:rsidRPr="00DD32E7">
        <w:t xml:space="preserve">Support for vaccine </w:t>
      </w:r>
      <w:proofErr w:type="gramStart"/>
      <w:r w:rsidRPr="00DD32E7">
        <w:t>management ,</w:t>
      </w:r>
      <w:proofErr w:type="gramEnd"/>
      <w:r w:rsidRPr="00DD32E7">
        <w:t xml:space="preserve"> workforce and outreach costs.</w:t>
      </w:r>
      <w:r>
        <w:t xml:space="preserve"> </w:t>
      </w:r>
    </w:p>
    <w:p w14:paraId="69447CFF" w14:textId="5FB7CE8C" w:rsidR="0058225B" w:rsidRDefault="00C25570" w:rsidP="0058225B">
      <w:pPr>
        <w:pStyle w:val="BodyText"/>
        <w:numPr>
          <w:ilvl w:val="0"/>
          <w:numId w:val="0"/>
        </w:numPr>
      </w:pPr>
      <w:r>
        <w:t xml:space="preserve">Providers indicated that if they were to implement MIVP in 2021, in the main they </w:t>
      </w:r>
      <w:r w:rsidR="00821C62">
        <w:t xml:space="preserve">would </w:t>
      </w:r>
      <w:r>
        <w:t>need</w:t>
      </w:r>
      <w:r w:rsidR="004E6DA7" w:rsidRPr="004E6DA7">
        <w:t xml:space="preserve"> </w:t>
      </w:r>
      <w:r w:rsidR="004E6DA7">
        <w:t>additional funding support to operationalise activities funded by MIVP in 2020</w:t>
      </w:r>
      <w:r w:rsidR="00821C62">
        <w:t xml:space="preserve">. </w:t>
      </w:r>
      <w:proofErr w:type="gramStart"/>
      <w:r w:rsidR="004E6DA7">
        <w:t>In particular, they</w:t>
      </w:r>
      <w:proofErr w:type="gramEnd"/>
      <w:r w:rsidR="004E6DA7">
        <w:t xml:space="preserve"> need</w:t>
      </w:r>
      <w:r>
        <w:t xml:space="preserve"> funding for vaccine management and for workforce</w:t>
      </w:r>
      <w:r w:rsidR="00821C62">
        <w:t>-</w:t>
      </w:r>
      <w:r>
        <w:t>related costs</w:t>
      </w:r>
      <w:r w:rsidRPr="00C25570">
        <w:t>. DHBs also indicated they would use funding for staff and outreach</w:t>
      </w:r>
      <w:r w:rsidR="00821C62">
        <w:t>-</w:t>
      </w:r>
      <w:r w:rsidRPr="00C25570">
        <w:t xml:space="preserve">related costs. (See </w:t>
      </w:r>
      <w:r w:rsidR="001958AE" w:rsidRPr="00C25570">
        <w:fldChar w:fldCharType="begin"/>
      </w:r>
      <w:r w:rsidR="001958AE" w:rsidRPr="00C25570">
        <w:instrText xml:space="preserve"> REF _Ref58483142 \h  \* MERGEFORMAT </w:instrText>
      </w:r>
      <w:r w:rsidR="001958AE" w:rsidRPr="00C25570">
        <w:fldChar w:fldCharType="separate"/>
      </w:r>
      <w:r w:rsidR="009B082D">
        <w:rPr>
          <w:noProof/>
        </w:rPr>
        <w:t>Figure</w:t>
      </w:r>
      <w:r w:rsidR="009B082D">
        <w:t xml:space="preserve"> 13</w:t>
      </w:r>
      <w:r w:rsidR="001958AE" w:rsidRPr="00C25570">
        <w:fldChar w:fldCharType="end"/>
      </w:r>
      <w:r w:rsidR="001958AE">
        <w:t xml:space="preserve"> and</w:t>
      </w:r>
      <w:r w:rsidR="0058225B">
        <w:t xml:space="preserve"> </w:t>
      </w:r>
      <w:r w:rsidR="0058225B">
        <w:fldChar w:fldCharType="begin"/>
      </w:r>
      <w:r w:rsidR="0058225B">
        <w:instrText xml:space="preserve"> REF _Ref62702827 \h </w:instrText>
      </w:r>
      <w:r w:rsidR="0058225B">
        <w:fldChar w:fldCharType="separate"/>
      </w:r>
      <w:r w:rsidR="009B082D">
        <w:t xml:space="preserve">Figure </w:t>
      </w:r>
      <w:r w:rsidR="009B082D">
        <w:rPr>
          <w:noProof/>
        </w:rPr>
        <w:t>14</w:t>
      </w:r>
      <w:r w:rsidR="0058225B">
        <w:fldChar w:fldCharType="end"/>
      </w:r>
      <w:r w:rsidR="0058225B">
        <w:t>).</w:t>
      </w:r>
    </w:p>
    <w:p w14:paraId="111D8043" w14:textId="0EA48CB6" w:rsidR="00E767D1" w:rsidRDefault="00E767D1" w:rsidP="0058225B">
      <w:pPr>
        <w:pStyle w:val="Caption"/>
      </w:pPr>
      <w:bookmarkStart w:id="143" w:name="_Ref58483142"/>
      <w:bookmarkStart w:id="144" w:name="_Ref58536259"/>
      <w:bookmarkStart w:id="145" w:name="_Ref58536349"/>
      <w:bookmarkStart w:id="146" w:name="_Toc62703585"/>
      <w:r>
        <w:t xml:space="preserve">Figure </w:t>
      </w:r>
      <w:fldSimple w:instr=" SEQ Figure \* ARABIC ">
        <w:r w:rsidR="009B082D">
          <w:rPr>
            <w:noProof/>
          </w:rPr>
          <w:t>13</w:t>
        </w:r>
      </w:fldSimple>
      <w:bookmarkEnd w:id="143"/>
      <w:r w:rsidR="00B757CC">
        <w:rPr>
          <w:noProof/>
        </w:rPr>
        <w:t>.</w:t>
      </w:r>
      <w:r>
        <w:t xml:space="preserve"> Support needed by providers to deliver MIVP in </w:t>
      </w:r>
      <w:proofErr w:type="gramStart"/>
      <w:r>
        <w:t>2021</w:t>
      </w:r>
      <w:bookmarkEnd w:id="144"/>
      <w:bookmarkEnd w:id="145"/>
      <w:bookmarkEnd w:id="146"/>
      <w:proofErr w:type="gramEnd"/>
    </w:p>
    <w:p w14:paraId="1664B18B" w14:textId="63DEA1DF" w:rsidR="00CF5A04" w:rsidRDefault="00B757CC" w:rsidP="001958AE">
      <w:pPr>
        <w:pStyle w:val="BodyText"/>
        <w:numPr>
          <w:ilvl w:val="0"/>
          <w:numId w:val="0"/>
        </w:numPr>
        <w:jc w:val="center"/>
      </w:pPr>
      <w:r>
        <w:rPr>
          <w:noProof/>
        </w:rPr>
        <w:drawing>
          <wp:inline distT="0" distB="0" distL="0" distR="0" wp14:anchorId="318B5E03" wp14:editId="0DCBC119">
            <wp:extent cx="5166000" cy="2905200"/>
            <wp:effectExtent l="0" t="0" r="3175" b="3175"/>
            <wp:docPr id="23" name="Picture 23" descr="Out of 34 Provider responses. Providers stated that a lot of help is needed for Funding for extra hours (13), Funding for vaccine (13), Funding for staff to run the programme (12), Funding for transport to reach whānau (7) and Sourcing vaccine (5). Some help is needed for Funding for extra hours (12), Sourcing vaccine (12), Vaccination training for staff (12), Funding transport to reach whānau (11), Identifying whānau (11), Sourcing outreach equipment (10). &#10;No help is needed for Training on vaccine storage and managment (18), Equipment for vaccine management (18), Vaccination training for staff (15), Sourcing outreach equipment (15), Identifying whānau (12), Sourcing vaccin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ut of 34 Provider responses. Providers stated that a lot of help is needed for Funding for extra hours (13), Funding for vaccine (13), Funding for staff to run the programme (12), Funding for transport to reach whānau (7) and Sourcing vaccine (5). Some help is needed for Funding for extra hours (12), Sourcing vaccine (12), Vaccination training for staff (12), Funding transport to reach whānau (11), Identifying whānau (11), Sourcing outreach equipment (10). &#10;No help is needed for Training on vaccine storage and managment (18), Equipment for vaccine management (18), Vaccination training for staff (15), Sourcing outreach equipment (15), Identifying whānau (12), Sourcing vaccine (10).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6000" cy="2905200"/>
                    </a:xfrm>
                    <a:prstGeom prst="rect">
                      <a:avLst/>
                    </a:prstGeom>
                    <a:noFill/>
                  </pic:spPr>
                </pic:pic>
              </a:graphicData>
            </a:graphic>
          </wp:inline>
        </w:drawing>
      </w:r>
    </w:p>
    <w:p w14:paraId="39EE8DFA" w14:textId="5F290AA3" w:rsidR="00DA1647" w:rsidRDefault="00DA1647">
      <w:pPr>
        <w:spacing w:before="0" w:after="160" w:line="259" w:lineRule="auto"/>
        <w:rPr>
          <w:i/>
          <w:iCs/>
          <w:color w:val="0B5A6E" w:themeColor="accent3" w:themeShade="80"/>
          <w:sz w:val="16"/>
          <w:szCs w:val="18"/>
        </w:rPr>
      </w:pPr>
      <w:bookmarkStart w:id="147" w:name="_Ref58483201"/>
    </w:p>
    <w:p w14:paraId="3F54D68A" w14:textId="6E99966C" w:rsidR="00E767D1" w:rsidRDefault="00E767D1" w:rsidP="00900633">
      <w:pPr>
        <w:pStyle w:val="Caption"/>
      </w:pPr>
      <w:bookmarkStart w:id="148" w:name="_Ref62702827"/>
      <w:bookmarkStart w:id="149" w:name="_Toc62703586"/>
      <w:r>
        <w:t xml:space="preserve">Figure </w:t>
      </w:r>
      <w:fldSimple w:instr=" SEQ Figure \* ARABIC ">
        <w:r w:rsidR="009B082D">
          <w:rPr>
            <w:noProof/>
          </w:rPr>
          <w:t>14</w:t>
        </w:r>
      </w:fldSimple>
      <w:bookmarkEnd w:id="147"/>
      <w:bookmarkEnd w:id="148"/>
      <w:r w:rsidR="00B757CC">
        <w:rPr>
          <w:noProof/>
        </w:rPr>
        <w:t>.</w:t>
      </w:r>
      <w:r>
        <w:t xml:space="preserve"> Support needed by DHBs to deliver MIVP in </w:t>
      </w:r>
      <w:proofErr w:type="gramStart"/>
      <w:r>
        <w:t>2021</w:t>
      </w:r>
      <w:bookmarkEnd w:id="149"/>
      <w:proofErr w:type="gramEnd"/>
    </w:p>
    <w:p w14:paraId="5536C3CB" w14:textId="33434CE1" w:rsidR="00CF5A04" w:rsidRDefault="00B757CC" w:rsidP="00855C9E">
      <w:r>
        <w:rPr>
          <w:noProof/>
        </w:rPr>
        <w:drawing>
          <wp:inline distT="0" distB="0" distL="0" distR="0" wp14:anchorId="7B512F74" wp14:editId="4CF5604B">
            <wp:extent cx="5166000" cy="2905200"/>
            <wp:effectExtent l="0" t="0" r="3175" b="3175"/>
            <wp:docPr id="24" name="Picture 24" descr="Out of 18 DHB responses. DHBs stated that a lot of help is needed for Funding for staff to run the programme (5), Funding for extra hours (3), Funding for transport to reach whānau (3), Funding for vaccine (2), Sourcing vaccine (2) and Sourcing outreach equipment (2). &#10;Some help is needed for Funding for extra hours (11), Funding transport to reach whānau (10), Funding for vaccine (9), Funding for staff to run the programme (9), Sourcing vaccine (9). &#10;No help is needed for Training on vaccine storage and management (8), Equipment for vaccine management (7), Vaccination training for staff (6), Sourcing outreach equipmen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Out of 18 DHB responses. DHBs stated that a lot of help is needed for Funding for staff to run the programme (5), Funding for extra hours (3), Funding for transport to reach whānau (3), Funding for vaccine (2), Sourcing vaccine (2) and Sourcing outreach equipment (2). &#10;Some help is needed for Funding for extra hours (11), Funding transport to reach whānau (10), Funding for vaccine (9), Funding for staff to run the programme (9), Sourcing vaccine (9). &#10;No help is needed for Training on vaccine storage and management (8), Equipment for vaccine management (7), Vaccination training for staff (6), Sourcing outreach equipment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6000" cy="2905200"/>
                    </a:xfrm>
                    <a:prstGeom prst="rect">
                      <a:avLst/>
                    </a:prstGeom>
                    <a:noFill/>
                  </pic:spPr>
                </pic:pic>
              </a:graphicData>
            </a:graphic>
          </wp:inline>
        </w:drawing>
      </w:r>
    </w:p>
    <w:p w14:paraId="057E0FD9" w14:textId="77777777" w:rsidR="00837B50" w:rsidRDefault="00837B50" w:rsidP="00837B50">
      <w:pPr>
        <w:pStyle w:val="NoSpacing"/>
      </w:pPr>
    </w:p>
    <w:p w14:paraId="77D25F01" w14:textId="64DD13D9" w:rsidR="00DD32E7" w:rsidRPr="00DD32E7" w:rsidRDefault="00DD32E7" w:rsidP="00DD32E7">
      <w:pPr>
        <w:pStyle w:val="Heading2"/>
      </w:pPr>
      <w:bookmarkStart w:id="150" w:name="_Toc70763294"/>
      <w:r>
        <w:lastRenderedPageBreak/>
        <w:t xml:space="preserve">MIVP </w:t>
      </w:r>
      <w:r w:rsidR="001958AE" w:rsidRPr="00C25570">
        <w:t>Funding amounts</w:t>
      </w:r>
      <w:bookmarkEnd w:id="150"/>
    </w:p>
    <w:p w14:paraId="585D788E" w14:textId="77777777" w:rsidR="00DD32E7" w:rsidRDefault="00DD32E7" w:rsidP="00DD32E7">
      <w:pPr>
        <w:pStyle w:val="Heading3"/>
      </w:pPr>
      <w:r>
        <w:t>P</w:t>
      </w:r>
      <w:r w:rsidR="001958AE" w:rsidRPr="001D6A10">
        <w:t xml:space="preserve">roviders and DHBs indicated they would need similar or more funding in 2021. </w:t>
      </w:r>
    </w:p>
    <w:p w14:paraId="34653ADD" w14:textId="7B0A1001" w:rsidR="00DD32E7" w:rsidRDefault="001958AE" w:rsidP="00DA1647">
      <w:pPr>
        <w:pStyle w:val="BodyText"/>
      </w:pPr>
      <w:r w:rsidRPr="001D6A10">
        <w:t>Around half of providers and DHBs indicated they would like more funding. A small number indicated they would need less funding</w:t>
      </w:r>
      <w:r w:rsidR="002F462C">
        <w:t>.</w:t>
      </w:r>
      <w:r>
        <w:t xml:space="preserve"> </w:t>
      </w:r>
    </w:p>
    <w:p w14:paraId="38F5E38D" w14:textId="130E9C2E" w:rsidR="00DD32E7" w:rsidRDefault="00DD32E7" w:rsidP="00DD32E7">
      <w:pPr>
        <w:pStyle w:val="Caption"/>
        <w:rPr>
          <w:rFonts w:eastAsia="Arial Nova Light"/>
        </w:rPr>
      </w:pPr>
      <w:bookmarkStart w:id="151" w:name="_Ref61796310"/>
      <w:bookmarkStart w:id="152" w:name="_Ref61796303"/>
      <w:bookmarkStart w:id="153" w:name="_Toc62703587"/>
      <w:r>
        <w:t xml:space="preserve">Figure </w:t>
      </w:r>
      <w:fldSimple w:instr=" SEQ Figure \* ARABIC ">
        <w:r w:rsidR="009B082D">
          <w:rPr>
            <w:noProof/>
          </w:rPr>
          <w:t>15</w:t>
        </w:r>
      </w:fldSimple>
      <w:bookmarkEnd w:id="151"/>
      <w:r>
        <w:t xml:space="preserve">. Funding needed by DHBs and providers to deliver MIVP in 2021, in comparison to funding received in </w:t>
      </w:r>
      <w:proofErr w:type="gramStart"/>
      <w:r>
        <w:t>2020</w:t>
      </w:r>
      <w:bookmarkEnd w:id="152"/>
      <w:bookmarkEnd w:id="153"/>
      <w:proofErr w:type="gramEnd"/>
    </w:p>
    <w:p w14:paraId="700CDFE2" w14:textId="4489F425" w:rsidR="00DD32E7" w:rsidRDefault="00DD32E7" w:rsidP="00DD32E7">
      <w:pPr>
        <w:rPr>
          <w:rFonts w:eastAsia="Arial Nova Light"/>
        </w:rPr>
      </w:pPr>
      <w:r>
        <w:rPr>
          <w:rFonts w:eastAsia="Arial Nova Light"/>
          <w:noProof/>
        </w:rPr>
        <w:drawing>
          <wp:inline distT="0" distB="0" distL="0" distR="0" wp14:anchorId="21AE51B5" wp14:editId="7A9D8285">
            <wp:extent cx="5166000" cy="2905200"/>
            <wp:effectExtent l="0" t="0" r="3175" b="3175"/>
            <wp:docPr id="18" name="Picture 18" descr="Out of 16 DHB responses (3 chose not to respond) and 32 Provider responses (2 ineli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ut of 16 DHB responses (3 chose not to respond) and 32 Provider responses (2 ineligib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6000" cy="2905200"/>
                    </a:xfrm>
                    <a:prstGeom prst="rect">
                      <a:avLst/>
                    </a:prstGeom>
                    <a:noFill/>
                  </pic:spPr>
                </pic:pic>
              </a:graphicData>
            </a:graphic>
          </wp:inline>
        </w:drawing>
      </w:r>
    </w:p>
    <w:p w14:paraId="5F5316AF" w14:textId="77777777" w:rsidR="00837B50" w:rsidRDefault="00837B50" w:rsidP="00837B50">
      <w:pPr>
        <w:pStyle w:val="NoSpacing"/>
      </w:pPr>
    </w:p>
    <w:p w14:paraId="458ABBFA" w14:textId="2A73415E" w:rsidR="001958AE" w:rsidRDefault="001958AE" w:rsidP="00DD32E7">
      <w:pPr>
        <w:pStyle w:val="BodyText"/>
      </w:pPr>
      <w:r>
        <w:t xml:space="preserve">DHBs and to a </w:t>
      </w:r>
      <w:proofErr w:type="gramStart"/>
      <w:r>
        <w:t>lesser extent providers</w:t>
      </w:r>
      <w:proofErr w:type="gramEnd"/>
      <w:r>
        <w:t xml:space="preserve"> suggested that less funding was needed as some capacity had been </w:t>
      </w:r>
      <w:r w:rsidR="006138B3">
        <w:t xml:space="preserve">developed </w:t>
      </w:r>
      <w:r>
        <w:t>in terms of equipment and resources</w:t>
      </w:r>
      <w:r w:rsidR="006138B3">
        <w:t>, such as</w:t>
      </w:r>
      <w:r>
        <w:t xml:space="preserve"> fridges</w:t>
      </w:r>
      <w:r w:rsidR="006138B3">
        <w:t xml:space="preserve"> and</w:t>
      </w:r>
      <w:r>
        <w:t xml:space="preserve"> gazebos</w:t>
      </w:r>
      <w:r w:rsidR="006138B3">
        <w:t>,</w:t>
      </w:r>
      <w:r>
        <w:t xml:space="preserve"> and would still be available in 2021. However, some of this equipment might need to be replaced or upgraded</w:t>
      </w:r>
      <w:r w:rsidR="006138B3">
        <w:t xml:space="preserve">, for example </w:t>
      </w:r>
      <w:r>
        <w:t>fridges instead of chilly bins and better quality wet</w:t>
      </w:r>
      <w:r w:rsidR="006138B3">
        <w:t>-</w:t>
      </w:r>
      <w:r>
        <w:t xml:space="preserve">weather gear. </w:t>
      </w:r>
    </w:p>
    <w:p w14:paraId="765A3338" w14:textId="0AF3AB62" w:rsidR="001958AE" w:rsidRDefault="001958AE" w:rsidP="00DD32E7">
      <w:pPr>
        <w:pStyle w:val="BodyText"/>
      </w:pPr>
      <w:r>
        <w:t>DHBs also identified existing sources of funding such as the Māori Provider Development Scheme (MPDS)</w:t>
      </w:r>
      <w:r w:rsidR="006138B3">
        <w:t xml:space="preserve"> or</w:t>
      </w:r>
      <w:r>
        <w:t xml:space="preserve"> DHB workforce development funding, which might be used to support training as well as funding allocated through MIVP. </w:t>
      </w:r>
      <w:proofErr w:type="gramStart"/>
      <w:r>
        <w:t>Also</w:t>
      </w:r>
      <w:proofErr w:type="gramEnd"/>
      <w:r>
        <w:t xml:space="preserve"> some DHBs and providers did not use all of their funding due to context factors such as the second</w:t>
      </w:r>
      <w:r w:rsidR="006138B3">
        <w:t xml:space="preserve"> period of</w:t>
      </w:r>
      <w:r>
        <w:t xml:space="preserve"> </w:t>
      </w:r>
      <w:r w:rsidR="006138B3">
        <w:t xml:space="preserve">COVID-19 </w:t>
      </w:r>
      <w:r>
        <w:t>Alert Level 1 in Auckland and services providers not able to take up contracts due to the lack of capacity.</w:t>
      </w:r>
    </w:p>
    <w:p w14:paraId="66361711" w14:textId="27F5851F" w:rsidR="0011194B" w:rsidRDefault="0011194B" w:rsidP="0011194B">
      <w:pPr>
        <w:pStyle w:val="Heading2"/>
      </w:pPr>
      <w:bookmarkStart w:id="154" w:name="_Toc70763295"/>
      <w:r>
        <w:t>Funding implications and considerations for 2021</w:t>
      </w:r>
      <w:bookmarkEnd w:id="154"/>
    </w:p>
    <w:p w14:paraId="5C9738D9" w14:textId="31245136" w:rsidR="00EE2B4D" w:rsidRDefault="00EE2B4D" w:rsidP="00EE3765">
      <w:pPr>
        <w:pStyle w:val="BodyText"/>
      </w:pPr>
      <w:r>
        <w:t>This section presents a series of tables by region, and a combination of f</w:t>
      </w:r>
      <w:r w:rsidRPr="00EE2B4D">
        <w:t>unding allocations, context for funding decisions and outcomes observed by DHB region</w:t>
      </w:r>
      <w:r>
        <w:t xml:space="preserve">. </w:t>
      </w:r>
      <w:r w:rsidR="001958AE">
        <w:t>(</w:t>
      </w:r>
      <w:r>
        <w:t xml:space="preserve">See </w:t>
      </w:r>
      <w:r w:rsidR="000B6910">
        <w:fldChar w:fldCharType="begin"/>
      </w:r>
      <w:r w:rsidR="000B6910">
        <w:instrText xml:space="preserve"> REF _Ref61810794 \h </w:instrText>
      </w:r>
      <w:r w:rsidR="000B6910">
        <w:fldChar w:fldCharType="separate"/>
      </w:r>
      <w:r w:rsidR="000B6910">
        <w:t xml:space="preserve">Table </w:t>
      </w:r>
      <w:r w:rsidR="000B6910">
        <w:rPr>
          <w:noProof/>
        </w:rPr>
        <w:t>15</w:t>
      </w:r>
      <w:r w:rsidR="000B6910">
        <w:fldChar w:fldCharType="end"/>
      </w:r>
      <w:r>
        <w:t>, in Appendix 2 for a single table of all variables</w:t>
      </w:r>
      <w:r w:rsidR="001958AE">
        <w:t>)</w:t>
      </w:r>
      <w:r>
        <w:t xml:space="preserve">. </w:t>
      </w:r>
    </w:p>
    <w:p w14:paraId="110DC8E7" w14:textId="624D300B" w:rsidR="00926E45" w:rsidRDefault="00882E29" w:rsidP="00EE3765">
      <w:pPr>
        <w:pStyle w:val="BodyText"/>
      </w:pPr>
      <w:r>
        <w:fldChar w:fldCharType="begin"/>
      </w:r>
      <w:r>
        <w:instrText xml:space="preserve"> REF _Ref62703083 \h </w:instrText>
      </w:r>
      <w:r>
        <w:fldChar w:fldCharType="separate"/>
      </w:r>
      <w:r w:rsidR="009B082D">
        <w:t xml:space="preserve">Table </w:t>
      </w:r>
      <w:r w:rsidR="009B082D">
        <w:rPr>
          <w:noProof/>
        </w:rPr>
        <w:t>7</w:t>
      </w:r>
      <w:r>
        <w:fldChar w:fldCharType="end"/>
      </w:r>
      <w:r w:rsidR="002C4C5C">
        <w:t xml:space="preserve"> </w:t>
      </w:r>
      <w:r w:rsidR="00EE2B4D">
        <w:t>provides an overview of the criteria for indicative funding allocation by region and the actual funding awarded to each region. T</w:t>
      </w:r>
      <w:r w:rsidR="00F728E9">
        <w:t xml:space="preserve">he total funding awarded </w:t>
      </w:r>
      <w:r w:rsidR="00EE2B4D">
        <w:t xml:space="preserve">to each DHB region is shown in two ways: the funding awarded per region based on the number of unvaccinated Māori over 65 years as </w:t>
      </w:r>
      <w:proofErr w:type="gramStart"/>
      <w:r w:rsidR="00EE2B4D">
        <w:t>at</w:t>
      </w:r>
      <w:proofErr w:type="gramEnd"/>
      <w:r w:rsidR="00EE2B4D">
        <w:t xml:space="preserve"> 8 May 2020</w:t>
      </w:r>
      <w:r w:rsidR="00EE2B4D">
        <w:rPr>
          <w:rStyle w:val="FootnoteReference"/>
        </w:rPr>
        <w:footnoteReference w:id="17"/>
      </w:r>
      <w:r w:rsidR="00EE2B4D">
        <w:t xml:space="preserve"> and total funding awarded to each </w:t>
      </w:r>
      <w:r w:rsidR="00F728E9">
        <w:t>DHB</w:t>
      </w:r>
      <w:r w:rsidR="00B45655">
        <w:t xml:space="preserve"> region</w:t>
      </w:r>
      <w:r w:rsidR="00B45655">
        <w:rPr>
          <w:rStyle w:val="FootnoteReference"/>
        </w:rPr>
        <w:footnoteReference w:id="18"/>
      </w:r>
      <w:r w:rsidR="00EE2B4D">
        <w:t>.</w:t>
      </w:r>
    </w:p>
    <w:p w14:paraId="55A8ACCA" w14:textId="28DA46F0" w:rsidR="002C4C5C" w:rsidRDefault="002C4C5C" w:rsidP="00900633">
      <w:pPr>
        <w:pStyle w:val="Caption"/>
      </w:pPr>
      <w:bookmarkStart w:id="155" w:name="_Ref62703083"/>
      <w:bookmarkStart w:id="156" w:name="_Toc62703563"/>
      <w:r>
        <w:lastRenderedPageBreak/>
        <w:t xml:space="preserve">Table </w:t>
      </w:r>
      <w:r>
        <w:fldChar w:fldCharType="begin"/>
      </w:r>
      <w:r>
        <w:instrText>SEQ Table \* ARABIC</w:instrText>
      </w:r>
      <w:r>
        <w:fldChar w:fldCharType="separate"/>
      </w:r>
      <w:r w:rsidR="009B082D">
        <w:rPr>
          <w:noProof/>
        </w:rPr>
        <w:t>7</w:t>
      </w:r>
      <w:r>
        <w:fldChar w:fldCharType="end"/>
      </w:r>
      <w:bookmarkEnd w:id="155"/>
      <w:r>
        <w:t xml:space="preserve">. Funding awarded by DHB region (assuming equal split allocation for collaborative applications) with corresponding population and equity gap </w:t>
      </w:r>
      <w:proofErr w:type="gramStart"/>
      <w:r>
        <w:t>data</w:t>
      </w:r>
      <w:bookmarkEnd w:id="156"/>
      <w:proofErr w:type="gramEnd"/>
    </w:p>
    <w:p w14:paraId="32531661" w14:textId="5032BBDE" w:rsidR="002C4C5C" w:rsidRDefault="002C4C5C" w:rsidP="002C4C5C">
      <w:r w:rsidRPr="002C4C5C">
        <w:rPr>
          <w:noProof/>
        </w:rPr>
        <w:drawing>
          <wp:inline distT="0" distB="0" distL="0" distR="0" wp14:anchorId="3EECB033" wp14:editId="5379BFCE">
            <wp:extent cx="5306695" cy="3411220"/>
            <wp:effectExtent l="0" t="0" r="8255" b="0"/>
            <wp:docPr id="10" name="Picture 10" descr="Regions with the highest Māori 65+ population; Waikato (6420), Northland (5300), Counties Manukau (5180), Bay of Plenty (4770) and Canterbury (3720); received the highest and lowest amount of funding: $867k, $965k, $936k, $419k, and $74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gions with the highest Māori 65+ population; Waikato (6420), Northland (5300), Counties Manukau (5180), Bay of Plenty (4770) and Canterbury (3720); received the highest and lowest amount of funding: $867k, $965k, $936k, $419k, and $74k.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6695" cy="3411220"/>
                    </a:xfrm>
                    <a:prstGeom prst="rect">
                      <a:avLst/>
                    </a:prstGeom>
                    <a:noFill/>
                    <a:ln>
                      <a:noFill/>
                    </a:ln>
                  </pic:spPr>
                </pic:pic>
              </a:graphicData>
            </a:graphic>
          </wp:inline>
        </w:drawing>
      </w:r>
    </w:p>
    <w:p w14:paraId="2ED8DFBE" w14:textId="77777777" w:rsidR="00837B50" w:rsidRDefault="00837B50" w:rsidP="00837B50">
      <w:pPr>
        <w:pStyle w:val="NoSpacing"/>
      </w:pPr>
    </w:p>
    <w:p w14:paraId="0259C89B" w14:textId="0754FCA3" w:rsidR="00570EA5" w:rsidRDefault="00570EA5" w:rsidP="00EE3765">
      <w:pPr>
        <w:pStyle w:val="BodyText"/>
      </w:pPr>
      <w:r>
        <w:t>Indicative funding totalled $9.45m and was allocated relative to population of Māori over 65 years in each region. However, a</w:t>
      </w:r>
      <w:r w:rsidR="00B45655">
        <w:t xml:space="preserve">ctual funding was awarded based on applications received and approved </w:t>
      </w:r>
      <w:r w:rsidR="009B4E25">
        <w:t xml:space="preserve">(See </w:t>
      </w:r>
      <w:r w:rsidR="009B4E25" w:rsidRPr="009B4E25">
        <w:fldChar w:fldCharType="begin"/>
      </w:r>
      <w:r w:rsidR="009B4E25" w:rsidRPr="009B4E25">
        <w:instrText xml:space="preserve"> REF _Ref58253808 \h </w:instrText>
      </w:r>
      <w:r w:rsidR="009B4E25">
        <w:instrText xml:space="preserve"> \* MERGEFORMAT </w:instrText>
      </w:r>
      <w:r w:rsidR="009B4E25" w:rsidRPr="009B4E25">
        <w:fldChar w:fldCharType="separate"/>
      </w:r>
      <w:r w:rsidR="009B082D">
        <w:t xml:space="preserve">Table </w:t>
      </w:r>
      <w:r w:rsidR="009B082D">
        <w:rPr>
          <w:noProof/>
        </w:rPr>
        <w:t>1</w:t>
      </w:r>
      <w:r w:rsidR="009B4E25" w:rsidRPr="009B4E25">
        <w:fldChar w:fldCharType="end"/>
      </w:r>
      <w:r w:rsidR="009B4E25" w:rsidRPr="009B4E25">
        <w:t xml:space="preserve">, page </w:t>
      </w:r>
      <w:r w:rsidR="009B4E25" w:rsidRPr="009B4E25">
        <w:fldChar w:fldCharType="begin"/>
      </w:r>
      <w:r w:rsidR="009B4E25" w:rsidRPr="009B4E25">
        <w:instrText xml:space="preserve"> PAGEREF _Ref58259079 \h </w:instrText>
      </w:r>
      <w:r w:rsidR="009B4E25" w:rsidRPr="009B4E25">
        <w:fldChar w:fldCharType="separate"/>
      </w:r>
      <w:r w:rsidR="000B6910">
        <w:rPr>
          <w:noProof/>
        </w:rPr>
        <w:t>12</w:t>
      </w:r>
      <w:r w:rsidR="009B4E25" w:rsidRPr="009B4E25">
        <w:fldChar w:fldCharType="end"/>
      </w:r>
      <w:r w:rsidR="009B4E25" w:rsidRPr="009B4E25">
        <w:t>)</w:t>
      </w:r>
      <w:r>
        <w:t xml:space="preserve"> As a result, </w:t>
      </w:r>
      <w:r w:rsidRPr="00FA4DF1">
        <w:rPr>
          <w:b/>
          <w:bCs/>
        </w:rPr>
        <w:t xml:space="preserve">funding awarded </w:t>
      </w:r>
      <w:r w:rsidR="0063799F">
        <w:rPr>
          <w:b/>
          <w:bCs/>
        </w:rPr>
        <w:t xml:space="preserve">reflects the number of MIVP applications </w:t>
      </w:r>
      <w:r w:rsidR="0063799F" w:rsidRPr="0063799F">
        <w:t xml:space="preserve">and </w:t>
      </w:r>
      <w:r w:rsidR="00FA4DF1" w:rsidRPr="0063799F">
        <w:t>wa</w:t>
      </w:r>
      <w:r w:rsidRPr="0063799F">
        <w:t>s not always proportional to the population of Māori over 65 years in each region</w:t>
      </w:r>
      <w:r>
        <w:t xml:space="preserve">.  </w:t>
      </w:r>
    </w:p>
    <w:p w14:paraId="1B83332E" w14:textId="156B5353" w:rsidR="00EE3765" w:rsidRDefault="00EE3765" w:rsidP="00B45655">
      <w:pPr>
        <w:pStyle w:val="BodyText"/>
      </w:pPr>
      <w:r>
        <w:t xml:space="preserve">The average total funding awarded to each region was $366,971. The average amount per unvaccinated Māori as </w:t>
      </w:r>
      <w:proofErr w:type="gramStart"/>
      <w:r>
        <w:t>at</w:t>
      </w:r>
      <w:proofErr w:type="gramEnd"/>
      <w:r>
        <w:t xml:space="preserve"> 8 May 2020 was $303.10.</w:t>
      </w:r>
    </w:p>
    <w:p w14:paraId="094F8871" w14:textId="02ED31E4" w:rsidR="00580192" w:rsidRDefault="007D6F99" w:rsidP="00146565">
      <w:pPr>
        <w:pStyle w:val="BodyText"/>
      </w:pPr>
      <w:r>
        <w:t>Of note</w:t>
      </w:r>
      <w:r w:rsidR="00EE3765">
        <w:t>, C</w:t>
      </w:r>
      <w:r w:rsidR="00B45655">
        <w:t>anterbury has the fifth highest population of Māori over 65 years</w:t>
      </w:r>
      <w:r w:rsidR="00EE3765">
        <w:t xml:space="preserve">. </w:t>
      </w:r>
      <w:r w:rsidR="00003FE1">
        <w:t>Two</w:t>
      </w:r>
      <w:r w:rsidR="00B45655">
        <w:t xml:space="preserve"> applications </w:t>
      </w:r>
      <w:r w:rsidR="00EE3765">
        <w:t xml:space="preserve">were </w:t>
      </w:r>
      <w:r w:rsidR="00B45655">
        <w:t xml:space="preserve">received </w:t>
      </w:r>
      <w:r w:rsidR="00003FE1">
        <w:t>related to delivering services in</w:t>
      </w:r>
      <w:r w:rsidR="00B45655">
        <w:t xml:space="preserve"> Canterbury, and only one was funded. </w:t>
      </w:r>
      <w:r w:rsidR="00580192">
        <w:t xml:space="preserve">As a result, despite its relatively high </w:t>
      </w:r>
      <w:r w:rsidR="00EC6371">
        <w:t>Māori</w:t>
      </w:r>
      <w:r w:rsidR="00580192">
        <w:t xml:space="preserve"> population (3720), when compared to regions with a similarly high population of Māori over 65 years (</w:t>
      </w:r>
      <w:proofErr w:type="spellStart"/>
      <w:r w:rsidR="00EC6371">
        <w:t>Waitematā</w:t>
      </w:r>
      <w:proofErr w:type="spellEnd"/>
      <w:r w:rsidR="00580192">
        <w:t>, 3610 and Auckland, 3300), Canterbury received significantly less MIVP-specific funding.</w:t>
      </w:r>
    </w:p>
    <w:p w14:paraId="10B5AFCD" w14:textId="68A95DBD" w:rsidR="00815EC4" w:rsidRDefault="00490DCA" w:rsidP="00146565">
      <w:pPr>
        <w:pStyle w:val="BodyText"/>
      </w:pPr>
      <w:r>
        <w:fldChar w:fldCharType="begin"/>
      </w:r>
      <w:r>
        <w:instrText xml:space="preserve"> REF _Ref62703111 \h </w:instrText>
      </w:r>
      <w:r>
        <w:fldChar w:fldCharType="separate"/>
      </w:r>
      <w:r w:rsidR="009B082D">
        <w:t xml:space="preserve">Table </w:t>
      </w:r>
      <w:r w:rsidR="009B082D">
        <w:rPr>
          <w:noProof/>
        </w:rPr>
        <w:t>8</w:t>
      </w:r>
      <w:r>
        <w:fldChar w:fldCharType="end"/>
      </w:r>
      <w:r w:rsidR="00F728E9">
        <w:t xml:space="preserve"> shows </w:t>
      </w:r>
      <w:r w:rsidR="008D764A">
        <w:t xml:space="preserve">the funding awarded per region based on the number of unvaccinated Māori over 65 years as </w:t>
      </w:r>
      <w:proofErr w:type="gramStart"/>
      <w:r w:rsidR="008D764A">
        <w:t>at</w:t>
      </w:r>
      <w:proofErr w:type="gramEnd"/>
      <w:r w:rsidR="008D764A">
        <w:t xml:space="preserve"> 8 May 2020</w:t>
      </w:r>
      <w:r w:rsidR="008D764A">
        <w:rPr>
          <w:rStyle w:val="FootnoteReference"/>
        </w:rPr>
        <w:footnoteReference w:id="19"/>
      </w:r>
      <w:r w:rsidR="008D764A">
        <w:t xml:space="preserve"> and </w:t>
      </w:r>
      <w:r w:rsidR="00F728E9">
        <w:t>actual funding awarded to each DHB region</w:t>
      </w:r>
      <w:r w:rsidR="008D764A">
        <w:rPr>
          <w:rStyle w:val="FootnoteReference"/>
        </w:rPr>
        <w:footnoteReference w:id="20"/>
      </w:r>
      <w:r w:rsidR="008D764A">
        <w:t xml:space="preserve">. </w:t>
      </w:r>
      <w:r w:rsidR="007D6F99">
        <w:t>In addition, f</w:t>
      </w:r>
      <w:r w:rsidR="00F728E9">
        <w:t>unding decisions are compared against two outcome markers: the percentage of Māori over 65 years who received the flu vaccination before Week 46 2020 and the resulting equity gap in that region as at Week 46 2020</w:t>
      </w:r>
      <w:r w:rsidR="008D764A">
        <w:rPr>
          <w:rStyle w:val="FootnoteReference"/>
        </w:rPr>
        <w:footnoteReference w:id="21"/>
      </w:r>
      <w:r w:rsidR="00F728E9">
        <w:t>.</w:t>
      </w:r>
    </w:p>
    <w:p w14:paraId="00567EC9" w14:textId="77777777" w:rsidR="00837B50" w:rsidRDefault="00837B50">
      <w:pPr>
        <w:spacing w:before="0" w:after="160" w:line="259" w:lineRule="auto"/>
        <w:rPr>
          <w:i/>
          <w:iCs/>
          <w:color w:val="0B5A6E" w:themeColor="accent3" w:themeShade="80"/>
          <w:sz w:val="16"/>
          <w:szCs w:val="18"/>
        </w:rPr>
      </w:pPr>
      <w:bookmarkStart w:id="157" w:name="_Ref62703111"/>
      <w:bookmarkStart w:id="158" w:name="_Toc62703564"/>
      <w:bookmarkStart w:id="159" w:name="_Hlk59621829"/>
      <w:r>
        <w:br w:type="page"/>
      </w:r>
    </w:p>
    <w:p w14:paraId="0A150C02" w14:textId="7BF8515E" w:rsidR="00815EC4" w:rsidRDefault="00815EC4" w:rsidP="00900633">
      <w:pPr>
        <w:pStyle w:val="Caption"/>
      </w:pPr>
      <w:r>
        <w:lastRenderedPageBreak/>
        <w:t xml:space="preserve">Table </w:t>
      </w:r>
      <w:r>
        <w:fldChar w:fldCharType="begin"/>
      </w:r>
      <w:r>
        <w:instrText>SEQ Table \* ARABIC</w:instrText>
      </w:r>
      <w:r>
        <w:fldChar w:fldCharType="separate"/>
      </w:r>
      <w:r w:rsidR="009B082D">
        <w:rPr>
          <w:noProof/>
        </w:rPr>
        <w:t>8</w:t>
      </w:r>
      <w:r>
        <w:fldChar w:fldCharType="end"/>
      </w:r>
      <w:bookmarkEnd w:id="157"/>
      <w:r>
        <w:t xml:space="preserve">. Funding awarded by DHB region (assuming equal split allocation for collaborative applications) with corresponding percentage of Māori over 65 years population vaccinated </w:t>
      </w:r>
      <w:r w:rsidR="00217DF9">
        <w:t xml:space="preserve">and equity gap </w:t>
      </w:r>
      <w:r>
        <w:t xml:space="preserve">as at Week 46 </w:t>
      </w:r>
      <w:proofErr w:type="gramStart"/>
      <w:r>
        <w:t>2020</w:t>
      </w:r>
      <w:bookmarkEnd w:id="158"/>
      <w:proofErr w:type="gramEnd"/>
    </w:p>
    <w:bookmarkEnd w:id="159"/>
    <w:p w14:paraId="410B1B69" w14:textId="23D6405B" w:rsidR="00815EC4" w:rsidRDefault="00815EC4" w:rsidP="002C4C5C">
      <w:r w:rsidRPr="00815EC4">
        <w:rPr>
          <w:noProof/>
        </w:rPr>
        <w:drawing>
          <wp:inline distT="0" distB="0" distL="0" distR="0" wp14:anchorId="52A97F22" wp14:editId="646939DA">
            <wp:extent cx="5306695" cy="3330575"/>
            <wp:effectExtent l="0" t="0" r="8255" b="3175"/>
            <wp:docPr id="11" name="Picture 11" descr="Regions with highest amount of funding per unvaccinated Māori 65+ as at 8 May 2020: West Coast ($810.83), Whanganui ($780.82), Hawke's Bay ($431.41), Auckland ($401.93), Capital and Coast ($391.25), and  Waitematā ($275.01) achieved the highest and lowest percentage rates of vaccinated Māori 65+ by the end of 2020 (West Coast (56.57%), Whanganui (86.05%), Hawke's Bay (78.11%), Auckland (40.18%), Capital and Coast (60.64%), and  Waitematā (48.53%)) and best and worst equity gap (West Coast (-18.51), Whanganui (+8.38), Hawke's Bay (+5.16), Auckland (-22.15), Capital and Coast (-6.13), and  Waitematā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egions with highest amount of funding per unvaccinated Māori 65+ as at 8 May 2020: West Coast ($810.83), Whanganui ($780.82), Hawke's Bay ($431.41), Auckland ($401.93), Capital and Coast ($391.25), and  Waitematā ($275.01) achieved the highest and lowest percentage rates of vaccinated Māori 65+ by the end of 2020 (West Coast (56.57%), Whanganui (86.05%), Hawke's Bay (78.11%), Auckland (40.18%), Capital and Coast (60.64%), and  Waitematā (48.53%)) and best and worst equity gap (West Coast (-18.51), Whanganui (+8.38), Hawke's Bay (+5.16), Auckland (-22.15), Capital and Coast (-6.13), and  Waitematā (-12.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6695" cy="3330575"/>
                    </a:xfrm>
                    <a:prstGeom prst="rect">
                      <a:avLst/>
                    </a:prstGeom>
                    <a:noFill/>
                    <a:ln>
                      <a:noFill/>
                    </a:ln>
                  </pic:spPr>
                </pic:pic>
              </a:graphicData>
            </a:graphic>
          </wp:inline>
        </w:drawing>
      </w:r>
    </w:p>
    <w:p w14:paraId="510C5377" w14:textId="77777777" w:rsidR="00837B50" w:rsidRDefault="00837B50" w:rsidP="00837B50">
      <w:pPr>
        <w:pStyle w:val="NoSpacing"/>
      </w:pPr>
    </w:p>
    <w:p w14:paraId="5165E61C" w14:textId="78B89EBD" w:rsidR="007D6F99" w:rsidRDefault="006218A1" w:rsidP="006218A1">
      <w:pPr>
        <w:pStyle w:val="BodyText"/>
      </w:pPr>
      <w:r>
        <w:t xml:space="preserve">What </w:t>
      </w:r>
      <w:r w:rsidR="00832A29">
        <w:fldChar w:fldCharType="begin"/>
      </w:r>
      <w:r w:rsidR="00832A29">
        <w:instrText xml:space="preserve"> REF _Ref62703111 \h </w:instrText>
      </w:r>
      <w:r w:rsidR="00832A29">
        <w:fldChar w:fldCharType="separate"/>
      </w:r>
      <w:r w:rsidR="009B082D">
        <w:t xml:space="preserve">Table </w:t>
      </w:r>
      <w:r w:rsidR="009B082D">
        <w:rPr>
          <w:noProof/>
        </w:rPr>
        <w:t>8</w:t>
      </w:r>
      <w:r w:rsidR="00832A29">
        <w:fldChar w:fldCharType="end"/>
      </w:r>
      <w:r>
        <w:t xml:space="preserve"> illustrates is that </w:t>
      </w:r>
      <w:r w:rsidRPr="006218A1">
        <w:rPr>
          <w:b/>
          <w:bCs/>
        </w:rPr>
        <w:t xml:space="preserve">there </w:t>
      </w:r>
      <w:r w:rsidR="007D6F99" w:rsidRPr="006218A1">
        <w:rPr>
          <w:b/>
          <w:bCs/>
        </w:rPr>
        <w:t xml:space="preserve">is no clear relationship between the amount of funding awarded to a region, whether in total or by intended recipient, and </w:t>
      </w:r>
      <w:r w:rsidR="006138B3">
        <w:rPr>
          <w:b/>
          <w:bCs/>
        </w:rPr>
        <w:t xml:space="preserve">flu </w:t>
      </w:r>
      <w:r w:rsidR="007D6F99" w:rsidRPr="006218A1">
        <w:rPr>
          <w:b/>
          <w:bCs/>
        </w:rPr>
        <w:t>vaccination outcomes.</w:t>
      </w:r>
      <w:r w:rsidR="007D6F99">
        <w:t xml:space="preserve"> </w:t>
      </w:r>
    </w:p>
    <w:p w14:paraId="4D399CB5" w14:textId="609FAA1A" w:rsidR="007D6F99" w:rsidRDefault="007D6F99" w:rsidP="009203B6">
      <w:pPr>
        <w:pStyle w:val="BodyText"/>
      </w:pPr>
      <w:r>
        <w:t xml:space="preserve">The five regions that received the most funding (Northland, Counties Manukau, Waikato, Auckland and </w:t>
      </w:r>
      <w:proofErr w:type="spellStart"/>
      <w:r w:rsidR="00EC6371">
        <w:t>Waitematā</w:t>
      </w:r>
      <w:proofErr w:type="spellEnd"/>
      <w:r>
        <w:t xml:space="preserve">) achieved varied results in terms of percentage of Māori over 65 years vaccinated or change in the regional equity gap. </w:t>
      </w:r>
    </w:p>
    <w:p w14:paraId="363DB21B" w14:textId="77777777" w:rsidR="007D6F99" w:rsidRPr="009203B6" w:rsidRDefault="007D6F99" w:rsidP="009203B6">
      <w:pPr>
        <w:pStyle w:val="Bullet"/>
        <w:spacing w:after="60"/>
        <w:ind w:left="357" w:hanging="357"/>
        <w:contextualSpacing w:val="0"/>
      </w:pPr>
      <w:r w:rsidRPr="009203B6">
        <w:t xml:space="preserve">Northland achieved the fourth largest increase in percentage vaccinated compared with 2019 (17.53 percentage points) and shifted from 16th in 2019 to 10th position nationally in 2020. </w:t>
      </w:r>
    </w:p>
    <w:p w14:paraId="77E6944A" w14:textId="085AC823" w:rsidR="007D6F99" w:rsidRPr="009203B6" w:rsidRDefault="007D6F99" w:rsidP="009203B6">
      <w:pPr>
        <w:pStyle w:val="Bullet"/>
        <w:spacing w:after="60"/>
        <w:ind w:left="357" w:hanging="357"/>
        <w:contextualSpacing w:val="0"/>
      </w:pPr>
      <w:r w:rsidRPr="009203B6">
        <w:t xml:space="preserve">Waikato increased from 7th to 6th position nationally, with 13 percentage point increase, which is important given </w:t>
      </w:r>
      <w:r w:rsidR="009203B6">
        <w:t xml:space="preserve">that </w:t>
      </w:r>
      <w:r w:rsidR="00F86D50">
        <w:t xml:space="preserve">it </w:t>
      </w:r>
      <w:r w:rsidR="009203B6">
        <w:t xml:space="preserve">has the </w:t>
      </w:r>
      <w:r w:rsidR="00F86D50">
        <w:t xml:space="preserve">largest regional </w:t>
      </w:r>
      <w:r w:rsidR="009203B6">
        <w:t xml:space="preserve">Māori population </w:t>
      </w:r>
      <w:r w:rsidR="002F462C">
        <w:t xml:space="preserve">over 65 years </w:t>
      </w:r>
      <w:r w:rsidR="009203B6">
        <w:t>(6420)</w:t>
      </w:r>
      <w:r w:rsidRPr="009203B6">
        <w:t xml:space="preserve">. </w:t>
      </w:r>
    </w:p>
    <w:p w14:paraId="63D3DCF5" w14:textId="77777777" w:rsidR="007D6F99" w:rsidRPr="009203B6" w:rsidRDefault="007D6F99" w:rsidP="009203B6">
      <w:pPr>
        <w:pStyle w:val="Bullet"/>
        <w:spacing w:after="60"/>
        <w:ind w:left="357" w:hanging="357"/>
        <w:contextualSpacing w:val="0"/>
      </w:pPr>
      <w:r w:rsidRPr="009203B6">
        <w:t xml:space="preserve">In contrast, Auckland remains last nationally in terms of percentage of Māori over 65 years who received a flu vaccination, with the third lowest increase in vaccination rates for Māori over 65 years from 2019 to 2020 (7.4 percentage points) and the worst equity gap nationally as at Week 46 2020. </w:t>
      </w:r>
    </w:p>
    <w:p w14:paraId="51D0896E" w14:textId="684DA314" w:rsidR="007D6F99" w:rsidRPr="009203B6" w:rsidRDefault="00EC6371" w:rsidP="009203B6">
      <w:pPr>
        <w:pStyle w:val="Bullet"/>
        <w:spacing w:after="60"/>
        <w:ind w:left="357" w:hanging="357"/>
        <w:contextualSpacing w:val="0"/>
      </w:pPr>
      <w:proofErr w:type="spellStart"/>
      <w:r>
        <w:t>Waitematā</w:t>
      </w:r>
      <w:proofErr w:type="spellEnd"/>
      <w:r w:rsidR="007D6F99" w:rsidRPr="009203B6">
        <w:t xml:space="preserve"> and Counties Manukau achieved a slightly higher increase (12.63 and 10.51 percentage points respectively) and slightly higher percentage of population vaccinated (48.53% and 52.95% respectively</w:t>
      </w:r>
      <w:proofErr w:type="gramStart"/>
      <w:r w:rsidR="007D6F99" w:rsidRPr="009203B6">
        <w:t>), but</w:t>
      </w:r>
      <w:proofErr w:type="gramEnd"/>
      <w:r w:rsidR="007D6F99" w:rsidRPr="009203B6">
        <w:t xml:space="preserve"> remain in the bottom five regions nationally. </w:t>
      </w:r>
    </w:p>
    <w:p w14:paraId="09C83C99" w14:textId="77777777" w:rsidR="009203B6" w:rsidRDefault="007D6F99" w:rsidP="009203B6">
      <w:pPr>
        <w:pStyle w:val="Bullet"/>
        <w:spacing w:after="60"/>
        <w:ind w:left="357" w:hanging="357"/>
        <w:contextualSpacing w:val="0"/>
      </w:pPr>
      <w:r>
        <w:t xml:space="preserve">The two regions that received the most funding per unvaccinated Māori person over 65 years (Whanganui and West Coast) had almost opposite results. </w:t>
      </w:r>
    </w:p>
    <w:p w14:paraId="0A2955E9" w14:textId="05761BDF" w:rsidR="009203B6" w:rsidRDefault="007D6F99" w:rsidP="009203B6">
      <w:pPr>
        <w:pStyle w:val="Bullet"/>
        <w:numPr>
          <w:ilvl w:val="1"/>
          <w:numId w:val="2"/>
        </w:numPr>
        <w:spacing w:after="60"/>
        <w:contextualSpacing w:val="0"/>
      </w:pPr>
      <w:r>
        <w:t xml:space="preserve">Whanganui built from a strong history and foundation of flu vaccination equity, to achieve the highest percentage of vaccinated Māori over 65 years and equity outcome in 2020 with more Māori than </w:t>
      </w:r>
      <w:r w:rsidR="00EC6371">
        <w:t>non-Maori,</w:t>
      </w:r>
      <w:r>
        <w:t xml:space="preserve"> non-Pacific receiving a flu vaccination. </w:t>
      </w:r>
    </w:p>
    <w:p w14:paraId="3A0F881A" w14:textId="20E84845" w:rsidR="007D6F99" w:rsidRDefault="007D6F99" w:rsidP="009203B6">
      <w:pPr>
        <w:pStyle w:val="Bullet"/>
        <w:numPr>
          <w:ilvl w:val="1"/>
          <w:numId w:val="2"/>
        </w:numPr>
        <w:spacing w:after="60"/>
        <w:contextualSpacing w:val="0"/>
      </w:pPr>
      <w:r>
        <w:t>In contrast, West Coast received the most funding per unvaccinated Māori over 65 years and shifted from 10</w:t>
      </w:r>
      <w:r w:rsidRPr="00D7119C">
        <w:rPr>
          <w:vertAlign w:val="superscript"/>
        </w:rPr>
        <w:t>th</w:t>
      </w:r>
      <w:r>
        <w:t xml:space="preserve"> position in 2019 to 12</w:t>
      </w:r>
      <w:r w:rsidRPr="00D7119C">
        <w:rPr>
          <w:vertAlign w:val="superscript"/>
        </w:rPr>
        <w:t>th</w:t>
      </w:r>
      <w:r>
        <w:t xml:space="preserve"> position in 2020 nationally in terms of percentage Māori who received a flu vaccination, and the third worst equity gap as at Week 46 2020. </w:t>
      </w:r>
    </w:p>
    <w:p w14:paraId="00E50DE3" w14:textId="5D09288E" w:rsidR="007D6F99" w:rsidRPr="009B4E25" w:rsidRDefault="00AE48BB" w:rsidP="00146565">
      <w:pPr>
        <w:pStyle w:val="BodyText"/>
      </w:pPr>
      <w:r w:rsidRPr="009B4E25">
        <w:t xml:space="preserve">The average amount of funding awarded per unvaccinated Māori as </w:t>
      </w:r>
      <w:proofErr w:type="gramStart"/>
      <w:r w:rsidRPr="009B4E25">
        <w:t>at</w:t>
      </w:r>
      <w:proofErr w:type="gramEnd"/>
      <w:r w:rsidRPr="009B4E25">
        <w:t xml:space="preserve"> 8 May 2020 across all regions was $303.10. </w:t>
      </w:r>
      <w:r w:rsidR="007D6F99" w:rsidRPr="009B4E25">
        <w:t xml:space="preserve">The average amount of funding per unvaccinated Māori person over 65 </w:t>
      </w:r>
      <w:r w:rsidR="007D6F99" w:rsidRPr="009B4E25">
        <w:lastRenderedPageBreak/>
        <w:t xml:space="preserve">years for the five regions that achieved the highest percentage of vaccinated Māori 65+ was $381 per person. For the five regions that achieved the highest equity improvement, the average amount of funding per unvaccinated Māori person over 65 years was $375 per person. This suggests that to drive equity deeply and achieve 70-80% flu vaccination rate, the cost per person is comparatively high. </w:t>
      </w:r>
    </w:p>
    <w:p w14:paraId="49063081" w14:textId="013CA925" w:rsidR="00DA1647" w:rsidRPr="00837B50" w:rsidRDefault="006D32B4" w:rsidP="00837B50">
      <w:pPr>
        <w:pStyle w:val="BodyText"/>
      </w:pPr>
      <w:r>
        <w:fldChar w:fldCharType="begin"/>
      </w:r>
      <w:r>
        <w:instrText xml:space="preserve"> REF _Ref62703214 \h </w:instrText>
      </w:r>
      <w:r>
        <w:fldChar w:fldCharType="separate"/>
      </w:r>
      <w:r w:rsidR="009B082D">
        <w:t xml:space="preserve">Table </w:t>
      </w:r>
      <w:r w:rsidR="009B082D">
        <w:rPr>
          <w:noProof/>
        </w:rPr>
        <w:t>9</w:t>
      </w:r>
      <w:r>
        <w:fldChar w:fldCharType="end"/>
      </w:r>
      <w:r w:rsidR="002C1441">
        <w:t xml:space="preserve"> shows actual funding awarded to each DHB region</w:t>
      </w:r>
      <w:r w:rsidR="00AE48BB">
        <w:rPr>
          <w:rStyle w:val="FootnoteReference"/>
        </w:rPr>
        <w:footnoteReference w:id="22"/>
      </w:r>
      <w:r w:rsidR="002C1441">
        <w:t xml:space="preserve"> and the total funding awarded to DHBs or providers funded directly from the Ministry. Funding decisions are compared against two outcome markers: the percentage of Māori over 65 years who received the flu vaccination before Week 46 2020, and the resulting equity gap in that region as at Week 46 2020.</w:t>
      </w:r>
      <w:bookmarkStart w:id="160" w:name="_Hlk59637992"/>
    </w:p>
    <w:p w14:paraId="6BF75216" w14:textId="183E7ED3" w:rsidR="00815EC4" w:rsidRDefault="00F136F5" w:rsidP="00900633">
      <w:pPr>
        <w:pStyle w:val="Caption"/>
      </w:pPr>
      <w:bookmarkStart w:id="161" w:name="_Ref62703214"/>
      <w:bookmarkStart w:id="162" w:name="_Toc62703565"/>
      <w:r>
        <w:t xml:space="preserve">Table </w:t>
      </w:r>
      <w:r>
        <w:fldChar w:fldCharType="begin"/>
      </w:r>
      <w:r>
        <w:instrText>SEQ Table \* ARABIC</w:instrText>
      </w:r>
      <w:r>
        <w:fldChar w:fldCharType="separate"/>
      </w:r>
      <w:r w:rsidR="009B082D">
        <w:rPr>
          <w:noProof/>
        </w:rPr>
        <w:t>9</w:t>
      </w:r>
      <w:r>
        <w:fldChar w:fldCharType="end"/>
      </w:r>
      <w:bookmarkEnd w:id="161"/>
      <w:r>
        <w:t>. Funding awarded by DHB region (assuming equal split allocation for collaborative applications)</w:t>
      </w:r>
      <w:r w:rsidR="00217DF9">
        <w:t xml:space="preserve">, separated by DHB and direct-funded provider allocations, </w:t>
      </w:r>
      <w:r>
        <w:t xml:space="preserve">with corresponding percentage of Māori over 65 years population vaccinated </w:t>
      </w:r>
      <w:r w:rsidR="00217DF9">
        <w:t xml:space="preserve">and equity gap </w:t>
      </w:r>
      <w:r>
        <w:t xml:space="preserve">as at Week 46 </w:t>
      </w:r>
      <w:proofErr w:type="gramStart"/>
      <w:r>
        <w:t>2020</w:t>
      </w:r>
      <w:bookmarkEnd w:id="162"/>
      <w:proofErr w:type="gramEnd"/>
    </w:p>
    <w:bookmarkEnd w:id="160"/>
    <w:p w14:paraId="7B2F174F" w14:textId="0F3198D5" w:rsidR="005133D8" w:rsidRDefault="00F136F5" w:rsidP="002C4C5C">
      <w:r w:rsidRPr="00F136F5">
        <w:rPr>
          <w:noProof/>
        </w:rPr>
        <w:drawing>
          <wp:inline distT="0" distB="0" distL="0" distR="0" wp14:anchorId="730C85F3" wp14:editId="39E7CEB3">
            <wp:extent cx="5306695" cy="3096895"/>
            <wp:effectExtent l="0" t="0" r="8255" b="8255"/>
            <wp:docPr id="9" name="Picture 9" descr="Regions with higest percentage vaccinated and strongest equity: Whanganui (86.05%, +8.38), Hawke's Bay (78.11%, +5.16), Lakes (68.99%, +5.35), Bay of Plenty (68.01%, -7.09), Hutt Valley (64.41%, -1.97) had a mixture of funding allocations: solely to providers, solely to DHBs, both providers and DH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gions with higest percentage vaccinated and strongest equity: Whanganui (86.05%, +8.38), Hawke's Bay (78.11%, +5.16), Lakes (68.99%, +5.35), Bay of Plenty (68.01%, -7.09), Hutt Valley (64.41%, -1.97) had a mixture of funding allocations: solely to providers, solely to DHBs, both providers and DHB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06695" cy="3096895"/>
                    </a:xfrm>
                    <a:prstGeom prst="rect">
                      <a:avLst/>
                    </a:prstGeom>
                    <a:noFill/>
                    <a:ln>
                      <a:noFill/>
                    </a:ln>
                  </pic:spPr>
                </pic:pic>
              </a:graphicData>
            </a:graphic>
          </wp:inline>
        </w:drawing>
      </w:r>
    </w:p>
    <w:p w14:paraId="45EEF9F7" w14:textId="77777777" w:rsidR="00837B50" w:rsidRDefault="00837B50" w:rsidP="00837B50">
      <w:pPr>
        <w:pStyle w:val="NoSpacing"/>
      </w:pPr>
    </w:p>
    <w:p w14:paraId="7FE64D29" w14:textId="1EA875BC" w:rsidR="00AE48BB" w:rsidRDefault="006D32B4" w:rsidP="00AE48BB">
      <w:pPr>
        <w:pStyle w:val="BodyText"/>
      </w:pPr>
      <w:r>
        <w:fldChar w:fldCharType="begin"/>
      </w:r>
      <w:r>
        <w:instrText xml:space="preserve"> REF _Ref62703214 \h </w:instrText>
      </w:r>
      <w:r>
        <w:fldChar w:fldCharType="separate"/>
      </w:r>
      <w:r w:rsidR="009B082D">
        <w:t xml:space="preserve">Table </w:t>
      </w:r>
      <w:r w:rsidR="009B082D">
        <w:rPr>
          <w:noProof/>
        </w:rPr>
        <w:t>9</w:t>
      </w:r>
      <w:r>
        <w:fldChar w:fldCharType="end"/>
      </w:r>
      <w:r w:rsidR="00AE48BB">
        <w:t xml:space="preserve"> illustrates that</w:t>
      </w:r>
      <w:r w:rsidR="00AE48BB" w:rsidRPr="006218A1">
        <w:rPr>
          <w:b/>
          <w:bCs/>
        </w:rPr>
        <w:t xml:space="preserve"> </w:t>
      </w:r>
      <w:r w:rsidR="00AE48BB">
        <w:rPr>
          <w:b/>
          <w:bCs/>
        </w:rPr>
        <w:t>t</w:t>
      </w:r>
      <w:r w:rsidR="00AE48BB" w:rsidRPr="006218A1">
        <w:rPr>
          <w:b/>
          <w:bCs/>
        </w:rPr>
        <w:t>here is no clear relationship between the contracting approach</w:t>
      </w:r>
      <w:r w:rsidR="006138B3" w:rsidRPr="006138B3">
        <w:rPr>
          <w:b/>
          <w:bCs/>
        </w:rPr>
        <w:t xml:space="preserve"> </w:t>
      </w:r>
      <w:r w:rsidR="006138B3">
        <w:rPr>
          <w:b/>
          <w:bCs/>
        </w:rPr>
        <w:t>(</w:t>
      </w:r>
      <w:r w:rsidR="006138B3" w:rsidRPr="00EC6371">
        <w:rPr>
          <w:b/>
          <w:bCs/>
        </w:rPr>
        <w:t>whether funding providers directly, funding through DHBs or a combination of both</w:t>
      </w:r>
      <w:r w:rsidR="006138B3">
        <w:rPr>
          <w:b/>
          <w:bCs/>
        </w:rPr>
        <w:t>)</w:t>
      </w:r>
      <w:r w:rsidR="00AE48BB" w:rsidRPr="00EC6371">
        <w:rPr>
          <w:b/>
          <w:bCs/>
        </w:rPr>
        <w:t xml:space="preserve"> </w:t>
      </w:r>
      <w:r w:rsidR="00AE48BB" w:rsidRPr="006218A1">
        <w:rPr>
          <w:b/>
          <w:bCs/>
        </w:rPr>
        <w:t>and flu vaccination rate increases</w:t>
      </w:r>
      <w:r w:rsidR="00AE48BB">
        <w:t>.</w:t>
      </w:r>
    </w:p>
    <w:p w14:paraId="76A2BC71" w14:textId="77777777" w:rsidR="00AE48BB" w:rsidRDefault="00AE48BB" w:rsidP="00AE48BB">
      <w:pPr>
        <w:pStyle w:val="BodyText"/>
      </w:pPr>
      <w:r>
        <w:t>Significant increases and positive outcomes were observed in regions where:</w:t>
      </w:r>
    </w:p>
    <w:p w14:paraId="5C243B67" w14:textId="77777777" w:rsidR="00AE48BB" w:rsidRDefault="00AE48BB" w:rsidP="00AE48BB">
      <w:pPr>
        <w:pStyle w:val="Bullet"/>
        <w:spacing w:after="60"/>
        <w:ind w:left="357" w:hanging="357"/>
        <w:contextualSpacing w:val="0"/>
      </w:pPr>
      <w:r>
        <w:t>only providers were directly funded (Whanganui and Waikato)</w:t>
      </w:r>
    </w:p>
    <w:p w14:paraId="7507BE19" w14:textId="77777777" w:rsidR="00AE48BB" w:rsidRDefault="00AE48BB" w:rsidP="00AE48BB">
      <w:pPr>
        <w:pStyle w:val="Bullet"/>
        <w:spacing w:after="60"/>
        <w:ind w:left="357" w:hanging="357"/>
        <w:contextualSpacing w:val="0"/>
      </w:pPr>
      <w:r>
        <w:t xml:space="preserve">DHBs were funded and contracted providers (Hawke’s Bay, Lakes and Northland) </w:t>
      </w:r>
    </w:p>
    <w:p w14:paraId="4514C390" w14:textId="77777777" w:rsidR="00AE48BB" w:rsidRDefault="00AE48BB" w:rsidP="00AE48BB">
      <w:pPr>
        <w:pStyle w:val="Bullet"/>
        <w:spacing w:after="60"/>
        <w:ind w:left="357" w:hanging="357"/>
        <w:contextualSpacing w:val="0"/>
      </w:pPr>
      <w:r>
        <w:t xml:space="preserve">both DHBs and providers were funded (Bay of Plenty). </w:t>
      </w:r>
    </w:p>
    <w:p w14:paraId="489F362A" w14:textId="77777777" w:rsidR="00AE48BB" w:rsidRDefault="00AE48BB" w:rsidP="00AE48BB">
      <w:pPr>
        <w:pStyle w:val="BodyText"/>
      </w:pPr>
      <w:r>
        <w:t>On the other hand, less positive outcomes were also observed in regions where:</w:t>
      </w:r>
    </w:p>
    <w:p w14:paraId="1EEDD4B5" w14:textId="528F59E1" w:rsidR="00AE48BB" w:rsidRDefault="00AE48BB" w:rsidP="00AE48BB">
      <w:pPr>
        <w:pStyle w:val="Bullet"/>
        <w:spacing w:after="60"/>
        <w:ind w:left="357" w:hanging="357"/>
        <w:contextualSpacing w:val="0"/>
      </w:pPr>
      <w:r>
        <w:t>only providers were directly funded (Taranaki, Southern and Mid</w:t>
      </w:r>
      <w:r w:rsidR="006138B3">
        <w:t xml:space="preserve"> </w:t>
      </w:r>
      <w:r>
        <w:t xml:space="preserve">Central), </w:t>
      </w:r>
    </w:p>
    <w:p w14:paraId="2505E95D" w14:textId="77777777" w:rsidR="00AE48BB" w:rsidRDefault="00AE48BB" w:rsidP="00AE48BB">
      <w:pPr>
        <w:pStyle w:val="Bullet"/>
        <w:spacing w:after="60"/>
        <w:ind w:left="357" w:hanging="357"/>
        <w:contextualSpacing w:val="0"/>
      </w:pPr>
      <w:r>
        <w:t>DHBs were funded and contracted providers (Canterbury and West Coast)</w:t>
      </w:r>
    </w:p>
    <w:p w14:paraId="358D841F" w14:textId="32303C28" w:rsidR="00855C9E" w:rsidRDefault="00AE48BB" w:rsidP="00855C9E">
      <w:pPr>
        <w:pStyle w:val="Bullet"/>
        <w:spacing w:after="60"/>
        <w:ind w:left="357" w:hanging="357"/>
        <w:contextualSpacing w:val="0"/>
      </w:pPr>
      <w:r>
        <w:t>both DHBs and providers were funded (Auckland and Counties Manukau).</w:t>
      </w:r>
    </w:p>
    <w:p w14:paraId="7379B6C0" w14:textId="5B22BA23" w:rsidR="00DA1647" w:rsidRPr="00837B50" w:rsidRDefault="006D32B4" w:rsidP="00837B50">
      <w:pPr>
        <w:pStyle w:val="BodyText"/>
      </w:pPr>
      <w:r>
        <w:lastRenderedPageBreak/>
        <w:fldChar w:fldCharType="begin"/>
      </w:r>
      <w:r>
        <w:instrText xml:space="preserve"> REF _Ref62651691 \h </w:instrText>
      </w:r>
      <w:r>
        <w:fldChar w:fldCharType="separate"/>
      </w:r>
      <w:r w:rsidR="009B082D" w:rsidRPr="00C05542">
        <w:t xml:space="preserve">Table </w:t>
      </w:r>
      <w:r w:rsidR="009B082D">
        <w:rPr>
          <w:noProof/>
        </w:rPr>
        <w:t>10</w:t>
      </w:r>
      <w:r>
        <w:fldChar w:fldCharType="end"/>
      </w:r>
      <w:r w:rsidR="00EC112C">
        <w:t xml:space="preserve"> presents </w:t>
      </w:r>
      <w:r w:rsidR="00430A63">
        <w:t xml:space="preserve">the funding awarded per region based on the number of unvaccinated Māori over 65 years as </w:t>
      </w:r>
      <w:proofErr w:type="gramStart"/>
      <w:r w:rsidR="00430A63">
        <w:t>at</w:t>
      </w:r>
      <w:proofErr w:type="gramEnd"/>
      <w:r w:rsidR="00430A63">
        <w:t xml:space="preserve"> 8 May 2020</w:t>
      </w:r>
      <w:r w:rsidR="00430A63">
        <w:rPr>
          <w:rStyle w:val="FootnoteReference"/>
        </w:rPr>
        <w:footnoteReference w:id="23"/>
      </w:r>
      <w:r w:rsidR="00430A63">
        <w:t xml:space="preserve"> and </w:t>
      </w:r>
      <w:r w:rsidR="00EC112C">
        <w:t>actual funding awarded to each DHB region</w:t>
      </w:r>
      <w:r w:rsidR="00430A63">
        <w:rPr>
          <w:rStyle w:val="FootnoteReference"/>
        </w:rPr>
        <w:footnoteReference w:id="24"/>
      </w:r>
      <w:r w:rsidR="00EC112C">
        <w:t>. Funding decisions are compared against</w:t>
      </w:r>
      <w:r w:rsidR="00430A63">
        <w:t xml:space="preserve"> two decision factors: the 2019 flu vaccination rate equity gap and the regional population of Māori over 65 years and</w:t>
      </w:r>
      <w:r w:rsidR="00EC112C">
        <w:t xml:space="preserve"> two outcome markers: the</w:t>
      </w:r>
      <w:r w:rsidR="00DD68B7">
        <w:t xml:space="preserve"> cumulative sum of</w:t>
      </w:r>
      <w:r w:rsidR="00EC112C">
        <w:t xml:space="preserve"> Māori over 65 years who received the flu vaccination </w:t>
      </w:r>
      <w:r w:rsidR="00217DF9">
        <w:t>by</w:t>
      </w:r>
      <w:r w:rsidR="00EC112C">
        <w:t xml:space="preserve"> Week 4</w:t>
      </w:r>
      <w:r w:rsidR="00217DF9">
        <w:t>1</w:t>
      </w:r>
      <w:r w:rsidR="00EC112C">
        <w:t xml:space="preserve"> 2020, and the resulting equity gap in that region as at Week 46 2020</w:t>
      </w:r>
      <w:r w:rsidR="00430A63">
        <w:rPr>
          <w:rStyle w:val="FootnoteReference"/>
        </w:rPr>
        <w:footnoteReference w:id="25"/>
      </w:r>
      <w:r w:rsidR="00EC112C">
        <w:t>.</w:t>
      </w:r>
      <w:bookmarkStart w:id="163" w:name="_Ref60327274"/>
      <w:bookmarkStart w:id="164" w:name="_Ref60327281"/>
    </w:p>
    <w:p w14:paraId="44EC8786" w14:textId="661566FD" w:rsidR="00EC112C" w:rsidRPr="006D39D1" w:rsidRDefault="00430A63" w:rsidP="00900633">
      <w:pPr>
        <w:pStyle w:val="Caption"/>
      </w:pPr>
      <w:bookmarkStart w:id="165" w:name="_Ref62651691"/>
      <w:bookmarkStart w:id="166" w:name="_Ref62651700"/>
      <w:bookmarkStart w:id="167" w:name="_Ref62651760"/>
      <w:bookmarkStart w:id="168" w:name="_Ref62651944"/>
      <w:bookmarkStart w:id="169" w:name="_Toc62703566"/>
      <w:r w:rsidRPr="00C05542">
        <w:t xml:space="preserve">Table </w:t>
      </w:r>
      <w:r w:rsidRPr="00C05542">
        <w:fldChar w:fldCharType="begin"/>
      </w:r>
      <w:r w:rsidRPr="00C05542">
        <w:instrText>SEQ Table \* ARABIC</w:instrText>
      </w:r>
      <w:r w:rsidRPr="00C05542">
        <w:fldChar w:fldCharType="separate"/>
      </w:r>
      <w:r w:rsidR="009B082D">
        <w:rPr>
          <w:noProof/>
        </w:rPr>
        <w:t>10</w:t>
      </w:r>
      <w:r w:rsidRPr="00C05542">
        <w:fldChar w:fldCharType="end"/>
      </w:r>
      <w:bookmarkEnd w:id="163"/>
      <w:bookmarkEnd w:id="165"/>
      <w:r w:rsidRPr="00C05542">
        <w:t xml:space="preserve">. Funding awarded by DHB region (assuming equal split allocation for collaborative applications) with 2019 equity gap, population of Māori 65+, corresponding cumulative sum of Māori over 65 years population vaccinated in 2020 and equity gap as at Week 46 </w:t>
      </w:r>
      <w:proofErr w:type="gramStart"/>
      <w:r w:rsidRPr="00C05542">
        <w:t>2020</w:t>
      </w:r>
      <w:bookmarkEnd w:id="164"/>
      <w:bookmarkEnd w:id="166"/>
      <w:bookmarkEnd w:id="167"/>
      <w:bookmarkEnd w:id="168"/>
      <w:bookmarkEnd w:id="169"/>
      <w:proofErr w:type="gramEnd"/>
    </w:p>
    <w:p w14:paraId="4DF4E133" w14:textId="028F8003" w:rsidR="00EC112C" w:rsidRDefault="00EC112C" w:rsidP="00855C9E">
      <w:r w:rsidRPr="00EC112C">
        <w:rPr>
          <w:noProof/>
        </w:rPr>
        <w:drawing>
          <wp:inline distT="0" distB="0" distL="0" distR="0" wp14:anchorId="029983C3" wp14:editId="22B7D65D">
            <wp:extent cx="5306695" cy="2757170"/>
            <wp:effectExtent l="0" t="0" r="8255" b="5080"/>
            <wp:docPr id="16" name="Picture 16" descr="Regions with highest sum of vaccinated Māori 65+: Waikato (3988), Bay of Plenty (3240), Northland (3163), Counties Manukau (2732), Hawke's Bay (2290), Canterbur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Regions with highest sum of vaccinated Māori 65+: Waikato (3988), Bay of Plenty (3240), Northland (3163), Counties Manukau (2732), Hawke's Bay (2290), Canterbury (20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6695" cy="2757170"/>
                    </a:xfrm>
                    <a:prstGeom prst="rect">
                      <a:avLst/>
                    </a:prstGeom>
                    <a:noFill/>
                    <a:ln>
                      <a:noFill/>
                    </a:ln>
                  </pic:spPr>
                </pic:pic>
              </a:graphicData>
            </a:graphic>
          </wp:inline>
        </w:drawing>
      </w:r>
    </w:p>
    <w:p w14:paraId="23352CE2" w14:textId="44DA2C61" w:rsidR="007A0A6D" w:rsidRDefault="006D39D1" w:rsidP="00146565">
      <w:pPr>
        <w:pStyle w:val="BodyText"/>
      </w:pPr>
      <w:r w:rsidRPr="000E45CD">
        <w:rPr>
          <w:b/>
          <w:bCs/>
        </w:rPr>
        <w:t>To effectively monitor progress towards equity, it is important to monitor the number of people vaccinated</w:t>
      </w:r>
      <w:r>
        <w:t xml:space="preserve"> and not just percentage vaccination rates. </w:t>
      </w:r>
      <w:r w:rsidR="000B6910">
        <w:fldChar w:fldCharType="begin"/>
      </w:r>
      <w:r w:rsidR="000B6910">
        <w:instrText xml:space="preserve"> REF _Ref62651691 \h </w:instrText>
      </w:r>
      <w:r w:rsidR="000B6910">
        <w:fldChar w:fldCharType="separate"/>
      </w:r>
      <w:r w:rsidR="000B6910" w:rsidRPr="00C05542">
        <w:t xml:space="preserve">Table </w:t>
      </w:r>
      <w:r w:rsidR="000B6910">
        <w:rPr>
          <w:noProof/>
        </w:rPr>
        <w:t>10</w:t>
      </w:r>
      <w:r w:rsidR="000B6910">
        <w:fldChar w:fldCharType="end"/>
      </w:r>
      <w:r w:rsidR="000B6910">
        <w:t xml:space="preserve"> </w:t>
      </w:r>
      <w:r w:rsidR="007A0A6D">
        <w:t xml:space="preserve">illustrates that </w:t>
      </w:r>
      <w:r w:rsidR="000044CF">
        <w:t xml:space="preserve">reporting on </w:t>
      </w:r>
      <w:r w:rsidR="007A0A6D">
        <w:t xml:space="preserve">population percentages between regions </w:t>
      </w:r>
      <w:r w:rsidR="000044CF">
        <w:t>can</w:t>
      </w:r>
      <w:r w:rsidR="007A0A6D">
        <w:t xml:space="preserve"> hide the true impact of equity on individual people. A different picture is evident when looking at the number of people vaccinated. Waikato (3893), Bay of Plenty (3240) and Northland (3163) are the top three regions in terms of number of people vaccinated.</w:t>
      </w:r>
      <w:r w:rsidR="000044CF">
        <w:t xml:space="preserve"> When looking at percentage vaccinated, these regions are </w:t>
      </w:r>
      <w:r w:rsidR="006138B3">
        <w:t xml:space="preserve">seventh, fourth and </w:t>
      </w:r>
      <w:proofErr w:type="gramStart"/>
      <w:r w:rsidR="006138B3">
        <w:t>tenth</w:t>
      </w:r>
      <w:proofErr w:type="gramEnd"/>
      <w:r w:rsidR="000044CF">
        <w:t xml:space="preserve"> respectively. </w:t>
      </w:r>
    </w:p>
    <w:p w14:paraId="3624B5DD" w14:textId="1F17F92E" w:rsidR="007A0A6D" w:rsidRDefault="007A0A6D" w:rsidP="007A0A6D">
      <w:pPr>
        <w:pStyle w:val="BodyText"/>
      </w:pPr>
      <w:r>
        <w:t xml:space="preserve">Waikato stands out as a success story when viewed in terms of actual Māori people over 65 years who received a flu vaccination. They have the highest population of Māori over 65 years of any region, and successfully vaccinated the highest number of Māori as well. Further, they reduced the equity gap in 2020 between Māori and </w:t>
      </w:r>
      <w:r w:rsidR="00EC6371">
        <w:t>non-Maori,</w:t>
      </w:r>
      <w:r>
        <w:t xml:space="preserve"> non-Pacific by 2 percentage points. To achieve equity nationally, regions with a high Māori population must be supported to achieve equity. </w:t>
      </w:r>
    </w:p>
    <w:p w14:paraId="3961BBE6" w14:textId="75BF11E7" w:rsidR="007A0A6D" w:rsidRDefault="007A0A6D" w:rsidP="007A0A6D">
      <w:pPr>
        <w:pStyle w:val="BodyText"/>
      </w:pPr>
      <w:r>
        <w:t xml:space="preserve">Canterbury has the fifth highest population of Māori over 65 </w:t>
      </w:r>
      <w:r w:rsidR="005A4BAB">
        <w:t>years yet</w:t>
      </w:r>
      <w:r>
        <w:t xml:space="preserve"> has the second worst flu vaccination equity </w:t>
      </w:r>
      <w:r w:rsidR="005A4BAB">
        <w:t xml:space="preserve">rate </w:t>
      </w:r>
      <w:r>
        <w:t>nationally. In comparison to regions with a similarly high population of Māori over 65 years (</w:t>
      </w:r>
      <w:proofErr w:type="spellStart"/>
      <w:r w:rsidR="00EC6371">
        <w:t>Waitematā</w:t>
      </w:r>
      <w:proofErr w:type="spellEnd"/>
      <w:r>
        <w:t xml:space="preserve"> and Auckland), Canterbury has achieved higher number of actual vaccinations and a slight improvement in the equity gap with significantly less MIVP-specific funding. </w:t>
      </w:r>
      <w:r w:rsidR="006138B3">
        <w:t>T</w:t>
      </w:r>
      <w:r>
        <w:t>he MIVP was designed to award funding in response to applications, although indicative funding was earmarked to each region based on Māori population numbers</w:t>
      </w:r>
      <w:r w:rsidR="006138B3">
        <w:t>.</w:t>
      </w:r>
      <w:r>
        <w:t xml:space="preserve"> </w:t>
      </w:r>
      <w:r w:rsidR="006138B3">
        <w:t>T</w:t>
      </w:r>
      <w:r>
        <w:t xml:space="preserve">his suggests that: </w:t>
      </w:r>
    </w:p>
    <w:p w14:paraId="75722D82" w14:textId="3E1ED3F6" w:rsidR="007A0A6D" w:rsidRDefault="007A0A6D" w:rsidP="007A0A6D">
      <w:pPr>
        <w:pStyle w:val="Bullet"/>
      </w:pPr>
      <w:r>
        <w:lastRenderedPageBreak/>
        <w:t>Canterbury may have relied on more mainstream or ‘business</w:t>
      </w:r>
      <w:r w:rsidR="006138B3">
        <w:t>-</w:t>
      </w:r>
      <w:r>
        <w:t>as</w:t>
      </w:r>
      <w:r w:rsidR="006138B3">
        <w:t>-</w:t>
      </w:r>
      <w:r>
        <w:t xml:space="preserve">usual’ approaches to reach Māori, that will likely have also reached </w:t>
      </w:r>
      <w:r w:rsidR="00EC6371">
        <w:t>non-Maori,</w:t>
      </w:r>
      <w:r>
        <w:t xml:space="preserve"> non-Pacific</w:t>
      </w:r>
      <w:r w:rsidR="006138B3">
        <w:t xml:space="preserve"> people</w:t>
      </w:r>
      <w:r>
        <w:t xml:space="preserve">; hence the slightly improved but overall poor equity </w:t>
      </w:r>
      <w:proofErr w:type="gramStart"/>
      <w:r>
        <w:t>gap</w:t>
      </w:r>
      <w:proofErr w:type="gramEnd"/>
      <w:r>
        <w:t xml:space="preserve"> </w:t>
      </w:r>
    </w:p>
    <w:p w14:paraId="3848D4F4" w14:textId="77777777" w:rsidR="007A0A6D" w:rsidRDefault="007A0A6D" w:rsidP="007A0A6D">
      <w:pPr>
        <w:pStyle w:val="Bullet"/>
      </w:pPr>
      <w:r>
        <w:t xml:space="preserve">Canterbury DHB and providers may benefit from support to complete applications for programmes such as the MIVP, in order to receive comparatively appropriate levels of </w:t>
      </w:r>
      <w:proofErr w:type="gramStart"/>
      <w:r>
        <w:t>funding</w:t>
      </w:r>
      <w:proofErr w:type="gramEnd"/>
    </w:p>
    <w:p w14:paraId="5D1E70E0" w14:textId="7748891B" w:rsidR="007A0A6D" w:rsidRDefault="007A0A6D" w:rsidP="007A0A6D">
      <w:pPr>
        <w:pStyle w:val="Bullet"/>
      </w:pPr>
      <w:r>
        <w:t xml:space="preserve">Canterbury DHB and providers may benefit from support to design approaches and build new relationships or partnerships to more effectively find and reach Māori in the community for programmes such as the MIVP, </w:t>
      </w:r>
      <w:proofErr w:type="gramStart"/>
      <w:r>
        <w:t>in order to</w:t>
      </w:r>
      <w:proofErr w:type="gramEnd"/>
      <w:r>
        <w:t xml:space="preserve"> see flu vaccination rates and overall equity outcomes observed in other regions</w:t>
      </w:r>
      <w:r w:rsidR="006138B3">
        <w:t>.</w:t>
      </w:r>
    </w:p>
    <w:p w14:paraId="53FF3972" w14:textId="337D93B4" w:rsidR="00EE4638" w:rsidRDefault="00EE4638" w:rsidP="00EE4638">
      <w:pPr>
        <w:pStyle w:val="Bullet"/>
        <w:numPr>
          <w:ilvl w:val="0"/>
          <w:numId w:val="0"/>
        </w:numPr>
        <w:ind w:left="360" w:hanging="360"/>
      </w:pPr>
    </w:p>
    <w:p w14:paraId="739821A6" w14:textId="3240532C" w:rsidR="00EE4638" w:rsidRDefault="00EE4638" w:rsidP="00EC6371">
      <w:pPr>
        <w:pStyle w:val="Bullet"/>
        <w:numPr>
          <w:ilvl w:val="0"/>
          <w:numId w:val="0"/>
        </w:numPr>
        <w:jc w:val="both"/>
      </w:pPr>
      <w:r>
        <w:t xml:space="preserve">What this data highlights </w:t>
      </w:r>
      <w:proofErr w:type="gramStart"/>
      <w:r>
        <w:t>is</w:t>
      </w:r>
      <w:proofErr w:type="gramEnd"/>
      <w:r>
        <w:t xml:space="preserve"> that </w:t>
      </w:r>
      <w:r w:rsidR="00DA1647">
        <w:rPr>
          <w:b/>
          <w:bCs/>
        </w:rPr>
        <w:t xml:space="preserve">any future </w:t>
      </w:r>
      <w:r w:rsidRPr="00EE4638">
        <w:rPr>
          <w:b/>
          <w:bCs/>
        </w:rPr>
        <w:t>allocation of funding</w:t>
      </w:r>
      <w:r w:rsidR="00511477">
        <w:rPr>
          <w:b/>
          <w:bCs/>
        </w:rPr>
        <w:t xml:space="preserve"> to improve outcomes</w:t>
      </w:r>
      <w:r w:rsidRPr="00EE4638">
        <w:rPr>
          <w:b/>
          <w:bCs/>
        </w:rPr>
        <w:t xml:space="preserve"> </w:t>
      </w:r>
      <w:r w:rsidR="00511477">
        <w:rPr>
          <w:b/>
          <w:bCs/>
        </w:rPr>
        <w:t>will be</w:t>
      </w:r>
      <w:r w:rsidR="00511477" w:rsidRPr="00EE4638">
        <w:rPr>
          <w:b/>
          <w:bCs/>
        </w:rPr>
        <w:t xml:space="preserve"> </w:t>
      </w:r>
      <w:r w:rsidRPr="00EE4638">
        <w:rPr>
          <w:b/>
          <w:bCs/>
        </w:rPr>
        <w:t>complex and challenging</w:t>
      </w:r>
      <w:r>
        <w:t>.</w:t>
      </w:r>
      <w:r w:rsidR="00511477">
        <w:t xml:space="preserve"> It will require a nuanced approach, based on careful application of key insights.</w:t>
      </w:r>
    </w:p>
    <w:p w14:paraId="4E0D68D3" w14:textId="0784E33C" w:rsidR="00EE4638" w:rsidRPr="00EE4638" w:rsidRDefault="00EE4638" w:rsidP="00EE4638">
      <w:pPr>
        <w:pStyle w:val="BodyText"/>
      </w:pPr>
      <w:r w:rsidRPr="00EE4638">
        <w:t>First</w:t>
      </w:r>
      <w:r w:rsidR="00511477">
        <w:t>ly</w:t>
      </w:r>
      <w:r w:rsidRPr="00EE4638">
        <w:t>, there is no clear relationship between</w:t>
      </w:r>
      <w:r>
        <w:t xml:space="preserve"> </w:t>
      </w:r>
      <w:r w:rsidRPr="00EE4638">
        <w:t>the amount of funding awarded to a region, whether in total or by intended recipient, and vaccination outcomes</w:t>
      </w:r>
      <w:r>
        <w:t xml:space="preserve">, </w:t>
      </w:r>
      <w:proofErr w:type="gramStart"/>
      <w:r>
        <w:t>Nor</w:t>
      </w:r>
      <w:proofErr w:type="gramEnd"/>
      <w:r>
        <w:t xml:space="preserve"> is there a clear relationship between </w:t>
      </w:r>
      <w:r w:rsidRPr="00EE4638">
        <w:t>the contracting approach and flu vaccination rate increases; whether funding providers directly, funding through DHBs, or a combination of both.</w:t>
      </w:r>
    </w:p>
    <w:p w14:paraId="1AED3F4B" w14:textId="0A041059" w:rsidR="00EE4638" w:rsidRDefault="00EE4638" w:rsidP="00EE4638">
      <w:pPr>
        <w:pStyle w:val="BodyText"/>
      </w:pPr>
      <w:r>
        <w:t xml:space="preserve">Further, </w:t>
      </w:r>
      <w:r w:rsidRPr="00EE4638">
        <w:t xml:space="preserve">giving more money (per target person) and expecting </w:t>
      </w:r>
      <w:r>
        <w:t xml:space="preserve">better </w:t>
      </w:r>
      <w:r w:rsidRPr="00EE4638">
        <w:t xml:space="preserve">outcomes </w:t>
      </w:r>
      <w:r>
        <w:t xml:space="preserve">is not a proven winning formula (see </w:t>
      </w:r>
      <w:r w:rsidRPr="00EE4638">
        <w:t xml:space="preserve">Whanganui </w:t>
      </w:r>
      <w:r>
        <w:t xml:space="preserve">compared to the </w:t>
      </w:r>
      <w:r w:rsidRPr="00EE4638">
        <w:t>West</w:t>
      </w:r>
      <w:r>
        <w:t xml:space="preserve"> C</w:t>
      </w:r>
      <w:r w:rsidRPr="00EE4638">
        <w:t>oast</w:t>
      </w:r>
      <w:r>
        <w:t xml:space="preserve">). Neither is </w:t>
      </w:r>
      <w:r w:rsidRPr="00EE4638">
        <w:t xml:space="preserve">giving more money </w:t>
      </w:r>
      <w:r>
        <w:t xml:space="preserve">overall (see Waikato and Northland compared to Auckland, Counties Manukau and </w:t>
      </w:r>
      <w:proofErr w:type="spellStart"/>
      <w:r>
        <w:t>Waitematā</w:t>
      </w:r>
      <w:proofErr w:type="spellEnd"/>
      <w:r>
        <w:t>)</w:t>
      </w:r>
      <w:r w:rsidR="001C4FBC">
        <w:t>.</w:t>
      </w:r>
    </w:p>
    <w:p w14:paraId="0D7747B4" w14:textId="5EB21F2E" w:rsidR="00EE4638" w:rsidRPr="00EE4638" w:rsidRDefault="00EE4638" w:rsidP="00EE4638">
      <w:pPr>
        <w:pStyle w:val="BodyText"/>
      </w:pPr>
      <w:r w:rsidRPr="00EE4638">
        <w:t xml:space="preserve">More money means providers and DHBs can do more, but they have to know what they are going to do with </w:t>
      </w:r>
      <w:proofErr w:type="gramStart"/>
      <w:r w:rsidRPr="00EE4638">
        <w:t xml:space="preserve">it, </w:t>
      </w:r>
      <w:r>
        <w:t>and</w:t>
      </w:r>
      <w:proofErr w:type="gramEnd"/>
      <w:r>
        <w:t xml:space="preserve"> be able to use that funding effectively. </w:t>
      </w:r>
      <w:r w:rsidRPr="00EE4638">
        <w:t>In regions where there is low equit</w:t>
      </w:r>
      <w:r>
        <w:t xml:space="preserve">y and </w:t>
      </w:r>
      <w:r w:rsidRPr="00EE4638">
        <w:t xml:space="preserve">limited </w:t>
      </w:r>
      <w:r>
        <w:t xml:space="preserve">vaccination </w:t>
      </w:r>
      <w:r w:rsidRPr="00EE4638">
        <w:t>capability</w:t>
      </w:r>
      <w:r>
        <w:t>, as</w:t>
      </w:r>
      <w:r w:rsidRPr="00EE4638">
        <w:t xml:space="preserve"> demonstrated in </w:t>
      </w:r>
      <w:r>
        <w:t>2020,</w:t>
      </w:r>
      <w:r w:rsidR="001C4FBC">
        <w:t xml:space="preserve"> </w:t>
      </w:r>
      <w:r>
        <w:t xml:space="preserve">the evaluation suggests that </w:t>
      </w:r>
      <w:r w:rsidRPr="00EC6371">
        <w:rPr>
          <w:b/>
          <w:bCs/>
        </w:rPr>
        <w:t>more than money is needed.</w:t>
      </w:r>
      <w:r w:rsidRPr="00EE4638">
        <w:t xml:space="preserve"> </w:t>
      </w:r>
      <w:r>
        <w:t xml:space="preserve">The </w:t>
      </w:r>
      <w:r w:rsidRPr="00EE4638">
        <w:t xml:space="preserve">sharing of </w:t>
      </w:r>
      <w:r>
        <w:t xml:space="preserve">strategies and </w:t>
      </w:r>
      <w:r w:rsidRPr="00EE4638">
        <w:t>ideas and support to develop responses tailored to provider, DHB and the local community context</w:t>
      </w:r>
      <w:r>
        <w:t xml:space="preserve"> would be beneficial.</w:t>
      </w:r>
    </w:p>
    <w:p w14:paraId="20C183F5" w14:textId="58F3CAAC" w:rsidR="00EE4638" w:rsidRPr="00EE4638" w:rsidRDefault="00EE4638" w:rsidP="00EE4638">
      <w:pPr>
        <w:pStyle w:val="BodyText"/>
        <w:rPr>
          <w:b/>
          <w:bCs/>
        </w:rPr>
      </w:pPr>
      <w:r w:rsidRPr="00EE4638">
        <w:rPr>
          <w:b/>
          <w:bCs/>
        </w:rPr>
        <w:t xml:space="preserve">There is a need to revisit the funding allocation formula. </w:t>
      </w:r>
      <w:r w:rsidRPr="00EE4638">
        <w:t xml:space="preserve">The current funding </w:t>
      </w:r>
      <w:r>
        <w:t xml:space="preserve">approach </w:t>
      </w:r>
      <w:r w:rsidRPr="00EE4638">
        <w:t xml:space="preserve">takes account of Māori regional population and equity rates. However, a more nuanced approach is needed that takes account of vaccination and equity trends, </w:t>
      </w:r>
      <w:r>
        <w:t xml:space="preserve">as well as </w:t>
      </w:r>
      <w:r w:rsidRPr="00EE4638">
        <w:t xml:space="preserve">provider and DHB performance in 2020 (and historically) and </w:t>
      </w:r>
      <w:r>
        <w:t xml:space="preserve">their </w:t>
      </w:r>
      <w:r w:rsidRPr="00EE4638">
        <w:t xml:space="preserve">capability to use the funding to best effect. </w:t>
      </w:r>
    </w:p>
    <w:p w14:paraId="1D31DB4F" w14:textId="77777777" w:rsidR="00EE4638" w:rsidRDefault="00EE4638" w:rsidP="00EE4638">
      <w:pPr>
        <w:pStyle w:val="Bullet"/>
        <w:numPr>
          <w:ilvl w:val="0"/>
          <w:numId w:val="0"/>
        </w:numPr>
        <w:ind w:left="360" w:hanging="360"/>
      </w:pPr>
    </w:p>
    <w:p w14:paraId="67F82808" w14:textId="5C39D866" w:rsidR="007A0A6D" w:rsidRDefault="009B4E25" w:rsidP="009B4E25">
      <w:pPr>
        <w:pStyle w:val="Heading1"/>
      </w:pPr>
      <w:bookmarkStart w:id="170" w:name="_Toc70763296"/>
      <w:r>
        <w:lastRenderedPageBreak/>
        <w:t>Insights</w:t>
      </w:r>
      <w:r w:rsidR="00724605">
        <w:t xml:space="preserve"> </w:t>
      </w:r>
      <w:r w:rsidR="00636367">
        <w:t>and reflections on MIVP 2020</w:t>
      </w:r>
      <w:bookmarkEnd w:id="170"/>
    </w:p>
    <w:p w14:paraId="4BA5D6EB" w14:textId="3ACE46B8" w:rsidR="009B4E25" w:rsidRPr="009B4E25" w:rsidRDefault="009B4E25" w:rsidP="009B4E25">
      <w:pPr>
        <w:pStyle w:val="BodyText"/>
        <w:rPr>
          <w:color w:val="404040" w:themeColor="text1" w:themeTint="BF"/>
          <w:szCs w:val="18"/>
        </w:rPr>
      </w:pPr>
      <w:r>
        <w:t xml:space="preserve">MIVP is an equity-focused initiative. It responded to long-standing inequity as part of a COVID-19 response. MIVP contributed to increased Māori flu vaccination rates. However increased vaccinations rates were not evenly shared across the country, with some regions performing extremely well in terms of their impact on equity, </w:t>
      </w:r>
      <w:r w:rsidR="000F2275">
        <w:t>e.g.,</w:t>
      </w:r>
      <w:r>
        <w:t xml:space="preserve"> Hawke’s Bay, Lakes, Whanganui and Northland and other regions less so. More than just increased flu vaccinations, as valuable as these are, MIVP provided the opportunity for providers and DHBS to innovate and adapt existing services. It identified key strategies, </w:t>
      </w:r>
      <w:proofErr w:type="gramStart"/>
      <w:r>
        <w:t>principles</w:t>
      </w:r>
      <w:proofErr w:type="gramEnd"/>
      <w:r>
        <w:t xml:space="preserve"> and elements to drive change. </w:t>
      </w:r>
    </w:p>
    <w:p w14:paraId="3432D0EF" w14:textId="12FCE34B" w:rsidR="009B4E25" w:rsidRDefault="009B4E25" w:rsidP="009B4E25">
      <w:pPr>
        <w:pStyle w:val="BodyText"/>
      </w:pPr>
      <w:r>
        <w:t xml:space="preserve">What made the difference in the MIVP was reducing barriers and improving access. Māori providers and DHBs responded to the well-known barriers to accessing GPs and primary healthcare as summarised in </w:t>
      </w:r>
      <w:r w:rsidR="00EC6371">
        <w:fldChar w:fldCharType="begin"/>
      </w:r>
      <w:r w:rsidR="00EC6371">
        <w:instrText xml:space="preserve"> REF _Ref62586612 \h </w:instrText>
      </w:r>
      <w:r w:rsidR="00EC6371">
        <w:fldChar w:fldCharType="separate"/>
      </w:r>
      <w:r w:rsidR="009B082D">
        <w:t xml:space="preserve">Table </w:t>
      </w:r>
      <w:r w:rsidR="009B082D">
        <w:rPr>
          <w:noProof/>
        </w:rPr>
        <w:t>11</w:t>
      </w:r>
      <w:r w:rsidR="00EC6371">
        <w:fldChar w:fldCharType="end"/>
      </w:r>
      <w:r>
        <w:t>.</w:t>
      </w:r>
    </w:p>
    <w:p w14:paraId="64519FC1" w14:textId="2CD111D2" w:rsidR="009B4E25" w:rsidRDefault="009B4E25" w:rsidP="009B4E25">
      <w:pPr>
        <w:pStyle w:val="Caption"/>
      </w:pPr>
      <w:bookmarkStart w:id="171" w:name="_Ref62586612"/>
      <w:bookmarkStart w:id="172" w:name="_Toc58589932"/>
      <w:bookmarkStart w:id="173" w:name="_Toc62703567"/>
      <w:r>
        <w:t xml:space="preserve">Table </w:t>
      </w:r>
      <w:fldSimple w:instr=" SEQ Table \* ARABIC ">
        <w:r w:rsidR="009B082D">
          <w:rPr>
            <w:noProof/>
          </w:rPr>
          <w:t>11</w:t>
        </w:r>
      </w:fldSimple>
      <w:bookmarkEnd w:id="171"/>
      <w:r>
        <w:rPr>
          <w:noProof/>
        </w:rPr>
        <w:t>.</w:t>
      </w:r>
      <w:r>
        <w:t xml:space="preserve"> How providers and DHBs reduced barriers and increased access to vaccination and other support and services</w:t>
      </w:r>
      <w:bookmarkEnd w:id="172"/>
      <w:bookmarkEnd w:id="173"/>
    </w:p>
    <w:tbl>
      <w:tblPr>
        <w:tblStyle w:val="TableGrid"/>
        <w:tblW w:w="0" w:type="auto"/>
        <w:tblLook w:val="04A0" w:firstRow="1" w:lastRow="0" w:firstColumn="1" w:lastColumn="0" w:noHBand="0" w:noVBand="1"/>
      </w:tblPr>
      <w:tblGrid>
        <w:gridCol w:w="2405"/>
        <w:gridCol w:w="5805"/>
      </w:tblGrid>
      <w:tr w:rsidR="009B4E25" w:rsidRPr="004402DF" w14:paraId="0E7574D9" w14:textId="77777777" w:rsidTr="0066794F">
        <w:tc>
          <w:tcPr>
            <w:tcW w:w="2405" w:type="dxa"/>
            <w:shd w:val="clear" w:color="auto" w:fill="212B5D" w:themeFill="accent1"/>
          </w:tcPr>
          <w:p w14:paraId="2A6AAC52" w14:textId="77777777" w:rsidR="009B4E25" w:rsidRPr="00EF4A74" w:rsidRDefault="009B4E25" w:rsidP="0066794F">
            <w:pPr>
              <w:pStyle w:val="BodyText"/>
              <w:numPr>
                <w:ilvl w:val="0"/>
                <w:numId w:val="0"/>
              </w:numPr>
              <w:rPr>
                <w:b/>
                <w:bCs/>
                <w:color w:val="FFFFFF" w:themeColor="background1"/>
                <w:sz w:val="18"/>
                <w:szCs w:val="22"/>
              </w:rPr>
            </w:pPr>
            <w:r w:rsidRPr="00EF4A74">
              <w:rPr>
                <w:b/>
                <w:bCs/>
                <w:color w:val="FFFFFF" w:themeColor="background1"/>
                <w:sz w:val="18"/>
                <w:szCs w:val="22"/>
              </w:rPr>
              <w:t>Barriers</w:t>
            </w:r>
          </w:p>
        </w:tc>
        <w:tc>
          <w:tcPr>
            <w:tcW w:w="5805" w:type="dxa"/>
            <w:shd w:val="clear" w:color="auto" w:fill="212B5D" w:themeFill="accent1"/>
          </w:tcPr>
          <w:p w14:paraId="59618D45" w14:textId="77777777" w:rsidR="009B4E25" w:rsidRPr="00EF4A74" w:rsidRDefault="009B4E25" w:rsidP="0066794F">
            <w:pPr>
              <w:pStyle w:val="BodyText"/>
              <w:numPr>
                <w:ilvl w:val="0"/>
                <w:numId w:val="0"/>
              </w:numPr>
              <w:rPr>
                <w:b/>
                <w:bCs/>
                <w:color w:val="FFFFFF" w:themeColor="background1"/>
                <w:sz w:val="18"/>
                <w:szCs w:val="22"/>
              </w:rPr>
            </w:pPr>
            <w:r w:rsidRPr="00EF4A74">
              <w:rPr>
                <w:b/>
                <w:bCs/>
                <w:color w:val="FFFFFF" w:themeColor="background1"/>
                <w:sz w:val="18"/>
                <w:szCs w:val="22"/>
              </w:rPr>
              <w:t>MIVP reduced barriers by…</w:t>
            </w:r>
          </w:p>
        </w:tc>
      </w:tr>
      <w:tr w:rsidR="009B4E25" w:rsidRPr="004402DF" w14:paraId="64F34ABC" w14:textId="77777777" w:rsidTr="0066794F">
        <w:tc>
          <w:tcPr>
            <w:tcW w:w="2405" w:type="dxa"/>
          </w:tcPr>
          <w:p w14:paraId="4B106812" w14:textId="77777777" w:rsidR="009B4E25" w:rsidRPr="004402DF" w:rsidRDefault="009B4E25" w:rsidP="0066794F">
            <w:pPr>
              <w:pStyle w:val="BodyText"/>
              <w:numPr>
                <w:ilvl w:val="0"/>
                <w:numId w:val="0"/>
              </w:numPr>
              <w:rPr>
                <w:sz w:val="18"/>
                <w:szCs w:val="22"/>
              </w:rPr>
            </w:pPr>
            <w:r w:rsidRPr="004402DF">
              <w:rPr>
                <w:sz w:val="18"/>
                <w:szCs w:val="22"/>
              </w:rPr>
              <w:t xml:space="preserve">GPs </w:t>
            </w:r>
          </w:p>
        </w:tc>
        <w:tc>
          <w:tcPr>
            <w:tcW w:w="5805" w:type="dxa"/>
          </w:tcPr>
          <w:p w14:paraId="4F756011" w14:textId="3A4979EC" w:rsidR="009B4E25" w:rsidRPr="004402DF" w:rsidRDefault="001C4FBC" w:rsidP="0066794F">
            <w:pPr>
              <w:pStyle w:val="BodyText"/>
              <w:numPr>
                <w:ilvl w:val="0"/>
                <w:numId w:val="0"/>
              </w:numPr>
              <w:rPr>
                <w:sz w:val="18"/>
                <w:szCs w:val="22"/>
              </w:rPr>
            </w:pPr>
            <w:r>
              <w:rPr>
                <w:sz w:val="18"/>
                <w:szCs w:val="22"/>
              </w:rPr>
              <w:t>S</w:t>
            </w:r>
            <w:r w:rsidR="009B4E25" w:rsidRPr="004402DF">
              <w:rPr>
                <w:sz w:val="18"/>
                <w:szCs w:val="22"/>
              </w:rPr>
              <w:t>upplement</w:t>
            </w:r>
            <w:r w:rsidR="009B4E25">
              <w:rPr>
                <w:sz w:val="18"/>
                <w:szCs w:val="22"/>
              </w:rPr>
              <w:t>ing</w:t>
            </w:r>
            <w:r w:rsidR="009B4E25" w:rsidRPr="004402DF">
              <w:rPr>
                <w:sz w:val="18"/>
                <w:szCs w:val="22"/>
              </w:rPr>
              <w:t xml:space="preserve"> GP and Pharmacy services by promoting community-based, nurse-led (in the main) vaccinations</w:t>
            </w:r>
          </w:p>
        </w:tc>
      </w:tr>
      <w:tr w:rsidR="009B4E25" w:rsidRPr="004402DF" w14:paraId="12B47675" w14:textId="77777777" w:rsidTr="0066794F">
        <w:tc>
          <w:tcPr>
            <w:tcW w:w="2405" w:type="dxa"/>
          </w:tcPr>
          <w:p w14:paraId="6486F0FA" w14:textId="77777777" w:rsidR="009B4E25" w:rsidRPr="004402DF" w:rsidRDefault="009B4E25" w:rsidP="0066794F">
            <w:pPr>
              <w:pStyle w:val="BodyText"/>
              <w:numPr>
                <w:ilvl w:val="0"/>
                <w:numId w:val="0"/>
              </w:numPr>
              <w:rPr>
                <w:sz w:val="18"/>
                <w:szCs w:val="22"/>
              </w:rPr>
            </w:pPr>
            <w:r w:rsidRPr="004402DF">
              <w:rPr>
                <w:sz w:val="18"/>
                <w:szCs w:val="22"/>
              </w:rPr>
              <w:t>Access to services</w:t>
            </w:r>
          </w:p>
        </w:tc>
        <w:tc>
          <w:tcPr>
            <w:tcW w:w="5805" w:type="dxa"/>
          </w:tcPr>
          <w:p w14:paraId="27D78921" w14:textId="2FD71499" w:rsidR="009B4E25" w:rsidRPr="004402DF" w:rsidRDefault="001C4FBC" w:rsidP="0066794F">
            <w:pPr>
              <w:pStyle w:val="BodyText"/>
              <w:numPr>
                <w:ilvl w:val="0"/>
                <w:numId w:val="0"/>
              </w:numPr>
              <w:rPr>
                <w:sz w:val="18"/>
                <w:szCs w:val="22"/>
              </w:rPr>
            </w:pPr>
            <w:r>
              <w:rPr>
                <w:sz w:val="18"/>
                <w:szCs w:val="22"/>
              </w:rPr>
              <w:t>M</w:t>
            </w:r>
            <w:r w:rsidR="009B4E25" w:rsidRPr="004402DF">
              <w:rPr>
                <w:sz w:val="18"/>
                <w:szCs w:val="22"/>
              </w:rPr>
              <w:t>obilis</w:t>
            </w:r>
            <w:r w:rsidR="009B4E25">
              <w:rPr>
                <w:sz w:val="18"/>
                <w:szCs w:val="22"/>
              </w:rPr>
              <w:t xml:space="preserve">ing </w:t>
            </w:r>
            <w:r w:rsidR="009B4E25" w:rsidRPr="004402DF">
              <w:rPr>
                <w:sz w:val="18"/>
                <w:szCs w:val="22"/>
              </w:rPr>
              <w:t xml:space="preserve">services and </w:t>
            </w:r>
            <w:r w:rsidR="009B4E25">
              <w:rPr>
                <w:sz w:val="18"/>
                <w:szCs w:val="22"/>
              </w:rPr>
              <w:t xml:space="preserve">going </w:t>
            </w:r>
            <w:r w:rsidR="009B4E25" w:rsidRPr="004402DF">
              <w:rPr>
                <w:sz w:val="18"/>
                <w:szCs w:val="22"/>
              </w:rPr>
              <w:t xml:space="preserve">out into the community where whānau </w:t>
            </w:r>
            <w:r w:rsidR="009B4E25">
              <w:rPr>
                <w:sz w:val="18"/>
                <w:szCs w:val="22"/>
              </w:rPr>
              <w:t>gather and live. They also transported whānau to services.</w:t>
            </w:r>
          </w:p>
        </w:tc>
      </w:tr>
      <w:tr w:rsidR="009B4E25" w:rsidRPr="004402DF" w14:paraId="0AA7685F" w14:textId="77777777" w:rsidTr="0066794F">
        <w:tc>
          <w:tcPr>
            <w:tcW w:w="2405" w:type="dxa"/>
          </w:tcPr>
          <w:p w14:paraId="30311436" w14:textId="77777777" w:rsidR="009B4E25" w:rsidRPr="004402DF" w:rsidRDefault="009B4E25" w:rsidP="0066794F">
            <w:pPr>
              <w:pStyle w:val="BodyText"/>
              <w:numPr>
                <w:ilvl w:val="0"/>
                <w:numId w:val="0"/>
              </w:numPr>
              <w:rPr>
                <w:sz w:val="18"/>
                <w:szCs w:val="22"/>
              </w:rPr>
            </w:pPr>
            <w:r>
              <w:rPr>
                <w:sz w:val="18"/>
                <w:szCs w:val="22"/>
              </w:rPr>
              <w:t>Costs</w:t>
            </w:r>
          </w:p>
        </w:tc>
        <w:tc>
          <w:tcPr>
            <w:tcW w:w="5805" w:type="dxa"/>
          </w:tcPr>
          <w:p w14:paraId="65E12DD0" w14:textId="693DFE75" w:rsidR="009B4E25" w:rsidRPr="004402DF" w:rsidRDefault="001C4FBC" w:rsidP="0066794F">
            <w:pPr>
              <w:pStyle w:val="BodyText"/>
              <w:numPr>
                <w:ilvl w:val="0"/>
                <w:numId w:val="0"/>
              </w:numPr>
              <w:rPr>
                <w:sz w:val="18"/>
                <w:szCs w:val="22"/>
              </w:rPr>
            </w:pPr>
            <w:r>
              <w:rPr>
                <w:sz w:val="18"/>
                <w:szCs w:val="22"/>
              </w:rPr>
              <w:t>R</w:t>
            </w:r>
            <w:r w:rsidR="009B4E25">
              <w:rPr>
                <w:sz w:val="18"/>
                <w:szCs w:val="22"/>
              </w:rPr>
              <w:t>educing transport costs by going to whānau, reduced potential loss of income through offering vaccination services after hours or on the weekend, confirmed eligibility within the ‘vulnerable’ criteria and provided some vaccinations free of charge. Vouchers were used to increase access to services by meeting some of the transport costs.</w:t>
            </w:r>
          </w:p>
        </w:tc>
      </w:tr>
      <w:tr w:rsidR="009B4E25" w:rsidRPr="004402DF" w14:paraId="26BD3695" w14:textId="77777777" w:rsidTr="0066794F">
        <w:tc>
          <w:tcPr>
            <w:tcW w:w="2405" w:type="dxa"/>
          </w:tcPr>
          <w:p w14:paraId="535BB5E3" w14:textId="77777777" w:rsidR="009B4E25" w:rsidRPr="004402DF" w:rsidRDefault="009B4E25" w:rsidP="0066794F">
            <w:pPr>
              <w:pStyle w:val="BodyText"/>
              <w:numPr>
                <w:ilvl w:val="0"/>
                <w:numId w:val="0"/>
              </w:numPr>
              <w:rPr>
                <w:sz w:val="18"/>
                <w:szCs w:val="22"/>
              </w:rPr>
            </w:pPr>
            <w:r w:rsidRPr="004402DF">
              <w:rPr>
                <w:sz w:val="18"/>
                <w:szCs w:val="22"/>
              </w:rPr>
              <w:t>Poor service experiences</w:t>
            </w:r>
          </w:p>
        </w:tc>
        <w:tc>
          <w:tcPr>
            <w:tcW w:w="5805" w:type="dxa"/>
          </w:tcPr>
          <w:p w14:paraId="005DBA35" w14:textId="0A57B648" w:rsidR="009B4E25" w:rsidRPr="004402DF" w:rsidRDefault="001C4FBC" w:rsidP="0066794F">
            <w:pPr>
              <w:pStyle w:val="BodyText"/>
              <w:numPr>
                <w:ilvl w:val="0"/>
                <w:numId w:val="0"/>
              </w:numPr>
              <w:rPr>
                <w:sz w:val="18"/>
                <w:szCs w:val="22"/>
              </w:rPr>
            </w:pPr>
            <w:r>
              <w:rPr>
                <w:sz w:val="18"/>
                <w:szCs w:val="22"/>
              </w:rPr>
              <w:t>O</w:t>
            </w:r>
            <w:r w:rsidR="009B4E25">
              <w:rPr>
                <w:sz w:val="18"/>
                <w:szCs w:val="22"/>
              </w:rPr>
              <w:t>ffering w</w:t>
            </w:r>
            <w:r w:rsidR="009B4E25" w:rsidRPr="004402DF">
              <w:rPr>
                <w:sz w:val="18"/>
                <w:szCs w:val="22"/>
              </w:rPr>
              <w:t>hānau-centred services offer</w:t>
            </w:r>
            <w:r w:rsidR="009B4E25">
              <w:rPr>
                <w:sz w:val="18"/>
                <w:szCs w:val="22"/>
              </w:rPr>
              <w:t>ed</w:t>
            </w:r>
            <w:r w:rsidR="009B4E25" w:rsidRPr="004402DF">
              <w:rPr>
                <w:sz w:val="18"/>
                <w:szCs w:val="22"/>
              </w:rPr>
              <w:t xml:space="preserve"> flu vaccinations as well as other health and support services. Networked with community leaders to offer services responsive to whānau context and circumstances</w:t>
            </w:r>
            <w:r w:rsidR="009B4E25">
              <w:rPr>
                <w:sz w:val="18"/>
                <w:szCs w:val="22"/>
              </w:rPr>
              <w:t>.</w:t>
            </w:r>
          </w:p>
        </w:tc>
      </w:tr>
      <w:tr w:rsidR="009B4E25" w:rsidRPr="004402DF" w14:paraId="4651AC04" w14:textId="77777777" w:rsidTr="0066794F">
        <w:tc>
          <w:tcPr>
            <w:tcW w:w="2405" w:type="dxa"/>
          </w:tcPr>
          <w:p w14:paraId="43E3B5DE" w14:textId="77777777" w:rsidR="009B4E25" w:rsidRPr="004402DF" w:rsidRDefault="009B4E25" w:rsidP="0066794F">
            <w:pPr>
              <w:pStyle w:val="BodyText"/>
              <w:numPr>
                <w:ilvl w:val="0"/>
                <w:numId w:val="0"/>
              </w:numPr>
              <w:rPr>
                <w:sz w:val="18"/>
                <w:szCs w:val="22"/>
              </w:rPr>
            </w:pPr>
            <w:r w:rsidRPr="004402DF">
              <w:rPr>
                <w:sz w:val="18"/>
                <w:szCs w:val="22"/>
              </w:rPr>
              <w:t>Cultural barriers</w:t>
            </w:r>
          </w:p>
        </w:tc>
        <w:tc>
          <w:tcPr>
            <w:tcW w:w="5805" w:type="dxa"/>
          </w:tcPr>
          <w:p w14:paraId="11C4CF4E" w14:textId="61F8B196" w:rsidR="009B4E25" w:rsidRPr="004402DF" w:rsidRDefault="001C4FBC" w:rsidP="0066794F">
            <w:pPr>
              <w:pStyle w:val="BodyText"/>
              <w:numPr>
                <w:ilvl w:val="0"/>
                <w:numId w:val="0"/>
              </w:numPr>
              <w:rPr>
                <w:sz w:val="18"/>
                <w:szCs w:val="22"/>
              </w:rPr>
            </w:pPr>
            <w:r>
              <w:rPr>
                <w:sz w:val="18"/>
                <w:szCs w:val="22"/>
              </w:rPr>
              <w:t>U</w:t>
            </w:r>
            <w:r w:rsidR="009B4E25">
              <w:rPr>
                <w:sz w:val="18"/>
                <w:szCs w:val="22"/>
              </w:rPr>
              <w:t xml:space="preserve">sing </w:t>
            </w:r>
            <w:r w:rsidR="009B4E25" w:rsidRPr="004402DF">
              <w:rPr>
                <w:sz w:val="18"/>
                <w:szCs w:val="22"/>
              </w:rPr>
              <w:t>culturally and clinically competent mainly Māori staff who know how to engage well with whānau</w:t>
            </w:r>
            <w:r w:rsidR="009B4E25">
              <w:rPr>
                <w:sz w:val="18"/>
                <w:szCs w:val="22"/>
              </w:rPr>
              <w:t>.</w:t>
            </w:r>
          </w:p>
        </w:tc>
      </w:tr>
      <w:tr w:rsidR="009B4E25" w:rsidRPr="004402DF" w14:paraId="2664570C" w14:textId="77777777" w:rsidTr="0066794F">
        <w:tc>
          <w:tcPr>
            <w:tcW w:w="2405" w:type="dxa"/>
          </w:tcPr>
          <w:p w14:paraId="4640F6A3" w14:textId="77777777" w:rsidR="009B4E25" w:rsidRPr="004402DF" w:rsidRDefault="009B4E25" w:rsidP="0066794F">
            <w:pPr>
              <w:pStyle w:val="BodyText"/>
              <w:numPr>
                <w:ilvl w:val="0"/>
                <w:numId w:val="0"/>
              </w:numPr>
              <w:rPr>
                <w:sz w:val="18"/>
                <w:szCs w:val="22"/>
              </w:rPr>
            </w:pPr>
            <w:r w:rsidRPr="004402DF">
              <w:rPr>
                <w:sz w:val="18"/>
                <w:szCs w:val="22"/>
              </w:rPr>
              <w:t>Poor health literacy</w:t>
            </w:r>
          </w:p>
        </w:tc>
        <w:tc>
          <w:tcPr>
            <w:tcW w:w="5805" w:type="dxa"/>
          </w:tcPr>
          <w:p w14:paraId="4542953E" w14:textId="4B628B08" w:rsidR="009B4E25" w:rsidRPr="004402DF" w:rsidRDefault="001C4FBC" w:rsidP="0066794F">
            <w:pPr>
              <w:pStyle w:val="BodyText"/>
              <w:numPr>
                <w:ilvl w:val="0"/>
                <w:numId w:val="0"/>
              </w:numPr>
              <w:rPr>
                <w:sz w:val="18"/>
                <w:szCs w:val="22"/>
              </w:rPr>
            </w:pPr>
            <w:r>
              <w:rPr>
                <w:sz w:val="18"/>
                <w:szCs w:val="22"/>
              </w:rPr>
              <w:t>D</w:t>
            </w:r>
            <w:r w:rsidR="009B4E25" w:rsidRPr="004402DF">
              <w:rPr>
                <w:sz w:val="18"/>
                <w:szCs w:val="22"/>
              </w:rPr>
              <w:t>evelop</w:t>
            </w:r>
            <w:r w:rsidR="009B4E25">
              <w:rPr>
                <w:sz w:val="18"/>
                <w:szCs w:val="22"/>
              </w:rPr>
              <w:t>ing</w:t>
            </w:r>
            <w:r w:rsidR="009B4E25" w:rsidRPr="004402DF">
              <w:rPr>
                <w:sz w:val="18"/>
                <w:szCs w:val="22"/>
              </w:rPr>
              <w:t xml:space="preserve"> tailored communications</w:t>
            </w:r>
            <w:r w:rsidR="009B4E25">
              <w:rPr>
                <w:sz w:val="18"/>
                <w:szCs w:val="22"/>
              </w:rPr>
              <w:t xml:space="preserve">, </w:t>
            </w:r>
            <w:r w:rsidR="009B4E25" w:rsidRPr="004402DF">
              <w:rPr>
                <w:sz w:val="18"/>
                <w:szCs w:val="22"/>
              </w:rPr>
              <w:t>delivered through multiple channels</w:t>
            </w:r>
            <w:r w:rsidR="009B4E25">
              <w:rPr>
                <w:sz w:val="18"/>
                <w:szCs w:val="22"/>
              </w:rPr>
              <w:t>,</w:t>
            </w:r>
            <w:r w:rsidR="009B4E25" w:rsidRPr="004402DF">
              <w:rPr>
                <w:sz w:val="18"/>
                <w:szCs w:val="22"/>
              </w:rPr>
              <w:t xml:space="preserve"> </w:t>
            </w:r>
            <w:r>
              <w:rPr>
                <w:sz w:val="18"/>
                <w:szCs w:val="22"/>
              </w:rPr>
              <w:t>such as</w:t>
            </w:r>
            <w:r w:rsidR="009B4E25" w:rsidRPr="004402DF">
              <w:rPr>
                <w:sz w:val="18"/>
                <w:szCs w:val="22"/>
              </w:rPr>
              <w:t xml:space="preserve"> print, online, community leaders etc</w:t>
            </w:r>
            <w:r w:rsidR="009B4E25">
              <w:rPr>
                <w:sz w:val="18"/>
                <w:szCs w:val="22"/>
              </w:rPr>
              <w:t>.</w:t>
            </w:r>
          </w:p>
        </w:tc>
      </w:tr>
      <w:tr w:rsidR="009B4E25" w:rsidRPr="004402DF" w14:paraId="7E542E57" w14:textId="77777777" w:rsidTr="0066794F">
        <w:tc>
          <w:tcPr>
            <w:tcW w:w="2405" w:type="dxa"/>
          </w:tcPr>
          <w:p w14:paraId="726C33EF" w14:textId="77777777" w:rsidR="009B4E25" w:rsidRPr="004402DF" w:rsidRDefault="009B4E25" w:rsidP="0066794F">
            <w:pPr>
              <w:pStyle w:val="BodyText"/>
              <w:numPr>
                <w:ilvl w:val="0"/>
                <w:numId w:val="0"/>
              </w:numPr>
              <w:rPr>
                <w:sz w:val="18"/>
                <w:szCs w:val="22"/>
              </w:rPr>
            </w:pPr>
            <w:r w:rsidRPr="004402DF">
              <w:rPr>
                <w:sz w:val="18"/>
                <w:szCs w:val="22"/>
              </w:rPr>
              <w:t>Clash of western and Māori models and worldviews</w:t>
            </w:r>
          </w:p>
        </w:tc>
        <w:tc>
          <w:tcPr>
            <w:tcW w:w="5805" w:type="dxa"/>
          </w:tcPr>
          <w:p w14:paraId="3C114A17" w14:textId="1E7CA12D" w:rsidR="009B4E25" w:rsidRPr="004402DF" w:rsidRDefault="001C4FBC" w:rsidP="0066794F">
            <w:pPr>
              <w:pStyle w:val="BodyText"/>
              <w:numPr>
                <w:ilvl w:val="0"/>
                <w:numId w:val="0"/>
              </w:numPr>
              <w:rPr>
                <w:sz w:val="18"/>
                <w:szCs w:val="22"/>
              </w:rPr>
            </w:pPr>
            <w:r>
              <w:rPr>
                <w:sz w:val="18"/>
                <w:szCs w:val="22"/>
              </w:rPr>
              <w:t>M</w:t>
            </w:r>
            <w:r w:rsidR="009B4E25">
              <w:rPr>
                <w:sz w:val="18"/>
                <w:szCs w:val="22"/>
              </w:rPr>
              <w:t>aking a w</w:t>
            </w:r>
            <w:r w:rsidR="009B4E25" w:rsidRPr="004402DF">
              <w:rPr>
                <w:sz w:val="18"/>
                <w:szCs w:val="22"/>
              </w:rPr>
              <w:t xml:space="preserve">hānau-centred approach </w:t>
            </w:r>
            <w:r w:rsidR="009B4E25">
              <w:rPr>
                <w:sz w:val="18"/>
                <w:szCs w:val="22"/>
              </w:rPr>
              <w:t xml:space="preserve">the </w:t>
            </w:r>
            <w:r w:rsidR="009B4E25" w:rsidRPr="004402DF">
              <w:rPr>
                <w:sz w:val="18"/>
                <w:szCs w:val="22"/>
              </w:rPr>
              <w:t xml:space="preserve">norm and </w:t>
            </w:r>
            <w:r w:rsidR="009B4E25">
              <w:rPr>
                <w:sz w:val="18"/>
                <w:szCs w:val="22"/>
              </w:rPr>
              <w:t xml:space="preserve">eschewing a solely </w:t>
            </w:r>
            <w:r w:rsidR="009B4E25" w:rsidRPr="004402DF">
              <w:rPr>
                <w:sz w:val="18"/>
                <w:szCs w:val="22"/>
              </w:rPr>
              <w:t>individualised approach</w:t>
            </w:r>
          </w:p>
        </w:tc>
      </w:tr>
    </w:tbl>
    <w:p w14:paraId="7E82C593" w14:textId="77777777" w:rsidR="009B4E25" w:rsidRDefault="009B4E25" w:rsidP="009B4E25">
      <w:pPr>
        <w:pStyle w:val="BodyText"/>
        <w:numPr>
          <w:ilvl w:val="0"/>
          <w:numId w:val="0"/>
        </w:numPr>
      </w:pPr>
    </w:p>
    <w:p w14:paraId="03B7D310" w14:textId="649AB406" w:rsidR="009B4E25" w:rsidRDefault="009B4E25" w:rsidP="009B4E25">
      <w:pPr>
        <w:pStyle w:val="BodyText"/>
      </w:pPr>
      <w:r>
        <w:t>Two overarching principles are evident</w:t>
      </w:r>
      <w:r w:rsidR="001C4FBC">
        <w:t>:</w:t>
      </w:r>
      <w:r>
        <w:t xml:space="preserve"> diversity and autonomy. Providers and DHBs used multiple ways to find whānau, communicate and engage with whānau. They worked individually, and they worked collaboratively. They delivered vaccinations in churches, on sports fields, in car parks and on marae. There is no “one size fits all”. It is the diversity of access options that breaks down barriers for Māori, increases access and delivers equity overall.  </w:t>
      </w:r>
    </w:p>
    <w:p w14:paraId="3E28B234" w14:textId="03ECD8F0" w:rsidR="009B4E25" w:rsidRDefault="009B4E25" w:rsidP="002576CF">
      <w:pPr>
        <w:pStyle w:val="BodyText"/>
      </w:pPr>
      <w:r>
        <w:t xml:space="preserve">Using deep knowledge of their communities and tapping into leaders and networks, providers and DHBs determined what would work best for whānau and their people. Diversity </w:t>
      </w:r>
      <w:r w:rsidR="002576CF">
        <w:t xml:space="preserve">and innovation </w:t>
      </w:r>
      <w:proofErr w:type="gramStart"/>
      <w:r>
        <w:t>needs</w:t>
      </w:r>
      <w:proofErr w:type="gramEnd"/>
      <w:r>
        <w:t xml:space="preserve"> to be supported by autonomy. Provider autonomy needs to be encouraged and affirmed. </w:t>
      </w:r>
      <w:r w:rsidR="002576CF">
        <w:t xml:space="preserve">The </w:t>
      </w:r>
      <w:r>
        <w:t xml:space="preserve">Ministry </w:t>
      </w:r>
      <w:r w:rsidR="002576CF">
        <w:t>needs take a more strategic approach to assessment of applications</w:t>
      </w:r>
      <w:r w:rsidR="00060296">
        <w:t xml:space="preserve">. This could include for example </w:t>
      </w:r>
      <w:r w:rsidR="001C4FBC">
        <w:t xml:space="preserve">assessing </w:t>
      </w:r>
      <w:r w:rsidR="00047B12">
        <w:t xml:space="preserve">applications </w:t>
      </w:r>
      <w:r w:rsidR="002576CF">
        <w:t>against the three core MIVP strategies (mobilisation, whānau-centred and workforce capability)</w:t>
      </w:r>
      <w:r w:rsidR="00060296">
        <w:t xml:space="preserve">. </w:t>
      </w:r>
      <w:r w:rsidR="002576CF">
        <w:t>The Ministry needs to trust providers, who know their communities and what to do</w:t>
      </w:r>
      <w:r w:rsidR="00E41FEA">
        <w:t xml:space="preserve">. There is a need to stay open to new or unfamiliar ideas and the assessment of risk, </w:t>
      </w:r>
      <w:r>
        <w:t>so as not to stifle innovation.</w:t>
      </w:r>
    </w:p>
    <w:p w14:paraId="3A4940DE" w14:textId="518B2AC6" w:rsidR="009B4E25" w:rsidRDefault="00EC6371" w:rsidP="009B4E25">
      <w:pPr>
        <w:pStyle w:val="BodyText"/>
      </w:pPr>
      <w:r>
        <w:lastRenderedPageBreak/>
        <w:t>The evaluation identified t</w:t>
      </w:r>
      <w:r w:rsidR="009B4E25">
        <w:t xml:space="preserve">hree core strategies </w:t>
      </w:r>
      <w:r>
        <w:t xml:space="preserve">that </w:t>
      </w:r>
      <w:r w:rsidR="009B4E25">
        <w:t>underpin MIVP</w:t>
      </w:r>
      <w:r w:rsidR="001C4FBC">
        <w:t>: m</w:t>
      </w:r>
      <w:r w:rsidR="009B4E25">
        <w:t>obilisation and taking services out into the community, taking a whānau-centred approach and a focus on workforce development.</w:t>
      </w:r>
    </w:p>
    <w:p w14:paraId="274A6588" w14:textId="77777777" w:rsidR="009B4E25" w:rsidRPr="001622FB" w:rsidRDefault="009B4E25" w:rsidP="009B4E25">
      <w:pPr>
        <w:pStyle w:val="Heading3"/>
      </w:pPr>
      <w:r w:rsidRPr="001622FB">
        <w:t xml:space="preserve">Mobilisation and taking services out into the </w:t>
      </w:r>
      <w:proofErr w:type="gramStart"/>
      <w:r w:rsidRPr="001622FB">
        <w:t>community</w:t>
      </w:r>
      <w:proofErr w:type="gramEnd"/>
    </w:p>
    <w:p w14:paraId="6C25E6EC" w14:textId="6C451B92" w:rsidR="009B4E25" w:rsidRDefault="009B4E25" w:rsidP="009B4E25">
      <w:pPr>
        <w:pStyle w:val="BodyText"/>
      </w:pPr>
      <w:r>
        <w:t xml:space="preserve">By encouraging and funding innovation, MIVP demonstrated the efficacy of mobilising </w:t>
      </w:r>
      <w:r w:rsidRPr="00DE52DD">
        <w:t>services</w:t>
      </w:r>
      <w:r>
        <w:t xml:space="preserve"> and taking them into the community, as a one-off intervention. The potential of mobile services, as a component of primary health care for Māori, warrants consideration. Proof</w:t>
      </w:r>
      <w:r w:rsidR="001C4FBC">
        <w:t>-</w:t>
      </w:r>
      <w:r>
        <w:t>of</w:t>
      </w:r>
      <w:r w:rsidR="001C4FBC">
        <w:t>-</w:t>
      </w:r>
      <w:r>
        <w:t>concept funding should be considered to explore service design, workforce requirements and cost implications.</w:t>
      </w:r>
    </w:p>
    <w:p w14:paraId="0518E7BF" w14:textId="77777777" w:rsidR="009B4E25" w:rsidRDefault="009B4E25" w:rsidP="009B4E25">
      <w:pPr>
        <w:pStyle w:val="Heading3"/>
      </w:pPr>
      <w:r>
        <w:t>Whānau-centred approach</w:t>
      </w:r>
    </w:p>
    <w:p w14:paraId="277F2F2E" w14:textId="323FB03E" w:rsidR="009B4E25" w:rsidRDefault="009B4E25" w:rsidP="009B4E25">
      <w:pPr>
        <w:pStyle w:val="BodyText"/>
      </w:pPr>
      <w:r>
        <w:t xml:space="preserve">Existing long-standing rates of inequity for Māori signal that GPs and pharmacies alone are insufficient to ensure Māori receive the vaccination services they are entitled to. A whānau-centred approach delivers positive outcomes for Māori by offering multiple ways for whānau to access health services, alongside existing </w:t>
      </w:r>
      <w:proofErr w:type="gramStart"/>
      <w:r>
        <w:t>GP</w:t>
      </w:r>
      <w:proofErr w:type="gramEnd"/>
      <w:r>
        <w:t xml:space="preserve"> and pharmacy systems. </w:t>
      </w:r>
    </w:p>
    <w:p w14:paraId="5541B24E" w14:textId="4792203C" w:rsidR="009B4E25" w:rsidRDefault="009B4E25" w:rsidP="009B4E25">
      <w:pPr>
        <w:pStyle w:val="BodyText"/>
      </w:pPr>
      <w:r>
        <w:t xml:space="preserve">Successful DHBs and providers took a whānau-centric approach rather than focusing solely on Māori aged </w:t>
      </w:r>
      <w:r w:rsidR="001C4FBC">
        <w:t xml:space="preserve">over </w:t>
      </w:r>
      <w:r>
        <w:t>65. With equity as the focus, the Ministry should advocate for a change in eligibility criteria to a whānau-centric focus</w:t>
      </w:r>
      <w:r w:rsidR="003427A1">
        <w:t xml:space="preserve"> </w:t>
      </w:r>
      <w:r w:rsidR="00EC6371">
        <w:t>-</w:t>
      </w:r>
      <w:r w:rsidR="003427A1">
        <w:t xml:space="preserve"> shifting</w:t>
      </w:r>
      <w:r>
        <w:t xml:space="preserve"> from the current PHARMAC model, which has an individual focus.</w:t>
      </w:r>
    </w:p>
    <w:p w14:paraId="546235D3" w14:textId="77777777" w:rsidR="009B4E25" w:rsidRDefault="009B4E25" w:rsidP="009B4E25">
      <w:pPr>
        <w:pStyle w:val="Heading3"/>
      </w:pPr>
      <w:r>
        <w:t>Workforce capability</w:t>
      </w:r>
    </w:p>
    <w:p w14:paraId="56B7B12C" w14:textId="28EC697B" w:rsidR="009B4E25" w:rsidRDefault="009B4E25" w:rsidP="009B4E25">
      <w:pPr>
        <w:pStyle w:val="BodyText"/>
      </w:pPr>
      <w:r>
        <w:t xml:space="preserve">The issue of Māori workforce capability, including vaccinations, is broader than MIVP. Historical underfunding of Māori providers </w:t>
      </w:r>
      <w:r w:rsidR="002576CF">
        <w:t xml:space="preserve">has </w:t>
      </w:r>
      <w:r>
        <w:t xml:space="preserve">resulted in </w:t>
      </w:r>
      <w:r w:rsidR="002576CF">
        <w:t xml:space="preserve">some </w:t>
      </w:r>
      <w:r>
        <w:t xml:space="preserve">providers trading off salaries and workforce development for service delivery resources and activities, </w:t>
      </w:r>
      <w:proofErr w:type="gramStart"/>
      <w:r w:rsidR="003427A1">
        <w:t xml:space="preserve">in order </w:t>
      </w:r>
      <w:r>
        <w:t>to</w:t>
      </w:r>
      <w:proofErr w:type="gramEnd"/>
      <w:r>
        <w:t xml:space="preserve"> meet the needs of whānau. Some providers and DHBs </w:t>
      </w:r>
      <w:r w:rsidR="002576CF">
        <w:t xml:space="preserve">intentionally </w:t>
      </w:r>
      <w:r>
        <w:t xml:space="preserve">focused on building Māori workforce capacity, both in the short </w:t>
      </w:r>
      <w:r w:rsidR="002576CF">
        <w:t>and long</w:t>
      </w:r>
      <w:r w:rsidR="003427A1">
        <w:t>-</w:t>
      </w:r>
      <w:r>
        <w:t xml:space="preserve">term to increase their vaccination workforce. Both providers and DHBs tell us that workforce vaccination capability development will continue to need ongoing support. </w:t>
      </w:r>
    </w:p>
    <w:p w14:paraId="6014D6CC" w14:textId="77777777" w:rsidR="009B4E25" w:rsidRDefault="009B4E25" w:rsidP="009B4E25">
      <w:pPr>
        <w:pStyle w:val="BodyText"/>
      </w:pPr>
      <w:r>
        <w:t>It needs to be said that the emphasis here is on the Māori workforce. The evidence tells us that whānau are more receptive, feel more comfortable and reassured when they see and engage with Māori staff. For MIVP and broader Māori health gains, having Māori staff who are culturally adept and clinically sound is essential.</w:t>
      </w:r>
    </w:p>
    <w:p w14:paraId="1A814CF1" w14:textId="57D91514" w:rsidR="009B4E25" w:rsidRDefault="009B4E25" w:rsidP="009B4E25">
      <w:pPr>
        <w:pStyle w:val="Heading2"/>
      </w:pPr>
      <w:bookmarkStart w:id="174" w:name="_Toc58589920"/>
      <w:bookmarkStart w:id="175" w:name="_Toc70763297"/>
      <w:r>
        <w:t>Implementing MIVP in 2021</w:t>
      </w:r>
      <w:bookmarkEnd w:id="174"/>
      <w:bookmarkEnd w:id="175"/>
    </w:p>
    <w:p w14:paraId="6D71848D" w14:textId="3D3E987A" w:rsidR="009B4E25" w:rsidRPr="006C13FD" w:rsidRDefault="009B4E25" w:rsidP="009B4E25">
      <w:pPr>
        <w:pStyle w:val="BodyText"/>
      </w:pPr>
      <w:r w:rsidRPr="006C13FD">
        <w:t xml:space="preserve">Equity is the underlying imperative that supports MIVP </w:t>
      </w:r>
      <w:r>
        <w:t xml:space="preserve">implementation </w:t>
      </w:r>
      <w:r w:rsidRPr="006C13FD">
        <w:t xml:space="preserve">in 2021. At the same time, the insights and learning about what worked in 2020 provide a strong foundation to shape change and extend the reach and impact of MIVP. </w:t>
      </w:r>
      <w:r>
        <w:t>For implementation in 2021, the Ministry should plan to get funds out earlier in the year, retain dual funding, develop more tailored support to DHBs and providers in regions where improvements in equity rates have been slight or flat</w:t>
      </w:r>
      <w:r w:rsidR="003427A1">
        <w:t>,</w:t>
      </w:r>
      <w:r>
        <w:t xml:space="preserve"> and re</w:t>
      </w:r>
      <w:r w:rsidR="003427A1">
        <w:t>-</w:t>
      </w:r>
      <w:r>
        <w:t>look at the criteria for allocating funds.</w:t>
      </w:r>
    </w:p>
    <w:p w14:paraId="36F70E9B" w14:textId="256C6853" w:rsidR="009B4E25" w:rsidRPr="00F11637" w:rsidRDefault="009B4E25" w:rsidP="009B4E25">
      <w:pPr>
        <w:pStyle w:val="BodyText"/>
        <w:rPr>
          <w:b/>
          <w:bCs/>
        </w:rPr>
      </w:pPr>
      <w:r w:rsidRPr="00F11637">
        <w:rPr>
          <w:b/>
          <w:bCs/>
        </w:rPr>
        <w:t>Plan to get MIVP funding out early in the year</w:t>
      </w:r>
      <w:r>
        <w:rPr>
          <w:b/>
          <w:bCs/>
        </w:rPr>
        <w:t xml:space="preserve">. </w:t>
      </w:r>
      <w:r>
        <w:t xml:space="preserve">In 2020, funding came too late for some providers to make </w:t>
      </w:r>
      <w:r w:rsidR="003427A1">
        <w:t xml:space="preserve">best </w:t>
      </w:r>
      <w:r>
        <w:t xml:space="preserve">use of it. </w:t>
      </w:r>
      <w:r w:rsidR="000F2275">
        <w:t>One highly performing region</w:t>
      </w:r>
      <w:r>
        <w:t xml:space="preserve"> began planning for 2020 flu vaccinations in November 2019. Another highly performing region, began their planning at the same time as developing their MIVP application. Providers and DHBs would benefit from having as much notice as possible assuming the Ministry elects to roll out MIPV in 2021. More time allows for more planning, collaboration, sharing of ideas, staff training and engaging with leaders, </w:t>
      </w:r>
      <w:proofErr w:type="gramStart"/>
      <w:r>
        <w:t>networks</w:t>
      </w:r>
      <w:proofErr w:type="gramEnd"/>
      <w:r>
        <w:t xml:space="preserve"> and communities. </w:t>
      </w:r>
    </w:p>
    <w:p w14:paraId="3EF8340A" w14:textId="77777777" w:rsidR="009B4E25" w:rsidRDefault="009B4E25" w:rsidP="009B4E25">
      <w:pPr>
        <w:pStyle w:val="BodyText"/>
      </w:pPr>
      <w:r>
        <w:rPr>
          <w:b/>
          <w:bCs/>
        </w:rPr>
        <w:t>Retain the</w:t>
      </w:r>
      <w:r w:rsidRPr="0086630A">
        <w:rPr>
          <w:b/>
          <w:bCs/>
        </w:rPr>
        <w:t xml:space="preserve"> dual funding.</w:t>
      </w:r>
      <w:r w:rsidRPr="006C13FD">
        <w:t xml:space="preserve"> </w:t>
      </w:r>
      <w:r>
        <w:t>Dual funding offers</w:t>
      </w:r>
      <w:r w:rsidRPr="006C13FD">
        <w:t xml:space="preserve"> two </w:t>
      </w:r>
      <w:r>
        <w:t xml:space="preserve">alternative </w:t>
      </w:r>
      <w:r w:rsidRPr="006C13FD">
        <w:t>channel</w:t>
      </w:r>
      <w:r>
        <w:t>s</w:t>
      </w:r>
      <w:r w:rsidRPr="006C13FD">
        <w:t xml:space="preserve"> to get funding out </w:t>
      </w:r>
      <w:r>
        <w:t xml:space="preserve">quickly </w:t>
      </w:r>
      <w:r w:rsidRPr="006C13FD">
        <w:t xml:space="preserve">into the community. </w:t>
      </w:r>
      <w:r>
        <w:t xml:space="preserve">Direct funding of providers by the Ministry was timely. In contrast, DHBs were slow to get funding out to providers, reaching some providers when some planned opportunities had passed them by. </w:t>
      </w:r>
    </w:p>
    <w:p w14:paraId="52F13468" w14:textId="7ADA693B" w:rsidR="009B4E25" w:rsidRDefault="009B4E25" w:rsidP="009B4E25">
      <w:pPr>
        <w:pStyle w:val="BodyText"/>
      </w:pPr>
      <w:r>
        <w:t xml:space="preserve">Funding DHBs adds another layer of bureaucracy to the rapid deployment of funds and services. Future changes signalled for DHBs are unlikely to deliver increased rapidity in contracting and </w:t>
      </w:r>
      <w:r>
        <w:lastRenderedPageBreak/>
        <w:t>funding providers, at least in the short-term. The Ministry could explore having service</w:t>
      </w:r>
      <w:r w:rsidR="003427A1">
        <w:t>-</w:t>
      </w:r>
      <w:r>
        <w:t>level agreements with DHBs which commit them to agreed delivery timeframes</w:t>
      </w:r>
      <w:r w:rsidR="002576CF">
        <w:t xml:space="preserve"> as well as identify what support the Ministry could offer to support DHBs to achieve more timely contracting</w:t>
      </w:r>
      <w:r>
        <w:t xml:space="preserve">. However, there is </w:t>
      </w:r>
      <w:r w:rsidRPr="00327F0A">
        <w:t xml:space="preserve">an underlying aspiration </w:t>
      </w:r>
      <w:r>
        <w:t xml:space="preserve">for </w:t>
      </w:r>
      <w:r w:rsidRPr="00327F0A">
        <w:t xml:space="preserve">Māori providers </w:t>
      </w:r>
      <w:r>
        <w:t xml:space="preserve">to receive </w:t>
      </w:r>
      <w:r w:rsidRPr="00327F0A">
        <w:t>direct fund</w:t>
      </w:r>
      <w:r>
        <w:t xml:space="preserve">ing. This cannot be ignored. </w:t>
      </w:r>
    </w:p>
    <w:p w14:paraId="0A744C48" w14:textId="0C2ED1DD" w:rsidR="009B4E25" w:rsidRDefault="009B4E25" w:rsidP="009B4E25">
      <w:pPr>
        <w:pStyle w:val="BodyText"/>
      </w:pPr>
      <w:r w:rsidRPr="00327F0A">
        <w:rPr>
          <w:b/>
          <w:bCs/>
        </w:rPr>
        <w:t>No one funding model is more strongly associated with positive outcomes than another</w:t>
      </w:r>
      <w:r>
        <w:t xml:space="preserve">. When looking at the four top-performing regions for flu vaccination rates in 2020, (see </w:t>
      </w:r>
      <w:r>
        <w:fldChar w:fldCharType="begin"/>
      </w:r>
      <w:r>
        <w:instrText xml:space="preserve"> REF _Ref58259159 \h </w:instrText>
      </w:r>
      <w:r>
        <w:fldChar w:fldCharType="separate"/>
      </w:r>
      <w:r w:rsidR="009B082D">
        <w:t xml:space="preserve">Figure </w:t>
      </w:r>
      <w:r w:rsidR="009B082D">
        <w:rPr>
          <w:noProof/>
        </w:rPr>
        <w:t>3</w:t>
      </w:r>
      <w:r>
        <w:fldChar w:fldCharType="end"/>
      </w:r>
      <w:r>
        <w:t xml:space="preserve">, page </w:t>
      </w:r>
      <w:r>
        <w:fldChar w:fldCharType="begin"/>
      </w:r>
      <w:r>
        <w:instrText xml:space="preserve"> PAGEREF _Ref58259183 \h </w:instrText>
      </w:r>
      <w:r>
        <w:fldChar w:fldCharType="separate"/>
      </w:r>
      <w:r w:rsidR="000B6910">
        <w:rPr>
          <w:noProof/>
        </w:rPr>
        <w:t>17</w:t>
      </w:r>
      <w:r>
        <w:fldChar w:fldCharType="end"/>
      </w:r>
      <w:r>
        <w:t>), Whanganui, Hawke’s Bay Lakes and Bay of Plenty, no one model was more strongly associated with increased flu vaccinations and improved equity than another.</w:t>
      </w:r>
    </w:p>
    <w:p w14:paraId="2A9F191C" w14:textId="68853A76" w:rsidR="009B4E25" w:rsidRDefault="009B4E25" w:rsidP="009B4E25">
      <w:pPr>
        <w:pStyle w:val="BodyText"/>
      </w:pPr>
      <w:r>
        <w:t>Different funding models ran in each region. In Whanganui, the Ministry direct</w:t>
      </w:r>
      <w:r w:rsidR="003427A1">
        <w:t>-</w:t>
      </w:r>
      <w:r>
        <w:t xml:space="preserve">funded a Māori health provider, and the DHB did not make an application. </w:t>
      </w:r>
      <w:r w:rsidR="003427A1">
        <w:t>For</w:t>
      </w:r>
      <w:r>
        <w:t xml:space="preserve"> the Hawke’s Bay and Lakes DHBs, the Ministry funded the DHBs who coordinated the work of Māori health providers. In the Bay of Plenty, the Ministry funded both the DHB and Māori health providers direct</w:t>
      </w:r>
      <w:r w:rsidR="003427A1">
        <w:t>ly</w:t>
      </w:r>
      <w:r>
        <w:t xml:space="preserve">. The success in these regions shows there is no one best way to fund for success. It also suggests the need to respond to the variable levels of provider and DHB capability, and offer support, as part of any future roll-out of MIVP. </w:t>
      </w:r>
    </w:p>
    <w:p w14:paraId="34930E6E" w14:textId="77777777" w:rsidR="009B4E25" w:rsidRPr="00DA1B11" w:rsidRDefault="009B4E25" w:rsidP="009B4E25">
      <w:pPr>
        <w:pStyle w:val="BodyText"/>
      </w:pPr>
      <w:r>
        <w:t>Sharing what worked on the ground offers valuable insights for providers and DHBS. T</w:t>
      </w:r>
      <w:r w:rsidRPr="00DA1B11">
        <w:t>here is an opportunity to</w:t>
      </w:r>
      <w:r>
        <w:t xml:space="preserve">: </w:t>
      </w:r>
    </w:p>
    <w:p w14:paraId="089D61D7" w14:textId="5A20AA11" w:rsidR="009B4E25" w:rsidRDefault="009B4E25" w:rsidP="009B4E25">
      <w:pPr>
        <w:pStyle w:val="Bullet"/>
        <w:spacing w:before="0" w:after="0"/>
      </w:pPr>
      <w:r>
        <w:t xml:space="preserve">share approaches that worked by developing top tips, practice </w:t>
      </w:r>
      <w:r w:rsidRPr="00741555">
        <w:t>examples</w:t>
      </w:r>
      <w:r>
        <w:t xml:space="preserve"> and case </w:t>
      </w:r>
      <w:proofErr w:type="gramStart"/>
      <w:r>
        <w:t>studies</w:t>
      </w:r>
      <w:proofErr w:type="gramEnd"/>
      <w:r>
        <w:t xml:space="preserve"> </w:t>
      </w:r>
    </w:p>
    <w:p w14:paraId="18BF1A59" w14:textId="77777777" w:rsidR="009B4E25" w:rsidRDefault="009B4E25" w:rsidP="009B4E25">
      <w:pPr>
        <w:pStyle w:val="Bullet"/>
        <w:spacing w:before="0" w:after="0"/>
      </w:pPr>
      <w:r>
        <w:t>f</w:t>
      </w:r>
      <w:r w:rsidRPr="00327F0A">
        <w:t>acilitate connection</w:t>
      </w:r>
      <w:r>
        <w:t>s</w:t>
      </w:r>
      <w:r w:rsidRPr="00327F0A">
        <w:t xml:space="preserve"> between</w:t>
      </w:r>
      <w:r>
        <w:t xml:space="preserve"> </w:t>
      </w:r>
      <w:r w:rsidRPr="00327F0A">
        <w:t>representatives of high-performing regions and those needing more support</w:t>
      </w:r>
      <w:r>
        <w:t xml:space="preserve"> and regions with similar </w:t>
      </w:r>
      <w:proofErr w:type="gramStart"/>
      <w:r>
        <w:t>contexts</w:t>
      </w:r>
      <w:proofErr w:type="gramEnd"/>
    </w:p>
    <w:p w14:paraId="7662865F" w14:textId="77777777" w:rsidR="009B4E25" w:rsidRDefault="009B4E25" w:rsidP="009B4E25">
      <w:pPr>
        <w:pStyle w:val="Bullet"/>
        <w:spacing w:before="0" w:after="0"/>
      </w:pPr>
      <w:r>
        <w:t>facilitate sharing ideas and data, where possible, between regions</w:t>
      </w:r>
    </w:p>
    <w:p w14:paraId="3CC9D3A3" w14:textId="77777777" w:rsidR="009B4E25" w:rsidRPr="00327F0A" w:rsidRDefault="009B4E25" w:rsidP="009B4E25">
      <w:pPr>
        <w:pStyle w:val="Bullet"/>
        <w:spacing w:before="0" w:after="0"/>
      </w:pPr>
      <w:r>
        <w:t xml:space="preserve">fund </w:t>
      </w:r>
      <w:r w:rsidRPr="00327F0A">
        <w:t>for knowledge sharing and mentoring (formally or informally), to recognise the additional effort and time this can take</w:t>
      </w:r>
      <w:r>
        <w:t xml:space="preserve"> </w:t>
      </w:r>
      <w:r w:rsidRPr="00327F0A">
        <w:t xml:space="preserve">(which takes away from </w:t>
      </w:r>
      <w:r>
        <w:t>the core business of service delivery).</w:t>
      </w:r>
      <w:r w:rsidRPr="00327F0A">
        <w:t xml:space="preserve">  </w:t>
      </w:r>
    </w:p>
    <w:p w14:paraId="25C8E810" w14:textId="34F8E2B4" w:rsidR="009B4E25" w:rsidRPr="00D32F6A" w:rsidRDefault="009B4E25" w:rsidP="009B4E25">
      <w:pPr>
        <w:pStyle w:val="BodyText"/>
        <w:rPr>
          <w:b/>
          <w:bCs/>
        </w:rPr>
      </w:pPr>
      <w:r w:rsidRPr="000A1771">
        <w:rPr>
          <w:b/>
          <w:bCs/>
        </w:rPr>
        <w:t xml:space="preserve">Develop more tailored support to </w:t>
      </w:r>
      <w:r>
        <w:rPr>
          <w:b/>
          <w:bCs/>
        </w:rPr>
        <w:t xml:space="preserve">assist </w:t>
      </w:r>
      <w:r w:rsidRPr="000A1771">
        <w:rPr>
          <w:b/>
          <w:bCs/>
        </w:rPr>
        <w:t xml:space="preserve">DHBs and providers </w:t>
      </w:r>
      <w:r w:rsidRPr="00573677">
        <w:t xml:space="preserve">in regions where </w:t>
      </w:r>
      <w:r>
        <w:t xml:space="preserve">little movement in </w:t>
      </w:r>
      <w:r w:rsidRPr="00573677">
        <w:t xml:space="preserve">equity </w:t>
      </w:r>
      <w:r>
        <w:t xml:space="preserve">rates and </w:t>
      </w:r>
      <w:r w:rsidRPr="00573677">
        <w:t xml:space="preserve">trends </w:t>
      </w:r>
      <w:r>
        <w:t>suggest they are struggling</w:t>
      </w:r>
      <w:r w:rsidRPr="00573677">
        <w:t xml:space="preserve">. </w:t>
      </w:r>
      <w:r>
        <w:t xml:space="preserve">It suggests understanding the community context, defining the </w:t>
      </w:r>
      <w:proofErr w:type="gramStart"/>
      <w:r>
        <w:t>problems</w:t>
      </w:r>
      <w:proofErr w:type="gramEnd"/>
      <w:r>
        <w:t xml:space="preserve"> and identifying what is needed to bring about change are not sufficiently well understood. Little movement in </w:t>
      </w:r>
      <w:r w:rsidRPr="00573677">
        <w:t xml:space="preserve">equity </w:t>
      </w:r>
      <w:r>
        <w:t xml:space="preserve">rates might also indicate poor implementation. These regions need something more than just extra funding. It is not enough to try to drag and drop successful approaches from other regions. These regions need tailored support to unpack the regional context to identify what might work, given the uniqueness of the region, its people, </w:t>
      </w:r>
      <w:proofErr w:type="gramStart"/>
      <w:r>
        <w:t>resources</w:t>
      </w:r>
      <w:proofErr w:type="gramEnd"/>
      <w:r>
        <w:t xml:space="preserve"> and relationships.</w:t>
      </w:r>
    </w:p>
    <w:p w14:paraId="5A61B73C" w14:textId="088504B3" w:rsidR="003420A6" w:rsidRPr="00EE4638" w:rsidRDefault="003420A6" w:rsidP="003420A6">
      <w:pPr>
        <w:pStyle w:val="BodyText"/>
        <w:rPr>
          <w:b/>
          <w:bCs/>
        </w:rPr>
      </w:pPr>
      <w:r>
        <w:rPr>
          <w:b/>
          <w:bCs/>
        </w:rPr>
        <w:t>R</w:t>
      </w:r>
      <w:r w:rsidRPr="00EE4638">
        <w:rPr>
          <w:b/>
          <w:bCs/>
        </w:rPr>
        <w:t xml:space="preserve">evisit the funding allocation formula. </w:t>
      </w:r>
      <w:r w:rsidRPr="00EE4638">
        <w:t xml:space="preserve">The current funding </w:t>
      </w:r>
      <w:r>
        <w:t xml:space="preserve">approach </w:t>
      </w:r>
      <w:r w:rsidRPr="00EE4638">
        <w:t xml:space="preserve">takes account of Māori regional population and equity rates. However, a more nuanced approach is needed that takes account of vaccination and equity trends, </w:t>
      </w:r>
      <w:r>
        <w:t xml:space="preserve">as well as </w:t>
      </w:r>
      <w:r w:rsidRPr="00EE4638">
        <w:t xml:space="preserve">provider and DHB performance in 2020 (and historically), and </w:t>
      </w:r>
      <w:r>
        <w:t xml:space="preserve">their </w:t>
      </w:r>
      <w:r w:rsidRPr="00EE4638">
        <w:t xml:space="preserve">capability to use the funding to best effect. </w:t>
      </w:r>
    </w:p>
    <w:p w14:paraId="0289E12F" w14:textId="004346A2" w:rsidR="003420A6" w:rsidRDefault="003420A6" w:rsidP="003420A6">
      <w:pPr>
        <w:pStyle w:val="BodyText"/>
      </w:pPr>
      <w:r>
        <w:t>There</w:t>
      </w:r>
      <w:r w:rsidRPr="00EE4638">
        <w:t xml:space="preserve"> is no clear relationship between</w:t>
      </w:r>
      <w:r w:rsidR="003427A1">
        <w:t>, firstly,</w:t>
      </w:r>
      <w:r>
        <w:t xml:space="preserve"> </w:t>
      </w:r>
      <w:r w:rsidRPr="00EE4638">
        <w:t>the amount of funding awarded to a region, whether in total or by intended recipient, and vaccination outcomes</w:t>
      </w:r>
      <w:r>
        <w:t xml:space="preserve"> and</w:t>
      </w:r>
      <w:r w:rsidR="003427A1">
        <w:t>, secondly,</w:t>
      </w:r>
      <w:r>
        <w:t xml:space="preserve"> </w:t>
      </w:r>
      <w:r w:rsidRPr="00EE4638">
        <w:t>the contracting approach and flu vaccination rate increases</w:t>
      </w:r>
      <w:r w:rsidR="003427A1">
        <w:t>:</w:t>
      </w:r>
      <w:r w:rsidRPr="00EE4638">
        <w:t xml:space="preserve"> whether funding providers directly, funding through DHBs, or a combination of both.</w:t>
      </w:r>
      <w:r>
        <w:t xml:space="preserve"> Neither, </w:t>
      </w:r>
      <w:r w:rsidRPr="00EE4638">
        <w:t xml:space="preserve">giving more money (per target person) </w:t>
      </w:r>
      <w:r w:rsidR="003427A1">
        <w:t>n</w:t>
      </w:r>
      <w:r>
        <w:t xml:space="preserve">or </w:t>
      </w:r>
      <w:r w:rsidRPr="00EE4638">
        <w:t xml:space="preserve">giving more money </w:t>
      </w:r>
      <w:r>
        <w:t xml:space="preserve">overall </w:t>
      </w:r>
      <w:r w:rsidR="00CF0474">
        <w:t>(</w:t>
      </w:r>
      <w:r>
        <w:t>per DHB region</w:t>
      </w:r>
      <w:r w:rsidR="00CF0474">
        <w:t>)</w:t>
      </w:r>
      <w:r>
        <w:t xml:space="preserve"> </w:t>
      </w:r>
      <w:r w:rsidR="003C0FC5">
        <w:t>guarantees successful outcomes.</w:t>
      </w:r>
    </w:p>
    <w:p w14:paraId="7E907F98" w14:textId="2AF95793" w:rsidR="003420A6" w:rsidRPr="00EE4638" w:rsidRDefault="003420A6" w:rsidP="003420A6">
      <w:pPr>
        <w:pStyle w:val="BodyText"/>
      </w:pPr>
      <w:r w:rsidRPr="00EE4638">
        <w:t xml:space="preserve">More money means providers and DHBs can do more, but they </w:t>
      </w:r>
      <w:proofErr w:type="gramStart"/>
      <w:r w:rsidRPr="00EE4638">
        <w:t>have to</w:t>
      </w:r>
      <w:proofErr w:type="gramEnd"/>
      <w:r w:rsidRPr="00EE4638">
        <w:t xml:space="preserve"> know what they are going to do with it</w:t>
      </w:r>
      <w:r w:rsidR="000F2275">
        <w:t xml:space="preserve"> </w:t>
      </w:r>
      <w:r>
        <w:t xml:space="preserve">and be able to use that funding effectively. </w:t>
      </w:r>
      <w:r w:rsidRPr="00EE4638">
        <w:t>In regions where there is low equit</w:t>
      </w:r>
      <w:r>
        <w:t xml:space="preserve">y and </w:t>
      </w:r>
      <w:r w:rsidRPr="00EE4638">
        <w:t xml:space="preserve">limited </w:t>
      </w:r>
      <w:r>
        <w:t xml:space="preserve">vaccination </w:t>
      </w:r>
      <w:r w:rsidRPr="00EE4638">
        <w:t>capability</w:t>
      </w:r>
      <w:r>
        <w:t>, as</w:t>
      </w:r>
      <w:r w:rsidRPr="00EE4638">
        <w:t xml:space="preserve"> demonstrated in </w:t>
      </w:r>
      <w:r>
        <w:t>2020,</w:t>
      </w:r>
      <w:r w:rsidR="000F2275">
        <w:t xml:space="preserve"> </w:t>
      </w:r>
      <w:r>
        <w:t xml:space="preserve">the evaluation suggests that </w:t>
      </w:r>
      <w:r w:rsidRPr="00EE4638">
        <w:t xml:space="preserve">more than money is needed. </w:t>
      </w:r>
      <w:r>
        <w:t xml:space="preserve">The </w:t>
      </w:r>
      <w:r w:rsidRPr="00EE4638">
        <w:t xml:space="preserve">sharing of </w:t>
      </w:r>
      <w:r>
        <w:t xml:space="preserve">strategies and </w:t>
      </w:r>
      <w:r w:rsidRPr="00EE4638">
        <w:t>ideas and support to develop responses tailored to provider, DHB and the local community context</w:t>
      </w:r>
      <w:r>
        <w:t xml:space="preserve"> is suggested as beneficial.</w:t>
      </w:r>
    </w:p>
    <w:p w14:paraId="6FD209B1" w14:textId="77777777" w:rsidR="009B082D" w:rsidRPr="00C172C0" w:rsidRDefault="003420A6" w:rsidP="0066794F">
      <w:pPr>
        <w:pStyle w:val="BodyText"/>
        <w:spacing w:before="0" w:after="160" w:line="259" w:lineRule="auto"/>
        <w:rPr>
          <w:i/>
          <w:iCs/>
          <w:color w:val="0B5A6E" w:themeColor="accent3" w:themeShade="80"/>
          <w:sz w:val="16"/>
          <w:szCs w:val="18"/>
        </w:rPr>
      </w:pPr>
      <w:bookmarkStart w:id="176" w:name="_Toc58589921"/>
      <w:r>
        <w:t xml:space="preserve">The Ministry needs also to recognise good performance. The opportunity for regions like Hawke’s Bay, Lakes, </w:t>
      </w:r>
      <w:proofErr w:type="gramStart"/>
      <w:r>
        <w:t>Whanganui</w:t>
      </w:r>
      <w:proofErr w:type="gramEnd"/>
      <w:r>
        <w:t xml:space="preserve"> and Northland for example (See </w:t>
      </w:r>
      <w:r>
        <w:fldChar w:fldCharType="begin"/>
      </w:r>
      <w:r>
        <w:instrText xml:space="preserve"> REF _Ref58538117 \h </w:instrText>
      </w:r>
      <w:r>
        <w:fldChar w:fldCharType="separate"/>
      </w:r>
    </w:p>
    <w:p w14:paraId="67CACC53" w14:textId="77777777" w:rsidR="009B082D" w:rsidRDefault="009B082D">
      <w:pPr>
        <w:spacing w:before="0" w:after="160" w:line="259" w:lineRule="auto"/>
        <w:rPr>
          <w:i/>
          <w:iCs/>
          <w:color w:val="0B5A6E" w:themeColor="accent3" w:themeShade="80"/>
          <w:sz w:val="16"/>
          <w:szCs w:val="18"/>
        </w:rPr>
      </w:pPr>
      <w:r>
        <w:br w:type="page"/>
      </w:r>
    </w:p>
    <w:p w14:paraId="4726144D" w14:textId="4E663369" w:rsidR="003420A6" w:rsidRDefault="009B082D" w:rsidP="00EC6371">
      <w:pPr>
        <w:pStyle w:val="BodyText"/>
        <w:spacing w:before="0" w:after="160" w:line="259" w:lineRule="auto"/>
      </w:pPr>
      <w:r>
        <w:lastRenderedPageBreak/>
        <w:t xml:space="preserve">Table </w:t>
      </w:r>
      <w:r>
        <w:rPr>
          <w:noProof/>
        </w:rPr>
        <w:t>2</w:t>
      </w:r>
      <w:r w:rsidR="003420A6">
        <w:fldChar w:fldCharType="end"/>
      </w:r>
      <w:r w:rsidR="000B6910">
        <w:t xml:space="preserve">, page </w:t>
      </w:r>
      <w:r w:rsidR="000B6910">
        <w:fldChar w:fldCharType="begin"/>
      </w:r>
      <w:r w:rsidR="000B6910">
        <w:instrText xml:space="preserve"> PAGEREF _Ref70760122 \h </w:instrText>
      </w:r>
      <w:r w:rsidR="000B6910">
        <w:fldChar w:fldCharType="separate"/>
      </w:r>
      <w:r w:rsidR="000B6910">
        <w:rPr>
          <w:noProof/>
        </w:rPr>
        <w:t>18</w:t>
      </w:r>
      <w:r w:rsidR="000B6910">
        <w:fldChar w:fldCharType="end"/>
      </w:r>
      <w:r w:rsidR="000B6910">
        <w:t xml:space="preserve"> </w:t>
      </w:r>
      <w:r w:rsidR="003420A6">
        <w:t xml:space="preserve">and </w:t>
      </w:r>
      <w:r w:rsidR="003420A6">
        <w:fldChar w:fldCharType="begin"/>
      </w:r>
      <w:r w:rsidR="003420A6">
        <w:instrText xml:space="preserve"> REF _Ref58539609 \h </w:instrText>
      </w:r>
      <w:r w:rsidR="003420A6">
        <w:fldChar w:fldCharType="separate"/>
      </w:r>
      <w:r>
        <w:t xml:space="preserve">Table </w:t>
      </w:r>
      <w:r>
        <w:rPr>
          <w:noProof/>
        </w:rPr>
        <w:t>3</w:t>
      </w:r>
      <w:r w:rsidR="003420A6">
        <w:fldChar w:fldCharType="end"/>
      </w:r>
      <w:r w:rsidR="000B6910">
        <w:t>,</w:t>
      </w:r>
      <w:r w:rsidR="003420A6">
        <w:t xml:space="preserve"> page</w:t>
      </w:r>
      <w:r w:rsidR="000B6910">
        <w:t xml:space="preserve"> </w:t>
      </w:r>
      <w:r w:rsidR="000B6910">
        <w:fldChar w:fldCharType="begin"/>
      </w:r>
      <w:r w:rsidR="000B6910">
        <w:instrText xml:space="preserve"> PAGEREF _Ref70760138 \h </w:instrText>
      </w:r>
      <w:r w:rsidR="000B6910">
        <w:fldChar w:fldCharType="separate"/>
      </w:r>
      <w:r w:rsidR="000B6910">
        <w:rPr>
          <w:noProof/>
        </w:rPr>
        <w:t>19</w:t>
      </w:r>
      <w:r w:rsidR="000B6910">
        <w:fldChar w:fldCharType="end"/>
      </w:r>
      <w:r w:rsidR="003420A6">
        <w:t xml:space="preserve">) is to go from good to great, or great to excellence. </w:t>
      </w:r>
      <w:r w:rsidR="003420A6" w:rsidRPr="00227709">
        <w:rPr>
          <w:b/>
          <w:bCs/>
        </w:rPr>
        <w:t>In these regions</w:t>
      </w:r>
      <w:r w:rsidR="003420A6">
        <w:rPr>
          <w:b/>
          <w:bCs/>
        </w:rPr>
        <w:t>,</w:t>
      </w:r>
      <w:r w:rsidR="003420A6" w:rsidRPr="00227709">
        <w:rPr>
          <w:b/>
          <w:bCs/>
        </w:rPr>
        <w:t xml:space="preserve"> beyond due diligence, give them </w:t>
      </w:r>
      <w:r w:rsidR="003420A6">
        <w:rPr>
          <w:b/>
          <w:bCs/>
        </w:rPr>
        <w:t>sufficient funding and the autonomy to use it responsively</w:t>
      </w:r>
      <w:r w:rsidR="003420A6">
        <w:t>. They know what they are doing and have demonstrated they are competent and trustworthy.</w:t>
      </w:r>
    </w:p>
    <w:p w14:paraId="44431763" w14:textId="4C4BF50F" w:rsidR="004F3479" w:rsidRPr="004F3479" w:rsidRDefault="004F3479" w:rsidP="004F3479">
      <w:pPr>
        <w:pStyle w:val="BodyText"/>
        <w:rPr>
          <w:b/>
          <w:bCs/>
        </w:rPr>
      </w:pPr>
      <w:r w:rsidRPr="004F3479">
        <w:rPr>
          <w:b/>
          <w:bCs/>
        </w:rPr>
        <w:t xml:space="preserve">Revise the </w:t>
      </w:r>
      <w:r>
        <w:rPr>
          <w:b/>
          <w:bCs/>
        </w:rPr>
        <w:t xml:space="preserve">application form and </w:t>
      </w:r>
      <w:r w:rsidRPr="004F3479">
        <w:rPr>
          <w:b/>
          <w:bCs/>
        </w:rPr>
        <w:t xml:space="preserve">reporting systems to </w:t>
      </w:r>
      <w:r>
        <w:rPr>
          <w:b/>
          <w:bCs/>
        </w:rPr>
        <w:t xml:space="preserve">be able to clearly attribute </w:t>
      </w:r>
      <w:r w:rsidRPr="004F3479">
        <w:rPr>
          <w:b/>
          <w:bCs/>
        </w:rPr>
        <w:t xml:space="preserve">MIVP </w:t>
      </w:r>
      <w:r>
        <w:rPr>
          <w:b/>
          <w:bCs/>
        </w:rPr>
        <w:t>outcomes and impact</w:t>
      </w:r>
      <w:r w:rsidR="00CB3FA9">
        <w:rPr>
          <w:b/>
          <w:bCs/>
        </w:rPr>
        <w:t>.</w:t>
      </w:r>
    </w:p>
    <w:p w14:paraId="06A3BA60" w14:textId="3D1DE0C7" w:rsidR="004F3479" w:rsidRDefault="004F3479" w:rsidP="004F3479">
      <w:pPr>
        <w:rPr>
          <w:szCs w:val="20"/>
        </w:rPr>
      </w:pPr>
      <w:r>
        <w:t xml:space="preserve">Consider revising the DHB application form and or assessment process, to ensure DHBs list </w:t>
      </w:r>
      <w:proofErr w:type="gramStart"/>
      <w:r>
        <w:t>all of</w:t>
      </w:r>
      <w:proofErr w:type="gramEnd"/>
      <w:r>
        <w:t xml:space="preserve"> the providers who are part of their application. Without this information it is not possible to accurately gauge and report on programme reach; or to elicit feedback from this group of providers. In addition, consider developing an online form for providers and DHBs to enter the total number of immunisations completed on a weekly basis. </w:t>
      </w:r>
      <w:r>
        <w:rPr>
          <w:szCs w:val="20"/>
        </w:rPr>
        <w:t xml:space="preserve">This data will enable the attribution of MIVP administered vaccinations from those delivered by non- Māori non-Pacific </w:t>
      </w:r>
      <w:r w:rsidR="000F2275">
        <w:rPr>
          <w:szCs w:val="20"/>
        </w:rPr>
        <w:t>organisations,</w:t>
      </w:r>
      <w:r>
        <w:rPr>
          <w:szCs w:val="20"/>
        </w:rPr>
        <w:t xml:space="preserve"> and a strong assessment of impact</w:t>
      </w:r>
      <w:r w:rsidR="000F2275">
        <w:rPr>
          <w:szCs w:val="20"/>
        </w:rPr>
        <w:t>.</w:t>
      </w:r>
    </w:p>
    <w:p w14:paraId="57A2FC9B" w14:textId="77777777" w:rsidR="009B4E25" w:rsidRPr="00A27737" w:rsidRDefault="009B4E25" w:rsidP="009B4E25">
      <w:pPr>
        <w:pStyle w:val="Heading2"/>
      </w:pPr>
      <w:bookmarkStart w:id="177" w:name="_Toc70763298"/>
      <w:r>
        <w:t>Conclusion</w:t>
      </w:r>
      <w:bookmarkEnd w:id="176"/>
      <w:bookmarkEnd w:id="177"/>
    </w:p>
    <w:p w14:paraId="22C1B774" w14:textId="013F9712" w:rsidR="009B4E25" w:rsidRDefault="009B4E25" w:rsidP="009B4E25">
      <w:pPr>
        <w:pStyle w:val="BodyText"/>
      </w:pPr>
      <w:r>
        <w:t xml:space="preserve">MIVP displayed the effectiveness of mobilising primary care services, in combination with a whānau-centred approach, to reduce barriers and improve access to flu vaccinations for Māori. </w:t>
      </w:r>
      <w:r w:rsidR="002576CF">
        <w:t xml:space="preserve">This hybrid </w:t>
      </w:r>
      <w:r>
        <w:t xml:space="preserve">approach offers a new lever in the health delivery system alongside GPs and pharmacies. A whānau-centred approach </w:t>
      </w:r>
      <w:r w:rsidR="002576CF">
        <w:t xml:space="preserve">combined with mobilising services </w:t>
      </w:r>
      <w:r>
        <w:t>has the potential to make a radical difference to Māori experiences of primary health care, Māori health outcomes and equity.</w:t>
      </w:r>
    </w:p>
    <w:p w14:paraId="7CA79B41" w14:textId="42B1EDBC" w:rsidR="009B4E25" w:rsidRPr="00DD2563" w:rsidRDefault="009B4E25" w:rsidP="009B4E25">
      <w:pPr>
        <w:pStyle w:val="BodyText"/>
        <w:rPr>
          <w:b/>
          <w:bCs/>
        </w:rPr>
      </w:pPr>
      <w:r>
        <w:t xml:space="preserve">Currently, most Māori are not receiving equity of health care, and the significant disparity in equity rates for flu vaccinations is </w:t>
      </w:r>
      <w:r w:rsidR="002576CF">
        <w:t>telling</w:t>
      </w:r>
      <w:r>
        <w:t xml:space="preserve">. Some regions are closing the gap using a </w:t>
      </w:r>
      <w:r w:rsidR="002576CF">
        <w:t xml:space="preserve">mobilised, </w:t>
      </w:r>
      <w:r>
        <w:t xml:space="preserve">whānau-centred </w:t>
      </w:r>
      <w:r w:rsidR="002576CF">
        <w:t xml:space="preserve">service </w:t>
      </w:r>
      <w:r>
        <w:t xml:space="preserve">approach. </w:t>
      </w:r>
      <w:r w:rsidRPr="00DD2563">
        <w:rPr>
          <w:b/>
          <w:bCs/>
        </w:rPr>
        <w:t>The critical learning from MIVP is that delivery of vaccinations is more than just a jab. Th</w:t>
      </w:r>
      <w:r>
        <w:rPr>
          <w:b/>
          <w:bCs/>
        </w:rPr>
        <w:t>e</w:t>
      </w:r>
      <w:r w:rsidRPr="00DD2563">
        <w:rPr>
          <w:b/>
          <w:bCs/>
        </w:rPr>
        <w:t xml:space="preserve"> MIVP pilot intervention delivers the ingredients for system transformation.</w:t>
      </w:r>
    </w:p>
    <w:p w14:paraId="586DB728" w14:textId="21831F3E" w:rsidR="009B4E25" w:rsidRDefault="009B4E25" w:rsidP="002576CF">
      <w:pPr>
        <w:pStyle w:val="BodyText"/>
        <w:numPr>
          <w:ilvl w:val="0"/>
          <w:numId w:val="0"/>
        </w:numPr>
      </w:pPr>
      <w:r>
        <w:t>.</w:t>
      </w:r>
    </w:p>
    <w:p w14:paraId="11125761" w14:textId="37102822" w:rsidR="002C1441" w:rsidRDefault="002C1441" w:rsidP="00855C9E">
      <w:pPr>
        <w:sectPr w:rsidR="002C1441" w:rsidSect="00A14305">
          <w:pgSz w:w="11901" w:h="16817" w:code="9"/>
          <w:pgMar w:top="1134" w:right="1418" w:bottom="1134" w:left="1985" w:header="709" w:footer="709" w:gutter="0"/>
          <w:cols w:space="1230"/>
          <w:docGrid w:linePitch="360"/>
        </w:sectPr>
      </w:pPr>
    </w:p>
    <w:p w14:paraId="36EC8BCB" w14:textId="7DBEBDA5" w:rsidR="00855C9E" w:rsidRDefault="00855C9E" w:rsidP="00855C9E">
      <w:pPr>
        <w:pStyle w:val="Heading1"/>
      </w:pPr>
      <w:bookmarkStart w:id="178" w:name="_Toc58347870"/>
      <w:bookmarkStart w:id="179" w:name="_Toc70763299"/>
      <w:r>
        <w:lastRenderedPageBreak/>
        <w:t>Appendix 1</w:t>
      </w:r>
      <w:bookmarkEnd w:id="178"/>
      <w:r w:rsidR="00F8176C">
        <w:t xml:space="preserve"> – Evaluation Methodology</w:t>
      </w:r>
      <w:bookmarkEnd w:id="179"/>
    </w:p>
    <w:p w14:paraId="6794822E" w14:textId="77777777" w:rsidR="0029111A" w:rsidRDefault="0029111A" w:rsidP="0029111A">
      <w:pPr>
        <w:pStyle w:val="BodyText"/>
        <w:numPr>
          <w:ilvl w:val="0"/>
          <w:numId w:val="0"/>
        </w:numPr>
      </w:pPr>
    </w:p>
    <w:p w14:paraId="56523CAB" w14:textId="00C66EB4" w:rsidR="0029111A" w:rsidRDefault="0029111A" w:rsidP="0029111A">
      <w:pPr>
        <w:pStyle w:val="BodyText"/>
      </w:pPr>
      <w:r>
        <w:t xml:space="preserve">The evaluation design used a combination of four rapid insight cycles, an evaluation-specific methodology and a mixed-methods research approach. </w:t>
      </w:r>
      <w:r w:rsidR="009D601E">
        <w:t xml:space="preserve">For this evaluation ‘rapid’ equates to M </w:t>
      </w:r>
      <w:r w:rsidR="000F2275">
        <w:t>four-to-six-week</w:t>
      </w:r>
      <w:r>
        <w:t xml:space="preserve"> duration</w:t>
      </w:r>
      <w:r w:rsidR="009D601E">
        <w:t xml:space="preserve">. ‘Micro’ reports were developed to guide the </w:t>
      </w:r>
      <w:r>
        <w:t xml:space="preserve">collaborative sense making workshop with the Ministry at the end of each cycle. </w:t>
      </w:r>
    </w:p>
    <w:p w14:paraId="623AAB4C" w14:textId="7DE7291C" w:rsidR="00027B60" w:rsidRDefault="00027B60" w:rsidP="009D601E">
      <w:pPr>
        <w:pStyle w:val="BodyText"/>
      </w:pPr>
      <w:r>
        <w:t xml:space="preserve">Learning was iterative throughout the evaluation. Each cycle allowed the Ministry and the evaluation team to revisit the purpose of each cycle; and adapt if </w:t>
      </w:r>
      <w:r w:rsidR="000F2275">
        <w:t>necessary,</w:t>
      </w:r>
      <w:r>
        <w:t xml:space="preserve"> the focus </w:t>
      </w:r>
      <w:r w:rsidR="009D601E">
        <w:t xml:space="preserve">or </w:t>
      </w:r>
      <w:r>
        <w:t>methods for upcoming cycles. The evaluation was able to respond to emerging information request</w:t>
      </w:r>
      <w:r w:rsidR="009D601E">
        <w:t>s</w:t>
      </w:r>
      <w:r>
        <w:t xml:space="preserve">, which had not been anticipated at the planning and design phase. </w:t>
      </w:r>
    </w:p>
    <w:p w14:paraId="7E4F0D4E" w14:textId="1AC96657" w:rsidR="00592269" w:rsidRDefault="00592269" w:rsidP="00900633">
      <w:pPr>
        <w:pStyle w:val="Caption"/>
      </w:pPr>
      <w:bookmarkStart w:id="180" w:name="_Ref62583096"/>
      <w:bookmarkStart w:id="181" w:name="_Toc62703568"/>
      <w:r>
        <w:t xml:space="preserve">Table </w:t>
      </w:r>
      <w:r>
        <w:fldChar w:fldCharType="begin"/>
      </w:r>
      <w:r>
        <w:instrText>SEQ Table \* ARABIC</w:instrText>
      </w:r>
      <w:r>
        <w:fldChar w:fldCharType="separate"/>
      </w:r>
      <w:r w:rsidR="009B082D">
        <w:rPr>
          <w:noProof/>
        </w:rPr>
        <w:t>12</w:t>
      </w:r>
      <w:r>
        <w:fldChar w:fldCharType="end"/>
      </w:r>
      <w:bookmarkEnd w:id="180"/>
      <w:r>
        <w:t>. Evaluation phase and activities</w:t>
      </w:r>
      <w:bookmarkEnd w:id="181"/>
    </w:p>
    <w:tbl>
      <w:tblPr>
        <w:tblStyle w:val="ListTable3-Accent1"/>
        <w:tblW w:w="0" w:type="auto"/>
        <w:tblLook w:val="04A0" w:firstRow="1" w:lastRow="0" w:firstColumn="1" w:lastColumn="0" w:noHBand="0" w:noVBand="1"/>
      </w:tblPr>
      <w:tblGrid>
        <w:gridCol w:w="2122"/>
        <w:gridCol w:w="1417"/>
        <w:gridCol w:w="4536"/>
      </w:tblGrid>
      <w:tr w:rsidR="00721388" w:rsidRPr="00592269" w14:paraId="17658E98" w14:textId="77777777" w:rsidTr="005922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2" w:type="dxa"/>
          </w:tcPr>
          <w:p w14:paraId="33B53C20" w14:textId="77777777" w:rsidR="00721388" w:rsidRPr="00592269" w:rsidRDefault="00721388" w:rsidP="006E085C">
            <w:r w:rsidRPr="00592269">
              <w:t>Week Commencing</w:t>
            </w:r>
          </w:p>
        </w:tc>
        <w:tc>
          <w:tcPr>
            <w:tcW w:w="1417" w:type="dxa"/>
          </w:tcPr>
          <w:p w14:paraId="4AD07403" w14:textId="77777777" w:rsidR="00721388" w:rsidRPr="00592269" w:rsidRDefault="00721388" w:rsidP="006E085C">
            <w:pPr>
              <w:cnfStyle w:val="100000000000" w:firstRow="1" w:lastRow="0" w:firstColumn="0" w:lastColumn="0" w:oddVBand="0" w:evenVBand="0" w:oddHBand="0" w:evenHBand="0" w:firstRowFirstColumn="0" w:firstRowLastColumn="0" w:lastRowFirstColumn="0" w:lastRowLastColumn="0"/>
            </w:pPr>
            <w:r w:rsidRPr="00592269">
              <w:t>Phase</w:t>
            </w:r>
          </w:p>
        </w:tc>
        <w:tc>
          <w:tcPr>
            <w:tcW w:w="4536" w:type="dxa"/>
          </w:tcPr>
          <w:p w14:paraId="39FF6F82" w14:textId="062334A4" w:rsidR="00721388" w:rsidRPr="00592269" w:rsidRDefault="00592269" w:rsidP="006E085C">
            <w:pPr>
              <w:cnfStyle w:val="100000000000" w:firstRow="1" w:lastRow="0" w:firstColumn="0" w:lastColumn="0" w:oddVBand="0" w:evenVBand="0" w:oddHBand="0" w:evenHBand="0" w:firstRowFirstColumn="0" w:firstRowLastColumn="0" w:lastRowFirstColumn="0" w:lastRowLastColumn="0"/>
            </w:pPr>
            <w:r w:rsidRPr="00592269">
              <w:t>Activities</w:t>
            </w:r>
          </w:p>
        </w:tc>
      </w:tr>
      <w:tr w:rsidR="00721388" w14:paraId="75F3521D" w14:textId="77777777" w:rsidTr="00592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1C11D2" w14:textId="77777777" w:rsidR="00721388" w:rsidRDefault="00721388" w:rsidP="006E085C">
            <w:r w:rsidRPr="007B10F0">
              <w:t>15-30 Jun</w:t>
            </w:r>
            <w:r>
              <w:t>e</w:t>
            </w:r>
            <w:r w:rsidRPr="007B10F0">
              <w:t xml:space="preserve"> 2020</w:t>
            </w:r>
          </w:p>
        </w:tc>
        <w:tc>
          <w:tcPr>
            <w:tcW w:w="1417" w:type="dxa"/>
          </w:tcPr>
          <w:p w14:paraId="05E46C66" w14:textId="77777777" w:rsidR="00721388" w:rsidRDefault="00721388" w:rsidP="006E085C">
            <w:pPr>
              <w:cnfStyle w:val="000000100000" w:firstRow="0" w:lastRow="0" w:firstColumn="0" w:lastColumn="0" w:oddVBand="0" w:evenVBand="0" w:oddHBand="1" w:evenHBand="0" w:firstRowFirstColumn="0" w:firstRowLastColumn="0" w:lastRowFirstColumn="0" w:lastRowLastColumn="0"/>
            </w:pPr>
            <w:r w:rsidRPr="007B10F0">
              <w:t>Launch</w:t>
            </w:r>
          </w:p>
        </w:tc>
        <w:tc>
          <w:tcPr>
            <w:tcW w:w="4536" w:type="dxa"/>
          </w:tcPr>
          <w:p w14:paraId="271F46FE" w14:textId="77777777" w:rsidR="00721388" w:rsidRPr="007B10F0" w:rsidRDefault="00721388" w:rsidP="006E085C">
            <w:pPr>
              <w:cnfStyle w:val="000000100000" w:firstRow="0" w:lastRow="0" w:firstColumn="0" w:lastColumn="0" w:oddVBand="0" w:evenVBand="0" w:oddHBand="1" w:evenHBand="0" w:firstRowFirstColumn="0" w:firstRowLastColumn="0" w:lastRowFirstColumn="0" w:lastRowLastColumn="0"/>
            </w:pPr>
            <w:r>
              <w:t>Developing a possible plan of work</w:t>
            </w:r>
          </w:p>
        </w:tc>
      </w:tr>
      <w:tr w:rsidR="00721388" w14:paraId="3E91A93E" w14:textId="77777777" w:rsidTr="00592269">
        <w:tc>
          <w:tcPr>
            <w:cnfStyle w:val="001000000000" w:firstRow="0" w:lastRow="0" w:firstColumn="1" w:lastColumn="0" w:oddVBand="0" w:evenVBand="0" w:oddHBand="0" w:evenHBand="0" w:firstRowFirstColumn="0" w:firstRowLastColumn="0" w:lastRowFirstColumn="0" w:lastRowLastColumn="0"/>
            <w:tcW w:w="2122" w:type="dxa"/>
          </w:tcPr>
          <w:p w14:paraId="12A22C8E" w14:textId="77777777" w:rsidR="00721388" w:rsidRDefault="00721388" w:rsidP="006E085C">
            <w:r w:rsidRPr="007B10F0">
              <w:t>1-31 Jul</w:t>
            </w:r>
            <w:r>
              <w:t>y</w:t>
            </w:r>
            <w:r w:rsidRPr="007B10F0">
              <w:t xml:space="preserve"> 2020</w:t>
            </w:r>
          </w:p>
        </w:tc>
        <w:tc>
          <w:tcPr>
            <w:tcW w:w="1417" w:type="dxa"/>
          </w:tcPr>
          <w:p w14:paraId="72940D8A" w14:textId="77777777" w:rsidR="00721388" w:rsidRDefault="00721388" w:rsidP="006E085C">
            <w:pPr>
              <w:cnfStyle w:val="000000000000" w:firstRow="0" w:lastRow="0" w:firstColumn="0" w:lastColumn="0" w:oddVBand="0" w:evenVBand="0" w:oddHBand="0" w:evenHBand="0" w:firstRowFirstColumn="0" w:firstRowLastColumn="0" w:lastRowFirstColumn="0" w:lastRowLastColumn="0"/>
            </w:pPr>
            <w:r w:rsidRPr="007B10F0">
              <w:t>RIC 1</w:t>
            </w:r>
          </w:p>
        </w:tc>
        <w:tc>
          <w:tcPr>
            <w:tcW w:w="4536" w:type="dxa"/>
          </w:tcPr>
          <w:p w14:paraId="34D84BB0" w14:textId="77777777" w:rsidR="00721388" w:rsidRDefault="00721388" w:rsidP="006E085C">
            <w:pPr>
              <w:cnfStyle w:val="000000000000" w:firstRow="0" w:lastRow="0" w:firstColumn="0" w:lastColumn="0" w:oddVBand="0" w:evenVBand="0" w:oddHBand="0" w:evenHBand="0" w:firstRowFirstColumn="0" w:firstRowLastColumn="0" w:lastRowFirstColumn="0" w:lastRowLastColumn="0"/>
            </w:pPr>
            <w:r>
              <w:t>RIC 1 focused on</w:t>
            </w:r>
            <w:r w:rsidRPr="0029111A">
              <w:t xml:space="preserve"> findings and emerging insights for sensemaking discussion from </w:t>
            </w:r>
          </w:p>
          <w:p w14:paraId="68DC6FC8" w14:textId="77777777" w:rsidR="00721388" w:rsidRDefault="00721388" w:rsidP="006E085C">
            <w:pPr>
              <w:pStyle w:val="Bullet"/>
              <w:cnfStyle w:val="000000000000" w:firstRow="0" w:lastRow="0" w:firstColumn="0" w:lastColumn="0" w:oddVBand="0" w:evenVBand="0" w:oddHBand="0" w:evenHBand="0" w:firstRowFirstColumn="0" w:firstRowLastColumn="0" w:lastRowFirstColumn="0" w:lastRowLastColumn="0"/>
            </w:pPr>
            <w:r w:rsidRPr="0029111A">
              <w:t>7 interviews with Ministry staff</w:t>
            </w:r>
          </w:p>
          <w:p w14:paraId="6BB94B7B" w14:textId="77777777" w:rsidR="00721388" w:rsidRPr="007B10F0" w:rsidRDefault="00721388" w:rsidP="006E085C">
            <w:pPr>
              <w:pStyle w:val="Bullet"/>
              <w:cnfStyle w:val="000000000000" w:firstRow="0" w:lastRow="0" w:firstColumn="0" w:lastColumn="0" w:oddVBand="0" w:evenVBand="0" w:oddHBand="0" w:evenHBand="0" w:firstRowFirstColumn="0" w:firstRowLastColumn="0" w:lastRowFirstColumn="0" w:lastRowLastColumn="0"/>
            </w:pPr>
            <w:r>
              <w:t>a</w:t>
            </w:r>
            <w:r w:rsidRPr="0029111A">
              <w:t xml:space="preserve"> project orientation focus group with Ministry staff</w:t>
            </w:r>
            <w:r>
              <w:t>.</w:t>
            </w:r>
          </w:p>
        </w:tc>
      </w:tr>
      <w:tr w:rsidR="00721388" w14:paraId="11C8D538" w14:textId="77777777" w:rsidTr="00592269">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2122" w:type="dxa"/>
          </w:tcPr>
          <w:p w14:paraId="7516773A" w14:textId="77777777" w:rsidR="00721388" w:rsidRDefault="00721388" w:rsidP="006E085C">
            <w:r w:rsidRPr="007B10F0">
              <w:t>1-31 Aug</w:t>
            </w:r>
            <w:r>
              <w:t>ust</w:t>
            </w:r>
            <w:r w:rsidRPr="007B10F0">
              <w:t xml:space="preserve"> 2020</w:t>
            </w:r>
          </w:p>
        </w:tc>
        <w:tc>
          <w:tcPr>
            <w:tcW w:w="1417" w:type="dxa"/>
          </w:tcPr>
          <w:p w14:paraId="79E8E5C0" w14:textId="77777777" w:rsidR="00721388" w:rsidRDefault="00721388" w:rsidP="006E085C">
            <w:pPr>
              <w:cnfStyle w:val="000000100000" w:firstRow="0" w:lastRow="0" w:firstColumn="0" w:lastColumn="0" w:oddVBand="0" w:evenVBand="0" w:oddHBand="1" w:evenHBand="0" w:firstRowFirstColumn="0" w:firstRowLastColumn="0" w:lastRowFirstColumn="0" w:lastRowLastColumn="0"/>
            </w:pPr>
            <w:r w:rsidRPr="007B10F0">
              <w:t>RIC 2</w:t>
            </w:r>
          </w:p>
        </w:tc>
        <w:tc>
          <w:tcPr>
            <w:tcW w:w="4536" w:type="dxa"/>
          </w:tcPr>
          <w:p w14:paraId="76C2F65A" w14:textId="77777777" w:rsidR="00721388" w:rsidRPr="0029111A" w:rsidRDefault="00721388" w:rsidP="006E085C">
            <w:pPr>
              <w:cnfStyle w:val="000000100000" w:firstRow="0" w:lastRow="0" w:firstColumn="0" w:lastColumn="0" w:oddVBand="0" w:evenVBand="0" w:oddHBand="1" w:evenHBand="0" w:firstRowFirstColumn="0" w:firstRowLastColumn="0" w:lastRowFirstColumn="0" w:lastRowLastColumn="0"/>
            </w:pPr>
            <w:r>
              <w:t>RIC 2</w:t>
            </w:r>
            <w:r w:rsidRPr="0029111A">
              <w:t xml:space="preserve"> focuse</w:t>
            </w:r>
            <w:r>
              <w:t>d</w:t>
            </w:r>
            <w:r w:rsidRPr="0029111A">
              <w:t xml:space="preserve"> on the analysis of the data from: </w:t>
            </w:r>
          </w:p>
          <w:p w14:paraId="3071C16C" w14:textId="77777777" w:rsidR="00721388" w:rsidRPr="0029111A" w:rsidRDefault="00721388" w:rsidP="006E085C">
            <w:pPr>
              <w:pStyle w:val="Bullet"/>
              <w:cnfStyle w:val="000000100000" w:firstRow="0" w:lastRow="0" w:firstColumn="0" w:lastColumn="0" w:oddVBand="0" w:evenVBand="0" w:oddHBand="1" w:evenHBand="0" w:firstRowFirstColumn="0" w:firstRowLastColumn="0" w:lastRowFirstColumn="0" w:lastRowLastColumn="0"/>
            </w:pPr>
            <w:r w:rsidRPr="0029111A">
              <w:t xml:space="preserve">Interviews with </w:t>
            </w:r>
            <w:r>
              <w:t>Ministry</w:t>
            </w:r>
            <w:r w:rsidRPr="0029111A">
              <w:t xml:space="preserve"> staff</w:t>
            </w:r>
          </w:p>
          <w:p w14:paraId="17162746" w14:textId="77777777" w:rsidR="00721388" w:rsidRPr="0029111A" w:rsidRDefault="00721388" w:rsidP="006E085C">
            <w:pPr>
              <w:pStyle w:val="Bullet"/>
              <w:cnfStyle w:val="000000100000" w:firstRow="0" w:lastRow="0" w:firstColumn="0" w:lastColumn="0" w:oddVBand="0" w:evenVBand="0" w:oddHBand="1" w:evenHBand="0" w:firstRowFirstColumn="0" w:firstRowLastColumn="0" w:lastRowFirstColumn="0" w:lastRowLastColumn="0"/>
            </w:pPr>
            <w:r w:rsidRPr="0029111A">
              <w:t xml:space="preserve">National Immunisation Register data </w:t>
            </w:r>
            <w:proofErr w:type="gramStart"/>
            <w:r w:rsidRPr="0029111A">
              <w:t>bases</w:t>
            </w:r>
            <w:proofErr w:type="gramEnd"/>
            <w:r w:rsidRPr="0029111A">
              <w:t xml:space="preserve"> </w:t>
            </w:r>
          </w:p>
          <w:p w14:paraId="47ED7681" w14:textId="77777777" w:rsidR="00721388" w:rsidRPr="0029111A" w:rsidRDefault="00721388" w:rsidP="006E085C">
            <w:pPr>
              <w:pStyle w:val="Bullet"/>
              <w:cnfStyle w:val="000000100000" w:firstRow="0" w:lastRow="0" w:firstColumn="0" w:lastColumn="0" w:oddVBand="0" w:evenVBand="0" w:oddHBand="1" w:evenHBand="0" w:firstRowFirstColumn="0" w:firstRowLastColumn="0" w:lastRowFirstColumn="0" w:lastRowLastColumn="0"/>
            </w:pPr>
            <w:r w:rsidRPr="0029111A">
              <w:t xml:space="preserve">Population data: 2013-Based Population Projections (NIR Population) </w:t>
            </w:r>
          </w:p>
          <w:p w14:paraId="7BE8170A" w14:textId="77777777" w:rsidR="00721388" w:rsidRPr="007B10F0" w:rsidRDefault="00721388" w:rsidP="006E085C">
            <w:pPr>
              <w:pStyle w:val="Bullet"/>
              <w:cnfStyle w:val="000000100000" w:firstRow="0" w:lastRow="0" w:firstColumn="0" w:lastColumn="0" w:oddVBand="0" w:evenVBand="0" w:oddHBand="1" w:evenHBand="0" w:firstRowFirstColumn="0" w:firstRowLastColumn="0" w:lastRowFirstColumn="0" w:lastRowLastColumn="0"/>
            </w:pPr>
            <w:r w:rsidRPr="0029111A">
              <w:t>DHB and Provider application forms</w:t>
            </w:r>
            <w:r>
              <w:t>.</w:t>
            </w:r>
          </w:p>
        </w:tc>
      </w:tr>
      <w:tr w:rsidR="00721388" w14:paraId="7E5A81B9" w14:textId="77777777" w:rsidTr="00592269">
        <w:tc>
          <w:tcPr>
            <w:cnfStyle w:val="001000000000" w:firstRow="0" w:lastRow="0" w:firstColumn="1" w:lastColumn="0" w:oddVBand="0" w:evenVBand="0" w:oddHBand="0" w:evenHBand="0" w:firstRowFirstColumn="0" w:firstRowLastColumn="0" w:lastRowFirstColumn="0" w:lastRowLastColumn="0"/>
            <w:tcW w:w="2122" w:type="dxa"/>
          </w:tcPr>
          <w:p w14:paraId="60A87F1D" w14:textId="77777777" w:rsidR="00721388" w:rsidRDefault="00721388" w:rsidP="006E085C">
            <w:r w:rsidRPr="007B10F0">
              <w:t>1-30 Sep</w:t>
            </w:r>
            <w:r>
              <w:t>tember</w:t>
            </w:r>
            <w:r w:rsidRPr="007B10F0">
              <w:t xml:space="preserve"> 2020</w:t>
            </w:r>
          </w:p>
        </w:tc>
        <w:tc>
          <w:tcPr>
            <w:tcW w:w="1417" w:type="dxa"/>
          </w:tcPr>
          <w:p w14:paraId="3B215719" w14:textId="77777777" w:rsidR="00721388" w:rsidRDefault="00721388" w:rsidP="006E085C">
            <w:pPr>
              <w:cnfStyle w:val="000000000000" w:firstRow="0" w:lastRow="0" w:firstColumn="0" w:lastColumn="0" w:oddVBand="0" w:evenVBand="0" w:oddHBand="0" w:evenHBand="0" w:firstRowFirstColumn="0" w:firstRowLastColumn="0" w:lastRowFirstColumn="0" w:lastRowLastColumn="0"/>
            </w:pPr>
            <w:r w:rsidRPr="007B10F0">
              <w:t>RIC 3</w:t>
            </w:r>
          </w:p>
        </w:tc>
        <w:tc>
          <w:tcPr>
            <w:tcW w:w="4536" w:type="dxa"/>
          </w:tcPr>
          <w:p w14:paraId="09173293" w14:textId="77777777" w:rsidR="00721388" w:rsidRPr="0029111A" w:rsidRDefault="00721388" w:rsidP="006E085C">
            <w:pPr>
              <w:pStyle w:val="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RIC 3</w:t>
            </w:r>
            <w:r w:rsidRPr="0029111A">
              <w:t xml:space="preserve"> focuse</w:t>
            </w:r>
            <w:r>
              <w:t>d</w:t>
            </w:r>
            <w:r w:rsidRPr="0029111A">
              <w:t xml:space="preserve"> on the analysis of the data from: </w:t>
            </w:r>
          </w:p>
          <w:p w14:paraId="59FBF8BC" w14:textId="77777777" w:rsidR="00721388" w:rsidRPr="0029111A" w:rsidRDefault="00721388" w:rsidP="006E085C">
            <w:pPr>
              <w:pStyle w:val="Bullet"/>
              <w:cnfStyle w:val="000000000000" w:firstRow="0" w:lastRow="0" w:firstColumn="0" w:lastColumn="0" w:oddVBand="0" w:evenVBand="0" w:oddHBand="0" w:evenHBand="0" w:firstRowFirstColumn="0" w:firstRowLastColumn="0" w:lastRowFirstColumn="0" w:lastRowLastColumn="0"/>
            </w:pPr>
            <w:r w:rsidRPr="0029111A">
              <w:t xml:space="preserve">National Immunisation Register data </w:t>
            </w:r>
            <w:proofErr w:type="gramStart"/>
            <w:r w:rsidRPr="0029111A">
              <w:t>bases</w:t>
            </w:r>
            <w:proofErr w:type="gramEnd"/>
            <w:r w:rsidRPr="0029111A">
              <w:t xml:space="preserve"> </w:t>
            </w:r>
          </w:p>
          <w:p w14:paraId="32821B24" w14:textId="77777777" w:rsidR="00721388" w:rsidRPr="0029111A" w:rsidRDefault="00721388" w:rsidP="006E085C">
            <w:pPr>
              <w:pStyle w:val="Bullet"/>
              <w:cnfStyle w:val="000000000000" w:firstRow="0" w:lastRow="0" w:firstColumn="0" w:lastColumn="0" w:oddVBand="0" w:evenVBand="0" w:oddHBand="0" w:evenHBand="0" w:firstRowFirstColumn="0" w:firstRowLastColumn="0" w:lastRowFirstColumn="0" w:lastRowLastColumn="0"/>
            </w:pPr>
            <w:r w:rsidRPr="0029111A">
              <w:t xml:space="preserve">Population data: 2013-Based Population Projections (NIR Population) </w:t>
            </w:r>
          </w:p>
          <w:p w14:paraId="4457FB8F" w14:textId="77777777" w:rsidR="00721388" w:rsidRPr="007B10F0" w:rsidRDefault="00721388" w:rsidP="006E085C">
            <w:pPr>
              <w:pStyle w:val="Bullet"/>
              <w:cnfStyle w:val="000000000000" w:firstRow="0" w:lastRow="0" w:firstColumn="0" w:lastColumn="0" w:oddVBand="0" w:evenVBand="0" w:oddHBand="0" w:evenHBand="0" w:firstRowFirstColumn="0" w:firstRowLastColumn="0" w:lastRowFirstColumn="0" w:lastRowLastColumn="0"/>
            </w:pPr>
            <w:r w:rsidRPr="0029111A">
              <w:t>15 interviews with Providers (directly and indirectly funded) and DHB</w:t>
            </w:r>
            <w:r>
              <w:t>.</w:t>
            </w:r>
          </w:p>
        </w:tc>
      </w:tr>
      <w:tr w:rsidR="00721388" w14:paraId="28C53ADB" w14:textId="77777777" w:rsidTr="00592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12FA22C" w14:textId="77777777" w:rsidR="00721388" w:rsidRDefault="00721388" w:rsidP="006E085C">
            <w:r w:rsidRPr="007B10F0">
              <w:t>1 Oct</w:t>
            </w:r>
            <w:r>
              <w:t>ober</w:t>
            </w:r>
            <w:r w:rsidRPr="007B10F0">
              <w:t xml:space="preserve"> –mid-Nov</w:t>
            </w:r>
            <w:r>
              <w:t>ember</w:t>
            </w:r>
            <w:r w:rsidRPr="007B10F0">
              <w:t xml:space="preserve"> 2020</w:t>
            </w:r>
          </w:p>
        </w:tc>
        <w:tc>
          <w:tcPr>
            <w:tcW w:w="1417" w:type="dxa"/>
          </w:tcPr>
          <w:p w14:paraId="4B6D5783" w14:textId="77777777" w:rsidR="00721388" w:rsidRDefault="00721388" w:rsidP="006E085C">
            <w:pPr>
              <w:cnfStyle w:val="000000100000" w:firstRow="0" w:lastRow="0" w:firstColumn="0" w:lastColumn="0" w:oddVBand="0" w:evenVBand="0" w:oddHBand="1" w:evenHBand="0" w:firstRowFirstColumn="0" w:firstRowLastColumn="0" w:lastRowFirstColumn="0" w:lastRowLastColumn="0"/>
            </w:pPr>
            <w:r w:rsidRPr="007B10F0">
              <w:t>RIC 4</w:t>
            </w:r>
          </w:p>
        </w:tc>
        <w:tc>
          <w:tcPr>
            <w:tcW w:w="4536" w:type="dxa"/>
          </w:tcPr>
          <w:p w14:paraId="3CC31B3A" w14:textId="77777777" w:rsidR="00721388" w:rsidRPr="0029111A" w:rsidRDefault="00721388" w:rsidP="006E085C">
            <w:pPr>
              <w:cnfStyle w:val="000000100000" w:firstRow="0" w:lastRow="0" w:firstColumn="0" w:lastColumn="0" w:oddVBand="0" w:evenVBand="0" w:oddHBand="1" w:evenHBand="0" w:firstRowFirstColumn="0" w:firstRowLastColumn="0" w:lastRowFirstColumn="0" w:lastRowLastColumn="0"/>
            </w:pPr>
            <w:r w:rsidRPr="0029111A">
              <w:t xml:space="preserve">This phase focuses on the analysis of the data from: </w:t>
            </w:r>
          </w:p>
          <w:p w14:paraId="23F8435C" w14:textId="77777777" w:rsidR="00721388" w:rsidRPr="0029111A" w:rsidRDefault="00721388" w:rsidP="006E085C">
            <w:pPr>
              <w:pStyle w:val="Bullet"/>
              <w:cnfStyle w:val="000000100000" w:firstRow="0" w:lastRow="0" w:firstColumn="0" w:lastColumn="0" w:oddVBand="0" w:evenVBand="0" w:oddHBand="1" w:evenHBand="0" w:firstRowFirstColumn="0" w:firstRowLastColumn="0" w:lastRowFirstColumn="0" w:lastRowLastColumn="0"/>
            </w:pPr>
            <w:r w:rsidRPr="0029111A">
              <w:t xml:space="preserve">National Immunisation Register data </w:t>
            </w:r>
            <w:proofErr w:type="gramStart"/>
            <w:r w:rsidRPr="0029111A">
              <w:t>bases</w:t>
            </w:r>
            <w:proofErr w:type="gramEnd"/>
            <w:r w:rsidRPr="0029111A">
              <w:t xml:space="preserve"> </w:t>
            </w:r>
          </w:p>
          <w:p w14:paraId="063CD83F" w14:textId="77777777" w:rsidR="00721388" w:rsidRPr="0029111A" w:rsidRDefault="00721388" w:rsidP="006E085C">
            <w:pPr>
              <w:pStyle w:val="Bullet"/>
              <w:cnfStyle w:val="000000100000" w:firstRow="0" w:lastRow="0" w:firstColumn="0" w:lastColumn="0" w:oddVBand="0" w:evenVBand="0" w:oddHBand="1" w:evenHBand="0" w:firstRowFirstColumn="0" w:firstRowLastColumn="0" w:lastRowFirstColumn="0" w:lastRowLastColumn="0"/>
            </w:pPr>
            <w:r w:rsidRPr="0029111A">
              <w:t xml:space="preserve">Population data: 2013-Based Population Projections (NIR Population) </w:t>
            </w:r>
          </w:p>
          <w:p w14:paraId="6740A8B9" w14:textId="77777777" w:rsidR="00721388" w:rsidRPr="0029111A" w:rsidRDefault="00721388" w:rsidP="006E085C">
            <w:pPr>
              <w:pStyle w:val="Bullet"/>
              <w:cnfStyle w:val="000000100000" w:firstRow="0" w:lastRow="0" w:firstColumn="0" w:lastColumn="0" w:oddVBand="0" w:evenVBand="0" w:oddHBand="1" w:evenHBand="0" w:firstRowFirstColumn="0" w:firstRowLastColumn="0" w:lastRowFirstColumn="0" w:lastRowLastColumn="0"/>
            </w:pPr>
            <w:r w:rsidRPr="0029111A">
              <w:t>23 interviews with Providers (directly and indirectly funded) and DHB</w:t>
            </w:r>
            <w:r>
              <w:t xml:space="preserve"> (includes an additional 8 interviews to those reported in RIC 3)</w:t>
            </w:r>
          </w:p>
          <w:p w14:paraId="3695B81E" w14:textId="77777777" w:rsidR="00721388" w:rsidRPr="007B10F0" w:rsidRDefault="00721388" w:rsidP="006E085C">
            <w:pPr>
              <w:pStyle w:val="Bullet"/>
              <w:cnfStyle w:val="000000100000" w:firstRow="0" w:lastRow="0" w:firstColumn="0" w:lastColumn="0" w:oddVBand="0" w:evenVBand="0" w:oddHBand="1" w:evenHBand="0" w:firstRowFirstColumn="0" w:firstRowLastColumn="0" w:lastRowFirstColumn="0" w:lastRowLastColumn="0"/>
            </w:pPr>
            <w:r w:rsidRPr="0029111A">
              <w:t>Survey responses from Providers (n=34</w:t>
            </w:r>
            <w:r>
              <w:t>)</w:t>
            </w:r>
            <w:r w:rsidRPr="0029111A">
              <w:t xml:space="preserve"> and DHB staff (n=18</w:t>
            </w:r>
            <w:r>
              <w:t>).</w:t>
            </w:r>
          </w:p>
        </w:tc>
      </w:tr>
      <w:tr w:rsidR="00721388" w14:paraId="6CDEB6D0" w14:textId="77777777" w:rsidTr="00592269">
        <w:tc>
          <w:tcPr>
            <w:cnfStyle w:val="001000000000" w:firstRow="0" w:lastRow="0" w:firstColumn="1" w:lastColumn="0" w:oddVBand="0" w:evenVBand="0" w:oddHBand="0" w:evenHBand="0" w:firstRowFirstColumn="0" w:firstRowLastColumn="0" w:lastRowFirstColumn="0" w:lastRowLastColumn="0"/>
            <w:tcW w:w="2122" w:type="dxa"/>
          </w:tcPr>
          <w:p w14:paraId="316FA2E0" w14:textId="53909A2F" w:rsidR="00721388" w:rsidRDefault="00CB3FA9" w:rsidP="006E085C">
            <w:r>
              <w:t>M</w:t>
            </w:r>
            <w:r w:rsidR="00721388">
              <w:t xml:space="preserve">id- </w:t>
            </w:r>
            <w:r w:rsidR="00721388" w:rsidRPr="007B10F0">
              <w:t>Nov</w:t>
            </w:r>
            <w:r w:rsidR="00721388">
              <w:t>ember</w:t>
            </w:r>
            <w:r w:rsidR="00721388" w:rsidRPr="007B10F0">
              <w:t xml:space="preserve"> - Dec</w:t>
            </w:r>
            <w:r w:rsidR="00721388">
              <w:t>ember</w:t>
            </w:r>
            <w:r w:rsidR="00721388" w:rsidRPr="007B10F0">
              <w:t xml:space="preserve"> 2020</w:t>
            </w:r>
          </w:p>
        </w:tc>
        <w:tc>
          <w:tcPr>
            <w:tcW w:w="1417" w:type="dxa"/>
          </w:tcPr>
          <w:p w14:paraId="22C83183" w14:textId="77777777" w:rsidR="00721388" w:rsidRDefault="00721388" w:rsidP="006E085C">
            <w:pPr>
              <w:cnfStyle w:val="000000000000" w:firstRow="0" w:lastRow="0" w:firstColumn="0" w:lastColumn="0" w:oddVBand="0" w:evenVBand="0" w:oddHBand="0" w:evenHBand="0" w:firstRowFirstColumn="0" w:firstRowLastColumn="0" w:lastRowFirstColumn="0" w:lastRowLastColumn="0"/>
            </w:pPr>
            <w:r>
              <w:t>R</w:t>
            </w:r>
            <w:r w:rsidRPr="007B10F0">
              <w:t>eporting</w:t>
            </w:r>
          </w:p>
        </w:tc>
        <w:tc>
          <w:tcPr>
            <w:tcW w:w="4536" w:type="dxa"/>
          </w:tcPr>
          <w:p w14:paraId="752022A9" w14:textId="77777777" w:rsidR="00721388" w:rsidRPr="007B10F0" w:rsidRDefault="00721388" w:rsidP="006E085C">
            <w:pPr>
              <w:cnfStyle w:val="000000000000" w:firstRow="0" w:lastRow="0" w:firstColumn="0" w:lastColumn="0" w:oddVBand="0" w:evenVBand="0" w:oddHBand="0" w:evenHBand="0" w:firstRowFirstColumn="0" w:firstRowLastColumn="0" w:lastRowFirstColumn="0" w:lastRowLastColumn="0"/>
            </w:pPr>
          </w:p>
        </w:tc>
      </w:tr>
    </w:tbl>
    <w:p w14:paraId="688D6871" w14:textId="3B6EA398" w:rsidR="00721388" w:rsidRDefault="00721388" w:rsidP="009D601E">
      <w:pPr>
        <w:pStyle w:val="BodyText"/>
        <w:numPr>
          <w:ilvl w:val="0"/>
          <w:numId w:val="0"/>
        </w:numPr>
      </w:pPr>
    </w:p>
    <w:p w14:paraId="1D1059FD" w14:textId="1390E5F7" w:rsidR="000E274D" w:rsidRDefault="00592269" w:rsidP="00900633">
      <w:pPr>
        <w:pStyle w:val="Caption"/>
      </w:pPr>
      <w:bookmarkStart w:id="182" w:name="_Ref60323797"/>
      <w:bookmarkStart w:id="183" w:name="_Toc62703569"/>
      <w:r>
        <w:t xml:space="preserve">Table </w:t>
      </w:r>
      <w:r>
        <w:fldChar w:fldCharType="begin"/>
      </w:r>
      <w:r>
        <w:instrText>SEQ Table \* ARABIC</w:instrText>
      </w:r>
      <w:r>
        <w:fldChar w:fldCharType="separate"/>
      </w:r>
      <w:r w:rsidR="009B082D">
        <w:rPr>
          <w:noProof/>
        </w:rPr>
        <w:t>13</w:t>
      </w:r>
      <w:r>
        <w:fldChar w:fldCharType="end"/>
      </w:r>
      <w:bookmarkEnd w:id="182"/>
      <w:r>
        <w:t>. Data collection activities and regional coverage</w:t>
      </w:r>
      <w:bookmarkEnd w:id="183"/>
      <w:r>
        <w:t xml:space="preserve"> </w:t>
      </w:r>
    </w:p>
    <w:p w14:paraId="06C5A8A1" w14:textId="27C468FD" w:rsidR="00721388" w:rsidRDefault="00592269" w:rsidP="009D601E">
      <w:pPr>
        <w:pStyle w:val="BodyText"/>
        <w:numPr>
          <w:ilvl w:val="0"/>
          <w:numId w:val="0"/>
        </w:numPr>
      </w:pPr>
      <w:r>
        <w:rPr>
          <w:noProof/>
        </w:rPr>
        <w:drawing>
          <wp:inline distT="0" distB="0" distL="0" distR="0" wp14:anchorId="2624F664" wp14:editId="570CC3A5">
            <wp:extent cx="5136515" cy="2888615"/>
            <wp:effectExtent l="0" t="0" r="6985" b="6985"/>
            <wp:docPr id="27" name="Picture 27" descr="Evaluation data included interviews with representatives from DHBs and providers and survey responses from DHBs and providers. No response was collected from DHBs or providers in Wairarapa and South Canterbu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valuation data included interviews with representatives from DHBs and providers and survey responses from DHBs and providers. No response was collected from DHBs or providers in Wairarapa and South Canterbury.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6515" cy="2888615"/>
                    </a:xfrm>
                    <a:prstGeom prst="rect">
                      <a:avLst/>
                    </a:prstGeom>
                    <a:noFill/>
                  </pic:spPr>
                </pic:pic>
              </a:graphicData>
            </a:graphic>
          </wp:inline>
        </w:drawing>
      </w:r>
    </w:p>
    <w:p w14:paraId="0A017011" w14:textId="7C210F36" w:rsidR="000E274D" w:rsidRDefault="000E274D" w:rsidP="00926E91">
      <w:pPr>
        <w:pStyle w:val="Heading2"/>
      </w:pPr>
      <w:bookmarkStart w:id="184" w:name="_Toc70763300"/>
      <w:r w:rsidRPr="004403CF">
        <w:t>Limitations</w:t>
      </w:r>
      <w:bookmarkEnd w:id="184"/>
    </w:p>
    <w:p w14:paraId="23BA3B48" w14:textId="189A02F7" w:rsidR="005728EC" w:rsidRPr="005728EC" w:rsidRDefault="005728EC" w:rsidP="005728EC">
      <w:pPr>
        <w:pStyle w:val="BodyText"/>
      </w:pPr>
      <w:r w:rsidRPr="005728EC">
        <w:t xml:space="preserve">The evaluation collected and analysed a mix of qualitative, </w:t>
      </w:r>
      <w:proofErr w:type="gramStart"/>
      <w:r w:rsidRPr="005728EC">
        <w:t>quantitative</w:t>
      </w:r>
      <w:proofErr w:type="gramEnd"/>
      <w:r w:rsidRPr="005728EC">
        <w:t xml:space="preserve"> and administrative data for all 21 DHB regions. The evaluation did not collect whānau feedback on their experience of MIVP. The evaluation was not able to collect the same data in all regions, so there are some information gaps (see </w:t>
      </w:r>
      <w:r>
        <w:fldChar w:fldCharType="begin"/>
      </w:r>
      <w:r>
        <w:instrText xml:space="preserve"> REF _Ref60323797 \h </w:instrText>
      </w:r>
      <w:r>
        <w:fldChar w:fldCharType="separate"/>
      </w:r>
      <w:r w:rsidR="009B082D">
        <w:t xml:space="preserve">Table </w:t>
      </w:r>
      <w:r w:rsidR="009B082D">
        <w:rPr>
          <w:noProof/>
        </w:rPr>
        <w:t>13</w:t>
      </w:r>
      <w:r>
        <w:fldChar w:fldCharType="end"/>
      </w:r>
      <w:r w:rsidRPr="005728EC">
        <w:t xml:space="preserve"> for </w:t>
      </w:r>
      <w:r>
        <w:t xml:space="preserve">a </w:t>
      </w:r>
      <w:r w:rsidRPr="005728EC">
        <w:t xml:space="preserve">description of data </w:t>
      </w:r>
      <w:r>
        <w:t xml:space="preserve">collection </w:t>
      </w:r>
      <w:r w:rsidR="00AD5AE2">
        <w:t>by DHB region</w:t>
      </w:r>
      <w:r w:rsidRPr="005728EC">
        <w:t xml:space="preserve">). This is particularly the case in Canterbury and the Auckland regional cluster. Further, the evaluation design intentionally focused on trying to understand success and its enablers and less resource was available to analyse regions with poor performance in 2020 and historically. </w:t>
      </w:r>
    </w:p>
    <w:p w14:paraId="3A80F1A7" w14:textId="1662A875" w:rsidR="005728EC" w:rsidRPr="005728EC" w:rsidRDefault="005728EC" w:rsidP="005728EC">
      <w:pPr>
        <w:pStyle w:val="BodyText"/>
      </w:pPr>
      <w:r w:rsidRPr="005728EC">
        <w:t xml:space="preserve">The evaluation used the National Immunisations </w:t>
      </w:r>
      <w:r w:rsidR="000F2275">
        <w:t>R</w:t>
      </w:r>
      <w:r w:rsidRPr="005728EC">
        <w:t>egister to track changes in Māori flu vaccinations rates. The evaluation does not report on the number of vaccinations administered by providers as NIR does not capture data in this way. Further, while some MIVP providers reported the number of vaccinations administered as part of MIVP to the Ministry, the data is not utilised in this evaluation due to issues of completeness and our overall confidence in the data.</w:t>
      </w:r>
    </w:p>
    <w:p w14:paraId="7FC36BDB" w14:textId="2EBB0F59" w:rsidR="005728EC" w:rsidRDefault="005728EC" w:rsidP="005728EC">
      <w:pPr>
        <w:pStyle w:val="BodyText"/>
      </w:pPr>
      <w:r w:rsidRPr="005728EC">
        <w:t>The evaluation only has NIR data for 65+ as other vulnerable groups are not captured within NIR. However, there is data from providers that indicates they worked with other eligible cohorts.</w:t>
      </w:r>
    </w:p>
    <w:p w14:paraId="5948959C" w14:textId="2D04DD17" w:rsidR="00CA5989" w:rsidRPr="005728EC" w:rsidRDefault="00CA5989" w:rsidP="005728EC">
      <w:pPr>
        <w:pStyle w:val="BodyText"/>
      </w:pPr>
      <w:r>
        <w:t>The total number of providers who participated in MIVP is approximately 58. The total number of providers funded directly by the Ministry is 18. There were at least 40 providers included in DHB applications. All except one DHB provided this information for the evaluation</w:t>
      </w:r>
      <w:r w:rsidR="00BF28DA">
        <w:t>, hence the approximation.</w:t>
      </w:r>
    </w:p>
    <w:p w14:paraId="322072CA" w14:textId="3B8AE0B0" w:rsidR="00F8176C" w:rsidRDefault="00F8176C" w:rsidP="00F8176C">
      <w:pPr>
        <w:pStyle w:val="Heading1"/>
      </w:pPr>
      <w:bookmarkStart w:id="185" w:name="_Toc70763301"/>
      <w:r>
        <w:lastRenderedPageBreak/>
        <w:t>Appendix 2 – Additional Data, Tables and Graphs</w:t>
      </w:r>
      <w:bookmarkEnd w:id="185"/>
    </w:p>
    <w:p w14:paraId="5915BDD5" w14:textId="77777777" w:rsidR="00F8176C" w:rsidRDefault="00F8176C" w:rsidP="00ED3611">
      <w:pPr>
        <w:pStyle w:val="BodyText"/>
        <w:numPr>
          <w:ilvl w:val="0"/>
          <w:numId w:val="0"/>
        </w:numPr>
      </w:pPr>
    </w:p>
    <w:p w14:paraId="2DF1551A" w14:textId="58945543" w:rsidR="002737F7" w:rsidRDefault="002737F7" w:rsidP="002737F7">
      <w:pPr>
        <w:pStyle w:val="Heading3"/>
      </w:pPr>
      <w:bookmarkStart w:id="186" w:name="_Toc58387956"/>
      <w:r>
        <w:t xml:space="preserve">Ways MIVP has enabled relational approaches between different </w:t>
      </w:r>
      <w:proofErr w:type="gramStart"/>
      <w:r>
        <w:t>parties</w:t>
      </w:r>
      <w:proofErr w:type="gramEnd"/>
    </w:p>
    <w:p w14:paraId="5D016535" w14:textId="414BD036" w:rsidR="00855C9E" w:rsidRDefault="002737F7" w:rsidP="00EB6507">
      <w:r>
        <w:fldChar w:fldCharType="begin"/>
      </w:r>
      <w:r>
        <w:instrText xml:space="preserve"> REF _Ref61810773 \h </w:instrText>
      </w:r>
      <w:r>
        <w:fldChar w:fldCharType="separate"/>
      </w:r>
      <w:r w:rsidR="009B082D">
        <w:t xml:space="preserve">Table </w:t>
      </w:r>
      <w:r w:rsidR="009B082D">
        <w:rPr>
          <w:noProof/>
        </w:rPr>
        <w:t>14</w:t>
      </w:r>
      <w:r>
        <w:fldChar w:fldCharType="end"/>
      </w:r>
      <w:r>
        <w:t xml:space="preserve"> </w:t>
      </w:r>
      <w:r w:rsidR="00855C9E">
        <w:t xml:space="preserve">outlines the relationships within MIVP, how they have enabled the process, and the resulting impacts. Significantly, but not surprisingly, where relationships are positive, robust, and working well, communication, collaboration, and sharing of resources and knowledge is fair and equitable. </w:t>
      </w:r>
    </w:p>
    <w:p w14:paraId="199482EA" w14:textId="48135ABA" w:rsidR="00855C9E" w:rsidRPr="007B2C6A" w:rsidRDefault="00855C9E" w:rsidP="00900633">
      <w:pPr>
        <w:pStyle w:val="Caption"/>
      </w:pPr>
      <w:bookmarkStart w:id="187" w:name="_Ref61810773"/>
      <w:bookmarkStart w:id="188" w:name="_Toc58387955"/>
      <w:bookmarkStart w:id="189" w:name="_Toc62703570"/>
      <w:r>
        <w:t xml:space="preserve">Table </w:t>
      </w:r>
      <w:r>
        <w:fldChar w:fldCharType="begin"/>
      </w:r>
      <w:r>
        <w:instrText>SEQ Table \* ARABIC</w:instrText>
      </w:r>
      <w:r>
        <w:fldChar w:fldCharType="separate"/>
      </w:r>
      <w:r w:rsidR="009B082D">
        <w:rPr>
          <w:noProof/>
        </w:rPr>
        <w:t>14</w:t>
      </w:r>
      <w:r>
        <w:fldChar w:fldCharType="end"/>
      </w:r>
      <w:bookmarkEnd w:id="187"/>
      <w:r>
        <w:rPr>
          <w:noProof/>
        </w:rPr>
        <w:t>.</w:t>
      </w:r>
      <w:r>
        <w:t xml:space="preserve"> Ways MIVP has enabled relational approaches between the different </w:t>
      </w:r>
      <w:proofErr w:type="gramStart"/>
      <w:r>
        <w:t>parties</w:t>
      </w:r>
      <w:bookmarkEnd w:id="188"/>
      <w:bookmarkEnd w:id="189"/>
      <w:proofErr w:type="gramEnd"/>
    </w:p>
    <w:tbl>
      <w:tblPr>
        <w:tblStyle w:val="ListTable3-Accent1"/>
        <w:tblW w:w="0" w:type="auto"/>
        <w:tblLook w:val="04A0" w:firstRow="1" w:lastRow="0" w:firstColumn="1" w:lastColumn="0" w:noHBand="0" w:noVBand="1"/>
      </w:tblPr>
      <w:tblGrid>
        <w:gridCol w:w="1555"/>
        <w:gridCol w:w="4052"/>
        <w:gridCol w:w="2603"/>
      </w:tblGrid>
      <w:tr w:rsidR="00855C9E" w:rsidRPr="00622437" w14:paraId="6AA7D4DE" w14:textId="77777777" w:rsidTr="00BF5E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14:paraId="716F0A9F" w14:textId="77777777" w:rsidR="00855C9E" w:rsidRPr="00622437" w:rsidRDefault="00855C9E" w:rsidP="00350653">
            <w:pPr>
              <w:pStyle w:val="BodyText"/>
              <w:numPr>
                <w:ilvl w:val="0"/>
                <w:numId w:val="0"/>
              </w:numPr>
            </w:pPr>
            <w:r w:rsidRPr="00622437">
              <w:t>Relationships</w:t>
            </w:r>
          </w:p>
        </w:tc>
        <w:tc>
          <w:tcPr>
            <w:tcW w:w="4052" w:type="dxa"/>
          </w:tcPr>
          <w:p w14:paraId="4BF757C4" w14:textId="77777777" w:rsidR="00855C9E" w:rsidRPr="00622437" w:rsidRDefault="00855C9E" w:rsidP="00350653">
            <w:pPr>
              <w:pStyle w:val="BodyText"/>
              <w:numPr>
                <w:ilvl w:val="0"/>
                <w:numId w:val="0"/>
              </w:numPr>
              <w:cnfStyle w:val="100000000000" w:firstRow="1" w:lastRow="0" w:firstColumn="0" w:lastColumn="0" w:oddVBand="0" w:evenVBand="0" w:oddHBand="0" w:evenHBand="0" w:firstRowFirstColumn="0" w:firstRowLastColumn="0" w:lastRowFirstColumn="0" w:lastRowLastColumn="0"/>
            </w:pPr>
            <w:r w:rsidRPr="00622437">
              <w:t>How MIVP has enabled a relational approach?</w:t>
            </w:r>
          </w:p>
        </w:tc>
        <w:tc>
          <w:tcPr>
            <w:tcW w:w="2603" w:type="dxa"/>
          </w:tcPr>
          <w:p w14:paraId="6AEEEA85" w14:textId="77777777" w:rsidR="00855C9E" w:rsidRPr="00622437" w:rsidRDefault="00855C9E" w:rsidP="00350653">
            <w:pPr>
              <w:pStyle w:val="BodyText"/>
              <w:numPr>
                <w:ilvl w:val="0"/>
                <w:numId w:val="0"/>
              </w:numPr>
              <w:cnfStyle w:val="100000000000" w:firstRow="1" w:lastRow="0" w:firstColumn="0" w:lastColumn="0" w:oddVBand="0" w:evenVBand="0" w:oddHBand="0" w:evenHBand="0" w:firstRowFirstColumn="0" w:firstRowLastColumn="0" w:lastRowFirstColumn="0" w:lastRowLastColumn="0"/>
            </w:pPr>
            <w:r w:rsidRPr="00622437">
              <w:t>Impacts of relationships</w:t>
            </w:r>
          </w:p>
        </w:tc>
      </w:tr>
      <w:tr w:rsidR="00855C9E" w:rsidRPr="00E07601" w14:paraId="5E8282EB" w14:textId="77777777" w:rsidTr="00B7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39E3FDC" w14:textId="77777777" w:rsidR="00855C9E" w:rsidRPr="00E07601" w:rsidRDefault="00855C9E" w:rsidP="00B75433">
            <w:pPr>
              <w:rPr>
                <w:color w:val="212B5D" w:themeColor="accent1"/>
                <w:sz w:val="18"/>
                <w:szCs w:val="18"/>
              </w:rPr>
            </w:pPr>
            <w:r w:rsidRPr="00E07601">
              <w:rPr>
                <w:color w:val="212B5D" w:themeColor="accent1"/>
                <w:sz w:val="18"/>
                <w:szCs w:val="18"/>
              </w:rPr>
              <w:t>DHB</w:t>
            </w:r>
            <w:r w:rsidRPr="00E07601">
              <w:rPr>
                <w:rStyle w:val="FootnoteReference"/>
                <w:color w:val="212B5D" w:themeColor="accent1"/>
                <w:sz w:val="18"/>
                <w:szCs w:val="18"/>
              </w:rPr>
              <w:footnoteReference w:id="26"/>
            </w:r>
            <w:r w:rsidRPr="00E07601">
              <w:rPr>
                <w:color w:val="212B5D" w:themeColor="accent1"/>
                <w:sz w:val="18"/>
                <w:szCs w:val="18"/>
              </w:rPr>
              <w:t xml:space="preserve"> – Provider (DHB funded)</w:t>
            </w:r>
          </w:p>
        </w:tc>
        <w:tc>
          <w:tcPr>
            <w:tcW w:w="4052" w:type="dxa"/>
          </w:tcPr>
          <w:p w14:paraId="2904B463"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 xml:space="preserve">Where relationships are developed and working well, DHBs worked together with providers to develop collaborative approaches to administer flu vaccination. </w:t>
            </w:r>
          </w:p>
          <w:p w14:paraId="34890F29"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Providers helped to lead the DHB in terms of supports and resources they needed to deliver services to their Māori communities.</w:t>
            </w:r>
          </w:p>
          <w:p w14:paraId="09175F88"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DHB approaches aligned with their wider strategic plans and supported new connection by involving a range of providers, including PHOs, GPs, and Māori providers</w:t>
            </w:r>
          </w:p>
          <w:p w14:paraId="60B88A65"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 xml:space="preserve">DHBs supported providers to deliver services. This could be in the form of hands-on assistance, tracking vaccine supply, </w:t>
            </w:r>
            <w:proofErr w:type="gramStart"/>
            <w:r w:rsidRPr="00E07601">
              <w:t>training</w:t>
            </w:r>
            <w:proofErr w:type="gramEnd"/>
            <w:r w:rsidRPr="00E07601">
              <w:t xml:space="preserve"> and education, recording and sharing vaccine data, and information sharing, including information packs for whānau about other health services. </w:t>
            </w:r>
          </w:p>
          <w:p w14:paraId="22A2220E"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 xml:space="preserve">DHB funded providers, both Māori and non-Māori, connected over a common goal and </w:t>
            </w:r>
            <w:proofErr w:type="gramStart"/>
            <w:r w:rsidRPr="00E07601">
              <w:t>purpose</w:t>
            </w:r>
            <w:proofErr w:type="gramEnd"/>
            <w:r w:rsidRPr="00E07601">
              <w:t xml:space="preserve"> </w:t>
            </w:r>
          </w:p>
          <w:p w14:paraId="41013300"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 xml:space="preserve">Where relationships are less established or functional, DHBs continued to have conversations with providers. Relationships between DHB and providers at times had a whakapapa of tension and disappointment, and it takes time to rebuild </w:t>
            </w:r>
            <w:proofErr w:type="gramStart"/>
            <w:r w:rsidRPr="00E07601">
              <w:t>trust</w:t>
            </w:r>
            <w:proofErr w:type="gramEnd"/>
            <w:r w:rsidRPr="00E07601">
              <w:t xml:space="preserve"> </w:t>
            </w:r>
          </w:p>
          <w:p w14:paraId="660E5E84" w14:textId="658524F6"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 xml:space="preserve">DHB-Provider conversations are ongoing, and progress made this </w:t>
            </w:r>
            <w:r w:rsidRPr="00E07601">
              <w:lastRenderedPageBreak/>
              <w:t>year should materialise into collaborations to vaccinate, in 2021</w:t>
            </w:r>
            <w:r w:rsidR="000B34B1">
              <w:t>.</w:t>
            </w:r>
          </w:p>
        </w:tc>
        <w:tc>
          <w:tcPr>
            <w:tcW w:w="2603" w:type="dxa"/>
          </w:tcPr>
          <w:p w14:paraId="504CCDC9"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lastRenderedPageBreak/>
              <w:t>Improved access to the flu vaccine</w:t>
            </w:r>
          </w:p>
          <w:p w14:paraId="2D7F7E13"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 xml:space="preserve">Provider </w:t>
            </w:r>
            <w:proofErr w:type="spellStart"/>
            <w:r w:rsidRPr="00E07601">
              <w:t>kaimahi</w:t>
            </w:r>
            <w:proofErr w:type="spellEnd"/>
            <w:r w:rsidRPr="00E07601">
              <w:t xml:space="preserve"> trained as </w:t>
            </w:r>
            <w:proofErr w:type="gramStart"/>
            <w:r w:rsidRPr="00E07601">
              <w:t>vaccinators</w:t>
            </w:r>
            <w:proofErr w:type="gramEnd"/>
          </w:p>
          <w:p w14:paraId="0F146184"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 xml:space="preserve">Strengthened relationships between DHB GM Māori, DHB Māori health units, and </w:t>
            </w:r>
            <w:proofErr w:type="gramStart"/>
            <w:r w:rsidRPr="00E07601">
              <w:t>providers</w:t>
            </w:r>
            <w:proofErr w:type="gramEnd"/>
          </w:p>
          <w:p w14:paraId="1BEDCACA"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 xml:space="preserve">Improved connection for DHBs with Māori communities, and what’s happening on the </w:t>
            </w:r>
            <w:proofErr w:type="gramStart"/>
            <w:r w:rsidRPr="00E07601">
              <w:t>ground</w:t>
            </w:r>
            <w:proofErr w:type="gramEnd"/>
          </w:p>
          <w:p w14:paraId="0C8965F4"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 xml:space="preserve">Healthy conversations between DHB funded providers (Māori and mainstream) on ways to work </w:t>
            </w:r>
            <w:proofErr w:type="gramStart"/>
            <w:r w:rsidRPr="00E07601">
              <w:t>together</w:t>
            </w:r>
            <w:proofErr w:type="gramEnd"/>
            <w:r w:rsidRPr="00E07601">
              <w:t xml:space="preserve"> </w:t>
            </w:r>
          </w:p>
          <w:p w14:paraId="0E18E875"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 xml:space="preserve">Less success engaging with providers and implementing MIVP when is low trust and relationships are strained. </w:t>
            </w:r>
          </w:p>
          <w:p w14:paraId="6C9A876D"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DHBs still hold the funds, which Providers must apply and negotiate for</w:t>
            </w:r>
          </w:p>
          <w:p w14:paraId="7F4A3FE7" w14:textId="4B9D1D98"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lastRenderedPageBreak/>
              <w:t>Potentially only the providers with good working and less contentious relationships with DHBs will be part of discussions</w:t>
            </w:r>
            <w:r w:rsidR="000B34B1">
              <w:t>.</w:t>
            </w:r>
          </w:p>
        </w:tc>
      </w:tr>
      <w:tr w:rsidR="00855C9E" w:rsidRPr="00E07601" w14:paraId="24CED22D" w14:textId="77777777" w:rsidTr="00B75433">
        <w:tc>
          <w:tcPr>
            <w:cnfStyle w:val="001000000000" w:firstRow="0" w:lastRow="0" w:firstColumn="1" w:lastColumn="0" w:oddVBand="0" w:evenVBand="0" w:oddHBand="0" w:evenHBand="0" w:firstRowFirstColumn="0" w:firstRowLastColumn="0" w:lastRowFirstColumn="0" w:lastRowLastColumn="0"/>
            <w:tcW w:w="1555" w:type="dxa"/>
          </w:tcPr>
          <w:p w14:paraId="4FE550E7" w14:textId="77777777" w:rsidR="00855C9E" w:rsidRPr="00E07601" w:rsidRDefault="00855C9E" w:rsidP="00B75433">
            <w:pPr>
              <w:rPr>
                <w:color w:val="212B5D" w:themeColor="accent1"/>
                <w:sz w:val="18"/>
                <w:szCs w:val="18"/>
              </w:rPr>
            </w:pPr>
            <w:r w:rsidRPr="00E07601">
              <w:rPr>
                <w:color w:val="212B5D" w:themeColor="accent1"/>
                <w:sz w:val="18"/>
                <w:szCs w:val="18"/>
              </w:rPr>
              <w:lastRenderedPageBreak/>
              <w:t>DHB – Provider (direct funded)</w:t>
            </w:r>
          </w:p>
        </w:tc>
        <w:tc>
          <w:tcPr>
            <w:tcW w:w="4052" w:type="dxa"/>
          </w:tcPr>
          <w:p w14:paraId="2B5D9E76" w14:textId="77777777" w:rsidR="00855C9E" w:rsidRPr="00E07601" w:rsidRDefault="00855C9E" w:rsidP="00B14BA5">
            <w:pPr>
              <w:pStyle w:val="Bullet"/>
              <w:numPr>
                <w:ilvl w:val="0"/>
                <w:numId w:val="5"/>
              </w:numPr>
              <w:cnfStyle w:val="000000000000" w:firstRow="0" w:lastRow="0" w:firstColumn="0" w:lastColumn="0" w:oddVBand="0" w:evenVBand="0" w:oddHBand="0" w:evenHBand="0" w:firstRowFirstColumn="0" w:firstRowLastColumn="0" w:lastRowFirstColumn="0" w:lastRowLastColumn="0"/>
            </w:pPr>
            <w:r w:rsidRPr="00E07601">
              <w:t xml:space="preserve">DHBs were involved in the planning but then handed over power/control to providers to </w:t>
            </w:r>
            <w:proofErr w:type="gramStart"/>
            <w:r w:rsidRPr="00E07601">
              <w:t>implement</w:t>
            </w:r>
            <w:proofErr w:type="gramEnd"/>
            <w:r w:rsidRPr="00E07601">
              <w:t xml:space="preserve"> </w:t>
            </w:r>
          </w:p>
          <w:p w14:paraId="4194E7F7" w14:textId="77777777" w:rsidR="00855C9E" w:rsidRPr="00E07601" w:rsidRDefault="00855C9E" w:rsidP="00B14BA5">
            <w:pPr>
              <w:pStyle w:val="Bullet"/>
              <w:numPr>
                <w:ilvl w:val="0"/>
                <w:numId w:val="5"/>
              </w:numPr>
              <w:cnfStyle w:val="000000000000" w:firstRow="0" w:lastRow="0" w:firstColumn="0" w:lastColumn="0" w:oddVBand="0" w:evenVBand="0" w:oddHBand="0" w:evenHBand="0" w:firstRowFirstColumn="0" w:firstRowLastColumn="0" w:lastRowFirstColumn="0" w:lastRowLastColumn="0"/>
            </w:pPr>
            <w:r w:rsidRPr="00E07601">
              <w:t xml:space="preserve">GM Māori Directorate advocated for providers and showed levels of trust and respect by deciding that the funding would go directly to </w:t>
            </w:r>
            <w:proofErr w:type="gramStart"/>
            <w:r w:rsidRPr="00E07601">
              <w:t>them</w:t>
            </w:r>
            <w:proofErr w:type="gramEnd"/>
          </w:p>
          <w:p w14:paraId="0893B312" w14:textId="15BB1A27" w:rsidR="00855C9E" w:rsidRPr="00E07601" w:rsidRDefault="00855C9E" w:rsidP="00B14BA5">
            <w:pPr>
              <w:pStyle w:val="Bullet"/>
              <w:numPr>
                <w:ilvl w:val="0"/>
                <w:numId w:val="5"/>
              </w:numPr>
              <w:cnfStyle w:val="000000000000" w:firstRow="0" w:lastRow="0" w:firstColumn="0" w:lastColumn="0" w:oddVBand="0" w:evenVBand="0" w:oddHBand="0" w:evenHBand="0" w:firstRowFirstColumn="0" w:firstRowLastColumn="0" w:lastRowFirstColumn="0" w:lastRowLastColumn="0"/>
            </w:pPr>
            <w:r w:rsidRPr="00E07601">
              <w:t>DHBs supported collaborative responses of providers, informing them of the funding available and bringing them together to plan and strategize</w:t>
            </w:r>
            <w:r w:rsidR="000B34B1">
              <w:t>.</w:t>
            </w:r>
          </w:p>
          <w:p w14:paraId="25495FD4" w14:textId="77777777" w:rsidR="00855C9E" w:rsidRPr="00E07601" w:rsidRDefault="00855C9E" w:rsidP="000B34B1">
            <w:pPr>
              <w:pStyle w:val="Bullet"/>
              <w:numPr>
                <w:ilvl w:val="0"/>
                <w:numId w:val="0"/>
              </w:numPr>
              <w:cnfStyle w:val="000000000000" w:firstRow="0" w:lastRow="0" w:firstColumn="0" w:lastColumn="0" w:oddVBand="0" w:evenVBand="0" w:oddHBand="0" w:evenHBand="0" w:firstRowFirstColumn="0" w:firstRowLastColumn="0" w:lastRowFirstColumn="0" w:lastRowLastColumn="0"/>
            </w:pPr>
          </w:p>
          <w:p w14:paraId="0AEE1AE4" w14:textId="77777777" w:rsidR="00855C9E" w:rsidRPr="00E07601" w:rsidRDefault="00855C9E" w:rsidP="00B75433">
            <w:pPr>
              <w:cnfStyle w:val="000000000000" w:firstRow="0" w:lastRow="0" w:firstColumn="0" w:lastColumn="0" w:oddVBand="0" w:evenVBand="0" w:oddHBand="0" w:evenHBand="0" w:firstRowFirstColumn="0" w:firstRowLastColumn="0" w:lastRowFirstColumn="0" w:lastRowLastColumn="0"/>
              <w:rPr>
                <w:sz w:val="18"/>
                <w:szCs w:val="18"/>
              </w:rPr>
            </w:pPr>
          </w:p>
        </w:tc>
        <w:tc>
          <w:tcPr>
            <w:tcW w:w="2603" w:type="dxa"/>
          </w:tcPr>
          <w:p w14:paraId="6B8A4C41" w14:textId="77777777" w:rsidR="00855C9E" w:rsidRPr="00E07601" w:rsidRDefault="00855C9E" w:rsidP="00B14BA5">
            <w:pPr>
              <w:pStyle w:val="Bullet"/>
              <w:numPr>
                <w:ilvl w:val="0"/>
                <w:numId w:val="5"/>
              </w:numPr>
              <w:cnfStyle w:val="000000000000" w:firstRow="0" w:lastRow="0" w:firstColumn="0" w:lastColumn="0" w:oddVBand="0" w:evenVBand="0" w:oddHBand="0" w:evenHBand="0" w:firstRowFirstColumn="0" w:firstRowLastColumn="0" w:lastRowFirstColumn="0" w:lastRowLastColumn="0"/>
            </w:pPr>
            <w:r w:rsidRPr="00E07601">
              <w:t>Providers who were doing well continued to do so with DHB support (when and if required)</w:t>
            </w:r>
          </w:p>
          <w:p w14:paraId="339C58FE" w14:textId="77777777" w:rsidR="00855C9E" w:rsidRPr="00E07601" w:rsidRDefault="00855C9E" w:rsidP="00B14BA5">
            <w:pPr>
              <w:pStyle w:val="Bullet"/>
              <w:numPr>
                <w:ilvl w:val="0"/>
                <w:numId w:val="5"/>
              </w:numPr>
              <w:cnfStyle w:val="000000000000" w:firstRow="0" w:lastRow="0" w:firstColumn="0" w:lastColumn="0" w:oddVBand="0" w:evenVBand="0" w:oddHBand="0" w:evenHBand="0" w:firstRowFirstColumn="0" w:firstRowLastColumn="0" w:lastRowFirstColumn="0" w:lastRowLastColumn="0"/>
            </w:pPr>
            <w:r w:rsidRPr="00E07601">
              <w:t xml:space="preserve">Providers were affirmed as the best health response to work with their Māori </w:t>
            </w:r>
            <w:proofErr w:type="gramStart"/>
            <w:r w:rsidRPr="00E07601">
              <w:t>communities</w:t>
            </w:r>
            <w:proofErr w:type="gramEnd"/>
          </w:p>
          <w:p w14:paraId="100EDA06" w14:textId="45E70AFB" w:rsidR="00855C9E" w:rsidRPr="00E07601" w:rsidRDefault="00855C9E" w:rsidP="00B14BA5">
            <w:pPr>
              <w:pStyle w:val="Bullet"/>
              <w:numPr>
                <w:ilvl w:val="0"/>
                <w:numId w:val="5"/>
              </w:numPr>
              <w:cnfStyle w:val="000000000000" w:firstRow="0" w:lastRow="0" w:firstColumn="0" w:lastColumn="0" w:oddVBand="0" w:evenVBand="0" w:oddHBand="0" w:evenHBand="0" w:firstRowFirstColumn="0" w:firstRowLastColumn="0" w:lastRowFirstColumn="0" w:lastRowLastColumn="0"/>
            </w:pPr>
            <w:r w:rsidRPr="00E07601">
              <w:t xml:space="preserve">Providers came to the table with power and mana, </w:t>
            </w:r>
            <w:proofErr w:type="gramStart"/>
            <w:r w:rsidRPr="00E07601">
              <w:t>in their own right as</w:t>
            </w:r>
            <w:proofErr w:type="gramEnd"/>
            <w:r w:rsidRPr="00E07601">
              <w:t xml:space="preserve"> professional health providers, and are part of the decision-making process</w:t>
            </w:r>
            <w:r w:rsidR="000B34B1">
              <w:t>.</w:t>
            </w:r>
          </w:p>
        </w:tc>
      </w:tr>
      <w:tr w:rsidR="00855C9E" w:rsidRPr="00E07601" w14:paraId="5B48CC48" w14:textId="77777777" w:rsidTr="00B7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D61D274" w14:textId="77777777" w:rsidR="00855C9E" w:rsidRPr="00E07601" w:rsidRDefault="00855C9E" w:rsidP="00B75433">
            <w:pPr>
              <w:rPr>
                <w:color w:val="212B5D" w:themeColor="accent1"/>
                <w:sz w:val="18"/>
                <w:szCs w:val="18"/>
              </w:rPr>
            </w:pPr>
            <w:r w:rsidRPr="00E07601">
              <w:rPr>
                <w:color w:val="212B5D" w:themeColor="accent1"/>
                <w:sz w:val="18"/>
                <w:szCs w:val="18"/>
              </w:rPr>
              <w:t>Provider - Provider</w:t>
            </w:r>
          </w:p>
        </w:tc>
        <w:tc>
          <w:tcPr>
            <w:tcW w:w="4052" w:type="dxa"/>
          </w:tcPr>
          <w:p w14:paraId="1CD37845"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 xml:space="preserve">Māori Providers developed a strategy and planned approach to implementing MIVP that compliments each provider context and </w:t>
            </w:r>
            <w:proofErr w:type="gramStart"/>
            <w:r w:rsidRPr="00E07601">
              <w:t>community</w:t>
            </w:r>
            <w:proofErr w:type="gramEnd"/>
          </w:p>
          <w:p w14:paraId="77B9B785"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 xml:space="preserve">Shared data on whānau who have not been vaccinated and discussed ways to reach </w:t>
            </w:r>
            <w:proofErr w:type="gramStart"/>
            <w:r w:rsidRPr="00E07601">
              <w:t>them</w:t>
            </w:r>
            <w:proofErr w:type="gramEnd"/>
          </w:p>
          <w:p w14:paraId="2AC25BF5"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 xml:space="preserve">Worked together did not only occur between Māori health providers; collaboration and interactions extended to community programmes, marae, </w:t>
            </w:r>
            <w:proofErr w:type="gramStart"/>
            <w:r w:rsidRPr="00E07601">
              <w:t>pharmacies</w:t>
            </w:r>
            <w:proofErr w:type="gramEnd"/>
            <w:r w:rsidRPr="00E07601">
              <w:t xml:space="preserve"> and GPs.</w:t>
            </w:r>
          </w:p>
        </w:tc>
        <w:tc>
          <w:tcPr>
            <w:tcW w:w="2603" w:type="dxa"/>
          </w:tcPr>
          <w:p w14:paraId="7D4E9C8B"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 xml:space="preserve">Services were delivered respectfully within iwi, </w:t>
            </w:r>
            <w:proofErr w:type="spellStart"/>
            <w:r w:rsidRPr="00E07601">
              <w:t>hapū</w:t>
            </w:r>
            <w:proofErr w:type="spellEnd"/>
            <w:r w:rsidRPr="00E07601">
              <w:t xml:space="preserve"> </w:t>
            </w:r>
            <w:proofErr w:type="gramStart"/>
            <w:r w:rsidRPr="00E07601">
              <w:t>boundaries</w:t>
            </w:r>
            <w:proofErr w:type="gramEnd"/>
          </w:p>
          <w:p w14:paraId="4BD878D5"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 xml:space="preserve">Less duplication of services </w:t>
            </w:r>
            <w:proofErr w:type="gramStart"/>
            <w:r w:rsidRPr="00E07601">
              <w:t>occurred</w:t>
            </w:r>
            <w:proofErr w:type="gramEnd"/>
          </w:p>
          <w:p w14:paraId="4AA0526E"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 xml:space="preserve">Whānau were not confused by approaches from multiple </w:t>
            </w:r>
            <w:proofErr w:type="gramStart"/>
            <w:r w:rsidRPr="00E07601">
              <w:t>services</w:t>
            </w:r>
            <w:proofErr w:type="gramEnd"/>
          </w:p>
          <w:p w14:paraId="038711A4"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 xml:space="preserve">Flu vaccine promotions across several communities </w:t>
            </w:r>
          </w:p>
          <w:p w14:paraId="6FBC8596"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 xml:space="preserve">Breadth and depth of access to Māori </w:t>
            </w:r>
          </w:p>
          <w:p w14:paraId="2E5DB07F"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 xml:space="preserve">Helped to break down the competitive / siloed funding model typically experienced by providers. </w:t>
            </w:r>
          </w:p>
        </w:tc>
      </w:tr>
      <w:tr w:rsidR="00855C9E" w:rsidRPr="00E07601" w14:paraId="2C034BE9" w14:textId="77777777" w:rsidTr="00B75433">
        <w:tc>
          <w:tcPr>
            <w:cnfStyle w:val="001000000000" w:firstRow="0" w:lastRow="0" w:firstColumn="1" w:lastColumn="0" w:oddVBand="0" w:evenVBand="0" w:oddHBand="0" w:evenHBand="0" w:firstRowFirstColumn="0" w:firstRowLastColumn="0" w:lastRowFirstColumn="0" w:lastRowLastColumn="0"/>
            <w:tcW w:w="1555" w:type="dxa"/>
          </w:tcPr>
          <w:p w14:paraId="12D1BF53" w14:textId="77777777" w:rsidR="00855C9E" w:rsidRPr="00E07601" w:rsidRDefault="00855C9E" w:rsidP="00B75433">
            <w:pPr>
              <w:rPr>
                <w:sz w:val="18"/>
                <w:szCs w:val="18"/>
              </w:rPr>
            </w:pPr>
            <w:r w:rsidRPr="00BA2178">
              <w:rPr>
                <w:color w:val="212B5D" w:themeColor="accent1"/>
                <w:sz w:val="18"/>
                <w:szCs w:val="18"/>
              </w:rPr>
              <w:lastRenderedPageBreak/>
              <w:t>Internal DHB</w:t>
            </w:r>
          </w:p>
        </w:tc>
        <w:tc>
          <w:tcPr>
            <w:tcW w:w="4052" w:type="dxa"/>
          </w:tcPr>
          <w:p w14:paraId="13A58C7A" w14:textId="77777777" w:rsidR="00855C9E" w:rsidRPr="00E07601" w:rsidRDefault="00855C9E" w:rsidP="00B14BA5">
            <w:pPr>
              <w:pStyle w:val="Bullet"/>
              <w:numPr>
                <w:ilvl w:val="0"/>
                <w:numId w:val="5"/>
              </w:numPr>
              <w:cnfStyle w:val="000000000000" w:firstRow="0" w:lastRow="0" w:firstColumn="0" w:lastColumn="0" w:oddVBand="0" w:evenVBand="0" w:oddHBand="0" w:evenHBand="0" w:firstRowFirstColumn="0" w:firstRowLastColumn="0" w:lastRowFirstColumn="0" w:lastRowLastColumn="0"/>
            </w:pPr>
            <w:r w:rsidRPr="00E07601">
              <w:t xml:space="preserve">Within DHBs, “courageous conversations” occurred about the best ways to connect with Māori communities, to improve vaccination rates and to determine how DHB units could work with each other to improve equity for Māori and improved health </w:t>
            </w:r>
            <w:proofErr w:type="gramStart"/>
            <w:r w:rsidRPr="00E07601">
              <w:t>outcomes</w:t>
            </w:r>
            <w:proofErr w:type="gramEnd"/>
          </w:p>
          <w:p w14:paraId="510AD612" w14:textId="77777777" w:rsidR="00855C9E" w:rsidRPr="00E07601" w:rsidRDefault="00855C9E" w:rsidP="00B14BA5">
            <w:pPr>
              <w:pStyle w:val="Bullet"/>
              <w:numPr>
                <w:ilvl w:val="0"/>
                <w:numId w:val="5"/>
              </w:numPr>
              <w:cnfStyle w:val="000000000000" w:firstRow="0" w:lastRow="0" w:firstColumn="0" w:lastColumn="0" w:oddVBand="0" w:evenVBand="0" w:oddHBand="0" w:evenHBand="0" w:firstRowFirstColumn="0" w:firstRowLastColumn="0" w:lastRowFirstColumn="0" w:lastRowLastColumn="0"/>
              <w:rPr>
                <w:lang w:val="mi-NZ"/>
              </w:rPr>
            </w:pPr>
            <w:r w:rsidRPr="00E07601">
              <w:rPr>
                <w:lang w:val="mi-NZ"/>
              </w:rPr>
              <w:t xml:space="preserve">DHB </w:t>
            </w:r>
            <w:r w:rsidRPr="00E07601">
              <w:t>Māori Health Directorates</w:t>
            </w:r>
            <w:r w:rsidRPr="00E07601">
              <w:rPr>
                <w:lang w:val="mi-NZ"/>
              </w:rPr>
              <w:t>, Planning and Funding, and Immunisation Coordinators worked together to align MIVP and other vaccination approaches</w:t>
            </w:r>
          </w:p>
          <w:p w14:paraId="27C361C2" w14:textId="77777777" w:rsidR="00855C9E" w:rsidRPr="00E07601" w:rsidRDefault="00855C9E" w:rsidP="00B14BA5">
            <w:pPr>
              <w:pStyle w:val="Bullet"/>
              <w:numPr>
                <w:ilvl w:val="0"/>
                <w:numId w:val="5"/>
              </w:numPr>
              <w:cnfStyle w:val="000000000000" w:firstRow="0" w:lastRow="0" w:firstColumn="0" w:lastColumn="0" w:oddVBand="0" w:evenVBand="0" w:oddHBand="0" w:evenHBand="0" w:firstRowFirstColumn="0" w:firstRowLastColumn="0" w:lastRowFirstColumn="0" w:lastRowLastColumn="0"/>
            </w:pPr>
            <w:r w:rsidRPr="00E07601">
              <w:t>MIVP was a lever for GM Māori to continue the conversations with mainstream DHB services about equitable health outcomes for Māori.</w:t>
            </w:r>
          </w:p>
        </w:tc>
        <w:tc>
          <w:tcPr>
            <w:tcW w:w="2603" w:type="dxa"/>
          </w:tcPr>
          <w:p w14:paraId="0D8A1490" w14:textId="77777777" w:rsidR="00855C9E" w:rsidRPr="00E07601" w:rsidRDefault="00855C9E" w:rsidP="00B75433">
            <w:pPr>
              <w:cnfStyle w:val="000000000000" w:firstRow="0" w:lastRow="0" w:firstColumn="0" w:lastColumn="0" w:oddVBand="0" w:evenVBand="0" w:oddHBand="0" w:evenHBand="0" w:firstRowFirstColumn="0" w:firstRowLastColumn="0" w:lastRowFirstColumn="0" w:lastRowLastColumn="0"/>
              <w:rPr>
                <w:sz w:val="18"/>
                <w:szCs w:val="18"/>
              </w:rPr>
            </w:pPr>
            <w:r w:rsidRPr="00E07601">
              <w:rPr>
                <w:sz w:val="18"/>
                <w:szCs w:val="18"/>
              </w:rPr>
              <w:t xml:space="preserve">Supported a continuous learning environment within </w:t>
            </w:r>
            <w:proofErr w:type="gramStart"/>
            <w:r w:rsidRPr="00E07601">
              <w:rPr>
                <w:sz w:val="18"/>
                <w:szCs w:val="18"/>
              </w:rPr>
              <w:t>DHBs</w:t>
            </w:r>
            <w:proofErr w:type="gramEnd"/>
          </w:p>
          <w:p w14:paraId="05439DED" w14:textId="77777777" w:rsidR="00855C9E" w:rsidRPr="00E07601" w:rsidRDefault="00855C9E" w:rsidP="00B75433">
            <w:pPr>
              <w:cnfStyle w:val="000000000000" w:firstRow="0" w:lastRow="0" w:firstColumn="0" w:lastColumn="0" w:oddVBand="0" w:evenVBand="0" w:oddHBand="0" w:evenHBand="0" w:firstRowFirstColumn="0" w:firstRowLastColumn="0" w:lastRowFirstColumn="0" w:lastRowLastColumn="0"/>
              <w:rPr>
                <w:sz w:val="18"/>
                <w:szCs w:val="18"/>
              </w:rPr>
            </w:pPr>
            <w:r w:rsidRPr="00E07601">
              <w:rPr>
                <w:sz w:val="18"/>
                <w:szCs w:val="18"/>
              </w:rPr>
              <w:t xml:space="preserve">Provider received funding directly rather than through the </w:t>
            </w:r>
            <w:proofErr w:type="gramStart"/>
            <w:r w:rsidRPr="00E07601">
              <w:rPr>
                <w:sz w:val="18"/>
                <w:szCs w:val="18"/>
              </w:rPr>
              <w:t>DHB</w:t>
            </w:r>
            <w:proofErr w:type="gramEnd"/>
          </w:p>
          <w:p w14:paraId="0E0E36C3" w14:textId="77777777" w:rsidR="00855C9E" w:rsidRPr="00E07601" w:rsidRDefault="00855C9E" w:rsidP="00B75433">
            <w:pPr>
              <w:cnfStyle w:val="000000000000" w:firstRow="0" w:lastRow="0" w:firstColumn="0" w:lastColumn="0" w:oddVBand="0" w:evenVBand="0" w:oddHBand="0" w:evenHBand="0" w:firstRowFirstColumn="0" w:firstRowLastColumn="0" w:lastRowFirstColumn="0" w:lastRowLastColumn="0"/>
              <w:rPr>
                <w:sz w:val="18"/>
                <w:szCs w:val="18"/>
              </w:rPr>
            </w:pPr>
            <w:r w:rsidRPr="00E07601">
              <w:rPr>
                <w:sz w:val="18"/>
                <w:szCs w:val="18"/>
              </w:rPr>
              <w:t xml:space="preserve">DHB mainstream services saw the value in Māori </w:t>
            </w:r>
            <w:proofErr w:type="gramStart"/>
            <w:r w:rsidRPr="00E07601">
              <w:rPr>
                <w:sz w:val="18"/>
                <w:szCs w:val="18"/>
              </w:rPr>
              <w:t>providers</w:t>
            </w:r>
            <w:proofErr w:type="gramEnd"/>
          </w:p>
          <w:p w14:paraId="52578A04" w14:textId="77777777" w:rsidR="00855C9E" w:rsidRPr="00E07601" w:rsidRDefault="00855C9E" w:rsidP="00B75433">
            <w:pPr>
              <w:cnfStyle w:val="000000000000" w:firstRow="0" w:lastRow="0" w:firstColumn="0" w:lastColumn="0" w:oddVBand="0" w:evenVBand="0" w:oddHBand="0" w:evenHBand="0" w:firstRowFirstColumn="0" w:firstRowLastColumn="0" w:lastRowFirstColumn="0" w:lastRowLastColumn="0"/>
              <w:rPr>
                <w:sz w:val="18"/>
                <w:szCs w:val="18"/>
              </w:rPr>
            </w:pPr>
            <w:r w:rsidRPr="00E07601">
              <w:rPr>
                <w:sz w:val="18"/>
                <w:szCs w:val="18"/>
              </w:rPr>
              <w:t>DHB services accessed and engaged with Māori communities.</w:t>
            </w:r>
          </w:p>
          <w:p w14:paraId="0356979E" w14:textId="77777777" w:rsidR="00855C9E" w:rsidRPr="00E07601" w:rsidRDefault="00855C9E" w:rsidP="00B75433">
            <w:pPr>
              <w:cnfStyle w:val="000000000000" w:firstRow="0" w:lastRow="0" w:firstColumn="0" w:lastColumn="0" w:oddVBand="0" w:evenVBand="0" w:oddHBand="0" w:evenHBand="0" w:firstRowFirstColumn="0" w:firstRowLastColumn="0" w:lastRowFirstColumn="0" w:lastRowLastColumn="0"/>
              <w:rPr>
                <w:sz w:val="18"/>
                <w:szCs w:val="18"/>
              </w:rPr>
            </w:pPr>
          </w:p>
        </w:tc>
      </w:tr>
      <w:tr w:rsidR="00855C9E" w:rsidRPr="00E07601" w14:paraId="405B1D4E" w14:textId="77777777" w:rsidTr="00B7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583F660" w14:textId="77777777" w:rsidR="00855C9E" w:rsidRPr="00E07601" w:rsidRDefault="00855C9E" w:rsidP="00B75433">
            <w:pPr>
              <w:rPr>
                <w:sz w:val="18"/>
                <w:szCs w:val="18"/>
              </w:rPr>
            </w:pPr>
            <w:r w:rsidRPr="00BA2178">
              <w:rPr>
                <w:color w:val="212B5D" w:themeColor="accent1"/>
                <w:sz w:val="18"/>
                <w:szCs w:val="18"/>
              </w:rPr>
              <w:t>DHB - DHB</w:t>
            </w:r>
          </w:p>
        </w:tc>
        <w:tc>
          <w:tcPr>
            <w:tcW w:w="4052" w:type="dxa"/>
          </w:tcPr>
          <w:p w14:paraId="028F745B"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 xml:space="preserve">DHBs shared information about what was successful in engaging and accessing Māori to improve vaccination </w:t>
            </w:r>
            <w:proofErr w:type="gramStart"/>
            <w:r w:rsidRPr="00E07601">
              <w:t>rates</w:t>
            </w:r>
            <w:proofErr w:type="gramEnd"/>
          </w:p>
          <w:p w14:paraId="546F725E"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 xml:space="preserve">DHBs are contacted other DHBs with excellent vaccination rates to find out how they implemented their approaches. This included learning about how relationships worked between DHB and the </w:t>
            </w:r>
            <w:proofErr w:type="gramStart"/>
            <w:r w:rsidRPr="00E07601">
              <w:t>providers</w:t>
            </w:r>
            <w:proofErr w:type="gramEnd"/>
          </w:p>
          <w:p w14:paraId="5283598A"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 xml:space="preserve">DHBs learned and adapted from each other and through implementing their </w:t>
            </w:r>
            <w:proofErr w:type="gramStart"/>
            <w:r w:rsidRPr="00E07601">
              <w:t>approaches</w:t>
            </w:r>
            <w:proofErr w:type="gramEnd"/>
            <w:r w:rsidRPr="00E07601">
              <w:t xml:space="preserve"> </w:t>
            </w:r>
          </w:p>
          <w:p w14:paraId="140EE85D"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 xml:space="preserve">In one case, three DHBs </w:t>
            </w:r>
            <w:proofErr w:type="spellStart"/>
            <w:r w:rsidRPr="00E07601">
              <w:t>cam</w:t>
            </w:r>
            <w:proofErr w:type="spellEnd"/>
            <w:r w:rsidRPr="00E07601">
              <w:t xml:space="preserve"> together and developed a strategy to implement </w:t>
            </w:r>
            <w:proofErr w:type="gramStart"/>
            <w:r w:rsidRPr="00E07601">
              <w:t>MIVP</w:t>
            </w:r>
            <w:proofErr w:type="gramEnd"/>
          </w:p>
          <w:p w14:paraId="1AF4FA79" w14:textId="77777777" w:rsidR="00855C9E" w:rsidRPr="00E07601" w:rsidRDefault="00855C9E" w:rsidP="00B75433">
            <w:pPr>
              <w:cnfStyle w:val="000000100000" w:firstRow="0" w:lastRow="0" w:firstColumn="0" w:lastColumn="0" w:oddVBand="0" w:evenVBand="0" w:oddHBand="1" w:evenHBand="0" w:firstRowFirstColumn="0" w:firstRowLastColumn="0" w:lastRowFirstColumn="0" w:lastRowLastColumn="0"/>
              <w:rPr>
                <w:sz w:val="18"/>
                <w:szCs w:val="18"/>
              </w:rPr>
            </w:pPr>
          </w:p>
        </w:tc>
        <w:tc>
          <w:tcPr>
            <w:tcW w:w="2603" w:type="dxa"/>
          </w:tcPr>
          <w:p w14:paraId="4339C0C2"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 xml:space="preserve">DHBs modelled their approaches on what they knew worked, adapting it to reflect their communities’ </w:t>
            </w:r>
            <w:proofErr w:type="gramStart"/>
            <w:r w:rsidRPr="00E07601">
              <w:t>context</w:t>
            </w:r>
            <w:proofErr w:type="gramEnd"/>
          </w:p>
          <w:p w14:paraId="19A4B349"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r w:rsidRPr="00E07601">
              <w:t>A less competitive and more collaborative environment developed.</w:t>
            </w:r>
          </w:p>
          <w:p w14:paraId="5E7EC512" w14:textId="77777777" w:rsidR="00855C9E" w:rsidRPr="00E07601" w:rsidRDefault="00855C9E" w:rsidP="00B14BA5">
            <w:pPr>
              <w:pStyle w:val="Bullet"/>
              <w:numPr>
                <w:ilvl w:val="0"/>
                <w:numId w:val="5"/>
              </w:numPr>
              <w:cnfStyle w:val="000000100000" w:firstRow="0" w:lastRow="0" w:firstColumn="0" w:lastColumn="0" w:oddVBand="0" w:evenVBand="0" w:oddHBand="1" w:evenHBand="0" w:firstRowFirstColumn="0" w:firstRowLastColumn="0" w:lastRowFirstColumn="0" w:lastRowLastColumn="0"/>
            </w:pPr>
          </w:p>
        </w:tc>
      </w:tr>
    </w:tbl>
    <w:p w14:paraId="65E2ECB6" w14:textId="77777777" w:rsidR="001B39B4" w:rsidRDefault="001B39B4" w:rsidP="00855C9E">
      <w:pPr>
        <w:sectPr w:rsidR="001B39B4" w:rsidSect="006865DB">
          <w:pgSz w:w="11906" w:h="16838" w:code="9"/>
          <w:pgMar w:top="1440" w:right="1843" w:bottom="1440" w:left="1843" w:header="709" w:footer="709" w:gutter="0"/>
          <w:cols w:space="1230"/>
          <w:docGrid w:linePitch="360"/>
        </w:sectPr>
      </w:pPr>
    </w:p>
    <w:p w14:paraId="08406C78" w14:textId="2A8DF842" w:rsidR="002737F7" w:rsidRDefault="002737F7" w:rsidP="002737F7">
      <w:pPr>
        <w:pStyle w:val="Heading3"/>
      </w:pPr>
      <w:r>
        <w:lastRenderedPageBreak/>
        <w:t xml:space="preserve">Funding awarded to each DHB </w:t>
      </w:r>
      <w:proofErr w:type="gramStart"/>
      <w:r>
        <w:t>region</w:t>
      </w:r>
      <w:proofErr w:type="gramEnd"/>
    </w:p>
    <w:p w14:paraId="355710D4" w14:textId="3F4BCD22" w:rsidR="00217DF9" w:rsidRDefault="002737F7" w:rsidP="00855C9E">
      <w:r>
        <w:fldChar w:fldCharType="begin"/>
      </w:r>
      <w:r>
        <w:instrText xml:space="preserve"> REF _Ref61810794 \h </w:instrText>
      </w:r>
      <w:r>
        <w:fldChar w:fldCharType="separate"/>
      </w:r>
      <w:r w:rsidR="009B082D">
        <w:t xml:space="preserve">Table </w:t>
      </w:r>
      <w:r w:rsidR="009B082D">
        <w:rPr>
          <w:noProof/>
        </w:rPr>
        <w:t>15</w:t>
      </w:r>
      <w:r>
        <w:fldChar w:fldCharType="end"/>
      </w:r>
      <w:r w:rsidR="00217DF9">
        <w:t xml:space="preserve"> presents actual funding awarded to each DHB region (assuming an equal split between regions for collaborative applications and incorporating funding awarded to both DHBs and directly to providers) and the funding awarded per region based on the number of unvaccinated Māori over 65 years as </w:t>
      </w:r>
      <w:proofErr w:type="gramStart"/>
      <w:r w:rsidR="00217DF9">
        <w:t>at</w:t>
      </w:r>
      <w:proofErr w:type="gramEnd"/>
      <w:r w:rsidR="00217DF9">
        <w:t xml:space="preserve"> 8 May 2020, when MIVP application submissions closed – in other words, the amount of funding per intended recipient of MIVP-funded activities. Funding decisions are compared against outcome markers: the cumulative sum of Māori over 65 years who received the flu vaccination before Week 41 2020, the corresponding number of unvaccinated Māori, and the resulting equity gap in that region as at Week 46 2020; and two decision factors: the 2019 flu vaccination rate equity gap and the regional population of Māori over 65 years.</w:t>
      </w:r>
    </w:p>
    <w:p w14:paraId="0427D126" w14:textId="70E689A6" w:rsidR="00855C9E" w:rsidRDefault="00265162" w:rsidP="00900633">
      <w:pPr>
        <w:pStyle w:val="Caption"/>
      </w:pPr>
      <w:bookmarkStart w:id="190" w:name="_Ref61810794"/>
      <w:bookmarkStart w:id="191" w:name="_Toc62703571"/>
      <w:r>
        <w:t xml:space="preserve">Table </w:t>
      </w:r>
      <w:r>
        <w:fldChar w:fldCharType="begin"/>
      </w:r>
      <w:r>
        <w:instrText>SEQ Table \* ARABIC</w:instrText>
      </w:r>
      <w:r>
        <w:fldChar w:fldCharType="separate"/>
      </w:r>
      <w:r w:rsidR="009B082D">
        <w:rPr>
          <w:noProof/>
        </w:rPr>
        <w:t>15</w:t>
      </w:r>
      <w:r>
        <w:fldChar w:fldCharType="end"/>
      </w:r>
      <w:bookmarkEnd w:id="190"/>
      <w:r>
        <w:rPr>
          <w:noProof/>
        </w:rPr>
        <w:t>.</w:t>
      </w:r>
      <w:r>
        <w:t xml:space="preserve"> </w:t>
      </w:r>
      <w:r w:rsidR="00217DF9">
        <w:t xml:space="preserve">Funding allocations, context for funding decisions and outcomes observed by DHB </w:t>
      </w:r>
      <w:proofErr w:type="gramStart"/>
      <w:r w:rsidR="00217DF9">
        <w:t>region</w:t>
      </w:r>
      <w:bookmarkEnd w:id="191"/>
      <w:proofErr w:type="gramEnd"/>
    </w:p>
    <w:p w14:paraId="6D230A06" w14:textId="0C310D07" w:rsidR="00265162" w:rsidRDefault="00265162" w:rsidP="00D7147A">
      <w:pPr>
        <w:pStyle w:val="BodyText"/>
        <w:numPr>
          <w:ilvl w:val="0"/>
          <w:numId w:val="0"/>
        </w:numPr>
      </w:pPr>
      <w:r w:rsidRPr="00265162">
        <w:rPr>
          <w:noProof/>
        </w:rPr>
        <w:drawing>
          <wp:inline distT="0" distB="0" distL="0" distR="0" wp14:anchorId="19236B3D" wp14:editId="7CFDA41E">
            <wp:extent cx="8963301" cy="3200400"/>
            <wp:effectExtent l="0" t="0" r="9525" b="0"/>
            <wp:docPr id="26" name="Picture 26" descr="Table of DHB region showing: 2019 equity gap, Māori 65+ population, Funding awarded per unvaccinated Māori 65+ (as at 8 May 2020), Total funding awarded, Sum unvaccinated as at 8 May 2020 (Week 19), Sum vaccinated as at 9 Oct 2020 (Week 41), Sum unvaccinated as at 9 Oct 2020 (Week 41) Percentage vaccinated Māori 65+ (2020), resulting 2020 equity gap (as at Week 46). &#10;A text version is available on requ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 of DHB region showing: 2019 equity gap, Māori 65+ population, Funding awarded per unvaccinated Māori 65+ (as at 8 May 2020), Total funding awarded, Sum unvaccinated as at 8 May 2020 (Week 19), Sum vaccinated as at 9 Oct 2020 (Week 41), Sum unvaccinated as at 9 Oct 2020 (Week 41) Percentage vaccinated Māori 65+ (2020), resulting 2020 equity gap (as at Week 46). &#10;A text version is available on request.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68064" cy="3202101"/>
                    </a:xfrm>
                    <a:prstGeom prst="rect">
                      <a:avLst/>
                    </a:prstGeom>
                    <a:noFill/>
                    <a:ln>
                      <a:noFill/>
                    </a:ln>
                  </pic:spPr>
                </pic:pic>
              </a:graphicData>
            </a:graphic>
          </wp:inline>
        </w:drawing>
      </w:r>
    </w:p>
    <w:p w14:paraId="13138C58" w14:textId="77777777" w:rsidR="00265162" w:rsidRDefault="00265162" w:rsidP="00D7147A">
      <w:pPr>
        <w:pStyle w:val="BodyText"/>
        <w:numPr>
          <w:ilvl w:val="0"/>
          <w:numId w:val="0"/>
        </w:numPr>
      </w:pPr>
    </w:p>
    <w:p w14:paraId="42D9FCA7" w14:textId="1F933348" w:rsidR="00265162" w:rsidRDefault="00265162" w:rsidP="00D7147A">
      <w:pPr>
        <w:pStyle w:val="BodyText"/>
        <w:numPr>
          <w:ilvl w:val="0"/>
          <w:numId w:val="0"/>
        </w:numPr>
        <w:sectPr w:rsidR="00265162" w:rsidSect="00265162">
          <w:pgSz w:w="16838" w:h="11906" w:orient="landscape" w:code="9"/>
          <w:pgMar w:top="1843" w:right="1440" w:bottom="1843" w:left="1440" w:header="709" w:footer="709" w:gutter="0"/>
          <w:cols w:space="1230"/>
          <w:docGrid w:linePitch="360"/>
        </w:sectPr>
      </w:pPr>
    </w:p>
    <w:p w14:paraId="70DAAD78" w14:textId="77777777" w:rsidR="002737F7" w:rsidRDefault="002737F7" w:rsidP="002737F7">
      <w:pPr>
        <w:pStyle w:val="Heading3"/>
      </w:pPr>
      <w:r>
        <w:lastRenderedPageBreak/>
        <w:t xml:space="preserve">Māori 65+ who received flu vaccinations 2015 to </w:t>
      </w:r>
      <w:proofErr w:type="gramStart"/>
      <w:r>
        <w:t>2020</w:t>
      </w:r>
      <w:proofErr w:type="gramEnd"/>
    </w:p>
    <w:p w14:paraId="45BD7CF4" w14:textId="505ADA70" w:rsidR="00BB3DCA" w:rsidRDefault="002737F7" w:rsidP="008B2F32">
      <w:r>
        <w:fldChar w:fldCharType="begin"/>
      </w:r>
      <w:r>
        <w:instrText xml:space="preserve"> REF _Ref61810813 \h </w:instrText>
      </w:r>
      <w:r>
        <w:fldChar w:fldCharType="separate"/>
      </w:r>
      <w:r w:rsidR="009B082D">
        <w:t xml:space="preserve">Table </w:t>
      </w:r>
      <w:r w:rsidR="009B082D">
        <w:rPr>
          <w:noProof/>
        </w:rPr>
        <w:t>16</w:t>
      </w:r>
      <w:r>
        <w:fldChar w:fldCharType="end"/>
      </w:r>
      <w:r>
        <w:t xml:space="preserve"> </w:t>
      </w:r>
      <w:r w:rsidR="00BB3DCA">
        <w:t xml:space="preserve">presents </w:t>
      </w:r>
      <w:r w:rsidR="008B2F32">
        <w:t>the percentage of Māori over 65 years that received a flu vaccination in each region, as at Week 38 from 2015 to 2020, sorted by 2020 rates. The five highest performing and five lowest performing regions are highlighted.</w:t>
      </w:r>
      <w:r w:rsidR="00BB3DCA">
        <w:t xml:space="preserve"> </w:t>
      </w:r>
    </w:p>
    <w:p w14:paraId="55EF9676" w14:textId="16314B5B" w:rsidR="008B2F32" w:rsidRDefault="008B2F32" w:rsidP="00900633">
      <w:pPr>
        <w:pStyle w:val="Caption"/>
      </w:pPr>
      <w:bookmarkStart w:id="192" w:name="_Ref61810813"/>
      <w:bookmarkStart w:id="193" w:name="_Toc62703572"/>
      <w:r>
        <w:t xml:space="preserve">Table </w:t>
      </w:r>
      <w:r>
        <w:fldChar w:fldCharType="begin"/>
      </w:r>
      <w:r>
        <w:instrText>SEQ Table \* ARABIC</w:instrText>
      </w:r>
      <w:r>
        <w:fldChar w:fldCharType="separate"/>
      </w:r>
      <w:r w:rsidR="009B082D">
        <w:rPr>
          <w:noProof/>
        </w:rPr>
        <w:t>16</w:t>
      </w:r>
      <w:r>
        <w:fldChar w:fldCharType="end"/>
      </w:r>
      <w:bookmarkEnd w:id="192"/>
      <w:r>
        <w:rPr>
          <w:noProof/>
        </w:rPr>
        <w:t>.</w:t>
      </w:r>
      <w:r>
        <w:t xml:space="preserve"> Percentage v</w:t>
      </w:r>
      <w:r w:rsidRPr="008B2F32">
        <w:t xml:space="preserve">accination rate of </w:t>
      </w:r>
      <w:r>
        <w:t xml:space="preserve">Māori </w:t>
      </w:r>
      <w:r w:rsidRPr="008B2F32">
        <w:t>65+ by DHB region, as at Week 38 2015-2020</w:t>
      </w:r>
      <w:bookmarkEnd w:id="193"/>
    </w:p>
    <w:p w14:paraId="448345D2" w14:textId="15C078B5" w:rsidR="008B2F32" w:rsidRDefault="008B2F32" w:rsidP="00D7147A">
      <w:pPr>
        <w:pStyle w:val="BodyText"/>
        <w:numPr>
          <w:ilvl w:val="0"/>
          <w:numId w:val="0"/>
        </w:numPr>
      </w:pPr>
      <w:r w:rsidRPr="008B2F32">
        <w:rPr>
          <w:noProof/>
        </w:rPr>
        <w:drawing>
          <wp:inline distT="0" distB="0" distL="0" distR="0" wp14:anchorId="7CFE0114" wp14:editId="7001D939">
            <wp:extent cx="5219700" cy="3350895"/>
            <wp:effectExtent l="0" t="0" r="0" b="1905"/>
            <wp:docPr id="8" name="Picture 8" descr="The top 5 and bottom 5 regions have changed over time. Almost every region saw an increase in 2020 compared to previous years, many regions saw an increase of 10=20 percentage points. Exception is South Canterbury (44.42% in 2020 (bottom 5), 2019 - 46.94% (top 5), 2018 - 43.53%, 2017 - 45.48% (top 5)), and Auckland (39.70% in 2020 (bottom 5), 2019 - 38.99% (bottom 5), 2018 - 39.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top 5 and bottom 5 regions have changed over time. Almost every region saw an increase in 2020 compared to previous years, many regions saw an increase of 10=20 percentage points. Exception is South Canterbury (44.42% in 2020 (bottom 5), 2019 - 46.94% (top 5), 2018 - 43.53%, 2017 - 45.48% (top 5)), and Auckland (39.70% in 2020 (bottom 5), 2019 - 38.99% (bottom 5), 2018 - 39.08%).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9700" cy="3350895"/>
                    </a:xfrm>
                    <a:prstGeom prst="rect">
                      <a:avLst/>
                    </a:prstGeom>
                    <a:noFill/>
                    <a:ln>
                      <a:noFill/>
                    </a:ln>
                  </pic:spPr>
                </pic:pic>
              </a:graphicData>
            </a:graphic>
          </wp:inline>
        </w:drawing>
      </w:r>
    </w:p>
    <w:p w14:paraId="6D66655F" w14:textId="42147B29" w:rsidR="000E45CD" w:rsidRDefault="000E45CD" w:rsidP="000E45CD">
      <w:r>
        <w:t xml:space="preserve">A significant </w:t>
      </w:r>
      <w:r w:rsidR="000F2275">
        <w:t>increase</w:t>
      </w:r>
      <w:r>
        <w:t xml:space="preserve"> can be seen in 2020 rates, as also shown in </w:t>
      </w:r>
      <w:r w:rsidR="000B6910">
        <w:fldChar w:fldCharType="begin"/>
      </w:r>
      <w:r w:rsidR="000B6910">
        <w:instrText xml:space="preserve"> REF _Ref70760352 \h </w:instrText>
      </w:r>
      <w:r w:rsidR="000B6910">
        <w:fldChar w:fldCharType="separate"/>
      </w:r>
      <w:r w:rsidR="000B6910" w:rsidRPr="00B267A6">
        <w:t xml:space="preserve">Figure </w:t>
      </w:r>
      <w:r w:rsidR="000B6910">
        <w:rPr>
          <w:noProof/>
        </w:rPr>
        <w:t>2</w:t>
      </w:r>
      <w:r w:rsidR="000B6910">
        <w:fldChar w:fldCharType="end"/>
      </w:r>
      <w:r w:rsidR="000B6910">
        <w:t xml:space="preserve">, page </w:t>
      </w:r>
      <w:r w:rsidR="000B6910">
        <w:fldChar w:fldCharType="begin"/>
      </w:r>
      <w:r w:rsidR="000B6910">
        <w:instrText xml:space="preserve"> PAGEREF _Ref70760356 \h </w:instrText>
      </w:r>
      <w:r w:rsidR="000B6910">
        <w:fldChar w:fldCharType="separate"/>
      </w:r>
      <w:r w:rsidR="000B6910">
        <w:rPr>
          <w:noProof/>
        </w:rPr>
        <w:t>16</w:t>
      </w:r>
      <w:r w:rsidR="000B6910">
        <w:fldChar w:fldCharType="end"/>
      </w:r>
      <w:r>
        <w:t xml:space="preserve">. The evaluation team has limited knowledge of whether interventions </w:t>
      </w:r>
      <w:proofErr w:type="gramStart"/>
      <w:r>
        <w:t>similar to</w:t>
      </w:r>
      <w:proofErr w:type="gramEnd"/>
      <w:r>
        <w:t xml:space="preserve"> the MIVP have run in previous years, however, overall, </w:t>
      </w:r>
      <w:r w:rsidR="000F2275">
        <w:t>data</w:t>
      </w:r>
      <w:r>
        <w:t xml:space="preserve"> indicates that history typically repeats itself.</w:t>
      </w:r>
    </w:p>
    <w:p w14:paraId="0C4BEC12" w14:textId="77777777" w:rsidR="000E45CD" w:rsidRDefault="000E45CD" w:rsidP="000E45CD">
      <w:pPr>
        <w:pStyle w:val="Bullet"/>
      </w:pPr>
      <w:r>
        <w:t xml:space="preserve">Whanganui has performed noticeably well since 2015, and generally continues to grow year on year. </w:t>
      </w:r>
    </w:p>
    <w:p w14:paraId="57AC1A12" w14:textId="77777777" w:rsidR="000E45CD" w:rsidRDefault="000E45CD" w:rsidP="000E45CD">
      <w:pPr>
        <w:pStyle w:val="Bullet"/>
      </w:pPr>
      <w:r>
        <w:t xml:space="preserve">Wairarapa, West Coast and South Canterbury have dropped out of the top five regions in 2020, which may be related to limited MIVP funding and activities in these regions. </w:t>
      </w:r>
    </w:p>
    <w:p w14:paraId="007112D6" w14:textId="77777777" w:rsidR="000E45CD" w:rsidRDefault="000E45CD" w:rsidP="000E45CD">
      <w:pPr>
        <w:pStyle w:val="Bullet"/>
      </w:pPr>
      <w:r>
        <w:t xml:space="preserve">Lakes has demonstrated a significant improvement from bottom five regions as recently as 2018 to third highest region in 2020. </w:t>
      </w:r>
    </w:p>
    <w:p w14:paraId="0CEC5D9C" w14:textId="6D77CD05" w:rsidR="000E45CD" w:rsidRDefault="000E45CD" w:rsidP="000E45CD">
      <w:pPr>
        <w:pStyle w:val="Bullet"/>
      </w:pPr>
      <w:r>
        <w:t xml:space="preserve">Auckland, </w:t>
      </w:r>
      <w:proofErr w:type="spellStart"/>
      <w:r w:rsidR="00EC6371">
        <w:t>Waitematā</w:t>
      </w:r>
      <w:proofErr w:type="spellEnd"/>
      <w:r>
        <w:t xml:space="preserve"> and Canterbury show a continued trend of comparatively low performance. </w:t>
      </w:r>
    </w:p>
    <w:p w14:paraId="3CBBCD49" w14:textId="20EE9B31" w:rsidR="008B2F32" w:rsidRDefault="005C660E" w:rsidP="005C660E">
      <w:pPr>
        <w:pStyle w:val="Heading1"/>
      </w:pPr>
      <w:bookmarkStart w:id="194" w:name="_Toc70763302"/>
      <w:r>
        <w:lastRenderedPageBreak/>
        <w:t>References</w:t>
      </w:r>
      <w:bookmarkEnd w:id="194"/>
    </w:p>
    <w:p w14:paraId="65AD8F88" w14:textId="11D7CC4E" w:rsidR="005C660E" w:rsidRDefault="005C660E" w:rsidP="005C660E">
      <w:pPr>
        <w:pStyle w:val="EndnoteText"/>
      </w:pPr>
      <w:r w:rsidRPr="008C4927">
        <w:t>Health Quality and Safety Commission NZ (2019)</w:t>
      </w:r>
      <w:r>
        <w:t xml:space="preserve">. </w:t>
      </w:r>
      <w:r w:rsidRPr="008C4927">
        <w:t xml:space="preserve">He </w:t>
      </w:r>
      <w:proofErr w:type="spellStart"/>
      <w:r w:rsidRPr="008C4927">
        <w:t>tirohanga</w:t>
      </w:r>
      <w:proofErr w:type="spellEnd"/>
      <w:r w:rsidRPr="008C4927">
        <w:t xml:space="preserve"> </w:t>
      </w:r>
      <w:proofErr w:type="spellStart"/>
      <w:r w:rsidRPr="008C4927">
        <w:t>ki</w:t>
      </w:r>
      <w:proofErr w:type="spellEnd"/>
      <w:r w:rsidRPr="008C4927">
        <w:t xml:space="preserve"> </w:t>
      </w:r>
      <w:proofErr w:type="spellStart"/>
      <w:r w:rsidRPr="008C4927">
        <w:t>te</w:t>
      </w:r>
      <w:proofErr w:type="spellEnd"/>
      <w:r w:rsidRPr="008C4927">
        <w:t xml:space="preserve"> </w:t>
      </w:r>
      <w:proofErr w:type="spellStart"/>
      <w:r w:rsidRPr="008C4927">
        <w:t>ōritenga</w:t>
      </w:r>
      <w:proofErr w:type="spellEnd"/>
      <w:r w:rsidRPr="008C4927">
        <w:t xml:space="preserve"> </w:t>
      </w:r>
      <w:proofErr w:type="spellStart"/>
      <w:r w:rsidRPr="008C4927">
        <w:t>hauora</w:t>
      </w:r>
      <w:proofErr w:type="spellEnd"/>
      <w:r w:rsidRPr="008C4927">
        <w:t xml:space="preserve"> o </w:t>
      </w:r>
      <w:proofErr w:type="spellStart"/>
      <w:r w:rsidRPr="008C4927">
        <w:t>te</w:t>
      </w:r>
      <w:proofErr w:type="spellEnd"/>
      <w:r w:rsidRPr="008C4927">
        <w:t xml:space="preserve"> Māori</w:t>
      </w:r>
      <w:r>
        <w:t xml:space="preserve">: A view on </w:t>
      </w:r>
      <w:proofErr w:type="gramStart"/>
      <w:r w:rsidRPr="00A66B7C">
        <w:t xml:space="preserve">Māori </w:t>
      </w:r>
      <w:r>
        <w:t xml:space="preserve"> Health</w:t>
      </w:r>
      <w:proofErr w:type="gramEnd"/>
      <w:r>
        <w:t xml:space="preserve"> Equity. Wellington: Health Quality and Safety Commission.</w:t>
      </w:r>
    </w:p>
    <w:p w14:paraId="074E6745" w14:textId="117A6DC1" w:rsidR="005C660E" w:rsidRDefault="005C660E" w:rsidP="005C660E">
      <w:pPr>
        <w:pStyle w:val="EndnoteText"/>
      </w:pPr>
      <w:r w:rsidRPr="00214DF5">
        <w:t xml:space="preserve">Jansen, Peter &amp; </w:t>
      </w:r>
      <w:proofErr w:type="spellStart"/>
      <w:r w:rsidRPr="00214DF5">
        <w:t>Bacal</w:t>
      </w:r>
      <w:proofErr w:type="spellEnd"/>
      <w:r w:rsidRPr="00214DF5">
        <w:t xml:space="preserve">, Kira &amp; </w:t>
      </w:r>
      <w:proofErr w:type="spellStart"/>
      <w:r w:rsidRPr="00214DF5">
        <w:t>Buetow</w:t>
      </w:r>
      <w:proofErr w:type="spellEnd"/>
      <w:r w:rsidRPr="00214DF5">
        <w:t xml:space="preserve">, Stephen. (2011). A comparison of Māori and non-Māori experiences of general practice. The New Zealand medical journal. 124. 24-9. </w:t>
      </w:r>
    </w:p>
    <w:p w14:paraId="69738791" w14:textId="614C735B" w:rsidR="005C660E" w:rsidRPr="00214DF5" w:rsidRDefault="005C660E" w:rsidP="005C660E">
      <w:pPr>
        <w:rPr>
          <w:sz w:val="24"/>
        </w:rPr>
      </w:pPr>
      <w:proofErr w:type="spellStart"/>
      <w:r w:rsidRPr="00214DF5">
        <w:rPr>
          <w:rFonts w:cs="Arial"/>
          <w:color w:val="000000"/>
          <w:szCs w:val="20"/>
          <w:shd w:val="clear" w:color="auto" w:fill="FFFFFF"/>
        </w:rPr>
        <w:t>Jatrana</w:t>
      </w:r>
      <w:proofErr w:type="spellEnd"/>
      <w:r w:rsidRPr="00214DF5">
        <w:rPr>
          <w:rFonts w:cs="Arial"/>
          <w:color w:val="000000"/>
          <w:szCs w:val="20"/>
          <w:shd w:val="clear" w:color="auto" w:fill="FFFFFF"/>
        </w:rPr>
        <w:t>, S. and Crampton, P., 2009. Primary health care in New Zealand: Who has access? Health Policy, 93(1), pp.1-10.</w:t>
      </w:r>
    </w:p>
    <w:p w14:paraId="5240E3D3" w14:textId="20D14927" w:rsidR="005C660E" w:rsidRDefault="005C660E" w:rsidP="005C660E">
      <w:pPr>
        <w:pStyle w:val="EndnoteText"/>
      </w:pPr>
      <w:r w:rsidRPr="00214DF5">
        <w:t xml:space="preserve">Jeffreys, Mona &amp; </w:t>
      </w:r>
      <w:proofErr w:type="spellStart"/>
      <w:r w:rsidRPr="00214DF5">
        <w:t>Irurzun</w:t>
      </w:r>
      <w:proofErr w:type="spellEnd"/>
      <w:r w:rsidRPr="00214DF5">
        <w:t xml:space="preserve">-Lopez, </w:t>
      </w:r>
      <w:proofErr w:type="spellStart"/>
      <w:r w:rsidRPr="00214DF5">
        <w:t>Maite</w:t>
      </w:r>
      <w:proofErr w:type="spellEnd"/>
      <w:r w:rsidRPr="00214DF5">
        <w:t xml:space="preserve"> &amp; Russell, Lynne &amp; Smiler, Kirsten &amp; Ellison-</w:t>
      </w:r>
      <w:proofErr w:type="spellStart"/>
      <w:r w:rsidRPr="00214DF5">
        <w:t>Loschmann</w:t>
      </w:r>
      <w:proofErr w:type="spellEnd"/>
      <w:r w:rsidRPr="00214DF5">
        <w:t>, Lis &amp; Thomson, Michael &amp; Cumming, Jackie. (2020). Equity in access to zero-fees and low-cost Primary Health Care in Aotearoa New Zealand: Results from repeated waves of the New Zealand Health Survey, 1996-2016. Health Policy. 124. 10.1016/j.healthpol.2020.08.009.</w:t>
      </w:r>
    </w:p>
    <w:p w14:paraId="7DCDAFED" w14:textId="77777777" w:rsidR="005C660E" w:rsidRPr="00214DF5" w:rsidRDefault="005C660E" w:rsidP="005C660E">
      <w:pPr>
        <w:rPr>
          <w:sz w:val="24"/>
        </w:rPr>
      </w:pPr>
      <w:r w:rsidRPr="00214DF5">
        <w:rPr>
          <w:rFonts w:cs="Arial"/>
          <w:color w:val="000000"/>
          <w:szCs w:val="20"/>
          <w:shd w:val="clear" w:color="auto" w:fill="FFFFFF"/>
        </w:rPr>
        <w:t xml:space="preserve">Lambert, M., Luke, J., Downey, B., </w:t>
      </w:r>
      <w:proofErr w:type="spellStart"/>
      <w:r w:rsidRPr="00214DF5">
        <w:rPr>
          <w:rFonts w:cs="Arial"/>
          <w:color w:val="000000"/>
          <w:szCs w:val="20"/>
          <w:shd w:val="clear" w:color="auto" w:fill="FFFFFF"/>
        </w:rPr>
        <w:t>Crengle</w:t>
      </w:r>
      <w:proofErr w:type="spellEnd"/>
      <w:r w:rsidRPr="00214DF5">
        <w:rPr>
          <w:rFonts w:cs="Arial"/>
          <w:color w:val="000000"/>
          <w:szCs w:val="20"/>
          <w:shd w:val="clear" w:color="auto" w:fill="FFFFFF"/>
        </w:rPr>
        <w:t xml:space="preserve">, S., </w:t>
      </w:r>
      <w:proofErr w:type="spellStart"/>
      <w:r w:rsidRPr="00214DF5">
        <w:rPr>
          <w:rFonts w:cs="Arial"/>
          <w:color w:val="000000"/>
          <w:szCs w:val="20"/>
          <w:shd w:val="clear" w:color="auto" w:fill="FFFFFF"/>
        </w:rPr>
        <w:t>Kelaher</w:t>
      </w:r>
      <w:proofErr w:type="spellEnd"/>
      <w:r w:rsidRPr="00214DF5">
        <w:rPr>
          <w:rFonts w:cs="Arial"/>
          <w:color w:val="000000"/>
          <w:szCs w:val="20"/>
          <w:shd w:val="clear" w:color="auto" w:fill="FFFFFF"/>
        </w:rPr>
        <w:t>, M., Reid, S. and Smylie, J., 2014. Health literacy: health professionals’ understandings and their perceptions of barriers that Indigenous patients encounter. BMC Health Services Research, [online] 14(1). Available at: &lt;http://www.biomedcentral.com/1472-6963/14/614&gt;.</w:t>
      </w:r>
    </w:p>
    <w:p w14:paraId="6D3B40BF" w14:textId="40E17E37" w:rsidR="005C660E" w:rsidRPr="00214DF5" w:rsidRDefault="005C660E" w:rsidP="005C660E">
      <w:r w:rsidRPr="00214DF5">
        <w:t xml:space="preserve">Mauri Ora, (2009). He </w:t>
      </w:r>
      <w:proofErr w:type="spellStart"/>
      <w:r w:rsidRPr="00214DF5">
        <w:t>Ritenga</w:t>
      </w:r>
      <w:proofErr w:type="spellEnd"/>
      <w:r w:rsidRPr="00214DF5">
        <w:t xml:space="preserve"> </w:t>
      </w:r>
      <w:proofErr w:type="spellStart"/>
      <w:r w:rsidRPr="00214DF5">
        <w:t>Whakaaro</w:t>
      </w:r>
      <w:proofErr w:type="spellEnd"/>
      <w:r w:rsidRPr="00214DF5">
        <w:t>: Maori experiences of health services. Auckland: Mauri Ora Associates.</w:t>
      </w:r>
    </w:p>
    <w:p w14:paraId="0AE9683F" w14:textId="75C14097" w:rsidR="005C660E" w:rsidRDefault="005C660E" w:rsidP="005C660E">
      <w:pPr>
        <w:pStyle w:val="EndnoteText"/>
      </w:pPr>
      <w:r>
        <w:t xml:space="preserve">Russell L, Smiler K, Stace H. (2013). Improving Māori Health </w:t>
      </w:r>
      <w:proofErr w:type="gramStart"/>
      <w:r>
        <w:t>And</w:t>
      </w:r>
      <w:proofErr w:type="gramEnd"/>
      <w:r>
        <w:t xml:space="preserve"> Reducing Inequalities between Māori and Non-Māori: Has the Primary Health Care Strategy Worked For Māori? An Evaluation of the Period 2003-2010. Wellington: Health Services Research Centre Victoria University of Wellington.</w:t>
      </w:r>
    </w:p>
    <w:p w14:paraId="3750FDE6" w14:textId="77777777" w:rsidR="005C660E" w:rsidRPr="00B6319F" w:rsidRDefault="005C660E" w:rsidP="005C660E">
      <w:pPr>
        <w:pStyle w:val="EndnoteText"/>
      </w:pPr>
    </w:p>
    <w:bookmarkEnd w:id="186"/>
    <w:p w14:paraId="49C8CDF4" w14:textId="77777777" w:rsidR="004160BC" w:rsidRDefault="004160BC">
      <w:pPr>
        <w:spacing w:before="0" w:after="160" w:line="259" w:lineRule="auto"/>
        <w:sectPr w:rsidR="004160BC" w:rsidSect="006865DB">
          <w:pgSz w:w="11906" w:h="16838" w:code="9"/>
          <w:pgMar w:top="1440" w:right="1843" w:bottom="1440" w:left="1843" w:header="709" w:footer="709" w:gutter="0"/>
          <w:cols w:space="1230"/>
          <w:docGrid w:linePitch="360"/>
        </w:sectPr>
      </w:pPr>
    </w:p>
    <w:p w14:paraId="3D540609" w14:textId="7DE74A95" w:rsidR="005C660E" w:rsidRPr="005C660E" w:rsidRDefault="004160BC" w:rsidP="005C660E">
      <w:r w:rsidRPr="001B2BC1">
        <w:rPr>
          <w:rFonts w:ascii="Arial Black" w:hAnsi="Arial Black"/>
          <w:b/>
          <w:noProof/>
          <w:color w:val="FFFFFF" w:themeColor="background1"/>
          <w:sz w:val="48"/>
          <w:szCs w:val="48"/>
        </w:rPr>
        <w:lastRenderedPageBreak/>
        <mc:AlternateContent>
          <mc:Choice Requires="wps">
            <w:drawing>
              <wp:anchor distT="0" distB="0" distL="114300" distR="114300" simplePos="0" relativeHeight="251663360" behindDoc="1" locked="0" layoutInCell="1" allowOverlap="1" wp14:anchorId="2D2525BC" wp14:editId="262D98B1">
                <wp:simplePos x="0" y="0"/>
                <wp:positionH relativeFrom="column">
                  <wp:posOffset>-1177679</wp:posOffset>
                </wp:positionH>
                <wp:positionV relativeFrom="paragraph">
                  <wp:posOffset>-929148</wp:posOffset>
                </wp:positionV>
                <wp:extent cx="8799871" cy="11643503"/>
                <wp:effectExtent l="0" t="0" r="13970" b="1524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99871" cy="11643503"/>
                        </a:xfrm>
                        <a:prstGeom prst="rect">
                          <a:avLst/>
                        </a:prstGeom>
                        <a:solidFill>
                          <a:schemeClr val="accent3">
                            <a:lumMod val="50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215E1" id="Rectangle 1" o:spid="_x0000_s1026" alt="&quot;&quot;" style="position:absolute;margin-left:-92.75pt;margin-top:-73.15pt;width:692.9pt;height:916.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" fillcolor="#0b596d [1606]" strokecolor="black [1600]" strokeweight="1pt"/>
            </w:pict>
          </mc:Fallback>
        </mc:AlternateContent>
      </w:r>
    </w:p>
    <w:sectPr w:rsidR="005C660E" w:rsidRPr="005C660E" w:rsidSect="006865DB">
      <w:footerReference w:type="default" r:id="rId43"/>
      <w:pgSz w:w="11906" w:h="16838" w:code="9"/>
      <w:pgMar w:top="1440" w:right="1843" w:bottom="1440" w:left="1843" w:header="709" w:footer="709" w:gutter="0"/>
      <w:cols w:space="123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2D210" w14:textId="77777777" w:rsidR="00857F0D" w:rsidRDefault="00857F0D" w:rsidP="00892B9F">
      <w:r>
        <w:separator/>
      </w:r>
    </w:p>
  </w:endnote>
  <w:endnote w:type="continuationSeparator" w:id="0">
    <w:p w14:paraId="5A66DFAB" w14:textId="77777777" w:rsidR="00857F0D" w:rsidRDefault="00857F0D" w:rsidP="00892B9F">
      <w:r>
        <w:continuationSeparator/>
      </w:r>
    </w:p>
  </w:endnote>
  <w:endnote w:type="continuationNotice" w:id="1">
    <w:p w14:paraId="7C16C035" w14:textId="77777777" w:rsidR="00857F0D" w:rsidRDefault="00857F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venir Medium">
    <w:altName w:val="Calibri"/>
    <w:charset w:val="00"/>
    <w:family w:val="auto"/>
    <w:pitch w:val="variable"/>
    <w:sig w:usb0="800000AF" w:usb1="5000204A" w:usb2="00000000" w:usb3="00000000" w:csb0="0000009B" w:csb1="00000000"/>
  </w:font>
  <w:font w:name="Arial Nova">
    <w:charset w:val="00"/>
    <w:family w:val="swiss"/>
    <w:pitch w:val="variable"/>
    <w:sig w:usb0="0000028F"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9842909"/>
      <w:docPartObj>
        <w:docPartGallery w:val="Page Numbers (Bottom of Page)"/>
        <w:docPartUnique/>
      </w:docPartObj>
    </w:sdtPr>
    <w:sdtEndPr>
      <w:rPr>
        <w:noProof/>
      </w:rPr>
    </w:sdtEndPr>
    <w:sdtContent>
      <w:p w14:paraId="54302F3E" w14:textId="7A02B113" w:rsidR="009B082D" w:rsidRDefault="009B08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4E73CC" w14:textId="7C353BDB" w:rsidR="009B082D" w:rsidRDefault="009B082D" w:rsidP="00473F8B">
    <w:pPr>
      <w:pStyle w:val="Footer"/>
      <w:jc w:val="left"/>
    </w:pPr>
    <w:r>
      <w:t xml:space="preserve">More than just a jab. Evaluation of the Māori Influenza Vaccination Programme </w:t>
    </w:r>
    <w:r w:rsidRPr="00261446">
      <w:t>as part of the COVID-19 Māori health response</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3619E" w14:textId="29AD717B" w:rsidR="009B082D" w:rsidRDefault="009B082D" w:rsidP="004160B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986FA" w14:textId="77777777" w:rsidR="00857F0D" w:rsidRDefault="00857F0D" w:rsidP="00892B9F">
      <w:r>
        <w:separator/>
      </w:r>
    </w:p>
  </w:footnote>
  <w:footnote w:type="continuationSeparator" w:id="0">
    <w:p w14:paraId="35B326C9" w14:textId="77777777" w:rsidR="00857F0D" w:rsidRDefault="00857F0D" w:rsidP="00892B9F">
      <w:r>
        <w:continuationSeparator/>
      </w:r>
    </w:p>
  </w:footnote>
  <w:footnote w:type="continuationNotice" w:id="1">
    <w:p w14:paraId="1D1DA7F7" w14:textId="77777777" w:rsidR="00857F0D" w:rsidRDefault="00857F0D"/>
  </w:footnote>
  <w:footnote w:id="2">
    <w:p w14:paraId="3C329C5D" w14:textId="703FBC64" w:rsidR="009B082D" w:rsidRPr="00C20F49" w:rsidRDefault="009B082D">
      <w:pPr>
        <w:pStyle w:val="FootnoteText"/>
        <w:rPr>
          <w:lang w:val="mi-NZ"/>
        </w:rPr>
      </w:pPr>
      <w:r w:rsidRPr="00207860">
        <w:rPr>
          <w:rStyle w:val="FootnoteReference"/>
          <w:color w:val="595959" w:themeColor="text1" w:themeTint="A6"/>
        </w:rPr>
        <w:footnoteRef/>
      </w:r>
      <w:r w:rsidRPr="00207860">
        <w:rPr>
          <w:color w:val="595959" w:themeColor="text1" w:themeTint="A6"/>
        </w:rPr>
        <w:t xml:space="preserve"> </w:t>
      </w:r>
      <w:proofErr w:type="spellStart"/>
      <w:r w:rsidRPr="00207860">
        <w:rPr>
          <w:color w:val="595959" w:themeColor="text1" w:themeTint="A6"/>
        </w:rPr>
        <w:t>Whakamaua</w:t>
      </w:r>
      <w:proofErr w:type="spellEnd"/>
      <w:r w:rsidRPr="00207860">
        <w:rPr>
          <w:color w:val="595959" w:themeColor="text1" w:themeTint="A6"/>
        </w:rPr>
        <w:t xml:space="preserve">: the Māori Health Plan 2020-2025 guides implementation of </w:t>
      </w:r>
      <w:proofErr w:type="spellStart"/>
      <w:r w:rsidRPr="00207860">
        <w:rPr>
          <w:color w:val="595959" w:themeColor="text1" w:themeTint="A6"/>
        </w:rPr>
        <w:t>He</w:t>
      </w:r>
      <w:proofErr w:type="spellEnd"/>
      <w:r w:rsidRPr="00207860">
        <w:rPr>
          <w:color w:val="595959" w:themeColor="text1" w:themeTint="A6"/>
        </w:rPr>
        <w:t xml:space="preserve"> Korowai </w:t>
      </w:r>
      <w:proofErr w:type="spellStart"/>
      <w:r w:rsidRPr="00207860">
        <w:rPr>
          <w:color w:val="595959" w:themeColor="text1" w:themeTint="A6"/>
        </w:rPr>
        <w:t>Oranga</w:t>
      </w:r>
      <w:proofErr w:type="spellEnd"/>
      <w:r w:rsidRPr="00207860">
        <w:rPr>
          <w:color w:val="595959" w:themeColor="text1" w:themeTint="A6"/>
        </w:rPr>
        <w:t xml:space="preserve"> to ensure health and wellbeing outcomes improve and address persistent equity gaps for Māori. He Korowai </w:t>
      </w:r>
      <w:proofErr w:type="spellStart"/>
      <w:r w:rsidRPr="00207860">
        <w:rPr>
          <w:color w:val="595959" w:themeColor="text1" w:themeTint="A6"/>
        </w:rPr>
        <w:t>Oranga</w:t>
      </w:r>
      <w:proofErr w:type="spellEnd"/>
      <w:r w:rsidRPr="00207860">
        <w:rPr>
          <w:color w:val="595959" w:themeColor="text1" w:themeTint="A6"/>
        </w:rPr>
        <w:t>: the Māori Health Strategy has the overall aim of ensuring Māori enjoy high standards of health and wellbeing.</w:t>
      </w:r>
    </w:p>
  </w:footnote>
  <w:footnote w:id="3">
    <w:p w14:paraId="2D010FFD" w14:textId="77777777" w:rsidR="009B082D" w:rsidRPr="00C20F49" w:rsidRDefault="009B082D" w:rsidP="00207860">
      <w:pPr>
        <w:pStyle w:val="FootnoteText"/>
        <w:rPr>
          <w:lang w:val="mi-NZ"/>
        </w:rPr>
      </w:pPr>
      <w:r w:rsidRPr="00207860">
        <w:rPr>
          <w:rStyle w:val="FootnoteReference"/>
          <w:color w:val="595959" w:themeColor="text1" w:themeTint="A6"/>
        </w:rPr>
        <w:footnoteRef/>
      </w:r>
      <w:r w:rsidRPr="00207860">
        <w:rPr>
          <w:color w:val="595959" w:themeColor="text1" w:themeTint="A6"/>
        </w:rPr>
        <w:t xml:space="preserve"> </w:t>
      </w:r>
      <w:proofErr w:type="spellStart"/>
      <w:r w:rsidRPr="00207860">
        <w:rPr>
          <w:color w:val="595959" w:themeColor="text1" w:themeTint="A6"/>
        </w:rPr>
        <w:t>Whakamaua</w:t>
      </w:r>
      <w:proofErr w:type="spellEnd"/>
      <w:r w:rsidRPr="00207860">
        <w:rPr>
          <w:color w:val="595959" w:themeColor="text1" w:themeTint="A6"/>
        </w:rPr>
        <w:t xml:space="preserve">: the Māori Health Plan 2020-2025 guides implementation of </w:t>
      </w:r>
      <w:proofErr w:type="spellStart"/>
      <w:r w:rsidRPr="00207860">
        <w:rPr>
          <w:color w:val="595959" w:themeColor="text1" w:themeTint="A6"/>
        </w:rPr>
        <w:t>He</w:t>
      </w:r>
      <w:proofErr w:type="spellEnd"/>
      <w:r w:rsidRPr="00207860">
        <w:rPr>
          <w:color w:val="595959" w:themeColor="text1" w:themeTint="A6"/>
        </w:rPr>
        <w:t xml:space="preserve"> Korowai </w:t>
      </w:r>
      <w:proofErr w:type="spellStart"/>
      <w:r w:rsidRPr="00207860">
        <w:rPr>
          <w:color w:val="595959" w:themeColor="text1" w:themeTint="A6"/>
        </w:rPr>
        <w:t>Oranga</w:t>
      </w:r>
      <w:proofErr w:type="spellEnd"/>
      <w:r w:rsidRPr="00207860">
        <w:rPr>
          <w:color w:val="595959" w:themeColor="text1" w:themeTint="A6"/>
        </w:rPr>
        <w:t xml:space="preserve"> to ensure health and wellbeing outcomes improve and address persistent equity gaps for Māori. He Korowai </w:t>
      </w:r>
      <w:proofErr w:type="spellStart"/>
      <w:r w:rsidRPr="00207860">
        <w:rPr>
          <w:color w:val="595959" w:themeColor="text1" w:themeTint="A6"/>
        </w:rPr>
        <w:t>Oranga</w:t>
      </w:r>
      <w:proofErr w:type="spellEnd"/>
      <w:r w:rsidRPr="00207860">
        <w:rPr>
          <w:color w:val="595959" w:themeColor="text1" w:themeTint="A6"/>
        </w:rPr>
        <w:t>: the Māori Health Strategy has the overall aim of ensuring Māori enjoy high standards of health and wellbeing.</w:t>
      </w:r>
    </w:p>
  </w:footnote>
  <w:footnote w:id="4">
    <w:p w14:paraId="7722B6F0" w14:textId="00F5A327" w:rsidR="009B082D" w:rsidRPr="00CE60C6" w:rsidRDefault="009B082D" w:rsidP="00C4712D">
      <w:pPr>
        <w:pStyle w:val="FootnoteText"/>
        <w:rPr>
          <w:color w:val="595959" w:themeColor="text1" w:themeTint="A6"/>
        </w:rPr>
      </w:pPr>
      <w:r w:rsidRPr="00CE60C6">
        <w:rPr>
          <w:rStyle w:val="FootnoteReference"/>
          <w:color w:val="595959" w:themeColor="text1" w:themeTint="A6"/>
        </w:rPr>
        <w:footnoteRef/>
      </w:r>
      <w:r w:rsidRPr="00CE60C6">
        <w:rPr>
          <w:color w:val="595959" w:themeColor="text1" w:themeTint="A6"/>
        </w:rPr>
        <w:t xml:space="preserve"> Influenza vaccine is free to </w:t>
      </w:r>
      <w:proofErr w:type="spellStart"/>
      <w:r w:rsidRPr="00CE60C6">
        <w:rPr>
          <w:color w:val="595959" w:themeColor="text1" w:themeTint="A6"/>
        </w:rPr>
        <w:t>kaumātua</w:t>
      </w:r>
      <w:proofErr w:type="spellEnd"/>
      <w:r w:rsidRPr="00CE60C6">
        <w:rPr>
          <w:color w:val="595959" w:themeColor="text1" w:themeTint="A6"/>
        </w:rPr>
        <w:t xml:space="preserve"> 65 years and over, </w:t>
      </w:r>
      <w:proofErr w:type="spellStart"/>
      <w:r w:rsidRPr="00CE60C6">
        <w:rPr>
          <w:color w:val="595959" w:themeColor="text1" w:themeTint="A6"/>
        </w:rPr>
        <w:t>hapū</w:t>
      </w:r>
      <w:proofErr w:type="spellEnd"/>
      <w:r w:rsidRPr="00CE60C6">
        <w:rPr>
          <w:color w:val="595959" w:themeColor="text1" w:themeTint="A6"/>
        </w:rPr>
        <w:t xml:space="preserve"> </w:t>
      </w:r>
      <w:proofErr w:type="spellStart"/>
      <w:r w:rsidRPr="00CE60C6">
        <w:rPr>
          <w:color w:val="595959" w:themeColor="text1" w:themeTint="A6"/>
        </w:rPr>
        <w:t>māmā</w:t>
      </w:r>
      <w:proofErr w:type="spellEnd"/>
      <w:r w:rsidRPr="00CE60C6">
        <w:rPr>
          <w:color w:val="595959" w:themeColor="text1" w:themeTint="A6"/>
        </w:rPr>
        <w:t xml:space="preserve">, whānau with underlying medical conditions such as with diabetes, heart and lung conditions, cancer, are immuno-compromised or have other illnesses or chronic disease, children aged 4 years or under who have had a stay in hospital for measles, asthma or other breathing problems and health care </w:t>
      </w:r>
      <w:proofErr w:type="gramStart"/>
      <w:r w:rsidRPr="00CE60C6">
        <w:rPr>
          <w:color w:val="595959" w:themeColor="text1" w:themeTint="A6"/>
        </w:rPr>
        <w:t>workers</w:t>
      </w:r>
      <w:proofErr w:type="gramEnd"/>
      <w:r w:rsidRPr="00CE60C6">
        <w:rPr>
          <w:color w:val="595959" w:themeColor="text1" w:themeTint="A6"/>
        </w:rPr>
        <w:t xml:space="preserve"> </w:t>
      </w:r>
    </w:p>
  </w:footnote>
  <w:footnote w:id="5">
    <w:p w14:paraId="3E261EA9" w14:textId="453036E4" w:rsidR="009B082D" w:rsidRPr="00BF11FC" w:rsidRDefault="009B082D" w:rsidP="00BF11FC">
      <w:pPr>
        <w:pStyle w:val="FootnoteText"/>
        <w:rPr>
          <w:rFonts w:ascii="Times New Roman" w:hAnsi="Times New Roman"/>
          <w:sz w:val="24"/>
        </w:rPr>
      </w:pPr>
      <w:r w:rsidRPr="00CE60C6">
        <w:rPr>
          <w:rStyle w:val="FootnoteReference"/>
          <w:color w:val="595959" w:themeColor="text1" w:themeTint="A6"/>
        </w:rPr>
        <w:footnoteRef/>
      </w:r>
      <w:r w:rsidRPr="00CE60C6">
        <w:rPr>
          <w:color w:val="595959" w:themeColor="text1" w:themeTint="A6"/>
          <w:lang w:val="mi-NZ"/>
        </w:rPr>
        <w:t xml:space="preserve"> </w:t>
      </w:r>
      <w:r w:rsidRPr="00CE60C6">
        <w:rPr>
          <w:color w:val="595959" w:themeColor="text1" w:themeTint="A6"/>
        </w:rPr>
        <w:t>Bloomfield, A, (</w:t>
      </w:r>
      <w:r w:rsidRPr="00CE60C6">
        <w:rPr>
          <w:color w:val="595959" w:themeColor="text1" w:themeTint="A6"/>
          <w:szCs w:val="16"/>
        </w:rPr>
        <w:t xml:space="preserve">2019). </w:t>
      </w:r>
      <w:r w:rsidRPr="00CE60C6">
        <w:rPr>
          <w:i/>
          <w:iCs/>
          <w:color w:val="595959" w:themeColor="text1" w:themeTint="A6"/>
          <w:szCs w:val="16"/>
        </w:rPr>
        <w:t>Achieving equity.</w:t>
      </w:r>
      <w:r w:rsidRPr="00CE60C6">
        <w:rPr>
          <w:color w:val="595959" w:themeColor="text1" w:themeTint="A6"/>
          <w:szCs w:val="16"/>
        </w:rPr>
        <w:t xml:space="preserve"> </w:t>
      </w:r>
      <w:hyperlink r:id="rId1" w:history="1">
        <w:r w:rsidRPr="00C95F85">
          <w:rPr>
            <w:rStyle w:val="Hyperlink"/>
            <w:szCs w:val="16"/>
          </w:rPr>
          <w:t>https://www.health.govt.nz/about-ministry/what-we-do/work-programme-2019-20/achieving-equity</w:t>
        </w:r>
      </w:hyperlink>
      <w:r>
        <w:t xml:space="preserve"> </w:t>
      </w:r>
    </w:p>
  </w:footnote>
  <w:footnote w:id="6">
    <w:p w14:paraId="5772FD81" w14:textId="77777777" w:rsidR="009B082D" w:rsidRPr="00CE60C6" w:rsidRDefault="009B082D" w:rsidP="00C4712D">
      <w:pPr>
        <w:rPr>
          <w:color w:val="595959" w:themeColor="text1" w:themeTint="A6"/>
          <w:lang w:val="mi-NZ"/>
        </w:rPr>
      </w:pPr>
      <w:r w:rsidRPr="00CE60C6">
        <w:rPr>
          <w:rStyle w:val="FootnoteReference"/>
          <w:color w:val="595959" w:themeColor="text1" w:themeTint="A6"/>
          <w:sz w:val="16"/>
          <w:szCs w:val="20"/>
        </w:rPr>
        <w:footnoteRef/>
      </w:r>
      <w:r w:rsidRPr="00CE60C6">
        <w:rPr>
          <w:color w:val="595959" w:themeColor="text1" w:themeTint="A6"/>
          <w:lang w:val="mi-NZ"/>
        </w:rPr>
        <w:t xml:space="preserve"> </w:t>
      </w:r>
      <w:r w:rsidRPr="00CE60C6">
        <w:rPr>
          <w:color w:val="595959" w:themeColor="text1" w:themeTint="A6"/>
          <w:sz w:val="16"/>
          <w:szCs w:val="20"/>
        </w:rPr>
        <w:t xml:space="preserve">Health Quality and Safety Commission NZ, (2019). He </w:t>
      </w:r>
      <w:proofErr w:type="spellStart"/>
      <w:r w:rsidRPr="00CE60C6">
        <w:rPr>
          <w:color w:val="595959" w:themeColor="text1" w:themeTint="A6"/>
          <w:sz w:val="16"/>
          <w:szCs w:val="20"/>
        </w:rPr>
        <w:t>tirohanga</w:t>
      </w:r>
      <w:proofErr w:type="spellEnd"/>
      <w:r w:rsidRPr="00CE60C6">
        <w:rPr>
          <w:color w:val="595959" w:themeColor="text1" w:themeTint="A6"/>
          <w:sz w:val="16"/>
          <w:szCs w:val="20"/>
        </w:rPr>
        <w:t xml:space="preserve"> </w:t>
      </w:r>
      <w:proofErr w:type="spellStart"/>
      <w:r w:rsidRPr="00CE60C6">
        <w:rPr>
          <w:color w:val="595959" w:themeColor="text1" w:themeTint="A6"/>
          <w:sz w:val="16"/>
          <w:szCs w:val="20"/>
        </w:rPr>
        <w:t>ki</w:t>
      </w:r>
      <w:proofErr w:type="spellEnd"/>
      <w:r w:rsidRPr="00CE60C6">
        <w:rPr>
          <w:color w:val="595959" w:themeColor="text1" w:themeTint="A6"/>
          <w:sz w:val="16"/>
          <w:szCs w:val="20"/>
        </w:rPr>
        <w:t xml:space="preserve"> </w:t>
      </w:r>
      <w:proofErr w:type="spellStart"/>
      <w:r w:rsidRPr="00CE60C6">
        <w:rPr>
          <w:color w:val="595959" w:themeColor="text1" w:themeTint="A6"/>
          <w:sz w:val="16"/>
          <w:szCs w:val="20"/>
        </w:rPr>
        <w:t>te</w:t>
      </w:r>
      <w:proofErr w:type="spellEnd"/>
      <w:r w:rsidRPr="00CE60C6">
        <w:rPr>
          <w:color w:val="595959" w:themeColor="text1" w:themeTint="A6"/>
          <w:sz w:val="16"/>
          <w:szCs w:val="20"/>
        </w:rPr>
        <w:t xml:space="preserve"> </w:t>
      </w:r>
      <w:proofErr w:type="spellStart"/>
      <w:r w:rsidRPr="00CE60C6">
        <w:rPr>
          <w:color w:val="595959" w:themeColor="text1" w:themeTint="A6"/>
          <w:sz w:val="16"/>
          <w:szCs w:val="20"/>
        </w:rPr>
        <w:t>ōritenga</w:t>
      </w:r>
      <w:proofErr w:type="spellEnd"/>
      <w:r w:rsidRPr="00CE60C6">
        <w:rPr>
          <w:color w:val="595959" w:themeColor="text1" w:themeTint="A6"/>
          <w:sz w:val="16"/>
          <w:szCs w:val="20"/>
        </w:rPr>
        <w:t xml:space="preserve"> </w:t>
      </w:r>
      <w:proofErr w:type="spellStart"/>
      <w:r w:rsidRPr="00CE60C6">
        <w:rPr>
          <w:color w:val="595959" w:themeColor="text1" w:themeTint="A6"/>
          <w:sz w:val="16"/>
          <w:szCs w:val="20"/>
        </w:rPr>
        <w:t>hauora</w:t>
      </w:r>
      <w:proofErr w:type="spellEnd"/>
      <w:r w:rsidRPr="00CE60C6">
        <w:rPr>
          <w:color w:val="595959" w:themeColor="text1" w:themeTint="A6"/>
          <w:sz w:val="16"/>
          <w:szCs w:val="20"/>
        </w:rPr>
        <w:t xml:space="preserve"> o </w:t>
      </w:r>
      <w:proofErr w:type="spellStart"/>
      <w:r w:rsidRPr="00CE60C6">
        <w:rPr>
          <w:color w:val="595959" w:themeColor="text1" w:themeTint="A6"/>
          <w:sz w:val="16"/>
          <w:szCs w:val="20"/>
        </w:rPr>
        <w:t>te</w:t>
      </w:r>
      <w:proofErr w:type="spellEnd"/>
      <w:r w:rsidRPr="00CE60C6">
        <w:rPr>
          <w:color w:val="595959" w:themeColor="text1" w:themeTint="A6"/>
          <w:sz w:val="16"/>
          <w:szCs w:val="20"/>
        </w:rPr>
        <w:t xml:space="preserve"> Māori | A view on Māori health equity. Wellington: Health Quality and Safety Commission.</w:t>
      </w:r>
    </w:p>
  </w:footnote>
  <w:footnote w:id="7">
    <w:p w14:paraId="3D735962" w14:textId="72138676" w:rsidR="009B082D" w:rsidRPr="00353BA9" w:rsidRDefault="009B082D">
      <w:pPr>
        <w:pStyle w:val="FootnoteText"/>
        <w:rPr>
          <w:lang w:val="mi-NZ"/>
        </w:rPr>
      </w:pPr>
      <w:r w:rsidRPr="00CE60C6">
        <w:rPr>
          <w:rStyle w:val="FootnoteReference"/>
          <w:color w:val="595959" w:themeColor="text1" w:themeTint="A6"/>
        </w:rPr>
        <w:footnoteRef/>
      </w:r>
      <w:r w:rsidRPr="00CE60C6">
        <w:rPr>
          <w:color w:val="595959" w:themeColor="text1" w:themeTint="A6"/>
        </w:rPr>
        <w:t xml:space="preserve"> </w:t>
      </w:r>
      <w:r w:rsidRPr="00CE60C6">
        <w:rPr>
          <w:color w:val="595959" w:themeColor="text1" w:themeTint="A6"/>
          <w:lang w:val="mi-NZ"/>
        </w:rPr>
        <w:t xml:space="preserve">Some Ministry direct funded providers, were also contracted by DHB to deliver influenza vaccination services to Māori. </w:t>
      </w:r>
    </w:p>
  </w:footnote>
  <w:footnote w:id="8">
    <w:p w14:paraId="3D9737A8" w14:textId="395662FD" w:rsidR="009B082D" w:rsidRPr="00CE60C6" w:rsidRDefault="009B082D">
      <w:pPr>
        <w:pStyle w:val="FootnoteText"/>
        <w:rPr>
          <w:color w:val="595959" w:themeColor="text1" w:themeTint="A6"/>
          <w:lang w:val="en-AU"/>
        </w:rPr>
      </w:pPr>
      <w:r w:rsidRPr="00CE60C6">
        <w:rPr>
          <w:rStyle w:val="FootnoteReference"/>
          <w:color w:val="595959" w:themeColor="text1" w:themeTint="A6"/>
        </w:rPr>
        <w:footnoteRef/>
      </w:r>
      <w:r w:rsidRPr="00CE60C6">
        <w:rPr>
          <w:color w:val="595959" w:themeColor="text1" w:themeTint="A6"/>
        </w:rPr>
        <w:t xml:space="preserve"> </w:t>
      </w:r>
      <w:r w:rsidRPr="00CE60C6">
        <w:rPr>
          <w:color w:val="595959" w:themeColor="text1" w:themeTint="A6"/>
          <w:lang w:val="en-AU"/>
        </w:rPr>
        <w:t>There were two applications that included initiatives in South Canterbury, but neither were funded.</w:t>
      </w:r>
    </w:p>
  </w:footnote>
  <w:footnote w:id="9">
    <w:p w14:paraId="5E7EBFC3" w14:textId="3F5A2C29" w:rsidR="009B082D" w:rsidRPr="00553D7B" w:rsidRDefault="009B082D" w:rsidP="009E0482">
      <w:pPr>
        <w:pStyle w:val="FootnoteText"/>
        <w:rPr>
          <w:lang w:val="mi-NZ"/>
        </w:rPr>
      </w:pPr>
      <w:r w:rsidRPr="00CE60C6">
        <w:rPr>
          <w:rStyle w:val="FootnoteReference"/>
          <w:color w:val="595959" w:themeColor="text1" w:themeTint="A6"/>
        </w:rPr>
        <w:footnoteRef/>
      </w:r>
      <w:r w:rsidRPr="00CE60C6">
        <w:rPr>
          <w:color w:val="595959" w:themeColor="text1" w:themeTint="A6"/>
        </w:rPr>
        <w:t xml:space="preserve"> </w:t>
      </w:r>
      <w:r w:rsidRPr="00CE60C6">
        <w:rPr>
          <w:color w:val="595959" w:themeColor="text1" w:themeTint="A6"/>
          <w:lang w:val="en-AU"/>
        </w:rPr>
        <w:t xml:space="preserve">There were two collaborative applications: </w:t>
      </w:r>
      <w:proofErr w:type="spellStart"/>
      <w:r w:rsidRPr="00CE60C6">
        <w:rPr>
          <w:color w:val="595959" w:themeColor="text1" w:themeTint="A6"/>
          <w:lang w:val="en-AU"/>
        </w:rPr>
        <w:t>i</w:t>
      </w:r>
      <w:proofErr w:type="spellEnd"/>
      <w:r w:rsidRPr="00CE60C6">
        <w:rPr>
          <w:color w:val="595959" w:themeColor="text1" w:themeTint="A6"/>
          <w:lang w:val="en-AU"/>
        </w:rPr>
        <w:t xml:space="preserve">) Canterbury and West Coast DHBs, contracted through Canterbury DHB; and ii) Auckland, Counties Manukau and </w:t>
      </w:r>
      <w:proofErr w:type="spellStart"/>
      <w:r w:rsidRPr="00CE60C6">
        <w:rPr>
          <w:color w:val="595959" w:themeColor="text1" w:themeTint="A6"/>
          <w:lang w:val="en-AU"/>
        </w:rPr>
        <w:t>Waitema</w:t>
      </w:r>
      <w:proofErr w:type="spellEnd"/>
      <w:r w:rsidRPr="00CE60C6">
        <w:rPr>
          <w:color w:val="595959" w:themeColor="text1" w:themeTint="A6"/>
          <w:lang w:val="mi-NZ"/>
        </w:rPr>
        <w:t xml:space="preserve">tā DHBs, contracted through Counties Manukau. </w:t>
      </w:r>
      <w:r w:rsidRPr="00CE60C6">
        <w:rPr>
          <w:color w:val="595959" w:themeColor="text1" w:themeTint="A6"/>
          <w:lang w:val="mi-NZ"/>
        </w:rPr>
        <w:t xml:space="preserve">The figures shown apportion total contract value in equal amounts to all regions involved in a collaborative application. </w:t>
      </w:r>
    </w:p>
  </w:footnote>
  <w:footnote w:id="10">
    <w:p w14:paraId="68A8FFBC" w14:textId="6A80B0CF" w:rsidR="009B082D" w:rsidRPr="00CE60C6" w:rsidRDefault="009B082D" w:rsidP="000A49CA">
      <w:pPr>
        <w:pStyle w:val="FootnoteText"/>
        <w:rPr>
          <w:color w:val="595959" w:themeColor="text1" w:themeTint="A6"/>
          <w:lang w:val="mi-NZ"/>
        </w:rPr>
      </w:pPr>
      <w:r w:rsidRPr="00CE60C6">
        <w:rPr>
          <w:rStyle w:val="FootnoteReference"/>
          <w:color w:val="595959" w:themeColor="text1" w:themeTint="A6"/>
        </w:rPr>
        <w:footnoteRef/>
      </w:r>
      <w:r w:rsidRPr="00CE60C6">
        <w:rPr>
          <w:color w:val="595959" w:themeColor="text1" w:themeTint="A6"/>
        </w:rPr>
        <w:t xml:space="preserve"> </w:t>
      </w:r>
      <w:r w:rsidRPr="00CE60C6">
        <w:rPr>
          <w:color w:val="595959" w:themeColor="text1" w:themeTint="A6"/>
          <w:lang w:val="mi-NZ"/>
        </w:rPr>
        <w:t xml:space="preserve">Vaccination </w:t>
      </w:r>
      <w:r w:rsidRPr="00CE60C6">
        <w:rPr>
          <w:color w:val="595959" w:themeColor="text1" w:themeTint="A6"/>
          <w:lang w:val="mi-NZ"/>
        </w:rPr>
        <w:t>rates pertain to Māori aged 65 years and over, unless otherwise stated.</w:t>
      </w:r>
    </w:p>
  </w:footnote>
  <w:footnote w:id="11">
    <w:p w14:paraId="4103FAC7" w14:textId="77777777" w:rsidR="009B082D" w:rsidRPr="007A4AD6" w:rsidRDefault="009B082D" w:rsidP="00A334A2">
      <w:pPr>
        <w:pStyle w:val="FootnoteText"/>
        <w:rPr>
          <w:lang w:val="mi-NZ"/>
        </w:rPr>
      </w:pPr>
      <w:r w:rsidRPr="00CE60C6">
        <w:rPr>
          <w:rStyle w:val="FootnoteReference"/>
          <w:color w:val="595959" w:themeColor="text1" w:themeTint="A6"/>
        </w:rPr>
        <w:footnoteRef/>
      </w:r>
      <w:r w:rsidRPr="00CE60C6">
        <w:rPr>
          <w:color w:val="595959" w:themeColor="text1" w:themeTint="A6"/>
        </w:rPr>
        <w:t xml:space="preserve"> Understanding equity rates: A positive result means the coverage is higher for Māori, a negative result means the coverage is higher for non-Māori, non-Pacific.</w:t>
      </w:r>
    </w:p>
  </w:footnote>
  <w:footnote w:id="12">
    <w:p w14:paraId="6A4D0826" w14:textId="7A870E33" w:rsidR="009B082D" w:rsidRPr="00CE60C6" w:rsidRDefault="009B082D" w:rsidP="00A90477">
      <w:pPr>
        <w:pStyle w:val="FootnoteText"/>
        <w:rPr>
          <w:color w:val="595959" w:themeColor="text1" w:themeTint="A6"/>
          <w:lang w:val="mi-NZ"/>
        </w:rPr>
      </w:pPr>
      <w:r w:rsidRPr="00CE60C6">
        <w:rPr>
          <w:rStyle w:val="FootnoteReference"/>
          <w:color w:val="595959" w:themeColor="text1" w:themeTint="A6"/>
        </w:rPr>
        <w:footnoteRef/>
      </w:r>
      <w:r w:rsidRPr="00CE60C6">
        <w:rPr>
          <w:color w:val="595959" w:themeColor="text1" w:themeTint="A6"/>
        </w:rPr>
        <w:t xml:space="preserve">  Claims made under the Primary Health Organisations Service Agreement and Integrated Community Pharmacy Services Agreement 1 March to 30 September 2020, provided by the Ministry of </w:t>
      </w:r>
      <w:proofErr w:type="gramStart"/>
      <w:r w:rsidRPr="00CE60C6">
        <w:rPr>
          <w:color w:val="595959" w:themeColor="text1" w:themeTint="A6"/>
        </w:rPr>
        <w:t>Health</w:t>
      </w:r>
      <w:proofErr w:type="gramEnd"/>
    </w:p>
  </w:footnote>
  <w:footnote w:id="13">
    <w:p w14:paraId="283E82C8" w14:textId="77777777" w:rsidR="009B082D" w:rsidRPr="00CE60C6" w:rsidRDefault="009B082D" w:rsidP="00A90477">
      <w:pPr>
        <w:pStyle w:val="FootnoteText"/>
        <w:rPr>
          <w:color w:val="595959" w:themeColor="text1" w:themeTint="A6"/>
        </w:rPr>
      </w:pPr>
      <w:r w:rsidRPr="00CE60C6">
        <w:rPr>
          <w:rStyle w:val="FootnoteReference"/>
          <w:color w:val="595959" w:themeColor="text1" w:themeTint="A6"/>
        </w:rPr>
        <w:footnoteRef/>
      </w:r>
      <w:r w:rsidRPr="00CE60C6">
        <w:rPr>
          <w:color w:val="595959" w:themeColor="text1" w:themeTint="A6"/>
        </w:rPr>
        <w:t xml:space="preserve"> ‘GP’ claims </w:t>
      </w:r>
      <w:proofErr w:type="gramStart"/>
      <w:r w:rsidRPr="00CE60C6">
        <w:rPr>
          <w:color w:val="595959" w:themeColor="text1" w:themeTint="A6"/>
        </w:rPr>
        <w:t>refers</w:t>
      </w:r>
      <w:proofErr w:type="gramEnd"/>
      <w:r w:rsidRPr="00CE60C6">
        <w:rPr>
          <w:color w:val="595959" w:themeColor="text1" w:themeTint="A6"/>
        </w:rPr>
        <w:t xml:space="preserve"> to any claims made under the Primary Health Organisations service agreement. This may include Māori and Pacific health providers as well. When claims for people aged 65 and over are compared with NIR data for the same group, claims for Māori are always lower than the NIR, whereas for other population groups they are much higher.</w:t>
      </w:r>
    </w:p>
    <w:p w14:paraId="012BF87E" w14:textId="618B2DD7" w:rsidR="009B082D" w:rsidRPr="00CE60C6" w:rsidRDefault="009B082D" w:rsidP="00A90477">
      <w:pPr>
        <w:pStyle w:val="FootnoteText"/>
        <w:rPr>
          <w:color w:val="595959" w:themeColor="text1" w:themeTint="A6"/>
          <w:lang w:val="mi-NZ"/>
        </w:rPr>
      </w:pPr>
      <w:r w:rsidRPr="00CE60C6">
        <w:rPr>
          <w:color w:val="595959" w:themeColor="text1" w:themeTint="A6"/>
        </w:rPr>
        <w:t xml:space="preserve">There are two possible explanations. One, is that significantly more Māori aged 65 years and over are immunised against influenza through DHB led programmes that </w:t>
      </w:r>
      <w:proofErr w:type="gramStart"/>
      <w:r w:rsidRPr="00CE60C6">
        <w:rPr>
          <w:color w:val="595959" w:themeColor="text1" w:themeTint="A6"/>
        </w:rPr>
        <w:t>don’t</w:t>
      </w:r>
      <w:proofErr w:type="gramEnd"/>
      <w:r w:rsidRPr="00CE60C6">
        <w:rPr>
          <w:color w:val="595959" w:themeColor="text1" w:themeTint="A6"/>
        </w:rPr>
        <w:t xml:space="preserve"> claim the administration fee. While this is possible, it does not seem plausible, over the long term, given the auditing and quality assurance processes of PHOs and DHBs. The other explanation is that some providers that are entitled to claim for the vaccination administration fee, are not doing so. The sense is that they are likely to be Māori providers as they happen to be the ones vaccinating the most Māori.</w:t>
      </w:r>
    </w:p>
  </w:footnote>
  <w:footnote w:id="14">
    <w:p w14:paraId="778F3C78" w14:textId="6EA8127E" w:rsidR="009B082D" w:rsidRPr="00CE60C6" w:rsidRDefault="009B082D" w:rsidP="00555BC9">
      <w:pPr>
        <w:pStyle w:val="FootnoteText"/>
        <w:rPr>
          <w:color w:val="595959" w:themeColor="text1" w:themeTint="A6"/>
        </w:rPr>
      </w:pPr>
      <w:r w:rsidRPr="00CE60C6">
        <w:rPr>
          <w:rStyle w:val="FootnoteReference"/>
          <w:color w:val="595959" w:themeColor="text1" w:themeTint="A6"/>
        </w:rPr>
        <w:footnoteRef/>
      </w:r>
      <w:r w:rsidRPr="00CE60C6">
        <w:rPr>
          <w:color w:val="595959" w:themeColor="text1" w:themeTint="A6"/>
        </w:rPr>
        <w:t xml:space="preserve"> </w:t>
      </w:r>
      <w:proofErr w:type="spellStart"/>
      <w:r w:rsidRPr="00CE60C6">
        <w:rPr>
          <w:color w:val="595959" w:themeColor="text1" w:themeTint="A6"/>
        </w:rPr>
        <w:t>Jatrana</w:t>
      </w:r>
      <w:proofErr w:type="spellEnd"/>
      <w:r w:rsidRPr="00CE60C6">
        <w:rPr>
          <w:color w:val="595959" w:themeColor="text1" w:themeTint="A6"/>
        </w:rPr>
        <w:t xml:space="preserve"> S. &amp; Crampton P. </w:t>
      </w:r>
      <w:proofErr w:type="gramStart"/>
      <w:r w:rsidRPr="00CE60C6">
        <w:rPr>
          <w:color w:val="595959" w:themeColor="text1" w:themeTint="A6"/>
        </w:rPr>
        <w:t>( 2009</w:t>
      </w:r>
      <w:proofErr w:type="gramEnd"/>
      <w:r w:rsidRPr="00CE60C6">
        <w:rPr>
          <w:color w:val="595959" w:themeColor="text1" w:themeTint="A6"/>
        </w:rPr>
        <w:t xml:space="preserve">); Mauri Ora. (2009); Lambert M, Luke J, Downey B., </w:t>
      </w:r>
      <w:proofErr w:type="spellStart"/>
      <w:r w:rsidRPr="00CE60C6">
        <w:rPr>
          <w:color w:val="595959" w:themeColor="text1" w:themeTint="A6"/>
        </w:rPr>
        <w:t>Crengle</w:t>
      </w:r>
      <w:proofErr w:type="spellEnd"/>
      <w:r w:rsidRPr="00CE60C6">
        <w:rPr>
          <w:color w:val="595959" w:themeColor="text1" w:themeTint="A6"/>
        </w:rPr>
        <w:t xml:space="preserve"> S, </w:t>
      </w:r>
      <w:proofErr w:type="spellStart"/>
      <w:r w:rsidRPr="00CE60C6">
        <w:rPr>
          <w:color w:val="595959" w:themeColor="text1" w:themeTint="A6"/>
        </w:rPr>
        <w:t>Kelaher</w:t>
      </w:r>
      <w:proofErr w:type="spellEnd"/>
      <w:r w:rsidRPr="00CE60C6">
        <w:rPr>
          <w:color w:val="595959" w:themeColor="text1" w:themeTint="A6"/>
        </w:rPr>
        <w:t xml:space="preserve"> M, Reid S. &amp; Smylie, J. (2014); Jansen, P., </w:t>
      </w:r>
      <w:proofErr w:type="spellStart"/>
      <w:r w:rsidRPr="00CE60C6">
        <w:rPr>
          <w:color w:val="595959" w:themeColor="text1" w:themeTint="A6"/>
        </w:rPr>
        <w:t>Bacal</w:t>
      </w:r>
      <w:proofErr w:type="spellEnd"/>
      <w:r w:rsidRPr="00CE60C6">
        <w:rPr>
          <w:color w:val="595959" w:themeColor="text1" w:themeTint="A6"/>
        </w:rPr>
        <w:t xml:space="preserve">, K. &amp; </w:t>
      </w:r>
      <w:proofErr w:type="spellStart"/>
      <w:r w:rsidRPr="00CE60C6">
        <w:rPr>
          <w:color w:val="595959" w:themeColor="text1" w:themeTint="A6"/>
        </w:rPr>
        <w:t>Buetow</w:t>
      </w:r>
      <w:proofErr w:type="spellEnd"/>
      <w:r w:rsidRPr="00CE60C6">
        <w:rPr>
          <w:color w:val="595959" w:themeColor="text1" w:themeTint="A6"/>
        </w:rPr>
        <w:t xml:space="preserve">, S. (2011); Jeffreys, M., </w:t>
      </w:r>
      <w:proofErr w:type="spellStart"/>
      <w:r w:rsidRPr="00CE60C6">
        <w:rPr>
          <w:color w:val="595959" w:themeColor="text1" w:themeTint="A6"/>
        </w:rPr>
        <w:t>Irurzun</w:t>
      </w:r>
      <w:proofErr w:type="spellEnd"/>
      <w:r w:rsidRPr="00CE60C6">
        <w:rPr>
          <w:color w:val="595959" w:themeColor="text1" w:themeTint="A6"/>
        </w:rPr>
        <w:t>-Lopez, M, Russell L., Smiler K, Ellison-</w:t>
      </w:r>
      <w:proofErr w:type="spellStart"/>
      <w:r w:rsidRPr="00CE60C6">
        <w:rPr>
          <w:color w:val="595959" w:themeColor="text1" w:themeTint="A6"/>
        </w:rPr>
        <w:t>Loschmann</w:t>
      </w:r>
      <w:proofErr w:type="spellEnd"/>
      <w:r w:rsidRPr="00CE60C6">
        <w:rPr>
          <w:color w:val="595959" w:themeColor="text1" w:themeTint="A6"/>
        </w:rPr>
        <w:t xml:space="preserve"> L, Thomson M. &amp; Cumming J. (2020); Russell L, Smiler K, Stace H. (2013); Health Quality and Safety Commission NZ. (2019). </w:t>
      </w:r>
    </w:p>
    <w:p w14:paraId="1871CF54" w14:textId="4D0FB896" w:rsidR="009B082D" w:rsidRPr="00555BC9" w:rsidRDefault="009B082D">
      <w:pPr>
        <w:pStyle w:val="FootnoteText"/>
        <w:rPr>
          <w:lang w:val="mi-NZ"/>
        </w:rPr>
      </w:pPr>
    </w:p>
  </w:footnote>
  <w:footnote w:id="15">
    <w:p w14:paraId="0EE8B858" w14:textId="77777777" w:rsidR="009B082D" w:rsidRPr="00CE60C6" w:rsidRDefault="009B082D" w:rsidP="00A90477">
      <w:pPr>
        <w:pStyle w:val="FootnoteText"/>
        <w:rPr>
          <w:color w:val="595959" w:themeColor="text1" w:themeTint="A6"/>
          <w:lang w:val="mi-NZ"/>
        </w:rPr>
      </w:pPr>
      <w:r w:rsidRPr="00CE60C6">
        <w:rPr>
          <w:rStyle w:val="FootnoteReference"/>
          <w:color w:val="595959" w:themeColor="text1" w:themeTint="A6"/>
        </w:rPr>
        <w:footnoteRef/>
      </w:r>
      <w:r w:rsidRPr="00CE60C6">
        <w:rPr>
          <w:color w:val="595959" w:themeColor="text1" w:themeTint="A6"/>
        </w:rPr>
        <w:t xml:space="preserve"> </w:t>
      </w:r>
      <w:proofErr w:type="spellStart"/>
      <w:r w:rsidRPr="00CE60C6">
        <w:rPr>
          <w:color w:val="595959" w:themeColor="text1" w:themeTint="A6"/>
        </w:rPr>
        <w:t>Te</w:t>
      </w:r>
      <w:proofErr w:type="spellEnd"/>
      <w:r w:rsidRPr="00CE60C6">
        <w:rPr>
          <w:color w:val="595959" w:themeColor="text1" w:themeTint="A6"/>
        </w:rPr>
        <w:t xml:space="preserve"> </w:t>
      </w:r>
      <w:proofErr w:type="spellStart"/>
      <w:r w:rsidRPr="00CE60C6">
        <w:rPr>
          <w:color w:val="595959" w:themeColor="text1" w:themeTint="A6"/>
        </w:rPr>
        <w:t>Puni</w:t>
      </w:r>
      <w:proofErr w:type="spellEnd"/>
      <w:r w:rsidRPr="00CE60C6">
        <w:rPr>
          <w:color w:val="595959" w:themeColor="text1" w:themeTint="A6"/>
        </w:rPr>
        <w:t xml:space="preserve"> </w:t>
      </w:r>
      <w:proofErr w:type="spellStart"/>
      <w:r w:rsidRPr="00CE60C6">
        <w:rPr>
          <w:color w:val="595959" w:themeColor="text1" w:themeTint="A6"/>
        </w:rPr>
        <w:t>Kōkiri</w:t>
      </w:r>
      <w:proofErr w:type="spellEnd"/>
      <w:r w:rsidRPr="00CE60C6">
        <w:rPr>
          <w:color w:val="595959" w:themeColor="text1" w:themeTint="A6"/>
        </w:rPr>
        <w:t xml:space="preserve">. (2015). Understanding whānau-centred approaches. Analysis of Phase One Whānau Ora research and monitoring results. Wellington: </w:t>
      </w:r>
      <w:proofErr w:type="spellStart"/>
      <w:r w:rsidRPr="00CE60C6">
        <w:rPr>
          <w:color w:val="595959" w:themeColor="text1" w:themeTint="A6"/>
        </w:rPr>
        <w:t>Te</w:t>
      </w:r>
      <w:proofErr w:type="spellEnd"/>
      <w:r w:rsidRPr="00CE60C6">
        <w:rPr>
          <w:color w:val="595959" w:themeColor="text1" w:themeTint="A6"/>
        </w:rPr>
        <w:t xml:space="preserve"> </w:t>
      </w:r>
      <w:proofErr w:type="spellStart"/>
      <w:r w:rsidRPr="00CE60C6">
        <w:rPr>
          <w:color w:val="595959" w:themeColor="text1" w:themeTint="A6"/>
        </w:rPr>
        <w:t>Puni</w:t>
      </w:r>
      <w:proofErr w:type="spellEnd"/>
      <w:r w:rsidRPr="00CE60C6">
        <w:rPr>
          <w:color w:val="595959" w:themeColor="text1" w:themeTint="A6"/>
        </w:rPr>
        <w:t xml:space="preserve"> </w:t>
      </w:r>
      <w:proofErr w:type="spellStart"/>
      <w:r w:rsidRPr="00CE60C6">
        <w:rPr>
          <w:color w:val="595959" w:themeColor="text1" w:themeTint="A6"/>
        </w:rPr>
        <w:t>Kōkiri</w:t>
      </w:r>
      <w:proofErr w:type="spellEnd"/>
      <w:r w:rsidRPr="00CE60C6">
        <w:rPr>
          <w:color w:val="595959" w:themeColor="text1" w:themeTint="A6"/>
        </w:rPr>
        <w:t>. p.7.</w:t>
      </w:r>
    </w:p>
  </w:footnote>
  <w:footnote w:id="16">
    <w:p w14:paraId="10F4AEC9" w14:textId="45C2316C" w:rsidR="009B082D" w:rsidRPr="00CE60C6" w:rsidRDefault="009B082D" w:rsidP="00A90477">
      <w:pPr>
        <w:pStyle w:val="FootnoteText"/>
        <w:rPr>
          <w:color w:val="595959" w:themeColor="text1" w:themeTint="A6"/>
          <w:lang w:val="mi-NZ"/>
        </w:rPr>
      </w:pPr>
      <w:r w:rsidRPr="00CE60C6">
        <w:rPr>
          <w:rStyle w:val="FootnoteReference"/>
          <w:color w:val="595959" w:themeColor="text1" w:themeTint="A6"/>
        </w:rPr>
        <w:footnoteRef/>
      </w:r>
      <w:r w:rsidRPr="00CE60C6">
        <w:rPr>
          <w:color w:val="595959" w:themeColor="text1" w:themeTint="A6"/>
        </w:rPr>
        <w:t xml:space="preserve"> </w:t>
      </w:r>
      <w:r w:rsidRPr="00CE60C6">
        <w:rPr>
          <w:color w:val="595959" w:themeColor="text1" w:themeTint="A6"/>
          <w:lang w:val="mi-NZ"/>
        </w:rPr>
        <w:t>Waitangi Tribunal (2019). Hauora: Report on Stage One of the Health Services and Outcome Kaupapa Inquiry. Wai 2755 Waitangi Tribunal Report 2019</w:t>
      </w:r>
    </w:p>
  </w:footnote>
  <w:footnote w:id="17">
    <w:p w14:paraId="50F445FA" w14:textId="2AD2939F" w:rsidR="009B082D" w:rsidRPr="00CE60C6" w:rsidRDefault="009B082D">
      <w:pPr>
        <w:pStyle w:val="FootnoteText"/>
        <w:rPr>
          <w:color w:val="595959" w:themeColor="text1" w:themeTint="A6"/>
          <w:lang w:val="en-AU"/>
        </w:rPr>
      </w:pPr>
      <w:r w:rsidRPr="00CE60C6">
        <w:rPr>
          <w:rStyle w:val="FootnoteReference"/>
          <w:color w:val="595959" w:themeColor="text1" w:themeTint="A6"/>
        </w:rPr>
        <w:footnoteRef/>
      </w:r>
      <w:r w:rsidRPr="00CE60C6">
        <w:rPr>
          <w:color w:val="595959" w:themeColor="text1" w:themeTint="A6"/>
        </w:rPr>
        <w:t xml:space="preserve"> 8 May 2020 (Week 19) was the date that MIVP application submissions closed and represents the ‘target population’ for MIVP-funded activities and the amount of funding per intended recipient of MIVP-funded </w:t>
      </w:r>
      <w:proofErr w:type="gramStart"/>
      <w:r w:rsidRPr="00CE60C6">
        <w:rPr>
          <w:color w:val="595959" w:themeColor="text1" w:themeTint="A6"/>
        </w:rPr>
        <w:t>activities</w:t>
      </w:r>
      <w:proofErr w:type="gramEnd"/>
    </w:p>
  </w:footnote>
  <w:footnote w:id="18">
    <w:p w14:paraId="0A9F509E" w14:textId="0C33A72A" w:rsidR="009B082D" w:rsidRPr="00CE60C6" w:rsidRDefault="009B082D">
      <w:pPr>
        <w:pStyle w:val="FootnoteText"/>
        <w:rPr>
          <w:color w:val="595959" w:themeColor="text1" w:themeTint="A6"/>
          <w:lang w:val="mi-NZ"/>
        </w:rPr>
      </w:pPr>
      <w:r w:rsidRPr="00CE60C6">
        <w:rPr>
          <w:rStyle w:val="FootnoteReference"/>
          <w:color w:val="595959" w:themeColor="text1" w:themeTint="A6"/>
        </w:rPr>
        <w:footnoteRef/>
      </w:r>
      <w:r w:rsidRPr="00CE60C6">
        <w:rPr>
          <w:color w:val="595959" w:themeColor="text1" w:themeTint="A6"/>
        </w:rPr>
        <w:t xml:space="preserve"> Assuming an equal split between regions for collaborative applications and incorporates both funding awarded to both DHBs and directly to providers)</w:t>
      </w:r>
    </w:p>
  </w:footnote>
  <w:footnote w:id="19">
    <w:p w14:paraId="27A4A64F" w14:textId="77777777" w:rsidR="009B082D" w:rsidRPr="00CE60C6" w:rsidRDefault="009B082D" w:rsidP="008D764A">
      <w:pPr>
        <w:pStyle w:val="FootnoteText"/>
        <w:rPr>
          <w:color w:val="595959" w:themeColor="text1" w:themeTint="A6"/>
          <w:lang w:val="en-AU"/>
        </w:rPr>
      </w:pPr>
      <w:r w:rsidRPr="00CE60C6">
        <w:rPr>
          <w:rStyle w:val="FootnoteReference"/>
          <w:color w:val="595959" w:themeColor="text1" w:themeTint="A6"/>
        </w:rPr>
        <w:footnoteRef/>
      </w:r>
      <w:r w:rsidRPr="00CE60C6">
        <w:rPr>
          <w:color w:val="595959" w:themeColor="text1" w:themeTint="A6"/>
        </w:rPr>
        <w:t xml:space="preserve"> 8 May 2020 (Week 19) was the date that MIVP application submissions closed and represents the ‘target population’ for MIVP-funded activities and the amount of funding per intended recipient of MIVP-funded </w:t>
      </w:r>
      <w:proofErr w:type="gramStart"/>
      <w:r w:rsidRPr="00CE60C6">
        <w:rPr>
          <w:color w:val="595959" w:themeColor="text1" w:themeTint="A6"/>
        </w:rPr>
        <w:t>activities</w:t>
      </w:r>
      <w:proofErr w:type="gramEnd"/>
    </w:p>
  </w:footnote>
  <w:footnote w:id="20">
    <w:p w14:paraId="16493D5A" w14:textId="1ABEBE1B" w:rsidR="009B082D" w:rsidRPr="00CE60C6" w:rsidRDefault="009B082D">
      <w:pPr>
        <w:pStyle w:val="FootnoteText"/>
        <w:rPr>
          <w:color w:val="595959" w:themeColor="text1" w:themeTint="A6"/>
          <w:lang w:val="en-AU"/>
        </w:rPr>
      </w:pPr>
      <w:r w:rsidRPr="00CE60C6">
        <w:rPr>
          <w:rStyle w:val="FootnoteReference"/>
          <w:color w:val="595959" w:themeColor="text1" w:themeTint="A6"/>
        </w:rPr>
        <w:footnoteRef/>
      </w:r>
      <w:r w:rsidRPr="00CE60C6">
        <w:rPr>
          <w:color w:val="595959" w:themeColor="text1" w:themeTint="A6"/>
        </w:rPr>
        <w:t xml:space="preserve"> Assuming an equal split between regions for collaborative applications and incorporates both funding awarded to both DHBs and directly to providers)</w:t>
      </w:r>
    </w:p>
  </w:footnote>
  <w:footnote w:id="21">
    <w:p w14:paraId="3D4C1D1E" w14:textId="6DFFDF3B" w:rsidR="009B082D" w:rsidRPr="00CE60C6" w:rsidRDefault="009B082D">
      <w:pPr>
        <w:pStyle w:val="FootnoteText"/>
        <w:rPr>
          <w:color w:val="595959" w:themeColor="text1" w:themeTint="A6"/>
          <w:lang w:val="en-AU"/>
        </w:rPr>
      </w:pPr>
      <w:r w:rsidRPr="00CE60C6">
        <w:rPr>
          <w:rStyle w:val="FootnoteReference"/>
          <w:color w:val="595959" w:themeColor="text1" w:themeTint="A6"/>
        </w:rPr>
        <w:footnoteRef/>
      </w:r>
      <w:r w:rsidRPr="00CE60C6">
        <w:rPr>
          <w:color w:val="595959" w:themeColor="text1" w:themeTint="A6"/>
        </w:rPr>
        <w:t xml:space="preserve"> </w:t>
      </w:r>
      <w:r w:rsidRPr="00CE60C6">
        <w:rPr>
          <w:color w:val="595959" w:themeColor="text1" w:themeTint="A6"/>
          <w:lang w:val="en-AU"/>
        </w:rPr>
        <w:t xml:space="preserve">Week 46 is the final week that NIR data for 2020 was available for the </w:t>
      </w:r>
      <w:proofErr w:type="gramStart"/>
      <w:r w:rsidRPr="00CE60C6">
        <w:rPr>
          <w:color w:val="595959" w:themeColor="text1" w:themeTint="A6"/>
          <w:lang w:val="en-AU"/>
        </w:rPr>
        <w:t>evaluation</w:t>
      </w:r>
      <w:proofErr w:type="gramEnd"/>
    </w:p>
  </w:footnote>
  <w:footnote w:id="22">
    <w:p w14:paraId="75310214" w14:textId="428DBB58" w:rsidR="009B082D" w:rsidRPr="00CE60C6" w:rsidRDefault="009B082D">
      <w:pPr>
        <w:pStyle w:val="FootnoteText"/>
        <w:rPr>
          <w:color w:val="595959" w:themeColor="text1" w:themeTint="A6"/>
          <w:lang w:val="en-AU"/>
        </w:rPr>
      </w:pPr>
      <w:r w:rsidRPr="00CE60C6">
        <w:rPr>
          <w:rStyle w:val="FootnoteReference"/>
          <w:color w:val="595959" w:themeColor="text1" w:themeTint="A6"/>
        </w:rPr>
        <w:footnoteRef/>
      </w:r>
      <w:r w:rsidRPr="00CE60C6">
        <w:rPr>
          <w:color w:val="595959" w:themeColor="text1" w:themeTint="A6"/>
        </w:rPr>
        <w:t xml:space="preserve"> Assuming an equal split between regions for collaborative applications and incorporates both funding awarded to both DHBs and directly to providers)</w:t>
      </w:r>
    </w:p>
  </w:footnote>
  <w:footnote w:id="23">
    <w:p w14:paraId="61ABBD99" w14:textId="77777777" w:rsidR="009B082D" w:rsidRPr="00CE60C6" w:rsidRDefault="009B082D" w:rsidP="00430A63">
      <w:pPr>
        <w:pStyle w:val="FootnoteText"/>
        <w:rPr>
          <w:color w:val="595959" w:themeColor="text1" w:themeTint="A6"/>
          <w:lang w:val="en-AU"/>
        </w:rPr>
      </w:pPr>
      <w:r w:rsidRPr="00CE60C6">
        <w:rPr>
          <w:rStyle w:val="FootnoteReference"/>
          <w:color w:val="595959" w:themeColor="text1" w:themeTint="A6"/>
        </w:rPr>
        <w:footnoteRef/>
      </w:r>
      <w:r w:rsidRPr="00CE60C6">
        <w:rPr>
          <w:color w:val="595959" w:themeColor="text1" w:themeTint="A6"/>
        </w:rPr>
        <w:t xml:space="preserve"> 8 May 2020 (Week 19) was the date that MIVP application submissions closed and represents the ‘target population’ for MIVP-funded activities and the amount of funding per intended recipient of MIVP-funded </w:t>
      </w:r>
      <w:proofErr w:type="gramStart"/>
      <w:r w:rsidRPr="00CE60C6">
        <w:rPr>
          <w:color w:val="595959" w:themeColor="text1" w:themeTint="A6"/>
        </w:rPr>
        <w:t>activities</w:t>
      </w:r>
      <w:proofErr w:type="gramEnd"/>
    </w:p>
  </w:footnote>
  <w:footnote w:id="24">
    <w:p w14:paraId="4809DEEE" w14:textId="75B05676" w:rsidR="009B082D" w:rsidRPr="00CE60C6" w:rsidRDefault="009B082D">
      <w:pPr>
        <w:pStyle w:val="FootnoteText"/>
        <w:rPr>
          <w:color w:val="595959" w:themeColor="text1" w:themeTint="A6"/>
          <w:lang w:val="en-AU"/>
        </w:rPr>
      </w:pPr>
      <w:r w:rsidRPr="00CE60C6">
        <w:rPr>
          <w:rStyle w:val="FootnoteReference"/>
          <w:color w:val="595959" w:themeColor="text1" w:themeTint="A6"/>
        </w:rPr>
        <w:footnoteRef/>
      </w:r>
      <w:r w:rsidRPr="00CE60C6">
        <w:rPr>
          <w:color w:val="595959" w:themeColor="text1" w:themeTint="A6"/>
        </w:rPr>
        <w:t xml:space="preserve"> Assuming an equal split between regions for collaborative applications and incorporates both funding awarded to both DHBs and directly to providers)</w:t>
      </w:r>
    </w:p>
  </w:footnote>
  <w:footnote w:id="25">
    <w:p w14:paraId="0ABAAAE6" w14:textId="7F71D01C" w:rsidR="009B082D" w:rsidRPr="00CE60C6" w:rsidRDefault="009B082D">
      <w:pPr>
        <w:pStyle w:val="FootnoteText"/>
        <w:rPr>
          <w:color w:val="595959" w:themeColor="text1" w:themeTint="A6"/>
          <w:lang w:val="en-AU"/>
        </w:rPr>
      </w:pPr>
      <w:r w:rsidRPr="00CE60C6">
        <w:rPr>
          <w:rStyle w:val="FootnoteReference"/>
          <w:color w:val="595959" w:themeColor="text1" w:themeTint="A6"/>
        </w:rPr>
        <w:footnoteRef/>
      </w:r>
      <w:r w:rsidRPr="00CE60C6">
        <w:rPr>
          <w:color w:val="595959" w:themeColor="text1" w:themeTint="A6"/>
        </w:rPr>
        <w:t xml:space="preserve"> </w:t>
      </w:r>
      <w:r w:rsidRPr="00CE60C6">
        <w:rPr>
          <w:color w:val="595959" w:themeColor="text1" w:themeTint="A6"/>
          <w:lang w:val="en-AU"/>
        </w:rPr>
        <w:t xml:space="preserve">Week 46 is the final week that NIR data for 2020 was available for the </w:t>
      </w:r>
      <w:proofErr w:type="gramStart"/>
      <w:r w:rsidRPr="00CE60C6">
        <w:rPr>
          <w:color w:val="595959" w:themeColor="text1" w:themeTint="A6"/>
          <w:lang w:val="en-AU"/>
        </w:rPr>
        <w:t>evaluation</w:t>
      </w:r>
      <w:proofErr w:type="gramEnd"/>
    </w:p>
  </w:footnote>
  <w:footnote w:id="26">
    <w:p w14:paraId="4857E20E" w14:textId="77777777" w:rsidR="009B082D" w:rsidRPr="00CE60C6" w:rsidRDefault="009B082D" w:rsidP="00855C9E">
      <w:pPr>
        <w:pStyle w:val="FootnoteText"/>
        <w:rPr>
          <w:color w:val="595959" w:themeColor="text1" w:themeTint="A6"/>
          <w:lang w:val="mi-NZ"/>
        </w:rPr>
      </w:pPr>
      <w:r w:rsidRPr="00CE60C6">
        <w:rPr>
          <w:rStyle w:val="FootnoteReference"/>
          <w:color w:val="595959" w:themeColor="text1" w:themeTint="A6"/>
        </w:rPr>
        <w:footnoteRef/>
      </w:r>
      <w:r w:rsidRPr="00CE60C6">
        <w:rPr>
          <w:color w:val="595959" w:themeColor="text1" w:themeTint="A6"/>
        </w:rPr>
        <w:t xml:space="preserve"> </w:t>
      </w:r>
      <w:r w:rsidRPr="00CE60C6">
        <w:rPr>
          <w:color w:val="595959" w:themeColor="text1" w:themeTint="A6"/>
          <w:lang w:val="mi-NZ"/>
        </w:rPr>
        <w:t xml:space="preserve">DHB refers to General Manager </w:t>
      </w:r>
      <w:r w:rsidRPr="00CE60C6">
        <w:rPr>
          <w:color w:val="595959" w:themeColor="text1" w:themeTint="A6"/>
        </w:rPr>
        <w:t>Māori</w:t>
      </w:r>
      <w:r w:rsidRPr="00CE60C6">
        <w:rPr>
          <w:color w:val="595959" w:themeColor="text1" w:themeTint="A6"/>
          <w:lang w:val="mi-NZ"/>
        </w:rPr>
        <w:t>, Planning and Funding, Immunisation Corrdinators, unless specified.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2F46"/>
    <w:multiLevelType w:val="hybridMultilevel"/>
    <w:tmpl w:val="6EFE7A88"/>
    <w:lvl w:ilvl="0" w:tplc="D3644098">
      <w:start w:val="1"/>
      <w:numFmt w:val="decimal"/>
      <w:pStyle w:val="List"/>
      <w:lvlText w:val="%1."/>
      <w:lvlJc w:val="left"/>
      <w:pPr>
        <w:ind w:left="357" w:hanging="357"/>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2E00B89"/>
    <w:multiLevelType w:val="hybridMultilevel"/>
    <w:tmpl w:val="65923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AA0128"/>
    <w:multiLevelType w:val="hybridMultilevel"/>
    <w:tmpl w:val="1C92972E"/>
    <w:lvl w:ilvl="0" w:tplc="04090001">
      <w:start w:val="1"/>
      <w:numFmt w:val="bullet"/>
      <w:pStyle w:val="ListNumber4"/>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611537"/>
    <w:multiLevelType w:val="hybridMultilevel"/>
    <w:tmpl w:val="4620C4DE"/>
    <w:lvl w:ilvl="0" w:tplc="4AD2EE02">
      <w:start w:val="1"/>
      <w:numFmt w:val="bullet"/>
      <w:lvlText w:val=""/>
      <w:lvlJc w:val="left"/>
      <w:pPr>
        <w:ind w:left="720" w:hanging="360"/>
      </w:pPr>
      <w:rPr>
        <w:rFonts w:ascii="Symbol" w:hAnsi="Symbol" w:hint="default"/>
        <w:color w:val="212B5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76058"/>
    <w:multiLevelType w:val="hybridMultilevel"/>
    <w:tmpl w:val="C0B67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BB01BF"/>
    <w:multiLevelType w:val="hybridMultilevel"/>
    <w:tmpl w:val="7FB0E3D0"/>
    <w:lvl w:ilvl="0" w:tplc="4AD2EE02">
      <w:start w:val="1"/>
      <w:numFmt w:val="bullet"/>
      <w:lvlText w:val=""/>
      <w:lvlJc w:val="left"/>
      <w:pPr>
        <w:ind w:left="720" w:hanging="360"/>
      </w:pPr>
      <w:rPr>
        <w:rFonts w:ascii="Symbol" w:hAnsi="Symbol" w:hint="default"/>
        <w:color w:val="212B5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9257AC"/>
    <w:multiLevelType w:val="hybridMultilevel"/>
    <w:tmpl w:val="3496C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6F69F5"/>
    <w:multiLevelType w:val="hybridMultilevel"/>
    <w:tmpl w:val="DFDA6ADE"/>
    <w:lvl w:ilvl="0" w:tplc="FFFFFFFF">
      <w:start w:val="1"/>
      <w:numFmt w:val="decimal"/>
      <w:pStyle w:val="BodyText"/>
      <w:lvlText w:val="%1."/>
      <w:lvlJc w:val="left"/>
      <w:pPr>
        <w:ind w:left="0" w:hanging="595"/>
      </w:pPr>
      <w:rPr>
        <w:b w:val="0"/>
        <w:bCs/>
        <w:i w:val="0"/>
        <w:iCs w:val="0"/>
        <w:color w:val="000000" w:themeColor="text1"/>
        <w:sz w:val="20"/>
        <w:szCs w:val="2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E451904"/>
    <w:multiLevelType w:val="hybridMultilevel"/>
    <w:tmpl w:val="B816BF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80A2052"/>
    <w:multiLevelType w:val="hybridMultilevel"/>
    <w:tmpl w:val="4FF01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08F76B0"/>
    <w:multiLevelType w:val="hybridMultilevel"/>
    <w:tmpl w:val="3ADEC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842B36"/>
    <w:multiLevelType w:val="hybridMultilevel"/>
    <w:tmpl w:val="B7BACF74"/>
    <w:lvl w:ilvl="0" w:tplc="629440DA">
      <w:start w:val="1"/>
      <w:numFmt w:val="bullet"/>
      <w:pStyle w:val="Bullet"/>
      <w:lvlText w:val=""/>
      <w:lvlJc w:val="left"/>
      <w:pPr>
        <w:ind w:left="360" w:hanging="360"/>
      </w:pPr>
      <w:rPr>
        <w:rFonts w:ascii="Symbol" w:hAnsi="Symbol" w:hint="default"/>
        <w:color w:val="44546A" w:themeColor="text2"/>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0"/>
  </w:num>
  <w:num w:numId="4">
    <w:abstractNumId w:val="2"/>
  </w:num>
  <w:num w:numId="5">
    <w:abstractNumId w:val="5"/>
  </w:num>
  <w:num w:numId="6">
    <w:abstractNumId w:val="6"/>
  </w:num>
  <w:num w:numId="7">
    <w:abstractNumId w:val="4"/>
  </w:num>
  <w:num w:numId="8">
    <w:abstractNumId w:val="8"/>
  </w:num>
  <w:num w:numId="9">
    <w:abstractNumId w:val="1"/>
  </w:num>
  <w:num w:numId="10">
    <w:abstractNumId w:val="9"/>
  </w:num>
  <w:num w:numId="11">
    <w:abstractNumId w:val="10"/>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A97"/>
    <w:rsid w:val="00003FE1"/>
    <w:rsid w:val="00003FF0"/>
    <w:rsid w:val="000044CF"/>
    <w:rsid w:val="000046DF"/>
    <w:rsid w:val="00005CCB"/>
    <w:rsid w:val="00006F29"/>
    <w:rsid w:val="00006F3F"/>
    <w:rsid w:val="00007857"/>
    <w:rsid w:val="00007BA2"/>
    <w:rsid w:val="00007EF2"/>
    <w:rsid w:val="00016351"/>
    <w:rsid w:val="000165C7"/>
    <w:rsid w:val="00017C79"/>
    <w:rsid w:val="00017E55"/>
    <w:rsid w:val="00022614"/>
    <w:rsid w:val="0002451C"/>
    <w:rsid w:val="00025E35"/>
    <w:rsid w:val="00026116"/>
    <w:rsid w:val="00026668"/>
    <w:rsid w:val="00026955"/>
    <w:rsid w:val="000276C3"/>
    <w:rsid w:val="00027B60"/>
    <w:rsid w:val="000305D7"/>
    <w:rsid w:val="000309BA"/>
    <w:rsid w:val="000318A9"/>
    <w:rsid w:val="00031929"/>
    <w:rsid w:val="00031BE0"/>
    <w:rsid w:val="00033438"/>
    <w:rsid w:val="000356F0"/>
    <w:rsid w:val="0003612D"/>
    <w:rsid w:val="0003614A"/>
    <w:rsid w:val="00036E05"/>
    <w:rsid w:val="00037A27"/>
    <w:rsid w:val="000407EF"/>
    <w:rsid w:val="00040E88"/>
    <w:rsid w:val="000414E3"/>
    <w:rsid w:val="00041BC2"/>
    <w:rsid w:val="00042CB3"/>
    <w:rsid w:val="00044382"/>
    <w:rsid w:val="0004641A"/>
    <w:rsid w:val="00047B12"/>
    <w:rsid w:val="00050A0A"/>
    <w:rsid w:val="00050BC3"/>
    <w:rsid w:val="00051C2B"/>
    <w:rsid w:val="000528CF"/>
    <w:rsid w:val="0005295B"/>
    <w:rsid w:val="00052E4D"/>
    <w:rsid w:val="000533EC"/>
    <w:rsid w:val="000551DC"/>
    <w:rsid w:val="00055D95"/>
    <w:rsid w:val="000562F9"/>
    <w:rsid w:val="00056BE5"/>
    <w:rsid w:val="00060296"/>
    <w:rsid w:val="00061BE6"/>
    <w:rsid w:val="00061EDE"/>
    <w:rsid w:val="00061F49"/>
    <w:rsid w:val="0006257A"/>
    <w:rsid w:val="0006586D"/>
    <w:rsid w:val="0007148D"/>
    <w:rsid w:val="00071CC5"/>
    <w:rsid w:val="000727FB"/>
    <w:rsid w:val="00072A5B"/>
    <w:rsid w:val="00072EAE"/>
    <w:rsid w:val="00073669"/>
    <w:rsid w:val="00073A14"/>
    <w:rsid w:val="00074653"/>
    <w:rsid w:val="000762FC"/>
    <w:rsid w:val="00076A6F"/>
    <w:rsid w:val="00076BD2"/>
    <w:rsid w:val="000774B4"/>
    <w:rsid w:val="00077A94"/>
    <w:rsid w:val="00080339"/>
    <w:rsid w:val="000814F7"/>
    <w:rsid w:val="00082205"/>
    <w:rsid w:val="000826FE"/>
    <w:rsid w:val="00083E85"/>
    <w:rsid w:val="000842C1"/>
    <w:rsid w:val="00084762"/>
    <w:rsid w:val="00084943"/>
    <w:rsid w:val="00085E07"/>
    <w:rsid w:val="0008713E"/>
    <w:rsid w:val="00090088"/>
    <w:rsid w:val="0009069C"/>
    <w:rsid w:val="000919D5"/>
    <w:rsid w:val="000921D2"/>
    <w:rsid w:val="000944C1"/>
    <w:rsid w:val="00096EDC"/>
    <w:rsid w:val="000973BB"/>
    <w:rsid w:val="000A09AB"/>
    <w:rsid w:val="000A141D"/>
    <w:rsid w:val="000A1771"/>
    <w:rsid w:val="000A22E5"/>
    <w:rsid w:val="000A28A6"/>
    <w:rsid w:val="000A36C5"/>
    <w:rsid w:val="000A3A40"/>
    <w:rsid w:val="000A408B"/>
    <w:rsid w:val="000A49CA"/>
    <w:rsid w:val="000A4F1E"/>
    <w:rsid w:val="000A7C01"/>
    <w:rsid w:val="000A7E5E"/>
    <w:rsid w:val="000B0B25"/>
    <w:rsid w:val="000B12D1"/>
    <w:rsid w:val="000B17D7"/>
    <w:rsid w:val="000B2600"/>
    <w:rsid w:val="000B31B6"/>
    <w:rsid w:val="000B34B1"/>
    <w:rsid w:val="000B461C"/>
    <w:rsid w:val="000B6910"/>
    <w:rsid w:val="000C12A3"/>
    <w:rsid w:val="000C5B06"/>
    <w:rsid w:val="000D028C"/>
    <w:rsid w:val="000D0F28"/>
    <w:rsid w:val="000D30AA"/>
    <w:rsid w:val="000D4E45"/>
    <w:rsid w:val="000D590B"/>
    <w:rsid w:val="000D6054"/>
    <w:rsid w:val="000D6F5B"/>
    <w:rsid w:val="000D7DD2"/>
    <w:rsid w:val="000E09D5"/>
    <w:rsid w:val="000E1EAA"/>
    <w:rsid w:val="000E274D"/>
    <w:rsid w:val="000E2D01"/>
    <w:rsid w:val="000E2F0F"/>
    <w:rsid w:val="000E37E4"/>
    <w:rsid w:val="000E45CD"/>
    <w:rsid w:val="000E4D18"/>
    <w:rsid w:val="000E4D6F"/>
    <w:rsid w:val="000E7F00"/>
    <w:rsid w:val="000F155A"/>
    <w:rsid w:val="000F1D1A"/>
    <w:rsid w:val="000F21D4"/>
    <w:rsid w:val="000F2275"/>
    <w:rsid w:val="000F2473"/>
    <w:rsid w:val="000F6288"/>
    <w:rsid w:val="001034E2"/>
    <w:rsid w:val="001042DC"/>
    <w:rsid w:val="001076CC"/>
    <w:rsid w:val="00111403"/>
    <w:rsid w:val="0011194B"/>
    <w:rsid w:val="00111ECC"/>
    <w:rsid w:val="0011201F"/>
    <w:rsid w:val="00112C9D"/>
    <w:rsid w:val="00113705"/>
    <w:rsid w:val="00114ABD"/>
    <w:rsid w:val="001151F7"/>
    <w:rsid w:val="00115943"/>
    <w:rsid w:val="00116080"/>
    <w:rsid w:val="001167BC"/>
    <w:rsid w:val="00120141"/>
    <w:rsid w:val="001202C8"/>
    <w:rsid w:val="00121E1C"/>
    <w:rsid w:val="00122439"/>
    <w:rsid w:val="00122D07"/>
    <w:rsid w:val="001252AB"/>
    <w:rsid w:val="00125A79"/>
    <w:rsid w:val="00126EAA"/>
    <w:rsid w:val="00127036"/>
    <w:rsid w:val="00127CF1"/>
    <w:rsid w:val="00130DF5"/>
    <w:rsid w:val="00134045"/>
    <w:rsid w:val="00134977"/>
    <w:rsid w:val="00136BFD"/>
    <w:rsid w:val="00136F2F"/>
    <w:rsid w:val="001373FA"/>
    <w:rsid w:val="001400B7"/>
    <w:rsid w:val="001401ED"/>
    <w:rsid w:val="001426BA"/>
    <w:rsid w:val="00142A18"/>
    <w:rsid w:val="00143F21"/>
    <w:rsid w:val="00144060"/>
    <w:rsid w:val="00144572"/>
    <w:rsid w:val="0014521B"/>
    <w:rsid w:val="00145878"/>
    <w:rsid w:val="00146565"/>
    <w:rsid w:val="00150E6F"/>
    <w:rsid w:val="00151994"/>
    <w:rsid w:val="0015349F"/>
    <w:rsid w:val="0015357C"/>
    <w:rsid w:val="00154072"/>
    <w:rsid w:val="00154CFB"/>
    <w:rsid w:val="0015514E"/>
    <w:rsid w:val="00160C18"/>
    <w:rsid w:val="0016124B"/>
    <w:rsid w:val="001622FB"/>
    <w:rsid w:val="00163CAC"/>
    <w:rsid w:val="0016600E"/>
    <w:rsid w:val="001676A4"/>
    <w:rsid w:val="00167C5B"/>
    <w:rsid w:val="00167F75"/>
    <w:rsid w:val="00170EB7"/>
    <w:rsid w:val="001715C9"/>
    <w:rsid w:val="0017174B"/>
    <w:rsid w:val="001749F4"/>
    <w:rsid w:val="00175D7D"/>
    <w:rsid w:val="001770F7"/>
    <w:rsid w:val="00177210"/>
    <w:rsid w:val="00181DF5"/>
    <w:rsid w:val="00182333"/>
    <w:rsid w:val="00185A5B"/>
    <w:rsid w:val="00186197"/>
    <w:rsid w:val="00187F5A"/>
    <w:rsid w:val="00192A62"/>
    <w:rsid w:val="00193723"/>
    <w:rsid w:val="001958AE"/>
    <w:rsid w:val="00196AE8"/>
    <w:rsid w:val="001972F0"/>
    <w:rsid w:val="001A0141"/>
    <w:rsid w:val="001A13C4"/>
    <w:rsid w:val="001A1946"/>
    <w:rsid w:val="001A1C91"/>
    <w:rsid w:val="001A2B57"/>
    <w:rsid w:val="001A2EC5"/>
    <w:rsid w:val="001A31E3"/>
    <w:rsid w:val="001A325D"/>
    <w:rsid w:val="001A36C8"/>
    <w:rsid w:val="001A5E31"/>
    <w:rsid w:val="001A6E11"/>
    <w:rsid w:val="001B1D3C"/>
    <w:rsid w:val="001B20E6"/>
    <w:rsid w:val="001B2BC1"/>
    <w:rsid w:val="001B39B4"/>
    <w:rsid w:val="001B4E87"/>
    <w:rsid w:val="001C15DB"/>
    <w:rsid w:val="001C1704"/>
    <w:rsid w:val="001C36DB"/>
    <w:rsid w:val="001C3A0E"/>
    <w:rsid w:val="001C3AD3"/>
    <w:rsid w:val="001C4FBC"/>
    <w:rsid w:val="001C53F7"/>
    <w:rsid w:val="001C64B4"/>
    <w:rsid w:val="001C7E43"/>
    <w:rsid w:val="001D1FA3"/>
    <w:rsid w:val="001D2AF7"/>
    <w:rsid w:val="001D341C"/>
    <w:rsid w:val="001D3966"/>
    <w:rsid w:val="001D4EAC"/>
    <w:rsid w:val="001D596E"/>
    <w:rsid w:val="001D6A10"/>
    <w:rsid w:val="001D6D20"/>
    <w:rsid w:val="001D7458"/>
    <w:rsid w:val="001E19D0"/>
    <w:rsid w:val="001E6A0C"/>
    <w:rsid w:val="001E7B26"/>
    <w:rsid w:val="001F0F9A"/>
    <w:rsid w:val="001F2A28"/>
    <w:rsid w:val="001F37FB"/>
    <w:rsid w:val="001F3D77"/>
    <w:rsid w:val="001F4AE6"/>
    <w:rsid w:val="001F5D34"/>
    <w:rsid w:val="001F5EFE"/>
    <w:rsid w:val="001F749B"/>
    <w:rsid w:val="002002B8"/>
    <w:rsid w:val="00201EE0"/>
    <w:rsid w:val="00202AF1"/>
    <w:rsid w:val="0020341A"/>
    <w:rsid w:val="00205D52"/>
    <w:rsid w:val="00206ADE"/>
    <w:rsid w:val="00207860"/>
    <w:rsid w:val="00211067"/>
    <w:rsid w:val="00213CA8"/>
    <w:rsid w:val="002141EF"/>
    <w:rsid w:val="00214DF5"/>
    <w:rsid w:val="00215A47"/>
    <w:rsid w:val="00217BCE"/>
    <w:rsid w:val="00217DF9"/>
    <w:rsid w:val="0022022C"/>
    <w:rsid w:val="002208B9"/>
    <w:rsid w:val="002236B0"/>
    <w:rsid w:val="00224257"/>
    <w:rsid w:val="0022702D"/>
    <w:rsid w:val="00227709"/>
    <w:rsid w:val="00227C3F"/>
    <w:rsid w:val="0023012B"/>
    <w:rsid w:val="00232942"/>
    <w:rsid w:val="002338C7"/>
    <w:rsid w:val="00233A07"/>
    <w:rsid w:val="00235461"/>
    <w:rsid w:val="00235EB9"/>
    <w:rsid w:val="00235F3A"/>
    <w:rsid w:val="002365D7"/>
    <w:rsid w:val="0024025D"/>
    <w:rsid w:val="00241DB7"/>
    <w:rsid w:val="00241FA6"/>
    <w:rsid w:val="0024276D"/>
    <w:rsid w:val="00242805"/>
    <w:rsid w:val="002429C8"/>
    <w:rsid w:val="00242D29"/>
    <w:rsid w:val="0024363B"/>
    <w:rsid w:val="00243E14"/>
    <w:rsid w:val="00244656"/>
    <w:rsid w:val="002457A6"/>
    <w:rsid w:val="00246B9F"/>
    <w:rsid w:val="002470AF"/>
    <w:rsid w:val="00247101"/>
    <w:rsid w:val="00247308"/>
    <w:rsid w:val="00247849"/>
    <w:rsid w:val="00250784"/>
    <w:rsid w:val="00250B4B"/>
    <w:rsid w:val="00250D3A"/>
    <w:rsid w:val="00253705"/>
    <w:rsid w:val="002553C4"/>
    <w:rsid w:val="002560F7"/>
    <w:rsid w:val="002576CF"/>
    <w:rsid w:val="00257CC8"/>
    <w:rsid w:val="0026075E"/>
    <w:rsid w:val="00261446"/>
    <w:rsid w:val="00261498"/>
    <w:rsid w:val="002614E2"/>
    <w:rsid w:val="00262643"/>
    <w:rsid w:val="00262692"/>
    <w:rsid w:val="002637C2"/>
    <w:rsid w:val="00264119"/>
    <w:rsid w:val="00264C22"/>
    <w:rsid w:val="00264D06"/>
    <w:rsid w:val="00265162"/>
    <w:rsid w:val="00266F9A"/>
    <w:rsid w:val="00270DCF"/>
    <w:rsid w:val="002715D4"/>
    <w:rsid w:val="00271BDC"/>
    <w:rsid w:val="0027228F"/>
    <w:rsid w:val="00272F5E"/>
    <w:rsid w:val="00273459"/>
    <w:rsid w:val="002737F7"/>
    <w:rsid w:val="00273816"/>
    <w:rsid w:val="0027396A"/>
    <w:rsid w:val="002739B1"/>
    <w:rsid w:val="0027426A"/>
    <w:rsid w:val="0027468F"/>
    <w:rsid w:val="00276440"/>
    <w:rsid w:val="00277D4B"/>
    <w:rsid w:val="002810A9"/>
    <w:rsid w:val="002818C3"/>
    <w:rsid w:val="002825AA"/>
    <w:rsid w:val="0028312C"/>
    <w:rsid w:val="0028534B"/>
    <w:rsid w:val="002855FB"/>
    <w:rsid w:val="00285D7E"/>
    <w:rsid w:val="00286E5C"/>
    <w:rsid w:val="0029089A"/>
    <w:rsid w:val="00290F95"/>
    <w:rsid w:val="0029111A"/>
    <w:rsid w:val="00291DC1"/>
    <w:rsid w:val="00293148"/>
    <w:rsid w:val="00294C95"/>
    <w:rsid w:val="00295618"/>
    <w:rsid w:val="00295775"/>
    <w:rsid w:val="0029786B"/>
    <w:rsid w:val="002A1979"/>
    <w:rsid w:val="002A1AF7"/>
    <w:rsid w:val="002A1DC2"/>
    <w:rsid w:val="002A23C0"/>
    <w:rsid w:val="002A3D61"/>
    <w:rsid w:val="002A44F0"/>
    <w:rsid w:val="002A44F8"/>
    <w:rsid w:val="002A5746"/>
    <w:rsid w:val="002A6909"/>
    <w:rsid w:val="002A69C2"/>
    <w:rsid w:val="002A70DD"/>
    <w:rsid w:val="002A749E"/>
    <w:rsid w:val="002A77AB"/>
    <w:rsid w:val="002B1803"/>
    <w:rsid w:val="002B5042"/>
    <w:rsid w:val="002B6340"/>
    <w:rsid w:val="002B63DE"/>
    <w:rsid w:val="002B72FD"/>
    <w:rsid w:val="002B76B3"/>
    <w:rsid w:val="002B7AE0"/>
    <w:rsid w:val="002C01D3"/>
    <w:rsid w:val="002C1441"/>
    <w:rsid w:val="002C196B"/>
    <w:rsid w:val="002C29A2"/>
    <w:rsid w:val="002C372E"/>
    <w:rsid w:val="002C4C5C"/>
    <w:rsid w:val="002C6EAA"/>
    <w:rsid w:val="002C71EB"/>
    <w:rsid w:val="002C79C1"/>
    <w:rsid w:val="002D0618"/>
    <w:rsid w:val="002D0C2D"/>
    <w:rsid w:val="002D28C4"/>
    <w:rsid w:val="002D4878"/>
    <w:rsid w:val="002D7639"/>
    <w:rsid w:val="002E007F"/>
    <w:rsid w:val="002E0E99"/>
    <w:rsid w:val="002E18DC"/>
    <w:rsid w:val="002E1BB7"/>
    <w:rsid w:val="002E2269"/>
    <w:rsid w:val="002E230F"/>
    <w:rsid w:val="002E409B"/>
    <w:rsid w:val="002E47DE"/>
    <w:rsid w:val="002E486C"/>
    <w:rsid w:val="002E50AB"/>
    <w:rsid w:val="002E6873"/>
    <w:rsid w:val="002E6B83"/>
    <w:rsid w:val="002E7CBD"/>
    <w:rsid w:val="002F1EA9"/>
    <w:rsid w:val="002F2C74"/>
    <w:rsid w:val="002F2CCD"/>
    <w:rsid w:val="002F462C"/>
    <w:rsid w:val="002F5D2C"/>
    <w:rsid w:val="002F67E9"/>
    <w:rsid w:val="00300536"/>
    <w:rsid w:val="003029AE"/>
    <w:rsid w:val="0030485A"/>
    <w:rsid w:val="00306771"/>
    <w:rsid w:val="00307235"/>
    <w:rsid w:val="003075DD"/>
    <w:rsid w:val="0030775E"/>
    <w:rsid w:val="00307E7F"/>
    <w:rsid w:val="003119F6"/>
    <w:rsid w:val="00311FD0"/>
    <w:rsid w:val="0031209A"/>
    <w:rsid w:val="00312DEC"/>
    <w:rsid w:val="00313A44"/>
    <w:rsid w:val="003142AB"/>
    <w:rsid w:val="00316BFE"/>
    <w:rsid w:val="00316CA5"/>
    <w:rsid w:val="00317225"/>
    <w:rsid w:val="0032191B"/>
    <w:rsid w:val="00323AD8"/>
    <w:rsid w:val="00325CBD"/>
    <w:rsid w:val="00325DAB"/>
    <w:rsid w:val="0032604E"/>
    <w:rsid w:val="003266D2"/>
    <w:rsid w:val="003267E6"/>
    <w:rsid w:val="00327F0A"/>
    <w:rsid w:val="00330CE7"/>
    <w:rsid w:val="0033101D"/>
    <w:rsid w:val="003333A4"/>
    <w:rsid w:val="00333F1F"/>
    <w:rsid w:val="00334142"/>
    <w:rsid w:val="0033456B"/>
    <w:rsid w:val="003345AB"/>
    <w:rsid w:val="00335A50"/>
    <w:rsid w:val="00336D36"/>
    <w:rsid w:val="00337A36"/>
    <w:rsid w:val="00340953"/>
    <w:rsid w:val="003409E2"/>
    <w:rsid w:val="00340AD8"/>
    <w:rsid w:val="003420A6"/>
    <w:rsid w:val="003425DA"/>
    <w:rsid w:val="003427A1"/>
    <w:rsid w:val="003429ED"/>
    <w:rsid w:val="00343AF4"/>
    <w:rsid w:val="00344312"/>
    <w:rsid w:val="003443BC"/>
    <w:rsid w:val="00345051"/>
    <w:rsid w:val="00345F54"/>
    <w:rsid w:val="0034697C"/>
    <w:rsid w:val="003478C8"/>
    <w:rsid w:val="00350509"/>
    <w:rsid w:val="00350653"/>
    <w:rsid w:val="003508D5"/>
    <w:rsid w:val="0035093A"/>
    <w:rsid w:val="003512F7"/>
    <w:rsid w:val="00353BA9"/>
    <w:rsid w:val="00353C90"/>
    <w:rsid w:val="00353DFC"/>
    <w:rsid w:val="00354337"/>
    <w:rsid w:val="00354EE9"/>
    <w:rsid w:val="003551F4"/>
    <w:rsid w:val="00360922"/>
    <w:rsid w:val="003626CA"/>
    <w:rsid w:val="003629C2"/>
    <w:rsid w:val="00364767"/>
    <w:rsid w:val="003647B6"/>
    <w:rsid w:val="0037021C"/>
    <w:rsid w:val="00370B99"/>
    <w:rsid w:val="0037257B"/>
    <w:rsid w:val="00372D8E"/>
    <w:rsid w:val="00373519"/>
    <w:rsid w:val="00373CC4"/>
    <w:rsid w:val="003744C9"/>
    <w:rsid w:val="0037493A"/>
    <w:rsid w:val="00375156"/>
    <w:rsid w:val="00377AE2"/>
    <w:rsid w:val="003807D7"/>
    <w:rsid w:val="003823AB"/>
    <w:rsid w:val="00384CAD"/>
    <w:rsid w:val="00385E41"/>
    <w:rsid w:val="00387831"/>
    <w:rsid w:val="00387B95"/>
    <w:rsid w:val="0039020C"/>
    <w:rsid w:val="003910DB"/>
    <w:rsid w:val="00391352"/>
    <w:rsid w:val="003923C3"/>
    <w:rsid w:val="0039269C"/>
    <w:rsid w:val="003942C0"/>
    <w:rsid w:val="0039464B"/>
    <w:rsid w:val="00394B24"/>
    <w:rsid w:val="0039729B"/>
    <w:rsid w:val="003975A7"/>
    <w:rsid w:val="003976AD"/>
    <w:rsid w:val="003A0796"/>
    <w:rsid w:val="003A2844"/>
    <w:rsid w:val="003A35A7"/>
    <w:rsid w:val="003A3BB6"/>
    <w:rsid w:val="003A434F"/>
    <w:rsid w:val="003A465A"/>
    <w:rsid w:val="003A503E"/>
    <w:rsid w:val="003A7504"/>
    <w:rsid w:val="003B05AE"/>
    <w:rsid w:val="003B072D"/>
    <w:rsid w:val="003B19B5"/>
    <w:rsid w:val="003B1EC7"/>
    <w:rsid w:val="003B3ED3"/>
    <w:rsid w:val="003B5EF9"/>
    <w:rsid w:val="003B6387"/>
    <w:rsid w:val="003B6B7F"/>
    <w:rsid w:val="003B7AC4"/>
    <w:rsid w:val="003C042F"/>
    <w:rsid w:val="003C0FC5"/>
    <w:rsid w:val="003C2887"/>
    <w:rsid w:val="003C32A3"/>
    <w:rsid w:val="003C3B72"/>
    <w:rsid w:val="003C4CDF"/>
    <w:rsid w:val="003C5403"/>
    <w:rsid w:val="003C620B"/>
    <w:rsid w:val="003C6327"/>
    <w:rsid w:val="003C6DF5"/>
    <w:rsid w:val="003D1FBB"/>
    <w:rsid w:val="003D2006"/>
    <w:rsid w:val="003D24BD"/>
    <w:rsid w:val="003D2B7C"/>
    <w:rsid w:val="003D3B08"/>
    <w:rsid w:val="003D5969"/>
    <w:rsid w:val="003D6C18"/>
    <w:rsid w:val="003E25FF"/>
    <w:rsid w:val="003E2B40"/>
    <w:rsid w:val="003E2EAE"/>
    <w:rsid w:val="003E3DD6"/>
    <w:rsid w:val="003E3F24"/>
    <w:rsid w:val="003E4204"/>
    <w:rsid w:val="003E4419"/>
    <w:rsid w:val="003E5709"/>
    <w:rsid w:val="003E5763"/>
    <w:rsid w:val="003E6BF4"/>
    <w:rsid w:val="003E6E56"/>
    <w:rsid w:val="003E6EF9"/>
    <w:rsid w:val="003E75EA"/>
    <w:rsid w:val="003F106A"/>
    <w:rsid w:val="003F3A9F"/>
    <w:rsid w:val="003F6E65"/>
    <w:rsid w:val="003F7CBF"/>
    <w:rsid w:val="00400DDA"/>
    <w:rsid w:val="004010F0"/>
    <w:rsid w:val="00401649"/>
    <w:rsid w:val="00401D7D"/>
    <w:rsid w:val="00402856"/>
    <w:rsid w:val="0040589B"/>
    <w:rsid w:val="00405EDC"/>
    <w:rsid w:val="00407F7B"/>
    <w:rsid w:val="00410420"/>
    <w:rsid w:val="004108F5"/>
    <w:rsid w:val="0041262D"/>
    <w:rsid w:val="00413B4E"/>
    <w:rsid w:val="00413C46"/>
    <w:rsid w:val="0041518E"/>
    <w:rsid w:val="004160BC"/>
    <w:rsid w:val="00416D15"/>
    <w:rsid w:val="00417CF8"/>
    <w:rsid w:val="004205EE"/>
    <w:rsid w:val="0042093D"/>
    <w:rsid w:val="0042103F"/>
    <w:rsid w:val="00421832"/>
    <w:rsid w:val="00423C7F"/>
    <w:rsid w:val="0042472F"/>
    <w:rsid w:val="00424980"/>
    <w:rsid w:val="00426EF9"/>
    <w:rsid w:val="00426F5F"/>
    <w:rsid w:val="00430A63"/>
    <w:rsid w:val="0043202D"/>
    <w:rsid w:val="00432DF0"/>
    <w:rsid w:val="00432FE4"/>
    <w:rsid w:val="004356C1"/>
    <w:rsid w:val="00436413"/>
    <w:rsid w:val="004402DF"/>
    <w:rsid w:val="004403CF"/>
    <w:rsid w:val="00442446"/>
    <w:rsid w:val="00442B60"/>
    <w:rsid w:val="00442DCC"/>
    <w:rsid w:val="004441F5"/>
    <w:rsid w:val="0044423E"/>
    <w:rsid w:val="00445210"/>
    <w:rsid w:val="004468BC"/>
    <w:rsid w:val="00450EB1"/>
    <w:rsid w:val="004512B4"/>
    <w:rsid w:val="00451371"/>
    <w:rsid w:val="0045250F"/>
    <w:rsid w:val="00452DF6"/>
    <w:rsid w:val="00453EA8"/>
    <w:rsid w:val="0045469C"/>
    <w:rsid w:val="00457B51"/>
    <w:rsid w:val="00457CA8"/>
    <w:rsid w:val="00460381"/>
    <w:rsid w:val="00462AF4"/>
    <w:rsid w:val="00462E49"/>
    <w:rsid w:val="00463094"/>
    <w:rsid w:val="00463287"/>
    <w:rsid w:val="00463351"/>
    <w:rsid w:val="00463731"/>
    <w:rsid w:val="0046393C"/>
    <w:rsid w:val="00464A22"/>
    <w:rsid w:val="00466A6B"/>
    <w:rsid w:val="00467F85"/>
    <w:rsid w:val="00470B1C"/>
    <w:rsid w:val="00472541"/>
    <w:rsid w:val="00472584"/>
    <w:rsid w:val="00473A67"/>
    <w:rsid w:val="00473C44"/>
    <w:rsid w:val="00473F8B"/>
    <w:rsid w:val="00473FC7"/>
    <w:rsid w:val="00474970"/>
    <w:rsid w:val="00474B00"/>
    <w:rsid w:val="00474D64"/>
    <w:rsid w:val="00474F58"/>
    <w:rsid w:val="00474FFA"/>
    <w:rsid w:val="00475239"/>
    <w:rsid w:val="00475951"/>
    <w:rsid w:val="0047697F"/>
    <w:rsid w:val="004801CD"/>
    <w:rsid w:val="00480904"/>
    <w:rsid w:val="00480E99"/>
    <w:rsid w:val="004832AA"/>
    <w:rsid w:val="0048330F"/>
    <w:rsid w:val="00483977"/>
    <w:rsid w:val="004842AE"/>
    <w:rsid w:val="004842F5"/>
    <w:rsid w:val="004844D3"/>
    <w:rsid w:val="004853B7"/>
    <w:rsid w:val="00485B3C"/>
    <w:rsid w:val="00486A2E"/>
    <w:rsid w:val="00486FA1"/>
    <w:rsid w:val="00490DCA"/>
    <w:rsid w:val="00491CC6"/>
    <w:rsid w:val="00492E20"/>
    <w:rsid w:val="00493A32"/>
    <w:rsid w:val="00493E82"/>
    <w:rsid w:val="00494775"/>
    <w:rsid w:val="00495C19"/>
    <w:rsid w:val="004A14E7"/>
    <w:rsid w:val="004A2392"/>
    <w:rsid w:val="004A2C18"/>
    <w:rsid w:val="004A41C3"/>
    <w:rsid w:val="004A4A35"/>
    <w:rsid w:val="004A626E"/>
    <w:rsid w:val="004A723D"/>
    <w:rsid w:val="004B3313"/>
    <w:rsid w:val="004B55E7"/>
    <w:rsid w:val="004B63DD"/>
    <w:rsid w:val="004B735C"/>
    <w:rsid w:val="004C065E"/>
    <w:rsid w:val="004C065F"/>
    <w:rsid w:val="004C16E3"/>
    <w:rsid w:val="004C22FF"/>
    <w:rsid w:val="004C325B"/>
    <w:rsid w:val="004C71D1"/>
    <w:rsid w:val="004C7820"/>
    <w:rsid w:val="004D0569"/>
    <w:rsid w:val="004D057E"/>
    <w:rsid w:val="004D0E70"/>
    <w:rsid w:val="004D1D04"/>
    <w:rsid w:val="004D3DBF"/>
    <w:rsid w:val="004D4168"/>
    <w:rsid w:val="004D5552"/>
    <w:rsid w:val="004D70F4"/>
    <w:rsid w:val="004E02F8"/>
    <w:rsid w:val="004E140F"/>
    <w:rsid w:val="004E264B"/>
    <w:rsid w:val="004E3326"/>
    <w:rsid w:val="004E3B07"/>
    <w:rsid w:val="004E41D0"/>
    <w:rsid w:val="004E6834"/>
    <w:rsid w:val="004E6DA7"/>
    <w:rsid w:val="004E6F56"/>
    <w:rsid w:val="004E7BF7"/>
    <w:rsid w:val="004F015B"/>
    <w:rsid w:val="004F2B72"/>
    <w:rsid w:val="004F3095"/>
    <w:rsid w:val="004F3479"/>
    <w:rsid w:val="004F39FB"/>
    <w:rsid w:val="004F4417"/>
    <w:rsid w:val="00502D89"/>
    <w:rsid w:val="005055C0"/>
    <w:rsid w:val="00505D6A"/>
    <w:rsid w:val="0050691C"/>
    <w:rsid w:val="005077D5"/>
    <w:rsid w:val="00507E05"/>
    <w:rsid w:val="00510463"/>
    <w:rsid w:val="00511477"/>
    <w:rsid w:val="005126AA"/>
    <w:rsid w:val="00513095"/>
    <w:rsid w:val="005133D8"/>
    <w:rsid w:val="0051458E"/>
    <w:rsid w:val="00515680"/>
    <w:rsid w:val="00515FB4"/>
    <w:rsid w:val="005165EB"/>
    <w:rsid w:val="00516614"/>
    <w:rsid w:val="005169C4"/>
    <w:rsid w:val="00517205"/>
    <w:rsid w:val="00517EAD"/>
    <w:rsid w:val="00520816"/>
    <w:rsid w:val="00520FA7"/>
    <w:rsid w:val="005218C2"/>
    <w:rsid w:val="00522DE5"/>
    <w:rsid w:val="0052513D"/>
    <w:rsid w:val="00525907"/>
    <w:rsid w:val="00526B82"/>
    <w:rsid w:val="005271D9"/>
    <w:rsid w:val="0052744A"/>
    <w:rsid w:val="00530057"/>
    <w:rsid w:val="00530595"/>
    <w:rsid w:val="005323CD"/>
    <w:rsid w:val="005326EF"/>
    <w:rsid w:val="00532A9D"/>
    <w:rsid w:val="00533AF2"/>
    <w:rsid w:val="00533F95"/>
    <w:rsid w:val="0053430E"/>
    <w:rsid w:val="00534D5D"/>
    <w:rsid w:val="0053684C"/>
    <w:rsid w:val="0053738E"/>
    <w:rsid w:val="005374B2"/>
    <w:rsid w:val="0054050C"/>
    <w:rsid w:val="00541639"/>
    <w:rsid w:val="00541CE4"/>
    <w:rsid w:val="00541CF8"/>
    <w:rsid w:val="00542E24"/>
    <w:rsid w:val="00543A72"/>
    <w:rsid w:val="00544A0E"/>
    <w:rsid w:val="005457FD"/>
    <w:rsid w:val="0054730D"/>
    <w:rsid w:val="0055097E"/>
    <w:rsid w:val="00552A60"/>
    <w:rsid w:val="0055462B"/>
    <w:rsid w:val="0055571B"/>
    <w:rsid w:val="00555B43"/>
    <w:rsid w:val="00555BC9"/>
    <w:rsid w:val="00556524"/>
    <w:rsid w:val="0055659A"/>
    <w:rsid w:val="005572BE"/>
    <w:rsid w:val="005577BA"/>
    <w:rsid w:val="00561402"/>
    <w:rsid w:val="00561B67"/>
    <w:rsid w:val="005634D7"/>
    <w:rsid w:val="00563CFE"/>
    <w:rsid w:val="005671FC"/>
    <w:rsid w:val="005675A8"/>
    <w:rsid w:val="00567D47"/>
    <w:rsid w:val="005701DE"/>
    <w:rsid w:val="00570EA5"/>
    <w:rsid w:val="005728EC"/>
    <w:rsid w:val="00573677"/>
    <w:rsid w:val="00573C44"/>
    <w:rsid w:val="00574A48"/>
    <w:rsid w:val="00575D20"/>
    <w:rsid w:val="00575E54"/>
    <w:rsid w:val="00580062"/>
    <w:rsid w:val="005800D5"/>
    <w:rsid w:val="00580192"/>
    <w:rsid w:val="00580EBA"/>
    <w:rsid w:val="0058225B"/>
    <w:rsid w:val="005825BA"/>
    <w:rsid w:val="005838A3"/>
    <w:rsid w:val="00583E08"/>
    <w:rsid w:val="00585D5B"/>
    <w:rsid w:val="00585E23"/>
    <w:rsid w:val="00586963"/>
    <w:rsid w:val="00586DB8"/>
    <w:rsid w:val="00587688"/>
    <w:rsid w:val="00587703"/>
    <w:rsid w:val="00590A9B"/>
    <w:rsid w:val="005910D7"/>
    <w:rsid w:val="00591811"/>
    <w:rsid w:val="005921B2"/>
    <w:rsid w:val="00592269"/>
    <w:rsid w:val="005927F6"/>
    <w:rsid w:val="00593B29"/>
    <w:rsid w:val="00594121"/>
    <w:rsid w:val="00594FA9"/>
    <w:rsid w:val="005975D0"/>
    <w:rsid w:val="005A257A"/>
    <w:rsid w:val="005A2917"/>
    <w:rsid w:val="005A2922"/>
    <w:rsid w:val="005A29C1"/>
    <w:rsid w:val="005A30C2"/>
    <w:rsid w:val="005A3153"/>
    <w:rsid w:val="005A4BAB"/>
    <w:rsid w:val="005A52DF"/>
    <w:rsid w:val="005A5469"/>
    <w:rsid w:val="005A63D3"/>
    <w:rsid w:val="005A6F92"/>
    <w:rsid w:val="005B10C7"/>
    <w:rsid w:val="005B15FA"/>
    <w:rsid w:val="005B2421"/>
    <w:rsid w:val="005B2AB7"/>
    <w:rsid w:val="005B33CC"/>
    <w:rsid w:val="005B4AAC"/>
    <w:rsid w:val="005B543D"/>
    <w:rsid w:val="005B5D79"/>
    <w:rsid w:val="005B7327"/>
    <w:rsid w:val="005B732F"/>
    <w:rsid w:val="005C0D74"/>
    <w:rsid w:val="005C1D21"/>
    <w:rsid w:val="005C227C"/>
    <w:rsid w:val="005C5F02"/>
    <w:rsid w:val="005C63F2"/>
    <w:rsid w:val="005C6536"/>
    <w:rsid w:val="005C660E"/>
    <w:rsid w:val="005C66A9"/>
    <w:rsid w:val="005C693B"/>
    <w:rsid w:val="005C6A48"/>
    <w:rsid w:val="005C6AAE"/>
    <w:rsid w:val="005C6C80"/>
    <w:rsid w:val="005D0940"/>
    <w:rsid w:val="005D45A1"/>
    <w:rsid w:val="005D4C01"/>
    <w:rsid w:val="005D54D7"/>
    <w:rsid w:val="005D6D41"/>
    <w:rsid w:val="005D6DA6"/>
    <w:rsid w:val="005D7B55"/>
    <w:rsid w:val="005E0125"/>
    <w:rsid w:val="005E1A72"/>
    <w:rsid w:val="005E2887"/>
    <w:rsid w:val="005E3C7A"/>
    <w:rsid w:val="005E3C94"/>
    <w:rsid w:val="005E4619"/>
    <w:rsid w:val="005E47D9"/>
    <w:rsid w:val="005E4A07"/>
    <w:rsid w:val="005E4B50"/>
    <w:rsid w:val="005E53E6"/>
    <w:rsid w:val="005E5BD2"/>
    <w:rsid w:val="005F0178"/>
    <w:rsid w:val="005F065B"/>
    <w:rsid w:val="005F0F3D"/>
    <w:rsid w:val="005F1B5B"/>
    <w:rsid w:val="005F1C2C"/>
    <w:rsid w:val="005F7D62"/>
    <w:rsid w:val="006000EE"/>
    <w:rsid w:val="00600122"/>
    <w:rsid w:val="0060070D"/>
    <w:rsid w:val="006017AE"/>
    <w:rsid w:val="00604ED5"/>
    <w:rsid w:val="0060571A"/>
    <w:rsid w:val="00606749"/>
    <w:rsid w:val="00607772"/>
    <w:rsid w:val="0061215B"/>
    <w:rsid w:val="00612653"/>
    <w:rsid w:val="006138B3"/>
    <w:rsid w:val="00613D47"/>
    <w:rsid w:val="0061461A"/>
    <w:rsid w:val="00615C4C"/>
    <w:rsid w:val="006160BE"/>
    <w:rsid w:val="00617D03"/>
    <w:rsid w:val="00617FED"/>
    <w:rsid w:val="0062127B"/>
    <w:rsid w:val="006218A1"/>
    <w:rsid w:val="006238CF"/>
    <w:rsid w:val="00623CED"/>
    <w:rsid w:val="006252A8"/>
    <w:rsid w:val="0062552A"/>
    <w:rsid w:val="00626728"/>
    <w:rsid w:val="0062711A"/>
    <w:rsid w:val="00627656"/>
    <w:rsid w:val="00627D36"/>
    <w:rsid w:val="00630FC7"/>
    <w:rsid w:val="00632106"/>
    <w:rsid w:val="0063228B"/>
    <w:rsid w:val="0063420E"/>
    <w:rsid w:val="00636022"/>
    <w:rsid w:val="00636367"/>
    <w:rsid w:val="0063799F"/>
    <w:rsid w:val="00637A80"/>
    <w:rsid w:val="00641225"/>
    <w:rsid w:val="00641260"/>
    <w:rsid w:val="00641670"/>
    <w:rsid w:val="00642840"/>
    <w:rsid w:val="00645A00"/>
    <w:rsid w:val="006463AF"/>
    <w:rsid w:val="006464E3"/>
    <w:rsid w:val="00647403"/>
    <w:rsid w:val="00651965"/>
    <w:rsid w:val="00653AD0"/>
    <w:rsid w:val="00653BBB"/>
    <w:rsid w:val="00654024"/>
    <w:rsid w:val="00654297"/>
    <w:rsid w:val="006548C8"/>
    <w:rsid w:val="006552F8"/>
    <w:rsid w:val="00657E4E"/>
    <w:rsid w:val="00657E63"/>
    <w:rsid w:val="00660861"/>
    <w:rsid w:val="00660D9A"/>
    <w:rsid w:val="006617B1"/>
    <w:rsid w:val="00662AB9"/>
    <w:rsid w:val="00663CC2"/>
    <w:rsid w:val="00664477"/>
    <w:rsid w:val="00664E67"/>
    <w:rsid w:val="006653C7"/>
    <w:rsid w:val="0066794F"/>
    <w:rsid w:val="00667B3F"/>
    <w:rsid w:val="00670B83"/>
    <w:rsid w:val="00671075"/>
    <w:rsid w:val="00672BEF"/>
    <w:rsid w:val="00673837"/>
    <w:rsid w:val="00675223"/>
    <w:rsid w:val="006754AA"/>
    <w:rsid w:val="00675DC2"/>
    <w:rsid w:val="00676087"/>
    <w:rsid w:val="006817FB"/>
    <w:rsid w:val="0068444C"/>
    <w:rsid w:val="00684CBC"/>
    <w:rsid w:val="006865DB"/>
    <w:rsid w:val="00687EE5"/>
    <w:rsid w:val="00690B7B"/>
    <w:rsid w:val="006917B4"/>
    <w:rsid w:val="00693B71"/>
    <w:rsid w:val="00694796"/>
    <w:rsid w:val="00694BEC"/>
    <w:rsid w:val="00694C8A"/>
    <w:rsid w:val="00695140"/>
    <w:rsid w:val="00695691"/>
    <w:rsid w:val="006977A6"/>
    <w:rsid w:val="006A0E18"/>
    <w:rsid w:val="006A4752"/>
    <w:rsid w:val="006A4C36"/>
    <w:rsid w:val="006A5FFE"/>
    <w:rsid w:val="006A6CB0"/>
    <w:rsid w:val="006A7C11"/>
    <w:rsid w:val="006A7D95"/>
    <w:rsid w:val="006B0166"/>
    <w:rsid w:val="006B2F9D"/>
    <w:rsid w:val="006B3490"/>
    <w:rsid w:val="006B626A"/>
    <w:rsid w:val="006B62C0"/>
    <w:rsid w:val="006B7FED"/>
    <w:rsid w:val="006C014E"/>
    <w:rsid w:val="006C138C"/>
    <w:rsid w:val="006C13FD"/>
    <w:rsid w:val="006C2FB0"/>
    <w:rsid w:val="006C3A59"/>
    <w:rsid w:val="006C3FC9"/>
    <w:rsid w:val="006C578C"/>
    <w:rsid w:val="006C596C"/>
    <w:rsid w:val="006D1296"/>
    <w:rsid w:val="006D1DA9"/>
    <w:rsid w:val="006D2330"/>
    <w:rsid w:val="006D29CA"/>
    <w:rsid w:val="006D2DD3"/>
    <w:rsid w:val="006D32B4"/>
    <w:rsid w:val="006D36E6"/>
    <w:rsid w:val="006D393B"/>
    <w:rsid w:val="006D39D1"/>
    <w:rsid w:val="006D3E18"/>
    <w:rsid w:val="006D590B"/>
    <w:rsid w:val="006D7215"/>
    <w:rsid w:val="006D7818"/>
    <w:rsid w:val="006D7853"/>
    <w:rsid w:val="006E026C"/>
    <w:rsid w:val="006E060F"/>
    <w:rsid w:val="006E085C"/>
    <w:rsid w:val="006E0CA5"/>
    <w:rsid w:val="006E34F1"/>
    <w:rsid w:val="006E4188"/>
    <w:rsid w:val="006E4A1C"/>
    <w:rsid w:val="006E6E04"/>
    <w:rsid w:val="006E6FE8"/>
    <w:rsid w:val="006F0ADC"/>
    <w:rsid w:val="006F0D07"/>
    <w:rsid w:val="006F183D"/>
    <w:rsid w:val="006F35D5"/>
    <w:rsid w:val="006F3FB8"/>
    <w:rsid w:val="006F4168"/>
    <w:rsid w:val="006F48E0"/>
    <w:rsid w:val="006F4B3F"/>
    <w:rsid w:val="006F6A01"/>
    <w:rsid w:val="006F7A5A"/>
    <w:rsid w:val="00701B2B"/>
    <w:rsid w:val="00701C17"/>
    <w:rsid w:val="00701C56"/>
    <w:rsid w:val="007030C4"/>
    <w:rsid w:val="00703394"/>
    <w:rsid w:val="0070373D"/>
    <w:rsid w:val="0070462A"/>
    <w:rsid w:val="00704EC5"/>
    <w:rsid w:val="00705D1A"/>
    <w:rsid w:val="0070676A"/>
    <w:rsid w:val="00706E3A"/>
    <w:rsid w:val="00707514"/>
    <w:rsid w:val="00710FB6"/>
    <w:rsid w:val="00712DBE"/>
    <w:rsid w:val="00714054"/>
    <w:rsid w:val="007152A3"/>
    <w:rsid w:val="00716671"/>
    <w:rsid w:val="00716B23"/>
    <w:rsid w:val="00716E28"/>
    <w:rsid w:val="0071773B"/>
    <w:rsid w:val="00721388"/>
    <w:rsid w:val="00722588"/>
    <w:rsid w:val="0072333A"/>
    <w:rsid w:val="00724324"/>
    <w:rsid w:val="00724605"/>
    <w:rsid w:val="007254FC"/>
    <w:rsid w:val="0072616E"/>
    <w:rsid w:val="00731149"/>
    <w:rsid w:val="00731B30"/>
    <w:rsid w:val="00732F4C"/>
    <w:rsid w:val="00733E85"/>
    <w:rsid w:val="00734365"/>
    <w:rsid w:val="00735DF7"/>
    <w:rsid w:val="00735FC8"/>
    <w:rsid w:val="00736893"/>
    <w:rsid w:val="00741555"/>
    <w:rsid w:val="00742818"/>
    <w:rsid w:val="00742BF7"/>
    <w:rsid w:val="00743B82"/>
    <w:rsid w:val="0074418A"/>
    <w:rsid w:val="00744C63"/>
    <w:rsid w:val="00745CE5"/>
    <w:rsid w:val="00746C34"/>
    <w:rsid w:val="00750D89"/>
    <w:rsid w:val="007518A6"/>
    <w:rsid w:val="00751926"/>
    <w:rsid w:val="00752B7E"/>
    <w:rsid w:val="00754536"/>
    <w:rsid w:val="00756156"/>
    <w:rsid w:val="00756E60"/>
    <w:rsid w:val="00757831"/>
    <w:rsid w:val="00757D5E"/>
    <w:rsid w:val="00760524"/>
    <w:rsid w:val="007606E0"/>
    <w:rsid w:val="00760ACB"/>
    <w:rsid w:val="007611E0"/>
    <w:rsid w:val="00763E72"/>
    <w:rsid w:val="00765B8A"/>
    <w:rsid w:val="00766336"/>
    <w:rsid w:val="0076765C"/>
    <w:rsid w:val="007676C7"/>
    <w:rsid w:val="00770BAC"/>
    <w:rsid w:val="00770D49"/>
    <w:rsid w:val="00776072"/>
    <w:rsid w:val="00783664"/>
    <w:rsid w:val="007836EA"/>
    <w:rsid w:val="0078565B"/>
    <w:rsid w:val="00787396"/>
    <w:rsid w:val="00787764"/>
    <w:rsid w:val="00790401"/>
    <w:rsid w:val="007910D9"/>
    <w:rsid w:val="007912D4"/>
    <w:rsid w:val="00791645"/>
    <w:rsid w:val="00791943"/>
    <w:rsid w:val="00793B95"/>
    <w:rsid w:val="00794620"/>
    <w:rsid w:val="00794FC1"/>
    <w:rsid w:val="00796428"/>
    <w:rsid w:val="00797031"/>
    <w:rsid w:val="007A06E4"/>
    <w:rsid w:val="007A0A6D"/>
    <w:rsid w:val="007A168D"/>
    <w:rsid w:val="007A1951"/>
    <w:rsid w:val="007A1AC8"/>
    <w:rsid w:val="007A2239"/>
    <w:rsid w:val="007A30B8"/>
    <w:rsid w:val="007A3111"/>
    <w:rsid w:val="007A46C3"/>
    <w:rsid w:val="007A470C"/>
    <w:rsid w:val="007A5C57"/>
    <w:rsid w:val="007A6DB8"/>
    <w:rsid w:val="007B13AD"/>
    <w:rsid w:val="007B1992"/>
    <w:rsid w:val="007B1D7A"/>
    <w:rsid w:val="007B25B7"/>
    <w:rsid w:val="007B41B9"/>
    <w:rsid w:val="007B4248"/>
    <w:rsid w:val="007B6419"/>
    <w:rsid w:val="007B7768"/>
    <w:rsid w:val="007C0D28"/>
    <w:rsid w:val="007C1CE4"/>
    <w:rsid w:val="007C24D7"/>
    <w:rsid w:val="007C2F36"/>
    <w:rsid w:val="007C4879"/>
    <w:rsid w:val="007C4892"/>
    <w:rsid w:val="007C50EC"/>
    <w:rsid w:val="007C5BE6"/>
    <w:rsid w:val="007C5F39"/>
    <w:rsid w:val="007C6D0E"/>
    <w:rsid w:val="007C6E0B"/>
    <w:rsid w:val="007C721D"/>
    <w:rsid w:val="007C77E4"/>
    <w:rsid w:val="007D0996"/>
    <w:rsid w:val="007D1B06"/>
    <w:rsid w:val="007D3A0D"/>
    <w:rsid w:val="007D6F99"/>
    <w:rsid w:val="007D7000"/>
    <w:rsid w:val="007D7CDE"/>
    <w:rsid w:val="007D7CFE"/>
    <w:rsid w:val="007D7DA5"/>
    <w:rsid w:val="007D7E41"/>
    <w:rsid w:val="007E00C1"/>
    <w:rsid w:val="007E094C"/>
    <w:rsid w:val="007E0C7F"/>
    <w:rsid w:val="007E422B"/>
    <w:rsid w:val="007E71C2"/>
    <w:rsid w:val="007F01E3"/>
    <w:rsid w:val="007F0E9F"/>
    <w:rsid w:val="007F143F"/>
    <w:rsid w:val="007F1B10"/>
    <w:rsid w:val="007F246B"/>
    <w:rsid w:val="007F3F91"/>
    <w:rsid w:val="0080158E"/>
    <w:rsid w:val="008018D3"/>
    <w:rsid w:val="008024D9"/>
    <w:rsid w:val="0080256E"/>
    <w:rsid w:val="00802742"/>
    <w:rsid w:val="0080347A"/>
    <w:rsid w:val="00805187"/>
    <w:rsid w:val="00806511"/>
    <w:rsid w:val="00807ECB"/>
    <w:rsid w:val="008113A9"/>
    <w:rsid w:val="008124B8"/>
    <w:rsid w:val="008139A8"/>
    <w:rsid w:val="00814091"/>
    <w:rsid w:val="00815EC4"/>
    <w:rsid w:val="00816CD0"/>
    <w:rsid w:val="008178F2"/>
    <w:rsid w:val="00817D04"/>
    <w:rsid w:val="00821215"/>
    <w:rsid w:val="00821C62"/>
    <w:rsid w:val="008231EC"/>
    <w:rsid w:val="00825160"/>
    <w:rsid w:val="00825A5A"/>
    <w:rsid w:val="008308E1"/>
    <w:rsid w:val="0083196D"/>
    <w:rsid w:val="0083211B"/>
    <w:rsid w:val="00832A29"/>
    <w:rsid w:val="00833012"/>
    <w:rsid w:val="00833472"/>
    <w:rsid w:val="008348B0"/>
    <w:rsid w:val="008353A8"/>
    <w:rsid w:val="00836248"/>
    <w:rsid w:val="00836E10"/>
    <w:rsid w:val="008375DF"/>
    <w:rsid w:val="008376B5"/>
    <w:rsid w:val="00837A9E"/>
    <w:rsid w:val="00837B50"/>
    <w:rsid w:val="00841A5F"/>
    <w:rsid w:val="00844001"/>
    <w:rsid w:val="00845239"/>
    <w:rsid w:val="0084530D"/>
    <w:rsid w:val="00845A4F"/>
    <w:rsid w:val="008468F6"/>
    <w:rsid w:val="00847B4F"/>
    <w:rsid w:val="008521BF"/>
    <w:rsid w:val="0085234C"/>
    <w:rsid w:val="00853766"/>
    <w:rsid w:val="00853AF2"/>
    <w:rsid w:val="008557C0"/>
    <w:rsid w:val="00855C9E"/>
    <w:rsid w:val="0085607C"/>
    <w:rsid w:val="00856454"/>
    <w:rsid w:val="00856F6D"/>
    <w:rsid w:val="00856FC6"/>
    <w:rsid w:val="00857F0D"/>
    <w:rsid w:val="008609B4"/>
    <w:rsid w:val="00860EFE"/>
    <w:rsid w:val="00861D44"/>
    <w:rsid w:val="00863ECE"/>
    <w:rsid w:val="00864635"/>
    <w:rsid w:val="00864F23"/>
    <w:rsid w:val="0086630A"/>
    <w:rsid w:val="00866386"/>
    <w:rsid w:val="00871F65"/>
    <w:rsid w:val="00871F78"/>
    <w:rsid w:val="00872CA7"/>
    <w:rsid w:val="008734DD"/>
    <w:rsid w:val="008734EA"/>
    <w:rsid w:val="00876942"/>
    <w:rsid w:val="008770FC"/>
    <w:rsid w:val="008775FB"/>
    <w:rsid w:val="00880D3F"/>
    <w:rsid w:val="00880DE8"/>
    <w:rsid w:val="00882164"/>
    <w:rsid w:val="00882E29"/>
    <w:rsid w:val="00883DCE"/>
    <w:rsid w:val="00884150"/>
    <w:rsid w:val="0088439A"/>
    <w:rsid w:val="00887795"/>
    <w:rsid w:val="0088796F"/>
    <w:rsid w:val="00887C71"/>
    <w:rsid w:val="00890DB3"/>
    <w:rsid w:val="00892B9F"/>
    <w:rsid w:val="008936FC"/>
    <w:rsid w:val="00895344"/>
    <w:rsid w:val="008A281A"/>
    <w:rsid w:val="008A394C"/>
    <w:rsid w:val="008A3AA5"/>
    <w:rsid w:val="008A48BD"/>
    <w:rsid w:val="008B2F32"/>
    <w:rsid w:val="008B6935"/>
    <w:rsid w:val="008B7220"/>
    <w:rsid w:val="008B728D"/>
    <w:rsid w:val="008C19E3"/>
    <w:rsid w:val="008C1B25"/>
    <w:rsid w:val="008C2559"/>
    <w:rsid w:val="008C27F9"/>
    <w:rsid w:val="008C2E5B"/>
    <w:rsid w:val="008C386A"/>
    <w:rsid w:val="008C3E3F"/>
    <w:rsid w:val="008C40EF"/>
    <w:rsid w:val="008C4D29"/>
    <w:rsid w:val="008C57CF"/>
    <w:rsid w:val="008C5812"/>
    <w:rsid w:val="008D3108"/>
    <w:rsid w:val="008D5551"/>
    <w:rsid w:val="008D55A8"/>
    <w:rsid w:val="008D7364"/>
    <w:rsid w:val="008D7607"/>
    <w:rsid w:val="008D764A"/>
    <w:rsid w:val="008D7866"/>
    <w:rsid w:val="008E0CDC"/>
    <w:rsid w:val="008E30A5"/>
    <w:rsid w:val="008E3983"/>
    <w:rsid w:val="008E4415"/>
    <w:rsid w:val="008E48C2"/>
    <w:rsid w:val="008E4C28"/>
    <w:rsid w:val="008E4F45"/>
    <w:rsid w:val="008E587D"/>
    <w:rsid w:val="008F1C40"/>
    <w:rsid w:val="008F1D88"/>
    <w:rsid w:val="008F2AB4"/>
    <w:rsid w:val="008F2BA3"/>
    <w:rsid w:val="008F2CA8"/>
    <w:rsid w:val="008F2DC7"/>
    <w:rsid w:val="008F3A66"/>
    <w:rsid w:val="008F63A4"/>
    <w:rsid w:val="008F68EA"/>
    <w:rsid w:val="008F7851"/>
    <w:rsid w:val="008F7D20"/>
    <w:rsid w:val="00900633"/>
    <w:rsid w:val="00901187"/>
    <w:rsid w:val="00901874"/>
    <w:rsid w:val="009027B2"/>
    <w:rsid w:val="0090485E"/>
    <w:rsid w:val="00905275"/>
    <w:rsid w:val="00906A06"/>
    <w:rsid w:val="00907172"/>
    <w:rsid w:val="0090793B"/>
    <w:rsid w:val="00911F5F"/>
    <w:rsid w:val="00912CB9"/>
    <w:rsid w:val="009135AC"/>
    <w:rsid w:val="009203B6"/>
    <w:rsid w:val="00921C77"/>
    <w:rsid w:val="00921E5B"/>
    <w:rsid w:val="009224A9"/>
    <w:rsid w:val="00922BC3"/>
    <w:rsid w:val="009244F6"/>
    <w:rsid w:val="009267F1"/>
    <w:rsid w:val="0092699E"/>
    <w:rsid w:val="00926E45"/>
    <w:rsid w:val="00926E91"/>
    <w:rsid w:val="009279D5"/>
    <w:rsid w:val="00927AF4"/>
    <w:rsid w:val="0093093A"/>
    <w:rsid w:val="00931F48"/>
    <w:rsid w:val="009327FE"/>
    <w:rsid w:val="009335B1"/>
    <w:rsid w:val="00933FEC"/>
    <w:rsid w:val="00934C28"/>
    <w:rsid w:val="00934DA9"/>
    <w:rsid w:val="00935DC7"/>
    <w:rsid w:val="00937BD9"/>
    <w:rsid w:val="00937E64"/>
    <w:rsid w:val="00937F85"/>
    <w:rsid w:val="00940CA6"/>
    <w:rsid w:val="0094238F"/>
    <w:rsid w:val="00942D6D"/>
    <w:rsid w:val="00944C75"/>
    <w:rsid w:val="00945C4D"/>
    <w:rsid w:val="00945DF1"/>
    <w:rsid w:val="009479D5"/>
    <w:rsid w:val="00950DC9"/>
    <w:rsid w:val="00951348"/>
    <w:rsid w:val="00951E5C"/>
    <w:rsid w:val="00952BA0"/>
    <w:rsid w:val="0095308F"/>
    <w:rsid w:val="00954DC6"/>
    <w:rsid w:val="00955AE8"/>
    <w:rsid w:val="0095663F"/>
    <w:rsid w:val="00956E88"/>
    <w:rsid w:val="00957793"/>
    <w:rsid w:val="00961E55"/>
    <w:rsid w:val="0096301D"/>
    <w:rsid w:val="009644A0"/>
    <w:rsid w:val="00965DAF"/>
    <w:rsid w:val="009661E4"/>
    <w:rsid w:val="00966C62"/>
    <w:rsid w:val="00967BC4"/>
    <w:rsid w:val="00967CE7"/>
    <w:rsid w:val="00970D39"/>
    <w:rsid w:val="00971B4F"/>
    <w:rsid w:val="00975127"/>
    <w:rsid w:val="009756C3"/>
    <w:rsid w:val="009777D7"/>
    <w:rsid w:val="00981EC8"/>
    <w:rsid w:val="00982200"/>
    <w:rsid w:val="009829B8"/>
    <w:rsid w:val="00985D58"/>
    <w:rsid w:val="00985EB5"/>
    <w:rsid w:val="009860EA"/>
    <w:rsid w:val="00986E0B"/>
    <w:rsid w:val="009876E4"/>
    <w:rsid w:val="00990395"/>
    <w:rsid w:val="00996B21"/>
    <w:rsid w:val="009971CC"/>
    <w:rsid w:val="009A0DF6"/>
    <w:rsid w:val="009A10D1"/>
    <w:rsid w:val="009A25BC"/>
    <w:rsid w:val="009A3061"/>
    <w:rsid w:val="009A392B"/>
    <w:rsid w:val="009A3A94"/>
    <w:rsid w:val="009A400A"/>
    <w:rsid w:val="009A489F"/>
    <w:rsid w:val="009A4BEF"/>
    <w:rsid w:val="009A4D9D"/>
    <w:rsid w:val="009A586D"/>
    <w:rsid w:val="009A5AAC"/>
    <w:rsid w:val="009A5D8F"/>
    <w:rsid w:val="009A6501"/>
    <w:rsid w:val="009B082D"/>
    <w:rsid w:val="009B116D"/>
    <w:rsid w:val="009B13EB"/>
    <w:rsid w:val="009B19A6"/>
    <w:rsid w:val="009B1AFD"/>
    <w:rsid w:val="009B28E1"/>
    <w:rsid w:val="009B3539"/>
    <w:rsid w:val="009B402B"/>
    <w:rsid w:val="009B4C6E"/>
    <w:rsid w:val="009B4E25"/>
    <w:rsid w:val="009B632B"/>
    <w:rsid w:val="009B69A3"/>
    <w:rsid w:val="009B77B3"/>
    <w:rsid w:val="009C119D"/>
    <w:rsid w:val="009C159A"/>
    <w:rsid w:val="009C1A2B"/>
    <w:rsid w:val="009C4037"/>
    <w:rsid w:val="009C46D9"/>
    <w:rsid w:val="009C5023"/>
    <w:rsid w:val="009C5D49"/>
    <w:rsid w:val="009C5E0E"/>
    <w:rsid w:val="009C7410"/>
    <w:rsid w:val="009C7719"/>
    <w:rsid w:val="009D09D5"/>
    <w:rsid w:val="009D0EF3"/>
    <w:rsid w:val="009D26AB"/>
    <w:rsid w:val="009D2E34"/>
    <w:rsid w:val="009D30EE"/>
    <w:rsid w:val="009D32C5"/>
    <w:rsid w:val="009D424F"/>
    <w:rsid w:val="009D4789"/>
    <w:rsid w:val="009D48CE"/>
    <w:rsid w:val="009D4AA2"/>
    <w:rsid w:val="009D538C"/>
    <w:rsid w:val="009D57DB"/>
    <w:rsid w:val="009D601E"/>
    <w:rsid w:val="009D69C5"/>
    <w:rsid w:val="009E01BF"/>
    <w:rsid w:val="009E02BA"/>
    <w:rsid w:val="009E0482"/>
    <w:rsid w:val="009E089F"/>
    <w:rsid w:val="009E12BB"/>
    <w:rsid w:val="009E1F38"/>
    <w:rsid w:val="009E2D1C"/>
    <w:rsid w:val="009E36C8"/>
    <w:rsid w:val="009E41AC"/>
    <w:rsid w:val="009E4DDD"/>
    <w:rsid w:val="009E5293"/>
    <w:rsid w:val="009E5E38"/>
    <w:rsid w:val="009E7C10"/>
    <w:rsid w:val="009F17EE"/>
    <w:rsid w:val="009F2143"/>
    <w:rsid w:val="009F3475"/>
    <w:rsid w:val="009F535A"/>
    <w:rsid w:val="009F6793"/>
    <w:rsid w:val="009F749D"/>
    <w:rsid w:val="00A011F2"/>
    <w:rsid w:val="00A012EF"/>
    <w:rsid w:val="00A01D8A"/>
    <w:rsid w:val="00A04618"/>
    <w:rsid w:val="00A04B50"/>
    <w:rsid w:val="00A05E71"/>
    <w:rsid w:val="00A0674B"/>
    <w:rsid w:val="00A0751A"/>
    <w:rsid w:val="00A12FC4"/>
    <w:rsid w:val="00A130B1"/>
    <w:rsid w:val="00A13702"/>
    <w:rsid w:val="00A14305"/>
    <w:rsid w:val="00A20A5B"/>
    <w:rsid w:val="00A21D01"/>
    <w:rsid w:val="00A24B31"/>
    <w:rsid w:val="00A25166"/>
    <w:rsid w:val="00A25BD4"/>
    <w:rsid w:val="00A25DB1"/>
    <w:rsid w:val="00A26A6D"/>
    <w:rsid w:val="00A27599"/>
    <w:rsid w:val="00A27737"/>
    <w:rsid w:val="00A30878"/>
    <w:rsid w:val="00A31CBE"/>
    <w:rsid w:val="00A32861"/>
    <w:rsid w:val="00A334A2"/>
    <w:rsid w:val="00A33C62"/>
    <w:rsid w:val="00A340E7"/>
    <w:rsid w:val="00A34310"/>
    <w:rsid w:val="00A40942"/>
    <w:rsid w:val="00A411F1"/>
    <w:rsid w:val="00A41D69"/>
    <w:rsid w:val="00A42D40"/>
    <w:rsid w:val="00A43E2B"/>
    <w:rsid w:val="00A45535"/>
    <w:rsid w:val="00A464B9"/>
    <w:rsid w:val="00A46CA7"/>
    <w:rsid w:val="00A47102"/>
    <w:rsid w:val="00A4788F"/>
    <w:rsid w:val="00A50C5F"/>
    <w:rsid w:val="00A50CE0"/>
    <w:rsid w:val="00A516B1"/>
    <w:rsid w:val="00A553E2"/>
    <w:rsid w:val="00A569B4"/>
    <w:rsid w:val="00A6083E"/>
    <w:rsid w:val="00A61A53"/>
    <w:rsid w:val="00A63B56"/>
    <w:rsid w:val="00A64AEE"/>
    <w:rsid w:val="00A65F5E"/>
    <w:rsid w:val="00A672DD"/>
    <w:rsid w:val="00A67835"/>
    <w:rsid w:val="00A703AA"/>
    <w:rsid w:val="00A7078B"/>
    <w:rsid w:val="00A73012"/>
    <w:rsid w:val="00A731EE"/>
    <w:rsid w:val="00A7376F"/>
    <w:rsid w:val="00A73AB3"/>
    <w:rsid w:val="00A7474A"/>
    <w:rsid w:val="00A807FB"/>
    <w:rsid w:val="00A80EBF"/>
    <w:rsid w:val="00A81668"/>
    <w:rsid w:val="00A8213C"/>
    <w:rsid w:val="00A83D55"/>
    <w:rsid w:val="00A8407F"/>
    <w:rsid w:val="00A84436"/>
    <w:rsid w:val="00A84B04"/>
    <w:rsid w:val="00A85ABD"/>
    <w:rsid w:val="00A85AD5"/>
    <w:rsid w:val="00A86330"/>
    <w:rsid w:val="00A90477"/>
    <w:rsid w:val="00A90583"/>
    <w:rsid w:val="00A90FDA"/>
    <w:rsid w:val="00A9412B"/>
    <w:rsid w:val="00A94A40"/>
    <w:rsid w:val="00A96084"/>
    <w:rsid w:val="00A96B67"/>
    <w:rsid w:val="00A97DB5"/>
    <w:rsid w:val="00AA031A"/>
    <w:rsid w:val="00AA13CE"/>
    <w:rsid w:val="00AA1862"/>
    <w:rsid w:val="00AA2E86"/>
    <w:rsid w:val="00AA608F"/>
    <w:rsid w:val="00AB11F6"/>
    <w:rsid w:val="00AB2D96"/>
    <w:rsid w:val="00AB4E6B"/>
    <w:rsid w:val="00AB66AF"/>
    <w:rsid w:val="00AC1116"/>
    <w:rsid w:val="00AC1F34"/>
    <w:rsid w:val="00AC46BC"/>
    <w:rsid w:val="00AC509C"/>
    <w:rsid w:val="00AC6A5A"/>
    <w:rsid w:val="00AC7692"/>
    <w:rsid w:val="00AC7E08"/>
    <w:rsid w:val="00AC7EC6"/>
    <w:rsid w:val="00AC7EF1"/>
    <w:rsid w:val="00AD0F84"/>
    <w:rsid w:val="00AD1651"/>
    <w:rsid w:val="00AD5A7C"/>
    <w:rsid w:val="00AD5AE2"/>
    <w:rsid w:val="00AD6FD4"/>
    <w:rsid w:val="00AE0B2E"/>
    <w:rsid w:val="00AE0BA9"/>
    <w:rsid w:val="00AE1BA1"/>
    <w:rsid w:val="00AE2226"/>
    <w:rsid w:val="00AE2466"/>
    <w:rsid w:val="00AE378D"/>
    <w:rsid w:val="00AE48BB"/>
    <w:rsid w:val="00AE495E"/>
    <w:rsid w:val="00AE4BD6"/>
    <w:rsid w:val="00AE4F15"/>
    <w:rsid w:val="00AE57F6"/>
    <w:rsid w:val="00AF0C93"/>
    <w:rsid w:val="00AF1D09"/>
    <w:rsid w:val="00AF2313"/>
    <w:rsid w:val="00AF2805"/>
    <w:rsid w:val="00AF2D7D"/>
    <w:rsid w:val="00AF342B"/>
    <w:rsid w:val="00AF3819"/>
    <w:rsid w:val="00AF4DCC"/>
    <w:rsid w:val="00AF60D0"/>
    <w:rsid w:val="00AF6BC4"/>
    <w:rsid w:val="00AF70C1"/>
    <w:rsid w:val="00AF7C62"/>
    <w:rsid w:val="00B00D62"/>
    <w:rsid w:val="00B01C6E"/>
    <w:rsid w:val="00B02ADE"/>
    <w:rsid w:val="00B03D99"/>
    <w:rsid w:val="00B0421D"/>
    <w:rsid w:val="00B050D8"/>
    <w:rsid w:val="00B060E2"/>
    <w:rsid w:val="00B06A66"/>
    <w:rsid w:val="00B10A55"/>
    <w:rsid w:val="00B10FAD"/>
    <w:rsid w:val="00B1159B"/>
    <w:rsid w:val="00B11AC6"/>
    <w:rsid w:val="00B11E40"/>
    <w:rsid w:val="00B12E5E"/>
    <w:rsid w:val="00B138D3"/>
    <w:rsid w:val="00B140E2"/>
    <w:rsid w:val="00B14BA5"/>
    <w:rsid w:val="00B16C7E"/>
    <w:rsid w:val="00B16CF2"/>
    <w:rsid w:val="00B1782F"/>
    <w:rsid w:val="00B21E6A"/>
    <w:rsid w:val="00B220D9"/>
    <w:rsid w:val="00B226A5"/>
    <w:rsid w:val="00B24133"/>
    <w:rsid w:val="00B24B4C"/>
    <w:rsid w:val="00B2509D"/>
    <w:rsid w:val="00B267A6"/>
    <w:rsid w:val="00B271FD"/>
    <w:rsid w:val="00B279AD"/>
    <w:rsid w:val="00B27B81"/>
    <w:rsid w:val="00B32E41"/>
    <w:rsid w:val="00B3355B"/>
    <w:rsid w:val="00B339F0"/>
    <w:rsid w:val="00B33BEB"/>
    <w:rsid w:val="00B35408"/>
    <w:rsid w:val="00B36659"/>
    <w:rsid w:val="00B41005"/>
    <w:rsid w:val="00B41B95"/>
    <w:rsid w:val="00B436EA"/>
    <w:rsid w:val="00B444A7"/>
    <w:rsid w:val="00B44E93"/>
    <w:rsid w:val="00B45655"/>
    <w:rsid w:val="00B47A0C"/>
    <w:rsid w:val="00B50369"/>
    <w:rsid w:val="00B50AC4"/>
    <w:rsid w:val="00B50C34"/>
    <w:rsid w:val="00B5157B"/>
    <w:rsid w:val="00B51CDF"/>
    <w:rsid w:val="00B51EAC"/>
    <w:rsid w:val="00B53038"/>
    <w:rsid w:val="00B5580F"/>
    <w:rsid w:val="00B56275"/>
    <w:rsid w:val="00B56827"/>
    <w:rsid w:val="00B569A2"/>
    <w:rsid w:val="00B57994"/>
    <w:rsid w:val="00B601FD"/>
    <w:rsid w:val="00B60567"/>
    <w:rsid w:val="00B60D45"/>
    <w:rsid w:val="00B623F0"/>
    <w:rsid w:val="00B62CF0"/>
    <w:rsid w:val="00B64E25"/>
    <w:rsid w:val="00B661DC"/>
    <w:rsid w:val="00B6690F"/>
    <w:rsid w:val="00B67124"/>
    <w:rsid w:val="00B6734E"/>
    <w:rsid w:val="00B67ED9"/>
    <w:rsid w:val="00B67F6C"/>
    <w:rsid w:val="00B70647"/>
    <w:rsid w:val="00B71764"/>
    <w:rsid w:val="00B720CE"/>
    <w:rsid w:val="00B72FDA"/>
    <w:rsid w:val="00B743E5"/>
    <w:rsid w:val="00B75433"/>
    <w:rsid w:val="00B757CC"/>
    <w:rsid w:val="00B76AD2"/>
    <w:rsid w:val="00B76B56"/>
    <w:rsid w:val="00B80818"/>
    <w:rsid w:val="00B80D70"/>
    <w:rsid w:val="00B80DBC"/>
    <w:rsid w:val="00B81654"/>
    <w:rsid w:val="00B8206A"/>
    <w:rsid w:val="00B834F9"/>
    <w:rsid w:val="00B853B1"/>
    <w:rsid w:val="00B85800"/>
    <w:rsid w:val="00B8613A"/>
    <w:rsid w:val="00B86146"/>
    <w:rsid w:val="00B862F3"/>
    <w:rsid w:val="00B86428"/>
    <w:rsid w:val="00B86A9E"/>
    <w:rsid w:val="00B87C51"/>
    <w:rsid w:val="00B91F74"/>
    <w:rsid w:val="00B92EE9"/>
    <w:rsid w:val="00B93BA4"/>
    <w:rsid w:val="00B94337"/>
    <w:rsid w:val="00B94F63"/>
    <w:rsid w:val="00B960B3"/>
    <w:rsid w:val="00B96948"/>
    <w:rsid w:val="00B97E0E"/>
    <w:rsid w:val="00BA01A2"/>
    <w:rsid w:val="00BA06CF"/>
    <w:rsid w:val="00BA0A9D"/>
    <w:rsid w:val="00BA103D"/>
    <w:rsid w:val="00BA2178"/>
    <w:rsid w:val="00BA26D4"/>
    <w:rsid w:val="00BA2DC8"/>
    <w:rsid w:val="00BA39DF"/>
    <w:rsid w:val="00BA4299"/>
    <w:rsid w:val="00BA5CAA"/>
    <w:rsid w:val="00BA6AC8"/>
    <w:rsid w:val="00BB0724"/>
    <w:rsid w:val="00BB0DB0"/>
    <w:rsid w:val="00BB0EA3"/>
    <w:rsid w:val="00BB1AC3"/>
    <w:rsid w:val="00BB21AF"/>
    <w:rsid w:val="00BB3830"/>
    <w:rsid w:val="00BB3DCA"/>
    <w:rsid w:val="00BB434E"/>
    <w:rsid w:val="00BB5B97"/>
    <w:rsid w:val="00BB6E47"/>
    <w:rsid w:val="00BB7B93"/>
    <w:rsid w:val="00BC03E4"/>
    <w:rsid w:val="00BC07F6"/>
    <w:rsid w:val="00BC165C"/>
    <w:rsid w:val="00BC1BA6"/>
    <w:rsid w:val="00BC26B2"/>
    <w:rsid w:val="00BC43BA"/>
    <w:rsid w:val="00BC4496"/>
    <w:rsid w:val="00BC59DD"/>
    <w:rsid w:val="00BC5CCA"/>
    <w:rsid w:val="00BC6708"/>
    <w:rsid w:val="00BC672A"/>
    <w:rsid w:val="00BC78BC"/>
    <w:rsid w:val="00BD0AAC"/>
    <w:rsid w:val="00BD1517"/>
    <w:rsid w:val="00BD181F"/>
    <w:rsid w:val="00BD226D"/>
    <w:rsid w:val="00BD2BC3"/>
    <w:rsid w:val="00BD3527"/>
    <w:rsid w:val="00BD3FD4"/>
    <w:rsid w:val="00BD5C9F"/>
    <w:rsid w:val="00BD67C2"/>
    <w:rsid w:val="00BD6CF5"/>
    <w:rsid w:val="00BE0853"/>
    <w:rsid w:val="00BE2731"/>
    <w:rsid w:val="00BE2E9F"/>
    <w:rsid w:val="00BE349B"/>
    <w:rsid w:val="00BE46B5"/>
    <w:rsid w:val="00BE4DE6"/>
    <w:rsid w:val="00BE5EAF"/>
    <w:rsid w:val="00BE636C"/>
    <w:rsid w:val="00BE668E"/>
    <w:rsid w:val="00BE6D92"/>
    <w:rsid w:val="00BF090A"/>
    <w:rsid w:val="00BF11FC"/>
    <w:rsid w:val="00BF24C0"/>
    <w:rsid w:val="00BF28DA"/>
    <w:rsid w:val="00BF42C6"/>
    <w:rsid w:val="00BF5E38"/>
    <w:rsid w:val="00BF5FB4"/>
    <w:rsid w:val="00BF66C5"/>
    <w:rsid w:val="00C011A7"/>
    <w:rsid w:val="00C01213"/>
    <w:rsid w:val="00C0129D"/>
    <w:rsid w:val="00C032FE"/>
    <w:rsid w:val="00C03A07"/>
    <w:rsid w:val="00C03B4F"/>
    <w:rsid w:val="00C040FE"/>
    <w:rsid w:val="00C05542"/>
    <w:rsid w:val="00C05617"/>
    <w:rsid w:val="00C06B26"/>
    <w:rsid w:val="00C07B0C"/>
    <w:rsid w:val="00C07F43"/>
    <w:rsid w:val="00C11ADB"/>
    <w:rsid w:val="00C11E08"/>
    <w:rsid w:val="00C1429E"/>
    <w:rsid w:val="00C1523E"/>
    <w:rsid w:val="00C156C8"/>
    <w:rsid w:val="00C1583B"/>
    <w:rsid w:val="00C15BA0"/>
    <w:rsid w:val="00C15CF8"/>
    <w:rsid w:val="00C15F3B"/>
    <w:rsid w:val="00C1629C"/>
    <w:rsid w:val="00C165F0"/>
    <w:rsid w:val="00C16A36"/>
    <w:rsid w:val="00C16B0D"/>
    <w:rsid w:val="00C172C0"/>
    <w:rsid w:val="00C173BC"/>
    <w:rsid w:val="00C17EC3"/>
    <w:rsid w:val="00C2083E"/>
    <w:rsid w:val="00C20F49"/>
    <w:rsid w:val="00C21711"/>
    <w:rsid w:val="00C22503"/>
    <w:rsid w:val="00C23CEB"/>
    <w:rsid w:val="00C25570"/>
    <w:rsid w:val="00C25BCE"/>
    <w:rsid w:val="00C26245"/>
    <w:rsid w:val="00C26A97"/>
    <w:rsid w:val="00C27203"/>
    <w:rsid w:val="00C30C78"/>
    <w:rsid w:val="00C310CA"/>
    <w:rsid w:val="00C3169D"/>
    <w:rsid w:val="00C33E3B"/>
    <w:rsid w:val="00C345AE"/>
    <w:rsid w:val="00C35DB8"/>
    <w:rsid w:val="00C3657E"/>
    <w:rsid w:val="00C37D36"/>
    <w:rsid w:val="00C37F14"/>
    <w:rsid w:val="00C40576"/>
    <w:rsid w:val="00C413A5"/>
    <w:rsid w:val="00C41B7E"/>
    <w:rsid w:val="00C41C79"/>
    <w:rsid w:val="00C43A9C"/>
    <w:rsid w:val="00C449EB"/>
    <w:rsid w:val="00C44B58"/>
    <w:rsid w:val="00C45871"/>
    <w:rsid w:val="00C4712D"/>
    <w:rsid w:val="00C52A19"/>
    <w:rsid w:val="00C543FB"/>
    <w:rsid w:val="00C5494B"/>
    <w:rsid w:val="00C556FF"/>
    <w:rsid w:val="00C55C42"/>
    <w:rsid w:val="00C56FA9"/>
    <w:rsid w:val="00C5723B"/>
    <w:rsid w:val="00C61D54"/>
    <w:rsid w:val="00C62A2E"/>
    <w:rsid w:val="00C62CEE"/>
    <w:rsid w:val="00C64A10"/>
    <w:rsid w:val="00C64E2F"/>
    <w:rsid w:val="00C65DE4"/>
    <w:rsid w:val="00C66BEB"/>
    <w:rsid w:val="00C66C11"/>
    <w:rsid w:val="00C6767D"/>
    <w:rsid w:val="00C67924"/>
    <w:rsid w:val="00C71676"/>
    <w:rsid w:val="00C71AF8"/>
    <w:rsid w:val="00C72A25"/>
    <w:rsid w:val="00C74302"/>
    <w:rsid w:val="00C74DD1"/>
    <w:rsid w:val="00C74E27"/>
    <w:rsid w:val="00C76436"/>
    <w:rsid w:val="00C77A5F"/>
    <w:rsid w:val="00C77AEC"/>
    <w:rsid w:val="00C80CC7"/>
    <w:rsid w:val="00C8152D"/>
    <w:rsid w:val="00C8444C"/>
    <w:rsid w:val="00C850AB"/>
    <w:rsid w:val="00C85436"/>
    <w:rsid w:val="00C90265"/>
    <w:rsid w:val="00C914FE"/>
    <w:rsid w:val="00C916EB"/>
    <w:rsid w:val="00C919F0"/>
    <w:rsid w:val="00C92161"/>
    <w:rsid w:val="00C93099"/>
    <w:rsid w:val="00C94C26"/>
    <w:rsid w:val="00C9539F"/>
    <w:rsid w:val="00C95F85"/>
    <w:rsid w:val="00C96781"/>
    <w:rsid w:val="00CA055A"/>
    <w:rsid w:val="00CA3202"/>
    <w:rsid w:val="00CA3205"/>
    <w:rsid w:val="00CA40C1"/>
    <w:rsid w:val="00CA5025"/>
    <w:rsid w:val="00CA5916"/>
    <w:rsid w:val="00CA5989"/>
    <w:rsid w:val="00CA6507"/>
    <w:rsid w:val="00CA7EC3"/>
    <w:rsid w:val="00CB0074"/>
    <w:rsid w:val="00CB039B"/>
    <w:rsid w:val="00CB1266"/>
    <w:rsid w:val="00CB33EA"/>
    <w:rsid w:val="00CB3FA9"/>
    <w:rsid w:val="00CB62BA"/>
    <w:rsid w:val="00CB6651"/>
    <w:rsid w:val="00CB6A58"/>
    <w:rsid w:val="00CB75C7"/>
    <w:rsid w:val="00CC021A"/>
    <w:rsid w:val="00CC0676"/>
    <w:rsid w:val="00CC06F5"/>
    <w:rsid w:val="00CC1761"/>
    <w:rsid w:val="00CC19E8"/>
    <w:rsid w:val="00CC2826"/>
    <w:rsid w:val="00CC33B5"/>
    <w:rsid w:val="00CC3425"/>
    <w:rsid w:val="00CC4285"/>
    <w:rsid w:val="00CC523B"/>
    <w:rsid w:val="00CC5290"/>
    <w:rsid w:val="00CC5A75"/>
    <w:rsid w:val="00CD0876"/>
    <w:rsid w:val="00CD08C8"/>
    <w:rsid w:val="00CD0DD5"/>
    <w:rsid w:val="00CD1328"/>
    <w:rsid w:val="00CD1F06"/>
    <w:rsid w:val="00CD210D"/>
    <w:rsid w:val="00CD2539"/>
    <w:rsid w:val="00CD4893"/>
    <w:rsid w:val="00CD545F"/>
    <w:rsid w:val="00CD612E"/>
    <w:rsid w:val="00CD674B"/>
    <w:rsid w:val="00CD7A09"/>
    <w:rsid w:val="00CE0031"/>
    <w:rsid w:val="00CE0129"/>
    <w:rsid w:val="00CE198D"/>
    <w:rsid w:val="00CE2846"/>
    <w:rsid w:val="00CE327B"/>
    <w:rsid w:val="00CE5C28"/>
    <w:rsid w:val="00CE60C6"/>
    <w:rsid w:val="00CE61E8"/>
    <w:rsid w:val="00CF0474"/>
    <w:rsid w:val="00CF16B1"/>
    <w:rsid w:val="00CF18CB"/>
    <w:rsid w:val="00CF1A6D"/>
    <w:rsid w:val="00CF1EE7"/>
    <w:rsid w:val="00CF28C7"/>
    <w:rsid w:val="00CF2A9D"/>
    <w:rsid w:val="00CF3140"/>
    <w:rsid w:val="00CF3D32"/>
    <w:rsid w:val="00CF3D80"/>
    <w:rsid w:val="00CF5097"/>
    <w:rsid w:val="00CF5A04"/>
    <w:rsid w:val="00D006AD"/>
    <w:rsid w:val="00D00FF5"/>
    <w:rsid w:val="00D01A11"/>
    <w:rsid w:val="00D01C0E"/>
    <w:rsid w:val="00D02729"/>
    <w:rsid w:val="00D03ECE"/>
    <w:rsid w:val="00D05392"/>
    <w:rsid w:val="00D05591"/>
    <w:rsid w:val="00D05F1A"/>
    <w:rsid w:val="00D062AA"/>
    <w:rsid w:val="00D06F0E"/>
    <w:rsid w:val="00D1004C"/>
    <w:rsid w:val="00D1056E"/>
    <w:rsid w:val="00D106AB"/>
    <w:rsid w:val="00D10FB2"/>
    <w:rsid w:val="00D11C4E"/>
    <w:rsid w:val="00D121FA"/>
    <w:rsid w:val="00D1265F"/>
    <w:rsid w:val="00D12FA4"/>
    <w:rsid w:val="00D147F3"/>
    <w:rsid w:val="00D176EA"/>
    <w:rsid w:val="00D17842"/>
    <w:rsid w:val="00D17BDD"/>
    <w:rsid w:val="00D2162A"/>
    <w:rsid w:val="00D220FC"/>
    <w:rsid w:val="00D2353E"/>
    <w:rsid w:val="00D2389B"/>
    <w:rsid w:val="00D23948"/>
    <w:rsid w:val="00D23BE3"/>
    <w:rsid w:val="00D24DAB"/>
    <w:rsid w:val="00D258A0"/>
    <w:rsid w:val="00D30FE5"/>
    <w:rsid w:val="00D31E54"/>
    <w:rsid w:val="00D32E48"/>
    <w:rsid w:val="00D32F6A"/>
    <w:rsid w:val="00D33590"/>
    <w:rsid w:val="00D353D6"/>
    <w:rsid w:val="00D36770"/>
    <w:rsid w:val="00D371F3"/>
    <w:rsid w:val="00D4041B"/>
    <w:rsid w:val="00D41789"/>
    <w:rsid w:val="00D4230C"/>
    <w:rsid w:val="00D43616"/>
    <w:rsid w:val="00D45A42"/>
    <w:rsid w:val="00D45E94"/>
    <w:rsid w:val="00D46D41"/>
    <w:rsid w:val="00D50C4C"/>
    <w:rsid w:val="00D5124A"/>
    <w:rsid w:val="00D52F00"/>
    <w:rsid w:val="00D56015"/>
    <w:rsid w:val="00D56D56"/>
    <w:rsid w:val="00D56DAB"/>
    <w:rsid w:val="00D57F19"/>
    <w:rsid w:val="00D60B53"/>
    <w:rsid w:val="00D62645"/>
    <w:rsid w:val="00D62D71"/>
    <w:rsid w:val="00D63723"/>
    <w:rsid w:val="00D64F2D"/>
    <w:rsid w:val="00D6786C"/>
    <w:rsid w:val="00D67B55"/>
    <w:rsid w:val="00D67D7E"/>
    <w:rsid w:val="00D67E7C"/>
    <w:rsid w:val="00D705C7"/>
    <w:rsid w:val="00D7119C"/>
    <w:rsid w:val="00D7147A"/>
    <w:rsid w:val="00D71583"/>
    <w:rsid w:val="00D727A1"/>
    <w:rsid w:val="00D73034"/>
    <w:rsid w:val="00D7348A"/>
    <w:rsid w:val="00D752F7"/>
    <w:rsid w:val="00D75B12"/>
    <w:rsid w:val="00D768D6"/>
    <w:rsid w:val="00D775A7"/>
    <w:rsid w:val="00D77CD5"/>
    <w:rsid w:val="00D77F35"/>
    <w:rsid w:val="00D84DC8"/>
    <w:rsid w:val="00D861E3"/>
    <w:rsid w:val="00D8651D"/>
    <w:rsid w:val="00D90AF8"/>
    <w:rsid w:val="00D92978"/>
    <w:rsid w:val="00D936AF"/>
    <w:rsid w:val="00D94B87"/>
    <w:rsid w:val="00D9503D"/>
    <w:rsid w:val="00D95366"/>
    <w:rsid w:val="00D96B96"/>
    <w:rsid w:val="00D96B9B"/>
    <w:rsid w:val="00D97D70"/>
    <w:rsid w:val="00DA15E5"/>
    <w:rsid w:val="00DA1647"/>
    <w:rsid w:val="00DA1B11"/>
    <w:rsid w:val="00DA25EE"/>
    <w:rsid w:val="00DA3612"/>
    <w:rsid w:val="00DA3C92"/>
    <w:rsid w:val="00DA5FB8"/>
    <w:rsid w:val="00DA6708"/>
    <w:rsid w:val="00DA775B"/>
    <w:rsid w:val="00DB267F"/>
    <w:rsid w:val="00DB2993"/>
    <w:rsid w:val="00DB2AC0"/>
    <w:rsid w:val="00DB34DB"/>
    <w:rsid w:val="00DB361A"/>
    <w:rsid w:val="00DB4803"/>
    <w:rsid w:val="00DB48DA"/>
    <w:rsid w:val="00DB491E"/>
    <w:rsid w:val="00DB4BF4"/>
    <w:rsid w:val="00DB61E2"/>
    <w:rsid w:val="00DB6B4F"/>
    <w:rsid w:val="00DB76A0"/>
    <w:rsid w:val="00DC0927"/>
    <w:rsid w:val="00DC0983"/>
    <w:rsid w:val="00DC147C"/>
    <w:rsid w:val="00DC2255"/>
    <w:rsid w:val="00DC2731"/>
    <w:rsid w:val="00DC711C"/>
    <w:rsid w:val="00DD018A"/>
    <w:rsid w:val="00DD03B9"/>
    <w:rsid w:val="00DD04EE"/>
    <w:rsid w:val="00DD0EA8"/>
    <w:rsid w:val="00DD238E"/>
    <w:rsid w:val="00DD2563"/>
    <w:rsid w:val="00DD2DA8"/>
    <w:rsid w:val="00DD32E7"/>
    <w:rsid w:val="00DD4126"/>
    <w:rsid w:val="00DD5214"/>
    <w:rsid w:val="00DD57D7"/>
    <w:rsid w:val="00DD6048"/>
    <w:rsid w:val="00DD68B7"/>
    <w:rsid w:val="00DE0024"/>
    <w:rsid w:val="00DE1461"/>
    <w:rsid w:val="00DE1BDC"/>
    <w:rsid w:val="00DE2676"/>
    <w:rsid w:val="00DE2B03"/>
    <w:rsid w:val="00DE30F2"/>
    <w:rsid w:val="00DE41F8"/>
    <w:rsid w:val="00DE46FF"/>
    <w:rsid w:val="00DE52DD"/>
    <w:rsid w:val="00DE61B8"/>
    <w:rsid w:val="00DF03F4"/>
    <w:rsid w:val="00DF15DF"/>
    <w:rsid w:val="00DF1989"/>
    <w:rsid w:val="00DF2096"/>
    <w:rsid w:val="00DF47D4"/>
    <w:rsid w:val="00E0031A"/>
    <w:rsid w:val="00E00E62"/>
    <w:rsid w:val="00E02127"/>
    <w:rsid w:val="00E045A9"/>
    <w:rsid w:val="00E0483A"/>
    <w:rsid w:val="00E05485"/>
    <w:rsid w:val="00E05828"/>
    <w:rsid w:val="00E05ACA"/>
    <w:rsid w:val="00E05E10"/>
    <w:rsid w:val="00E05EA8"/>
    <w:rsid w:val="00E062CC"/>
    <w:rsid w:val="00E072C8"/>
    <w:rsid w:val="00E075E3"/>
    <w:rsid w:val="00E079A7"/>
    <w:rsid w:val="00E12568"/>
    <w:rsid w:val="00E13251"/>
    <w:rsid w:val="00E14CB7"/>
    <w:rsid w:val="00E14E37"/>
    <w:rsid w:val="00E14FB3"/>
    <w:rsid w:val="00E15F3D"/>
    <w:rsid w:val="00E16C4A"/>
    <w:rsid w:val="00E17397"/>
    <w:rsid w:val="00E17E67"/>
    <w:rsid w:val="00E20F78"/>
    <w:rsid w:val="00E21C87"/>
    <w:rsid w:val="00E226A7"/>
    <w:rsid w:val="00E22AC1"/>
    <w:rsid w:val="00E232B9"/>
    <w:rsid w:val="00E25026"/>
    <w:rsid w:val="00E26BDB"/>
    <w:rsid w:val="00E3031D"/>
    <w:rsid w:val="00E3243D"/>
    <w:rsid w:val="00E34A11"/>
    <w:rsid w:val="00E34A13"/>
    <w:rsid w:val="00E34C03"/>
    <w:rsid w:val="00E3587D"/>
    <w:rsid w:val="00E36CB5"/>
    <w:rsid w:val="00E37A50"/>
    <w:rsid w:val="00E40BF7"/>
    <w:rsid w:val="00E41FEA"/>
    <w:rsid w:val="00E45B38"/>
    <w:rsid w:val="00E46655"/>
    <w:rsid w:val="00E46D92"/>
    <w:rsid w:val="00E5090D"/>
    <w:rsid w:val="00E50C29"/>
    <w:rsid w:val="00E50D44"/>
    <w:rsid w:val="00E51065"/>
    <w:rsid w:val="00E51660"/>
    <w:rsid w:val="00E527E9"/>
    <w:rsid w:val="00E52F26"/>
    <w:rsid w:val="00E53D03"/>
    <w:rsid w:val="00E55906"/>
    <w:rsid w:val="00E57B7B"/>
    <w:rsid w:val="00E57E8E"/>
    <w:rsid w:val="00E61B6F"/>
    <w:rsid w:val="00E6204A"/>
    <w:rsid w:val="00E6309A"/>
    <w:rsid w:val="00E638EF"/>
    <w:rsid w:val="00E63C87"/>
    <w:rsid w:val="00E65CDD"/>
    <w:rsid w:val="00E66674"/>
    <w:rsid w:val="00E6797B"/>
    <w:rsid w:val="00E67D9F"/>
    <w:rsid w:val="00E722E0"/>
    <w:rsid w:val="00E732E0"/>
    <w:rsid w:val="00E73B06"/>
    <w:rsid w:val="00E767D1"/>
    <w:rsid w:val="00E76FA9"/>
    <w:rsid w:val="00E77C17"/>
    <w:rsid w:val="00E77CD9"/>
    <w:rsid w:val="00E80A7F"/>
    <w:rsid w:val="00E8351E"/>
    <w:rsid w:val="00E83FEF"/>
    <w:rsid w:val="00E83FF4"/>
    <w:rsid w:val="00E84B43"/>
    <w:rsid w:val="00E84E71"/>
    <w:rsid w:val="00E85AB6"/>
    <w:rsid w:val="00E87A82"/>
    <w:rsid w:val="00E90D5B"/>
    <w:rsid w:val="00E91132"/>
    <w:rsid w:val="00E955D6"/>
    <w:rsid w:val="00E960EC"/>
    <w:rsid w:val="00E96D72"/>
    <w:rsid w:val="00E97E73"/>
    <w:rsid w:val="00EA11DD"/>
    <w:rsid w:val="00EA1C78"/>
    <w:rsid w:val="00EA4AC3"/>
    <w:rsid w:val="00EA56AC"/>
    <w:rsid w:val="00EA5B7E"/>
    <w:rsid w:val="00EA63FE"/>
    <w:rsid w:val="00EA6839"/>
    <w:rsid w:val="00EA6C81"/>
    <w:rsid w:val="00EA7574"/>
    <w:rsid w:val="00EA7762"/>
    <w:rsid w:val="00EA7BE0"/>
    <w:rsid w:val="00EB0450"/>
    <w:rsid w:val="00EB07D9"/>
    <w:rsid w:val="00EB441D"/>
    <w:rsid w:val="00EB6507"/>
    <w:rsid w:val="00EB7044"/>
    <w:rsid w:val="00EB7C66"/>
    <w:rsid w:val="00EC112C"/>
    <w:rsid w:val="00EC1903"/>
    <w:rsid w:val="00EC194D"/>
    <w:rsid w:val="00EC265F"/>
    <w:rsid w:val="00EC49DE"/>
    <w:rsid w:val="00EC62B9"/>
    <w:rsid w:val="00EC6371"/>
    <w:rsid w:val="00EC6A2E"/>
    <w:rsid w:val="00ED1F76"/>
    <w:rsid w:val="00ED23E1"/>
    <w:rsid w:val="00ED345B"/>
    <w:rsid w:val="00ED3611"/>
    <w:rsid w:val="00ED3880"/>
    <w:rsid w:val="00ED53F5"/>
    <w:rsid w:val="00ED79A6"/>
    <w:rsid w:val="00ED7D94"/>
    <w:rsid w:val="00EE04A8"/>
    <w:rsid w:val="00EE059A"/>
    <w:rsid w:val="00EE0A35"/>
    <w:rsid w:val="00EE0E81"/>
    <w:rsid w:val="00EE2B4D"/>
    <w:rsid w:val="00EE31D3"/>
    <w:rsid w:val="00EE3765"/>
    <w:rsid w:val="00EE4638"/>
    <w:rsid w:val="00EE4654"/>
    <w:rsid w:val="00EE4F36"/>
    <w:rsid w:val="00EE6DBE"/>
    <w:rsid w:val="00EE6F0F"/>
    <w:rsid w:val="00EE7DB8"/>
    <w:rsid w:val="00EF1457"/>
    <w:rsid w:val="00EF174D"/>
    <w:rsid w:val="00EF1E48"/>
    <w:rsid w:val="00EF2983"/>
    <w:rsid w:val="00EF4316"/>
    <w:rsid w:val="00EF4A74"/>
    <w:rsid w:val="00EF5EDB"/>
    <w:rsid w:val="00F00D08"/>
    <w:rsid w:val="00F019CB"/>
    <w:rsid w:val="00F02ED7"/>
    <w:rsid w:val="00F0390C"/>
    <w:rsid w:val="00F03EBE"/>
    <w:rsid w:val="00F040D5"/>
    <w:rsid w:val="00F042F2"/>
    <w:rsid w:val="00F04E8E"/>
    <w:rsid w:val="00F10024"/>
    <w:rsid w:val="00F11637"/>
    <w:rsid w:val="00F1301F"/>
    <w:rsid w:val="00F132DB"/>
    <w:rsid w:val="00F13679"/>
    <w:rsid w:val="00F136F5"/>
    <w:rsid w:val="00F14027"/>
    <w:rsid w:val="00F14963"/>
    <w:rsid w:val="00F14ED5"/>
    <w:rsid w:val="00F14FE0"/>
    <w:rsid w:val="00F16454"/>
    <w:rsid w:val="00F23CCC"/>
    <w:rsid w:val="00F25332"/>
    <w:rsid w:val="00F262D5"/>
    <w:rsid w:val="00F27E39"/>
    <w:rsid w:val="00F30AF9"/>
    <w:rsid w:val="00F3137E"/>
    <w:rsid w:val="00F313C5"/>
    <w:rsid w:val="00F3149B"/>
    <w:rsid w:val="00F34E63"/>
    <w:rsid w:val="00F35C4B"/>
    <w:rsid w:val="00F35E04"/>
    <w:rsid w:val="00F3734F"/>
    <w:rsid w:val="00F37CDE"/>
    <w:rsid w:val="00F37D0D"/>
    <w:rsid w:val="00F37DA3"/>
    <w:rsid w:val="00F40841"/>
    <w:rsid w:val="00F4096A"/>
    <w:rsid w:val="00F41834"/>
    <w:rsid w:val="00F43C93"/>
    <w:rsid w:val="00F447C1"/>
    <w:rsid w:val="00F45C24"/>
    <w:rsid w:val="00F46A94"/>
    <w:rsid w:val="00F51A29"/>
    <w:rsid w:val="00F526CC"/>
    <w:rsid w:val="00F53468"/>
    <w:rsid w:val="00F53B9E"/>
    <w:rsid w:val="00F53E73"/>
    <w:rsid w:val="00F542C6"/>
    <w:rsid w:val="00F547BA"/>
    <w:rsid w:val="00F5606A"/>
    <w:rsid w:val="00F604E9"/>
    <w:rsid w:val="00F611FA"/>
    <w:rsid w:val="00F61AC7"/>
    <w:rsid w:val="00F61C8B"/>
    <w:rsid w:val="00F620C7"/>
    <w:rsid w:val="00F6283E"/>
    <w:rsid w:val="00F63F19"/>
    <w:rsid w:val="00F64844"/>
    <w:rsid w:val="00F649B2"/>
    <w:rsid w:val="00F65F3B"/>
    <w:rsid w:val="00F66663"/>
    <w:rsid w:val="00F70234"/>
    <w:rsid w:val="00F7166E"/>
    <w:rsid w:val="00F718CC"/>
    <w:rsid w:val="00F728E9"/>
    <w:rsid w:val="00F7322A"/>
    <w:rsid w:val="00F738CF"/>
    <w:rsid w:val="00F73FFA"/>
    <w:rsid w:val="00F76509"/>
    <w:rsid w:val="00F7692B"/>
    <w:rsid w:val="00F771F7"/>
    <w:rsid w:val="00F8176C"/>
    <w:rsid w:val="00F82FEC"/>
    <w:rsid w:val="00F840BB"/>
    <w:rsid w:val="00F84302"/>
    <w:rsid w:val="00F86D50"/>
    <w:rsid w:val="00F871F6"/>
    <w:rsid w:val="00F91208"/>
    <w:rsid w:val="00F92371"/>
    <w:rsid w:val="00F93B7C"/>
    <w:rsid w:val="00F93F63"/>
    <w:rsid w:val="00F94742"/>
    <w:rsid w:val="00F95271"/>
    <w:rsid w:val="00F952B9"/>
    <w:rsid w:val="00FA0D8E"/>
    <w:rsid w:val="00FA14D6"/>
    <w:rsid w:val="00FA1C71"/>
    <w:rsid w:val="00FA2337"/>
    <w:rsid w:val="00FA2D88"/>
    <w:rsid w:val="00FA3F15"/>
    <w:rsid w:val="00FA46E3"/>
    <w:rsid w:val="00FA4DF1"/>
    <w:rsid w:val="00FA5287"/>
    <w:rsid w:val="00FA57BD"/>
    <w:rsid w:val="00FA5DE8"/>
    <w:rsid w:val="00FA616E"/>
    <w:rsid w:val="00FA696D"/>
    <w:rsid w:val="00FA762B"/>
    <w:rsid w:val="00FB1E9E"/>
    <w:rsid w:val="00FB24D9"/>
    <w:rsid w:val="00FB3B86"/>
    <w:rsid w:val="00FB4977"/>
    <w:rsid w:val="00FB515A"/>
    <w:rsid w:val="00FB5490"/>
    <w:rsid w:val="00FB574D"/>
    <w:rsid w:val="00FB6BAD"/>
    <w:rsid w:val="00FC11B7"/>
    <w:rsid w:val="00FC23D4"/>
    <w:rsid w:val="00FC4132"/>
    <w:rsid w:val="00FC4B85"/>
    <w:rsid w:val="00FC57FD"/>
    <w:rsid w:val="00FC6278"/>
    <w:rsid w:val="00FC67E5"/>
    <w:rsid w:val="00FD176A"/>
    <w:rsid w:val="00FD1D33"/>
    <w:rsid w:val="00FD254E"/>
    <w:rsid w:val="00FD2D5A"/>
    <w:rsid w:val="00FD4376"/>
    <w:rsid w:val="00FD4D42"/>
    <w:rsid w:val="00FD738B"/>
    <w:rsid w:val="00FE0485"/>
    <w:rsid w:val="00FE0FA1"/>
    <w:rsid w:val="00FE10BD"/>
    <w:rsid w:val="00FE3C16"/>
    <w:rsid w:val="00FE4D4E"/>
    <w:rsid w:val="00FE4EB7"/>
    <w:rsid w:val="00FE50A7"/>
    <w:rsid w:val="00FE50D5"/>
    <w:rsid w:val="00FE5505"/>
    <w:rsid w:val="00FE5AA9"/>
    <w:rsid w:val="00FE5F7A"/>
    <w:rsid w:val="00FE646E"/>
    <w:rsid w:val="00FE6FCE"/>
    <w:rsid w:val="00FE72AB"/>
    <w:rsid w:val="00FF0ED2"/>
    <w:rsid w:val="00FF1DD0"/>
    <w:rsid w:val="00FF1E8D"/>
    <w:rsid w:val="00FF2588"/>
    <w:rsid w:val="00FF32F4"/>
    <w:rsid w:val="00FF64FC"/>
    <w:rsid w:val="00FF6C5F"/>
    <w:rsid w:val="0E790D53"/>
    <w:rsid w:val="16E24460"/>
    <w:rsid w:val="24EBE39E"/>
    <w:rsid w:val="283A62AD"/>
    <w:rsid w:val="30D9C5D1"/>
    <w:rsid w:val="4AA8C661"/>
    <w:rsid w:val="74E36A86"/>
    <w:rsid w:val="78766139"/>
    <w:rsid w:val="7E7ABDB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B5772"/>
  <w15:docId w15:val="{6D83CA97-9F58-4DE1-8CED-A57DA5D8B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9F6"/>
    <w:pPr>
      <w:spacing w:before="120" w:after="120" w:line="240" w:lineRule="auto"/>
    </w:pPr>
    <w:rPr>
      <w:rFonts w:ascii="Arial Nova Light" w:eastAsia="Times New Roman" w:hAnsi="Arial Nova Light" w:cs="Times New Roman"/>
      <w:sz w:val="20"/>
      <w:szCs w:val="24"/>
      <w:lang w:eastAsia="en-GB"/>
    </w:rPr>
  </w:style>
  <w:style w:type="paragraph" w:styleId="Heading1">
    <w:name w:val="heading 1"/>
    <w:basedOn w:val="Normal"/>
    <w:next w:val="Normal"/>
    <w:link w:val="Heading1Char"/>
    <w:uiPriority w:val="9"/>
    <w:qFormat/>
    <w:rsid w:val="00BF5E38"/>
    <w:pPr>
      <w:keepNext/>
      <w:keepLines/>
      <w:pageBreakBefore/>
      <w:pBdr>
        <w:bottom w:val="single" w:sz="12" w:space="1" w:color="44546A" w:themeColor="text2"/>
      </w:pBdr>
      <w:spacing w:before="240"/>
      <w:outlineLvl w:val="0"/>
    </w:pPr>
    <w:rPr>
      <w:rFonts w:asciiTheme="majorHAnsi" w:eastAsiaTheme="majorEastAsia" w:hAnsiTheme="majorHAnsi" w:cstheme="majorBidi"/>
      <w:b/>
      <w:color w:val="212B5D" w:themeColor="accent1"/>
      <w:sz w:val="28"/>
      <w:szCs w:val="32"/>
    </w:rPr>
  </w:style>
  <w:style w:type="paragraph" w:styleId="Heading2">
    <w:name w:val="heading 2"/>
    <w:basedOn w:val="Normal"/>
    <w:next w:val="Normal"/>
    <w:link w:val="Heading2Char"/>
    <w:uiPriority w:val="2"/>
    <w:qFormat/>
    <w:rsid w:val="00BF5E38"/>
    <w:pPr>
      <w:keepNext/>
      <w:keepLines/>
      <w:spacing w:before="400"/>
      <w:outlineLvl w:val="1"/>
    </w:pPr>
    <w:rPr>
      <w:rFonts w:eastAsiaTheme="majorEastAsia" w:cs="Times New Roman (Headings CS)"/>
      <w:b/>
      <w:color w:val="212B5D" w:themeColor="accent1"/>
      <w:sz w:val="22"/>
      <w:szCs w:val="26"/>
    </w:rPr>
  </w:style>
  <w:style w:type="paragraph" w:styleId="Heading3">
    <w:name w:val="heading 3"/>
    <w:basedOn w:val="Normal"/>
    <w:next w:val="Normal"/>
    <w:link w:val="Heading3Char"/>
    <w:uiPriority w:val="2"/>
    <w:qFormat/>
    <w:rsid w:val="00BF5E38"/>
    <w:pPr>
      <w:keepNext/>
      <w:keepLines/>
      <w:spacing w:before="360"/>
      <w:outlineLvl w:val="2"/>
    </w:pPr>
    <w:rPr>
      <w:rFonts w:eastAsiaTheme="majorEastAsia" w:cstheme="majorBidi"/>
      <w:b/>
      <w:color w:val="262626" w:themeColor="text1" w:themeTint="D9"/>
    </w:rPr>
  </w:style>
  <w:style w:type="paragraph" w:styleId="Heading4">
    <w:name w:val="heading 4"/>
    <w:basedOn w:val="Normal"/>
    <w:next w:val="Normal"/>
    <w:link w:val="Heading4Char"/>
    <w:uiPriority w:val="2"/>
    <w:qFormat/>
    <w:rsid w:val="005E4A07"/>
    <w:pPr>
      <w:outlineLvl w:val="3"/>
    </w:pPr>
    <w:rPr>
      <w:b/>
      <w:i/>
      <w:color w:val="44546A" w:themeColor="text2"/>
    </w:rPr>
  </w:style>
  <w:style w:type="paragraph" w:styleId="Heading5">
    <w:name w:val="heading 5"/>
    <w:basedOn w:val="Normal"/>
    <w:next w:val="Normal"/>
    <w:link w:val="Heading5Char"/>
    <w:uiPriority w:val="9"/>
    <w:semiHidden/>
    <w:rsid w:val="00F34E63"/>
    <w:pPr>
      <w:keepNext/>
      <w:keepLines/>
      <w:spacing w:before="40"/>
      <w:outlineLvl w:val="4"/>
    </w:pPr>
    <w:rPr>
      <w:rFonts w:asciiTheme="majorHAnsi" w:eastAsiaTheme="majorEastAsia" w:hAnsiTheme="majorHAnsi" w:cstheme="majorBidi"/>
      <w:color w:val="182045" w:themeColor="accent1" w:themeShade="BF"/>
    </w:rPr>
  </w:style>
  <w:style w:type="paragraph" w:styleId="Heading6">
    <w:name w:val="heading 6"/>
    <w:basedOn w:val="Normal"/>
    <w:next w:val="Normal"/>
    <w:link w:val="Heading6Char"/>
    <w:uiPriority w:val="9"/>
    <w:semiHidden/>
    <w:qFormat/>
    <w:rsid w:val="00F34E63"/>
    <w:pPr>
      <w:keepNext/>
      <w:keepLines/>
      <w:spacing w:before="40"/>
      <w:outlineLvl w:val="5"/>
    </w:pPr>
    <w:rPr>
      <w:rFonts w:asciiTheme="majorHAnsi" w:eastAsiaTheme="majorEastAsia" w:hAnsiTheme="majorHAnsi" w:cstheme="majorBidi"/>
      <w:color w:val="10152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5E38"/>
    <w:rPr>
      <w:rFonts w:asciiTheme="majorHAnsi" w:eastAsiaTheme="majorEastAsia" w:hAnsiTheme="majorHAnsi" w:cstheme="majorBidi"/>
      <w:b/>
      <w:color w:val="212B5D" w:themeColor="accent1"/>
      <w:sz w:val="28"/>
      <w:szCs w:val="32"/>
      <w:lang w:eastAsia="en-GB"/>
    </w:rPr>
  </w:style>
  <w:style w:type="character" w:customStyle="1" w:styleId="Heading2Char">
    <w:name w:val="Heading 2 Char"/>
    <w:basedOn w:val="DefaultParagraphFont"/>
    <w:link w:val="Heading2"/>
    <w:uiPriority w:val="2"/>
    <w:rsid w:val="00BF5E38"/>
    <w:rPr>
      <w:rFonts w:ascii="Arial Nova Light" w:eastAsiaTheme="majorEastAsia" w:hAnsi="Arial Nova Light" w:cs="Times New Roman (Headings CS)"/>
      <w:b/>
      <w:color w:val="212B5D" w:themeColor="accent1"/>
      <w:szCs w:val="26"/>
      <w:lang w:eastAsia="en-GB"/>
    </w:rPr>
  </w:style>
  <w:style w:type="character" w:customStyle="1" w:styleId="Heading3Char">
    <w:name w:val="Heading 3 Char"/>
    <w:basedOn w:val="DefaultParagraphFont"/>
    <w:link w:val="Heading3"/>
    <w:uiPriority w:val="2"/>
    <w:rsid w:val="00BF5E38"/>
    <w:rPr>
      <w:rFonts w:ascii="Arial Nova Light" w:eastAsiaTheme="majorEastAsia" w:hAnsi="Arial Nova Light" w:cstheme="majorBidi"/>
      <w:b/>
      <w:color w:val="262626" w:themeColor="text1" w:themeTint="D9"/>
      <w:sz w:val="20"/>
      <w:szCs w:val="24"/>
      <w:lang w:eastAsia="en-GB"/>
    </w:rPr>
  </w:style>
  <w:style w:type="character" w:customStyle="1" w:styleId="Heading4Char">
    <w:name w:val="Heading 4 Char"/>
    <w:basedOn w:val="DefaultParagraphFont"/>
    <w:link w:val="Heading4"/>
    <w:uiPriority w:val="2"/>
    <w:rsid w:val="005E4A07"/>
    <w:rPr>
      <w:rFonts w:ascii="Arial Nova Light" w:eastAsia="Times New Roman" w:hAnsi="Arial Nova Light" w:cs="Times New Roman"/>
      <w:b/>
      <w:i/>
      <w:color w:val="44546A" w:themeColor="text2"/>
      <w:sz w:val="20"/>
      <w:szCs w:val="24"/>
      <w:lang w:eastAsia="en-GB"/>
    </w:rPr>
  </w:style>
  <w:style w:type="paragraph" w:styleId="ListParagraph">
    <w:name w:val="List Paragraph"/>
    <w:basedOn w:val="Normal"/>
    <w:link w:val="ListParagraphChar"/>
    <w:uiPriority w:val="34"/>
    <w:qFormat/>
    <w:rsid w:val="00170EB7"/>
    <w:pPr>
      <w:ind w:left="720"/>
      <w:contextualSpacing/>
    </w:pPr>
  </w:style>
  <w:style w:type="paragraph" w:styleId="BodyText">
    <w:name w:val="Body Text"/>
    <w:basedOn w:val="ListParagraph"/>
    <w:link w:val="BodyTextChar"/>
    <w:qFormat/>
    <w:rsid w:val="006E0CA5"/>
    <w:pPr>
      <w:numPr>
        <w:numId w:val="1"/>
      </w:numPr>
      <w:contextualSpacing w:val="0"/>
    </w:pPr>
  </w:style>
  <w:style w:type="character" w:customStyle="1" w:styleId="BodyTextChar">
    <w:name w:val="Body Text Char"/>
    <w:basedOn w:val="DefaultParagraphFont"/>
    <w:link w:val="BodyText"/>
    <w:rsid w:val="006E0CA5"/>
    <w:rPr>
      <w:rFonts w:ascii="Arial Nova Light" w:eastAsia="Times New Roman" w:hAnsi="Arial Nova Light" w:cs="Times New Roman"/>
      <w:sz w:val="20"/>
      <w:szCs w:val="24"/>
      <w:lang w:eastAsia="en-GB"/>
    </w:rPr>
  </w:style>
  <w:style w:type="paragraph" w:styleId="TOCHeading">
    <w:name w:val="TOC Heading"/>
    <w:basedOn w:val="Normal"/>
    <w:next w:val="Normal"/>
    <w:uiPriority w:val="39"/>
    <w:unhideWhenUsed/>
    <w:qFormat/>
    <w:rsid w:val="00BF5E38"/>
    <w:pPr>
      <w:pBdr>
        <w:bottom w:val="single" w:sz="8" w:space="1" w:color="8D99D6" w:themeColor="accent1" w:themeTint="66"/>
      </w:pBdr>
    </w:pPr>
    <w:rPr>
      <w:b/>
      <w:color w:val="212B5D" w:themeColor="accent1"/>
      <w:sz w:val="28"/>
      <w:szCs w:val="48"/>
    </w:rPr>
  </w:style>
  <w:style w:type="paragraph" w:styleId="TOC1">
    <w:name w:val="toc 1"/>
    <w:basedOn w:val="Normal"/>
    <w:next w:val="Normal"/>
    <w:autoRedefine/>
    <w:uiPriority w:val="39"/>
    <w:unhideWhenUsed/>
    <w:rsid w:val="00170EB7"/>
    <w:pPr>
      <w:tabs>
        <w:tab w:val="right" w:leader="dot" w:pos="8220"/>
      </w:tabs>
      <w:spacing w:after="100"/>
    </w:pPr>
    <w:rPr>
      <w:b/>
      <w:noProof/>
      <w:sz w:val="22"/>
    </w:rPr>
  </w:style>
  <w:style w:type="paragraph" w:styleId="TOC2">
    <w:name w:val="toc 2"/>
    <w:basedOn w:val="Normal"/>
    <w:next w:val="Normal"/>
    <w:autoRedefine/>
    <w:uiPriority w:val="39"/>
    <w:unhideWhenUsed/>
    <w:rsid w:val="00170EB7"/>
    <w:pPr>
      <w:tabs>
        <w:tab w:val="right" w:leader="dot" w:pos="8220"/>
      </w:tabs>
      <w:spacing w:after="100"/>
    </w:pPr>
    <w:rPr>
      <w:noProof/>
      <w:sz w:val="18"/>
    </w:rPr>
  </w:style>
  <w:style w:type="paragraph" w:styleId="TOC3">
    <w:name w:val="toc 3"/>
    <w:basedOn w:val="Normal"/>
    <w:next w:val="Normal"/>
    <w:autoRedefine/>
    <w:uiPriority w:val="39"/>
    <w:unhideWhenUsed/>
    <w:rsid w:val="00170EB7"/>
    <w:pPr>
      <w:tabs>
        <w:tab w:val="right" w:leader="dot" w:pos="8220"/>
      </w:tabs>
      <w:spacing w:after="100"/>
      <w:ind w:left="198"/>
    </w:pPr>
    <w:rPr>
      <w:noProof/>
      <w:sz w:val="16"/>
    </w:rPr>
  </w:style>
  <w:style w:type="paragraph" w:styleId="TOC4">
    <w:name w:val="toc 4"/>
    <w:basedOn w:val="Normal"/>
    <w:next w:val="Normal"/>
    <w:autoRedefine/>
    <w:uiPriority w:val="39"/>
    <w:unhideWhenUsed/>
    <w:rsid w:val="00170EB7"/>
    <w:pPr>
      <w:tabs>
        <w:tab w:val="right" w:leader="dot" w:pos="7926"/>
      </w:tabs>
      <w:spacing w:after="100"/>
      <w:ind w:left="397"/>
    </w:pPr>
  </w:style>
  <w:style w:type="table" w:styleId="TableGrid">
    <w:name w:val="Table Grid"/>
    <w:basedOn w:val="TableNormal"/>
    <w:uiPriority w:val="59"/>
    <w:rsid w:val="00170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31">
    <w:name w:val="List Table 3 - Accent 31"/>
    <w:basedOn w:val="TableNormal"/>
    <w:uiPriority w:val="48"/>
    <w:rsid w:val="00170EB7"/>
    <w:pPr>
      <w:spacing w:after="0" w:line="240" w:lineRule="auto"/>
    </w:pPr>
    <w:tblPr>
      <w:tblStyleRowBandSize w:val="1"/>
      <w:tblStyleColBandSize w:val="1"/>
      <w:tblBorders>
        <w:top w:val="single" w:sz="4" w:space="0" w:color="17B4DD" w:themeColor="accent3"/>
        <w:left w:val="single" w:sz="4" w:space="0" w:color="17B4DD" w:themeColor="accent3"/>
        <w:bottom w:val="single" w:sz="4" w:space="0" w:color="17B4DD" w:themeColor="accent3"/>
        <w:right w:val="single" w:sz="4" w:space="0" w:color="17B4DD" w:themeColor="accent3"/>
      </w:tblBorders>
    </w:tblPr>
    <w:tblStylePr w:type="firstRow">
      <w:rPr>
        <w:b/>
        <w:bCs/>
        <w:color w:val="FFFFFF" w:themeColor="background1"/>
      </w:rPr>
      <w:tblPr/>
      <w:tcPr>
        <w:shd w:val="clear" w:color="auto" w:fill="17B4DD" w:themeFill="accent3"/>
      </w:tcPr>
    </w:tblStylePr>
    <w:tblStylePr w:type="lastRow">
      <w:rPr>
        <w:b/>
        <w:bCs/>
      </w:rPr>
      <w:tblPr/>
      <w:tcPr>
        <w:tcBorders>
          <w:top w:val="double" w:sz="4" w:space="0" w:color="17B4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B4DD" w:themeColor="accent3"/>
          <w:right w:val="single" w:sz="4" w:space="0" w:color="17B4DD" w:themeColor="accent3"/>
        </w:tcBorders>
      </w:tcPr>
    </w:tblStylePr>
    <w:tblStylePr w:type="band1Horz">
      <w:tblPr/>
      <w:tcPr>
        <w:tcBorders>
          <w:top w:val="single" w:sz="4" w:space="0" w:color="17B4DD" w:themeColor="accent3"/>
          <w:bottom w:val="single" w:sz="4" w:space="0" w:color="17B4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B4DD" w:themeColor="accent3"/>
          <w:left w:val="nil"/>
        </w:tcBorders>
      </w:tcPr>
    </w:tblStylePr>
    <w:tblStylePr w:type="swCell">
      <w:tblPr/>
      <w:tcPr>
        <w:tcBorders>
          <w:top w:val="double" w:sz="4" w:space="0" w:color="17B4DD" w:themeColor="accent3"/>
          <w:right w:val="nil"/>
        </w:tcBorders>
      </w:tcPr>
    </w:tblStylePr>
  </w:style>
  <w:style w:type="table" w:customStyle="1" w:styleId="ListTable4-Accent11">
    <w:name w:val="List Table 4 - Accent 11"/>
    <w:basedOn w:val="TableNormal"/>
    <w:uiPriority w:val="49"/>
    <w:rsid w:val="00170EB7"/>
    <w:pPr>
      <w:spacing w:after="0" w:line="240" w:lineRule="auto"/>
    </w:pPr>
    <w:tblPr>
      <w:tblStyleRowBandSize w:val="1"/>
      <w:tblStyleColBandSize w:val="1"/>
      <w:tblBorders>
        <w:top w:val="single" w:sz="4" w:space="0" w:color="5466C2" w:themeColor="accent1" w:themeTint="99"/>
        <w:left w:val="single" w:sz="4" w:space="0" w:color="5466C2" w:themeColor="accent1" w:themeTint="99"/>
        <w:bottom w:val="single" w:sz="4" w:space="0" w:color="5466C2" w:themeColor="accent1" w:themeTint="99"/>
        <w:right w:val="single" w:sz="4" w:space="0" w:color="5466C2" w:themeColor="accent1" w:themeTint="99"/>
        <w:insideH w:val="single" w:sz="4" w:space="0" w:color="5466C2" w:themeColor="accent1" w:themeTint="99"/>
      </w:tblBorders>
    </w:tblPr>
    <w:tblStylePr w:type="firstRow">
      <w:rPr>
        <w:b/>
        <w:bCs/>
        <w:color w:val="FFFFFF" w:themeColor="background1"/>
      </w:rPr>
      <w:tblPr/>
      <w:tcPr>
        <w:tcBorders>
          <w:top w:val="single" w:sz="4" w:space="0" w:color="212B5D" w:themeColor="accent1"/>
          <w:left w:val="single" w:sz="4" w:space="0" w:color="212B5D" w:themeColor="accent1"/>
          <w:bottom w:val="single" w:sz="4" w:space="0" w:color="212B5D" w:themeColor="accent1"/>
          <w:right w:val="single" w:sz="4" w:space="0" w:color="212B5D" w:themeColor="accent1"/>
          <w:insideH w:val="nil"/>
        </w:tcBorders>
        <w:shd w:val="clear" w:color="auto" w:fill="212B5D" w:themeFill="accent1"/>
      </w:tcPr>
    </w:tblStylePr>
    <w:tblStylePr w:type="lastRow">
      <w:rPr>
        <w:b/>
        <w:bCs/>
      </w:rPr>
      <w:tblPr/>
      <w:tcPr>
        <w:tcBorders>
          <w:top w:val="double" w:sz="4" w:space="0" w:color="5466C2" w:themeColor="accent1" w:themeTint="99"/>
        </w:tcBorders>
      </w:tcPr>
    </w:tblStylePr>
    <w:tblStylePr w:type="firstCol">
      <w:rPr>
        <w:b/>
        <w:bCs/>
      </w:rPr>
    </w:tblStylePr>
    <w:tblStylePr w:type="lastCol">
      <w:rPr>
        <w:b/>
        <w:bCs/>
      </w:rPr>
    </w:tblStylePr>
    <w:tblStylePr w:type="band1Vert">
      <w:tblPr/>
      <w:tcPr>
        <w:shd w:val="clear" w:color="auto" w:fill="C6CCEA" w:themeFill="accent1" w:themeFillTint="33"/>
      </w:tcPr>
    </w:tblStylePr>
    <w:tblStylePr w:type="band1Horz">
      <w:tblPr/>
      <w:tcPr>
        <w:shd w:val="clear" w:color="auto" w:fill="C6CCEA" w:themeFill="accent1" w:themeFillTint="33"/>
      </w:tcPr>
    </w:tblStylePr>
  </w:style>
  <w:style w:type="table" w:customStyle="1" w:styleId="ListTable4-Accent61">
    <w:name w:val="List Table 4 - Accent 61"/>
    <w:basedOn w:val="TableNormal"/>
    <w:uiPriority w:val="49"/>
    <w:rsid w:val="00170EB7"/>
    <w:pPr>
      <w:spacing w:after="0" w:line="240" w:lineRule="auto"/>
    </w:pPr>
    <w:tblPr>
      <w:tblStyleRowBandSize w:val="1"/>
      <w:tblStyleColBandSize w:val="1"/>
      <w:tblBorders>
        <w:top w:val="single" w:sz="4" w:space="0" w:color="DBD996" w:themeColor="accent6" w:themeTint="99"/>
        <w:left w:val="single" w:sz="4" w:space="0" w:color="DBD996" w:themeColor="accent6" w:themeTint="99"/>
        <w:bottom w:val="single" w:sz="4" w:space="0" w:color="DBD996" w:themeColor="accent6" w:themeTint="99"/>
        <w:right w:val="single" w:sz="4" w:space="0" w:color="DBD996" w:themeColor="accent6" w:themeTint="99"/>
        <w:insideH w:val="single" w:sz="4" w:space="0" w:color="DBD996" w:themeColor="accent6" w:themeTint="99"/>
      </w:tblBorders>
    </w:tblPr>
    <w:tblStylePr w:type="firstRow">
      <w:rPr>
        <w:b/>
        <w:bCs/>
        <w:color w:val="FFFFFF" w:themeColor="background1"/>
      </w:rPr>
      <w:tblPr/>
      <w:tcPr>
        <w:tcBorders>
          <w:top w:val="single" w:sz="4" w:space="0" w:color="C3C050" w:themeColor="accent6"/>
          <w:left w:val="single" w:sz="4" w:space="0" w:color="C3C050" w:themeColor="accent6"/>
          <w:bottom w:val="single" w:sz="4" w:space="0" w:color="C3C050" w:themeColor="accent6"/>
          <w:right w:val="single" w:sz="4" w:space="0" w:color="C3C050" w:themeColor="accent6"/>
          <w:insideH w:val="nil"/>
        </w:tcBorders>
        <w:shd w:val="clear" w:color="auto" w:fill="C3C050" w:themeFill="accent6"/>
      </w:tcPr>
    </w:tblStylePr>
    <w:tblStylePr w:type="lastRow">
      <w:rPr>
        <w:b/>
        <w:bCs/>
      </w:rPr>
      <w:tblPr/>
      <w:tcPr>
        <w:tcBorders>
          <w:top w:val="double" w:sz="4" w:space="0" w:color="DBD996" w:themeColor="accent6" w:themeTint="99"/>
        </w:tcBorders>
      </w:tcPr>
    </w:tblStylePr>
    <w:tblStylePr w:type="firstCol">
      <w:rPr>
        <w:b/>
        <w:bCs/>
      </w:rPr>
    </w:tblStylePr>
    <w:tblStylePr w:type="lastCol">
      <w:rPr>
        <w:b/>
        <w:bCs/>
      </w:rPr>
    </w:tblStylePr>
    <w:tblStylePr w:type="band1Vert">
      <w:tblPr/>
      <w:tcPr>
        <w:shd w:val="clear" w:color="auto" w:fill="F3F2DC" w:themeFill="accent6" w:themeFillTint="33"/>
      </w:tcPr>
    </w:tblStylePr>
    <w:tblStylePr w:type="band1Horz">
      <w:tblPr/>
      <w:tcPr>
        <w:shd w:val="clear" w:color="auto" w:fill="F3F2DC" w:themeFill="accent6" w:themeFillTint="33"/>
      </w:tcPr>
    </w:tblStylePr>
  </w:style>
  <w:style w:type="table" w:customStyle="1" w:styleId="GridTable4-Accent61">
    <w:name w:val="Grid Table 4 - Accent 61"/>
    <w:basedOn w:val="TableNormal"/>
    <w:uiPriority w:val="49"/>
    <w:rsid w:val="00170EB7"/>
    <w:pPr>
      <w:spacing w:after="0" w:line="240" w:lineRule="auto"/>
    </w:pPr>
    <w:tblPr>
      <w:tblStyleRowBandSize w:val="1"/>
      <w:tblStyleColBandSize w:val="1"/>
      <w:tblBorders>
        <w:top w:val="single" w:sz="4" w:space="0" w:color="DBD996" w:themeColor="accent6" w:themeTint="99"/>
        <w:left w:val="single" w:sz="4" w:space="0" w:color="DBD996" w:themeColor="accent6" w:themeTint="99"/>
        <w:bottom w:val="single" w:sz="4" w:space="0" w:color="DBD996" w:themeColor="accent6" w:themeTint="99"/>
        <w:right w:val="single" w:sz="4" w:space="0" w:color="DBD996" w:themeColor="accent6" w:themeTint="99"/>
        <w:insideH w:val="single" w:sz="4" w:space="0" w:color="DBD996" w:themeColor="accent6" w:themeTint="99"/>
        <w:insideV w:val="single" w:sz="4" w:space="0" w:color="DBD996" w:themeColor="accent6" w:themeTint="99"/>
      </w:tblBorders>
    </w:tblPr>
    <w:tblStylePr w:type="firstRow">
      <w:rPr>
        <w:b/>
        <w:bCs/>
        <w:color w:val="FFFFFF" w:themeColor="background1"/>
      </w:rPr>
      <w:tblPr/>
      <w:tcPr>
        <w:tcBorders>
          <w:top w:val="single" w:sz="4" w:space="0" w:color="C3C050" w:themeColor="accent6"/>
          <w:left w:val="single" w:sz="4" w:space="0" w:color="C3C050" w:themeColor="accent6"/>
          <w:bottom w:val="single" w:sz="4" w:space="0" w:color="C3C050" w:themeColor="accent6"/>
          <w:right w:val="single" w:sz="4" w:space="0" w:color="C3C050" w:themeColor="accent6"/>
          <w:insideH w:val="nil"/>
          <w:insideV w:val="nil"/>
        </w:tcBorders>
        <w:shd w:val="clear" w:color="auto" w:fill="C3C050" w:themeFill="accent6"/>
      </w:tcPr>
    </w:tblStylePr>
    <w:tblStylePr w:type="lastRow">
      <w:rPr>
        <w:b/>
        <w:bCs/>
      </w:rPr>
      <w:tblPr/>
      <w:tcPr>
        <w:tcBorders>
          <w:top w:val="double" w:sz="4" w:space="0" w:color="C3C050" w:themeColor="accent6"/>
        </w:tcBorders>
      </w:tcPr>
    </w:tblStylePr>
    <w:tblStylePr w:type="firstCol">
      <w:rPr>
        <w:b/>
        <w:bCs/>
      </w:rPr>
    </w:tblStylePr>
    <w:tblStylePr w:type="lastCol">
      <w:rPr>
        <w:b/>
        <w:bCs/>
      </w:rPr>
    </w:tblStylePr>
    <w:tblStylePr w:type="band1Vert">
      <w:tblPr/>
      <w:tcPr>
        <w:shd w:val="clear" w:color="auto" w:fill="F3F2DC" w:themeFill="accent6" w:themeFillTint="33"/>
      </w:tcPr>
    </w:tblStylePr>
    <w:tblStylePr w:type="band1Horz">
      <w:tblPr/>
      <w:tcPr>
        <w:shd w:val="clear" w:color="auto" w:fill="F3F2DC" w:themeFill="accent6" w:themeFillTint="33"/>
      </w:tcPr>
    </w:tblStylePr>
  </w:style>
  <w:style w:type="paragraph" w:styleId="Caption">
    <w:name w:val="caption"/>
    <w:basedOn w:val="Normal"/>
    <w:next w:val="Normal"/>
    <w:autoRedefine/>
    <w:unhideWhenUsed/>
    <w:qFormat/>
    <w:rsid w:val="00900633"/>
    <w:pPr>
      <w:spacing w:before="240" w:after="60"/>
      <w:outlineLvl w:val="4"/>
    </w:pPr>
    <w:rPr>
      <w:i/>
      <w:iCs/>
      <w:color w:val="0B5A6E" w:themeColor="accent3" w:themeShade="80"/>
      <w:sz w:val="16"/>
      <w:szCs w:val="18"/>
    </w:rPr>
  </w:style>
  <w:style w:type="paragraph" w:styleId="FootnoteText">
    <w:name w:val="footnote text"/>
    <w:basedOn w:val="Normal"/>
    <w:link w:val="FootnoteTextChar"/>
    <w:unhideWhenUsed/>
    <w:rsid w:val="00170EB7"/>
    <w:rPr>
      <w:color w:val="7F7F7F" w:themeColor="text1" w:themeTint="80"/>
      <w:sz w:val="16"/>
      <w:szCs w:val="20"/>
    </w:rPr>
  </w:style>
  <w:style w:type="character" w:customStyle="1" w:styleId="FootnoteTextChar">
    <w:name w:val="Footnote Text Char"/>
    <w:basedOn w:val="DefaultParagraphFont"/>
    <w:link w:val="FootnoteText"/>
    <w:rsid w:val="00170EB7"/>
    <w:rPr>
      <w:color w:val="7F7F7F" w:themeColor="text1" w:themeTint="80"/>
      <w:sz w:val="16"/>
      <w:szCs w:val="20"/>
    </w:rPr>
  </w:style>
  <w:style w:type="character" w:styleId="FootnoteReference">
    <w:name w:val="footnote reference"/>
    <w:basedOn w:val="DefaultParagraphFont"/>
    <w:unhideWhenUsed/>
    <w:rsid w:val="00170EB7"/>
    <w:rPr>
      <w:vertAlign w:val="superscript"/>
    </w:rPr>
  </w:style>
  <w:style w:type="character" w:styleId="Hyperlink">
    <w:name w:val="Hyperlink"/>
    <w:basedOn w:val="DefaultParagraphFont"/>
    <w:uiPriority w:val="99"/>
    <w:unhideWhenUsed/>
    <w:rsid w:val="00170EB7"/>
    <w:rPr>
      <w:color w:val="0563C1" w:themeColor="hyperlink"/>
      <w:u w:val="single"/>
    </w:rPr>
  </w:style>
  <w:style w:type="table" w:customStyle="1" w:styleId="GridTable5Dark-Accent11">
    <w:name w:val="Grid Table 5 Dark - Accent 11"/>
    <w:basedOn w:val="TableNormal"/>
    <w:uiPriority w:val="50"/>
    <w:rsid w:val="00170E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CC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12B5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12B5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12B5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12B5D" w:themeFill="accent1"/>
      </w:tcPr>
    </w:tblStylePr>
    <w:tblStylePr w:type="band1Vert">
      <w:tblPr/>
      <w:tcPr>
        <w:shd w:val="clear" w:color="auto" w:fill="8D99D6" w:themeFill="accent1" w:themeFillTint="66"/>
      </w:tcPr>
    </w:tblStylePr>
    <w:tblStylePr w:type="band1Horz">
      <w:tblPr/>
      <w:tcPr>
        <w:shd w:val="clear" w:color="auto" w:fill="8D99D6" w:themeFill="accent1" w:themeFillTint="66"/>
      </w:tcPr>
    </w:tblStylePr>
  </w:style>
  <w:style w:type="table" w:customStyle="1" w:styleId="GridTable4-Accent31">
    <w:name w:val="Grid Table 4 - Accent 31"/>
    <w:basedOn w:val="TableNormal"/>
    <w:uiPriority w:val="49"/>
    <w:rsid w:val="00170EB7"/>
    <w:pPr>
      <w:spacing w:after="0" w:line="240" w:lineRule="auto"/>
    </w:pPr>
    <w:tblPr>
      <w:tblStyleRowBandSize w:val="1"/>
      <w:tblStyleColBandSize w:val="1"/>
      <w:tblBorders>
        <w:top w:val="single" w:sz="4" w:space="0" w:color="6ED5F0" w:themeColor="accent3" w:themeTint="99"/>
        <w:left w:val="single" w:sz="4" w:space="0" w:color="6ED5F0" w:themeColor="accent3" w:themeTint="99"/>
        <w:bottom w:val="single" w:sz="4" w:space="0" w:color="6ED5F0" w:themeColor="accent3" w:themeTint="99"/>
        <w:right w:val="single" w:sz="4" w:space="0" w:color="6ED5F0" w:themeColor="accent3" w:themeTint="99"/>
        <w:insideH w:val="single" w:sz="4" w:space="0" w:color="6ED5F0" w:themeColor="accent3" w:themeTint="99"/>
        <w:insideV w:val="single" w:sz="4" w:space="0" w:color="6ED5F0" w:themeColor="accent3" w:themeTint="99"/>
      </w:tblBorders>
    </w:tblPr>
    <w:tblStylePr w:type="firstRow">
      <w:rPr>
        <w:b/>
        <w:bCs/>
        <w:color w:val="FFFFFF" w:themeColor="background1"/>
      </w:rPr>
      <w:tblPr/>
      <w:tcPr>
        <w:tcBorders>
          <w:top w:val="single" w:sz="4" w:space="0" w:color="17B4DD" w:themeColor="accent3"/>
          <w:left w:val="single" w:sz="4" w:space="0" w:color="17B4DD" w:themeColor="accent3"/>
          <w:bottom w:val="single" w:sz="4" w:space="0" w:color="17B4DD" w:themeColor="accent3"/>
          <w:right w:val="single" w:sz="4" w:space="0" w:color="17B4DD" w:themeColor="accent3"/>
          <w:insideH w:val="nil"/>
          <w:insideV w:val="nil"/>
        </w:tcBorders>
        <w:shd w:val="clear" w:color="auto" w:fill="17B4DD" w:themeFill="accent3"/>
      </w:tcPr>
    </w:tblStylePr>
    <w:tblStylePr w:type="lastRow">
      <w:rPr>
        <w:b/>
        <w:bCs/>
      </w:rPr>
      <w:tblPr/>
      <w:tcPr>
        <w:tcBorders>
          <w:top w:val="double" w:sz="4" w:space="0" w:color="17B4DD" w:themeColor="accent3"/>
        </w:tcBorders>
      </w:tcPr>
    </w:tblStylePr>
    <w:tblStylePr w:type="firstCol">
      <w:rPr>
        <w:b/>
        <w:bCs/>
      </w:rPr>
    </w:tblStylePr>
    <w:tblStylePr w:type="lastCol">
      <w:rPr>
        <w:b/>
        <w:bCs/>
      </w:rPr>
    </w:tblStylePr>
    <w:tblStylePr w:type="band1Vert">
      <w:tblPr/>
      <w:tcPr>
        <w:shd w:val="clear" w:color="auto" w:fill="CEF0FA" w:themeFill="accent3" w:themeFillTint="33"/>
      </w:tcPr>
    </w:tblStylePr>
    <w:tblStylePr w:type="band1Horz">
      <w:tblPr/>
      <w:tcPr>
        <w:shd w:val="clear" w:color="auto" w:fill="CEF0FA" w:themeFill="accent3" w:themeFillTint="33"/>
      </w:tcPr>
    </w:tblStylePr>
  </w:style>
  <w:style w:type="paragraph" w:styleId="Header">
    <w:name w:val="header"/>
    <w:basedOn w:val="Normal"/>
    <w:link w:val="HeaderChar"/>
    <w:uiPriority w:val="99"/>
    <w:unhideWhenUsed/>
    <w:rsid w:val="00170EB7"/>
    <w:pPr>
      <w:tabs>
        <w:tab w:val="center" w:pos="4513"/>
        <w:tab w:val="right" w:pos="9026"/>
      </w:tabs>
    </w:pPr>
  </w:style>
  <w:style w:type="character" w:customStyle="1" w:styleId="HeaderChar">
    <w:name w:val="Header Char"/>
    <w:basedOn w:val="DefaultParagraphFont"/>
    <w:link w:val="Header"/>
    <w:uiPriority w:val="99"/>
    <w:rsid w:val="00170EB7"/>
    <w:rPr>
      <w:sz w:val="20"/>
    </w:rPr>
  </w:style>
  <w:style w:type="paragraph" w:styleId="Footer">
    <w:name w:val="footer"/>
    <w:basedOn w:val="Normal"/>
    <w:link w:val="FooterChar"/>
    <w:uiPriority w:val="99"/>
    <w:unhideWhenUsed/>
    <w:rsid w:val="00170EB7"/>
    <w:pPr>
      <w:tabs>
        <w:tab w:val="center" w:pos="4513"/>
        <w:tab w:val="right" w:pos="9026"/>
      </w:tabs>
      <w:jc w:val="center"/>
    </w:pPr>
    <w:rPr>
      <w:sz w:val="16"/>
    </w:rPr>
  </w:style>
  <w:style w:type="character" w:customStyle="1" w:styleId="FooterChar">
    <w:name w:val="Footer Char"/>
    <w:basedOn w:val="DefaultParagraphFont"/>
    <w:link w:val="Footer"/>
    <w:uiPriority w:val="99"/>
    <w:rsid w:val="00170EB7"/>
    <w:rPr>
      <w:sz w:val="16"/>
    </w:rPr>
  </w:style>
  <w:style w:type="paragraph" w:styleId="TableofFigures">
    <w:name w:val="table of figures"/>
    <w:basedOn w:val="Normal"/>
    <w:next w:val="Normal"/>
    <w:uiPriority w:val="99"/>
    <w:unhideWhenUsed/>
    <w:rsid w:val="00170EB7"/>
  </w:style>
  <w:style w:type="paragraph" w:customStyle="1" w:styleId="Bullet">
    <w:name w:val="Bullet"/>
    <w:basedOn w:val="ListParagraph"/>
    <w:link w:val="BulletChar"/>
    <w:uiPriority w:val="1"/>
    <w:qFormat/>
    <w:rsid w:val="006E0CA5"/>
    <w:pPr>
      <w:numPr>
        <w:numId w:val="2"/>
      </w:numPr>
    </w:pPr>
  </w:style>
  <w:style w:type="paragraph" w:styleId="List">
    <w:name w:val="List"/>
    <w:basedOn w:val="ListParagraph"/>
    <w:uiPriority w:val="1"/>
    <w:qFormat/>
    <w:rsid w:val="00170EB7"/>
    <w:pPr>
      <w:numPr>
        <w:numId w:val="3"/>
      </w:numPr>
    </w:pPr>
  </w:style>
  <w:style w:type="character" w:customStyle="1" w:styleId="ListParagraphChar">
    <w:name w:val="List Paragraph Char"/>
    <w:basedOn w:val="DefaultParagraphFont"/>
    <w:link w:val="ListParagraph"/>
    <w:uiPriority w:val="34"/>
    <w:rsid w:val="00170EB7"/>
    <w:rPr>
      <w:sz w:val="20"/>
    </w:rPr>
  </w:style>
  <w:style w:type="character" w:customStyle="1" w:styleId="BulletChar">
    <w:name w:val="Bullet Char"/>
    <w:basedOn w:val="ListParagraphChar"/>
    <w:link w:val="Bullet"/>
    <w:uiPriority w:val="1"/>
    <w:rsid w:val="006E0CA5"/>
    <w:rPr>
      <w:rFonts w:ascii="Arial Nova Light" w:eastAsia="Times New Roman" w:hAnsi="Arial Nova Light" w:cs="Times New Roman"/>
      <w:sz w:val="20"/>
      <w:szCs w:val="24"/>
      <w:lang w:eastAsia="en-GB"/>
    </w:rPr>
  </w:style>
  <w:style w:type="table" w:customStyle="1" w:styleId="GridTable4-Accent11">
    <w:name w:val="Grid Table 4 - Accent 11"/>
    <w:basedOn w:val="TableNormal"/>
    <w:uiPriority w:val="49"/>
    <w:rsid w:val="00170EB7"/>
    <w:pPr>
      <w:spacing w:after="0" w:line="240" w:lineRule="auto"/>
    </w:pPr>
    <w:tblPr>
      <w:tblStyleRowBandSize w:val="1"/>
      <w:tblStyleColBandSize w:val="1"/>
      <w:tblBorders>
        <w:top w:val="single" w:sz="4" w:space="0" w:color="5466C2" w:themeColor="accent1" w:themeTint="99"/>
        <w:left w:val="single" w:sz="4" w:space="0" w:color="5466C2" w:themeColor="accent1" w:themeTint="99"/>
        <w:bottom w:val="single" w:sz="4" w:space="0" w:color="5466C2" w:themeColor="accent1" w:themeTint="99"/>
        <w:right w:val="single" w:sz="4" w:space="0" w:color="5466C2" w:themeColor="accent1" w:themeTint="99"/>
        <w:insideH w:val="single" w:sz="4" w:space="0" w:color="5466C2" w:themeColor="accent1" w:themeTint="99"/>
        <w:insideV w:val="single" w:sz="4" w:space="0" w:color="5466C2" w:themeColor="accent1" w:themeTint="99"/>
      </w:tblBorders>
    </w:tblPr>
    <w:tblStylePr w:type="firstRow">
      <w:rPr>
        <w:b/>
        <w:bCs/>
        <w:color w:val="FFFFFF" w:themeColor="background1"/>
      </w:rPr>
      <w:tblPr/>
      <w:tcPr>
        <w:tcBorders>
          <w:top w:val="single" w:sz="4" w:space="0" w:color="212B5D" w:themeColor="accent1"/>
          <w:left w:val="single" w:sz="4" w:space="0" w:color="212B5D" w:themeColor="accent1"/>
          <w:bottom w:val="single" w:sz="4" w:space="0" w:color="212B5D" w:themeColor="accent1"/>
          <w:right w:val="single" w:sz="4" w:space="0" w:color="212B5D" w:themeColor="accent1"/>
          <w:insideH w:val="nil"/>
          <w:insideV w:val="nil"/>
        </w:tcBorders>
        <w:shd w:val="clear" w:color="auto" w:fill="212B5D" w:themeFill="accent1"/>
      </w:tcPr>
    </w:tblStylePr>
    <w:tblStylePr w:type="lastRow">
      <w:rPr>
        <w:b/>
        <w:bCs/>
      </w:rPr>
      <w:tblPr/>
      <w:tcPr>
        <w:tcBorders>
          <w:top w:val="double" w:sz="4" w:space="0" w:color="212B5D" w:themeColor="accent1"/>
        </w:tcBorders>
      </w:tcPr>
    </w:tblStylePr>
    <w:tblStylePr w:type="firstCol">
      <w:rPr>
        <w:b/>
        <w:bCs/>
      </w:rPr>
    </w:tblStylePr>
    <w:tblStylePr w:type="lastCol">
      <w:rPr>
        <w:b/>
        <w:bCs/>
      </w:rPr>
    </w:tblStylePr>
    <w:tblStylePr w:type="band1Vert">
      <w:tblPr/>
      <w:tcPr>
        <w:shd w:val="clear" w:color="auto" w:fill="C6CCEA" w:themeFill="accent1" w:themeFillTint="33"/>
      </w:tcPr>
    </w:tblStylePr>
    <w:tblStylePr w:type="band1Horz">
      <w:tblPr/>
      <w:tcPr>
        <w:shd w:val="clear" w:color="auto" w:fill="C6CCEA" w:themeFill="accent1" w:themeFillTint="33"/>
      </w:tcPr>
    </w:tblStylePr>
  </w:style>
  <w:style w:type="table" w:customStyle="1" w:styleId="GridTable41">
    <w:name w:val="Grid Table 41"/>
    <w:basedOn w:val="TableNormal"/>
    <w:uiPriority w:val="49"/>
    <w:rsid w:val="00170EB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link w:val="NoSpacingChar"/>
    <w:autoRedefine/>
    <w:uiPriority w:val="1"/>
    <w:qFormat/>
    <w:rsid w:val="002E007F"/>
    <w:pPr>
      <w:spacing w:after="0" w:line="240" w:lineRule="auto"/>
    </w:pPr>
    <w:rPr>
      <w:rFonts w:ascii="Arial Nova Light" w:eastAsiaTheme="minorEastAsia" w:hAnsi="Arial Nova Light"/>
      <w:sz w:val="13"/>
      <w:lang w:val="en-US"/>
    </w:rPr>
  </w:style>
  <w:style w:type="character" w:customStyle="1" w:styleId="NoSpacingChar">
    <w:name w:val="No Spacing Char"/>
    <w:basedOn w:val="DefaultParagraphFont"/>
    <w:link w:val="NoSpacing"/>
    <w:uiPriority w:val="1"/>
    <w:rsid w:val="002E007F"/>
    <w:rPr>
      <w:rFonts w:ascii="Arial Nova Light" w:eastAsiaTheme="minorEastAsia" w:hAnsi="Arial Nova Light"/>
      <w:sz w:val="13"/>
      <w:lang w:val="en-US"/>
    </w:rPr>
  </w:style>
  <w:style w:type="paragraph" w:styleId="Quote">
    <w:name w:val="Quote"/>
    <w:basedOn w:val="Normal"/>
    <w:next w:val="Normal"/>
    <w:link w:val="QuoteChar"/>
    <w:uiPriority w:val="29"/>
    <w:unhideWhenUsed/>
    <w:qFormat/>
    <w:rsid w:val="00170EB7"/>
    <w:pPr>
      <w:spacing w:after="80"/>
    </w:pPr>
    <w:rPr>
      <w:b/>
      <w:i/>
      <w:color w:val="212B5D" w:themeColor="accent1"/>
      <w:sz w:val="22"/>
    </w:rPr>
  </w:style>
  <w:style w:type="character" w:customStyle="1" w:styleId="QuoteChar">
    <w:name w:val="Quote Char"/>
    <w:basedOn w:val="DefaultParagraphFont"/>
    <w:link w:val="Quote"/>
    <w:uiPriority w:val="29"/>
    <w:rsid w:val="00170EB7"/>
    <w:rPr>
      <w:b/>
      <w:i/>
      <w:color w:val="212B5D" w:themeColor="accent1"/>
    </w:rPr>
  </w:style>
  <w:style w:type="paragraph" w:customStyle="1" w:styleId="QuoteHeading">
    <w:name w:val="QuoteHeading"/>
    <w:basedOn w:val="QuoteSmallBlue"/>
    <w:next w:val="QuoteLarge"/>
    <w:qFormat/>
    <w:rsid w:val="00170EB7"/>
    <w:rPr>
      <w:b/>
      <w:sz w:val="26"/>
    </w:rPr>
  </w:style>
  <w:style w:type="character" w:styleId="PlaceholderText">
    <w:name w:val="Placeholder Text"/>
    <w:basedOn w:val="DefaultParagraphFont"/>
    <w:uiPriority w:val="99"/>
    <w:semiHidden/>
    <w:rsid w:val="00170EB7"/>
    <w:rPr>
      <w:color w:val="808080"/>
    </w:rPr>
  </w:style>
  <w:style w:type="paragraph" w:styleId="BalloonText">
    <w:name w:val="Balloon Text"/>
    <w:basedOn w:val="Normal"/>
    <w:link w:val="BalloonTextChar"/>
    <w:uiPriority w:val="99"/>
    <w:semiHidden/>
    <w:unhideWhenUsed/>
    <w:rsid w:val="00170E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EB7"/>
    <w:rPr>
      <w:rFonts w:ascii="Segoe UI" w:hAnsi="Segoe UI" w:cs="Segoe UI"/>
      <w:sz w:val="18"/>
      <w:szCs w:val="18"/>
    </w:rPr>
  </w:style>
  <w:style w:type="paragraph" w:customStyle="1" w:styleId="QuoteSmallBlue">
    <w:name w:val="QuoteSmallBlue"/>
    <w:basedOn w:val="Normal"/>
    <w:autoRedefine/>
    <w:qFormat/>
    <w:rsid w:val="00EC6371"/>
    <w:pPr>
      <w:spacing w:after="180"/>
      <w:ind w:left="720" w:right="720"/>
    </w:pPr>
    <w:rPr>
      <w:i/>
      <w:color w:val="212B5D" w:themeColor="accent1"/>
    </w:rPr>
  </w:style>
  <w:style w:type="paragraph" w:customStyle="1" w:styleId="QuoteSmallWhite">
    <w:name w:val="QuoteSmallWhite"/>
    <w:basedOn w:val="QuoteSmallBlue"/>
    <w:qFormat/>
    <w:rsid w:val="00170EB7"/>
    <w:rPr>
      <w:b/>
      <w:color w:val="FFFFFF" w:themeColor="background1"/>
    </w:rPr>
  </w:style>
  <w:style w:type="paragraph" w:customStyle="1" w:styleId="QuoteLarge">
    <w:name w:val="QuoteLarge"/>
    <w:basedOn w:val="Normal"/>
    <w:next w:val="QuoteSmallBlue"/>
    <w:qFormat/>
    <w:rsid w:val="00170EB7"/>
    <w:pPr>
      <w:spacing w:after="80"/>
    </w:pPr>
    <w:rPr>
      <w:b/>
      <w:i/>
      <w:color w:val="182045" w:themeColor="accent1" w:themeShade="BF"/>
    </w:rPr>
  </w:style>
  <w:style w:type="character" w:customStyle="1" w:styleId="UnresolvedMention1">
    <w:name w:val="Unresolved Mention1"/>
    <w:basedOn w:val="DefaultParagraphFont"/>
    <w:uiPriority w:val="99"/>
    <w:semiHidden/>
    <w:unhideWhenUsed/>
    <w:rsid w:val="00CD612E"/>
    <w:rPr>
      <w:color w:val="605E5C"/>
      <w:shd w:val="clear" w:color="auto" w:fill="E1DFDD"/>
    </w:rPr>
  </w:style>
  <w:style w:type="paragraph" w:customStyle="1" w:styleId="zTableBody">
    <w:name w:val="zTable Body"/>
    <w:basedOn w:val="Normal"/>
    <w:rsid w:val="003266D2"/>
    <w:pPr>
      <w:keepNext/>
    </w:pPr>
    <w:rPr>
      <w:sz w:val="17"/>
    </w:rPr>
  </w:style>
  <w:style w:type="paragraph" w:styleId="Bibliography">
    <w:name w:val="Bibliography"/>
    <w:basedOn w:val="Normal"/>
    <w:next w:val="Normal"/>
    <w:uiPriority w:val="37"/>
    <w:unhideWhenUsed/>
    <w:rsid w:val="00113705"/>
  </w:style>
  <w:style w:type="paragraph" w:styleId="NormalWeb">
    <w:name w:val="Normal (Web)"/>
    <w:basedOn w:val="Normal"/>
    <w:uiPriority w:val="99"/>
    <w:unhideWhenUsed/>
    <w:rsid w:val="00F14963"/>
    <w:pPr>
      <w:spacing w:before="100" w:beforeAutospacing="1" w:after="100" w:afterAutospacing="1"/>
    </w:pPr>
  </w:style>
  <w:style w:type="paragraph" w:customStyle="1" w:styleId="dccw-authoringelement-body">
    <w:name w:val="dccw-authoringelement-body"/>
    <w:basedOn w:val="Normal"/>
    <w:rsid w:val="00D05591"/>
    <w:pPr>
      <w:spacing w:before="100" w:beforeAutospacing="1" w:after="100" w:afterAutospacing="1"/>
    </w:pPr>
  </w:style>
  <w:style w:type="character" w:customStyle="1" w:styleId="apple-converted-space">
    <w:name w:val="apple-converted-space"/>
    <w:basedOn w:val="DefaultParagraphFont"/>
    <w:rsid w:val="00D05591"/>
  </w:style>
  <w:style w:type="character" w:styleId="CommentReference">
    <w:name w:val="annotation reference"/>
    <w:basedOn w:val="DefaultParagraphFont"/>
    <w:uiPriority w:val="99"/>
    <w:semiHidden/>
    <w:unhideWhenUsed/>
    <w:rsid w:val="006F3FB8"/>
    <w:rPr>
      <w:sz w:val="16"/>
      <w:szCs w:val="16"/>
    </w:rPr>
  </w:style>
  <w:style w:type="paragraph" w:styleId="CommentText">
    <w:name w:val="annotation text"/>
    <w:basedOn w:val="Normal"/>
    <w:link w:val="CommentTextChar"/>
    <w:uiPriority w:val="99"/>
    <w:unhideWhenUsed/>
    <w:rsid w:val="006F3FB8"/>
    <w:rPr>
      <w:szCs w:val="20"/>
    </w:rPr>
  </w:style>
  <w:style w:type="character" w:customStyle="1" w:styleId="CommentTextChar">
    <w:name w:val="Comment Text Char"/>
    <w:basedOn w:val="DefaultParagraphFont"/>
    <w:link w:val="CommentText"/>
    <w:uiPriority w:val="99"/>
    <w:rsid w:val="006F3FB8"/>
    <w:rPr>
      <w:sz w:val="20"/>
      <w:szCs w:val="20"/>
    </w:rPr>
  </w:style>
  <w:style w:type="paragraph" w:styleId="CommentSubject">
    <w:name w:val="annotation subject"/>
    <w:basedOn w:val="CommentText"/>
    <w:next w:val="CommentText"/>
    <w:link w:val="CommentSubjectChar"/>
    <w:uiPriority w:val="99"/>
    <w:semiHidden/>
    <w:unhideWhenUsed/>
    <w:rsid w:val="006F3FB8"/>
    <w:rPr>
      <w:b/>
      <w:bCs/>
    </w:rPr>
  </w:style>
  <w:style w:type="character" w:customStyle="1" w:styleId="CommentSubjectChar">
    <w:name w:val="Comment Subject Char"/>
    <w:basedOn w:val="CommentTextChar"/>
    <w:link w:val="CommentSubject"/>
    <w:uiPriority w:val="99"/>
    <w:semiHidden/>
    <w:rsid w:val="006F3FB8"/>
    <w:rPr>
      <w:b/>
      <w:bCs/>
      <w:sz w:val="20"/>
      <w:szCs w:val="20"/>
    </w:rPr>
  </w:style>
  <w:style w:type="paragraph" w:styleId="Revision">
    <w:name w:val="Revision"/>
    <w:hidden/>
    <w:uiPriority w:val="99"/>
    <w:semiHidden/>
    <w:rsid w:val="00B00D62"/>
    <w:pPr>
      <w:spacing w:after="0" w:line="240" w:lineRule="auto"/>
    </w:pPr>
    <w:rPr>
      <w:sz w:val="20"/>
    </w:rPr>
  </w:style>
  <w:style w:type="character" w:customStyle="1" w:styleId="UnresolvedMention2">
    <w:name w:val="Unresolved Mention2"/>
    <w:basedOn w:val="DefaultParagraphFont"/>
    <w:uiPriority w:val="99"/>
    <w:semiHidden/>
    <w:unhideWhenUsed/>
    <w:rsid w:val="001F37FB"/>
    <w:rPr>
      <w:color w:val="605E5C"/>
      <w:shd w:val="clear" w:color="auto" w:fill="E1DFDD"/>
    </w:rPr>
  </w:style>
  <w:style w:type="character" w:styleId="FollowedHyperlink">
    <w:name w:val="FollowedHyperlink"/>
    <w:basedOn w:val="DefaultParagraphFont"/>
    <w:uiPriority w:val="99"/>
    <w:semiHidden/>
    <w:unhideWhenUsed/>
    <w:rsid w:val="00120141"/>
    <w:rPr>
      <w:color w:val="954F72" w:themeColor="followedHyperlink"/>
      <w:u w:val="single"/>
    </w:rPr>
  </w:style>
  <w:style w:type="table" w:styleId="ListTable3-Accent2">
    <w:name w:val="List Table 3 Accent 2"/>
    <w:basedOn w:val="TableNormal"/>
    <w:uiPriority w:val="48"/>
    <w:rsid w:val="003A465A"/>
    <w:pPr>
      <w:spacing w:after="0" w:line="240" w:lineRule="auto"/>
    </w:pPr>
    <w:tblPr>
      <w:tblStyleRowBandSize w:val="1"/>
      <w:tblStyleColBandSize w:val="1"/>
      <w:tblBorders>
        <w:top w:val="single" w:sz="4" w:space="0" w:color="2A5CFA" w:themeColor="accent2"/>
        <w:left w:val="single" w:sz="4" w:space="0" w:color="2A5CFA" w:themeColor="accent2"/>
        <w:bottom w:val="single" w:sz="4" w:space="0" w:color="2A5CFA" w:themeColor="accent2"/>
        <w:right w:val="single" w:sz="4" w:space="0" w:color="2A5CFA" w:themeColor="accent2"/>
      </w:tblBorders>
    </w:tblPr>
    <w:tblStylePr w:type="firstRow">
      <w:rPr>
        <w:b/>
        <w:bCs/>
        <w:color w:val="FFFFFF" w:themeColor="background1"/>
      </w:rPr>
      <w:tblPr/>
      <w:tcPr>
        <w:shd w:val="clear" w:color="auto" w:fill="2A5CFA" w:themeFill="accent2"/>
      </w:tcPr>
    </w:tblStylePr>
    <w:tblStylePr w:type="lastRow">
      <w:rPr>
        <w:b/>
        <w:bCs/>
      </w:rPr>
      <w:tblPr/>
      <w:tcPr>
        <w:tcBorders>
          <w:top w:val="double" w:sz="4" w:space="0" w:color="2A5CF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A5CFA" w:themeColor="accent2"/>
          <w:right w:val="single" w:sz="4" w:space="0" w:color="2A5CFA" w:themeColor="accent2"/>
        </w:tcBorders>
      </w:tcPr>
    </w:tblStylePr>
    <w:tblStylePr w:type="band1Horz">
      <w:tblPr/>
      <w:tcPr>
        <w:tcBorders>
          <w:top w:val="single" w:sz="4" w:space="0" w:color="2A5CFA" w:themeColor="accent2"/>
          <w:bottom w:val="single" w:sz="4" w:space="0" w:color="2A5CF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A5CFA" w:themeColor="accent2"/>
          <w:left w:val="nil"/>
        </w:tcBorders>
      </w:tcPr>
    </w:tblStylePr>
    <w:tblStylePr w:type="swCell">
      <w:tblPr/>
      <w:tcPr>
        <w:tcBorders>
          <w:top w:val="double" w:sz="4" w:space="0" w:color="2A5CFA" w:themeColor="accent2"/>
          <w:right w:val="nil"/>
        </w:tcBorders>
      </w:tcPr>
    </w:tblStylePr>
  </w:style>
  <w:style w:type="paragraph" w:styleId="ListNumber4">
    <w:name w:val="List Number 4"/>
    <w:basedOn w:val="Normal"/>
    <w:uiPriority w:val="99"/>
    <w:unhideWhenUsed/>
    <w:rsid w:val="00C4712D"/>
    <w:pPr>
      <w:numPr>
        <w:numId w:val="4"/>
      </w:numPr>
      <w:contextualSpacing/>
    </w:pPr>
    <w:rPr>
      <w:rFonts w:ascii="Avenir Medium" w:hAnsi="Avenir Medium"/>
      <w:sz w:val="24"/>
      <w:lang w:eastAsia="en-US"/>
    </w:rPr>
  </w:style>
  <w:style w:type="character" w:styleId="Strong">
    <w:name w:val="Strong"/>
    <w:basedOn w:val="DefaultParagraphFont"/>
    <w:uiPriority w:val="22"/>
    <w:qFormat/>
    <w:rsid w:val="00A90477"/>
    <w:rPr>
      <w:b/>
      <w:bCs/>
    </w:rPr>
  </w:style>
  <w:style w:type="paragraph" w:styleId="EndnoteText">
    <w:name w:val="endnote text"/>
    <w:basedOn w:val="Normal"/>
    <w:link w:val="EndnoteTextChar"/>
    <w:uiPriority w:val="99"/>
    <w:unhideWhenUsed/>
    <w:rsid w:val="00A90477"/>
    <w:rPr>
      <w:szCs w:val="20"/>
    </w:rPr>
  </w:style>
  <w:style w:type="character" w:customStyle="1" w:styleId="EndnoteTextChar">
    <w:name w:val="Endnote Text Char"/>
    <w:basedOn w:val="DefaultParagraphFont"/>
    <w:link w:val="EndnoteText"/>
    <w:uiPriority w:val="99"/>
    <w:rsid w:val="00A90477"/>
    <w:rPr>
      <w:rFonts w:ascii="Arial Nova Light" w:eastAsia="Times New Roman" w:hAnsi="Arial Nova Light" w:cs="Times New Roman"/>
      <w:sz w:val="20"/>
      <w:szCs w:val="20"/>
      <w:lang w:eastAsia="en-GB"/>
    </w:rPr>
  </w:style>
  <w:style w:type="character" w:styleId="EndnoteReference">
    <w:name w:val="endnote reference"/>
    <w:basedOn w:val="DefaultParagraphFont"/>
    <w:uiPriority w:val="99"/>
    <w:semiHidden/>
    <w:unhideWhenUsed/>
    <w:rsid w:val="00A90477"/>
    <w:rPr>
      <w:vertAlign w:val="superscript"/>
    </w:rPr>
  </w:style>
  <w:style w:type="character" w:styleId="UnresolvedMention">
    <w:name w:val="Unresolved Mention"/>
    <w:basedOn w:val="DefaultParagraphFont"/>
    <w:uiPriority w:val="99"/>
    <w:semiHidden/>
    <w:unhideWhenUsed/>
    <w:rsid w:val="00A90477"/>
    <w:rPr>
      <w:color w:val="605E5C"/>
      <w:shd w:val="clear" w:color="auto" w:fill="E1DFDD"/>
    </w:rPr>
  </w:style>
  <w:style w:type="paragraph" w:customStyle="1" w:styleId="result-item">
    <w:name w:val="result-item"/>
    <w:basedOn w:val="Normal"/>
    <w:rsid w:val="00A90477"/>
    <w:pPr>
      <w:spacing w:before="100" w:beforeAutospacing="1" w:after="100" w:afterAutospacing="1"/>
    </w:pPr>
    <w:rPr>
      <w:rFonts w:ascii="Times New Roman" w:hAnsi="Times New Roman"/>
      <w:sz w:val="24"/>
    </w:rPr>
  </w:style>
  <w:style w:type="paragraph" w:customStyle="1" w:styleId="Normal1">
    <w:name w:val="Normal1"/>
    <w:rsid w:val="00A90477"/>
    <w:pPr>
      <w:widowControl w:val="0"/>
      <w:spacing w:after="0" w:line="240" w:lineRule="auto"/>
    </w:pPr>
    <w:rPr>
      <w:rFonts w:ascii="Times New Roman" w:eastAsia="Times New Roman" w:hAnsi="Times New Roman" w:cs="Times New Roman"/>
      <w:sz w:val="24"/>
      <w:szCs w:val="24"/>
      <w:lang w:val="en-ZA" w:eastAsia="en-ZA"/>
    </w:rPr>
  </w:style>
  <w:style w:type="table" w:styleId="ListTable3-Accent1">
    <w:name w:val="List Table 3 Accent 1"/>
    <w:basedOn w:val="TableNormal"/>
    <w:uiPriority w:val="48"/>
    <w:rsid w:val="00A90477"/>
    <w:pPr>
      <w:spacing w:after="0" w:line="240" w:lineRule="auto"/>
    </w:pPr>
    <w:tblPr>
      <w:tblStyleRowBandSize w:val="1"/>
      <w:tblStyleColBandSize w:val="1"/>
      <w:tblBorders>
        <w:top w:val="single" w:sz="4" w:space="0" w:color="212B5D" w:themeColor="accent1"/>
        <w:left w:val="single" w:sz="4" w:space="0" w:color="212B5D" w:themeColor="accent1"/>
        <w:bottom w:val="single" w:sz="4" w:space="0" w:color="212B5D" w:themeColor="accent1"/>
        <w:right w:val="single" w:sz="4" w:space="0" w:color="212B5D" w:themeColor="accent1"/>
      </w:tblBorders>
    </w:tblPr>
    <w:tblStylePr w:type="firstRow">
      <w:rPr>
        <w:b/>
        <w:bCs/>
        <w:color w:val="FFFFFF" w:themeColor="background1"/>
      </w:rPr>
      <w:tblPr/>
      <w:tcPr>
        <w:shd w:val="clear" w:color="auto" w:fill="212B5D" w:themeFill="accent1"/>
      </w:tcPr>
    </w:tblStylePr>
    <w:tblStylePr w:type="lastRow">
      <w:rPr>
        <w:b/>
        <w:bCs/>
      </w:rPr>
      <w:tblPr/>
      <w:tcPr>
        <w:tcBorders>
          <w:top w:val="double" w:sz="4" w:space="0" w:color="212B5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12B5D" w:themeColor="accent1"/>
          <w:right w:val="single" w:sz="4" w:space="0" w:color="212B5D" w:themeColor="accent1"/>
        </w:tcBorders>
      </w:tcPr>
    </w:tblStylePr>
    <w:tblStylePr w:type="band1Horz">
      <w:tblPr/>
      <w:tcPr>
        <w:tcBorders>
          <w:top w:val="single" w:sz="4" w:space="0" w:color="212B5D" w:themeColor="accent1"/>
          <w:bottom w:val="single" w:sz="4" w:space="0" w:color="212B5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12B5D" w:themeColor="accent1"/>
          <w:left w:val="nil"/>
        </w:tcBorders>
      </w:tcPr>
    </w:tblStylePr>
    <w:tblStylePr w:type="swCell">
      <w:tblPr/>
      <w:tcPr>
        <w:tcBorders>
          <w:top w:val="double" w:sz="4" w:space="0" w:color="212B5D" w:themeColor="accent1"/>
          <w:right w:val="nil"/>
        </w:tcBorders>
      </w:tcPr>
    </w:tblStylePr>
  </w:style>
  <w:style w:type="paragraph" w:customStyle="1" w:styleId="SectionHeading">
    <w:name w:val="Section Heading"/>
    <w:basedOn w:val="Heading2"/>
    <w:link w:val="SectionHeadingChar"/>
    <w:qFormat/>
    <w:rsid w:val="00A90477"/>
    <w:pPr>
      <w:spacing w:before="240" w:after="240"/>
    </w:pPr>
  </w:style>
  <w:style w:type="character" w:customStyle="1" w:styleId="SectionHeadingChar">
    <w:name w:val="Section Heading Char"/>
    <w:basedOn w:val="Heading2Char"/>
    <w:link w:val="SectionHeading"/>
    <w:rsid w:val="00A90477"/>
    <w:rPr>
      <w:rFonts w:ascii="Arial Nova Light" w:eastAsiaTheme="majorEastAsia" w:hAnsi="Arial Nova Light" w:cs="Times New Roman (Headings CS)"/>
      <w:b/>
      <w:color w:val="212B5D" w:themeColor="accent1"/>
      <w:szCs w:val="26"/>
      <w:lang w:eastAsia="en-GB"/>
    </w:rPr>
  </w:style>
  <w:style w:type="table" w:styleId="ListTable3-Accent5">
    <w:name w:val="List Table 3 Accent 5"/>
    <w:basedOn w:val="TableNormal"/>
    <w:uiPriority w:val="48"/>
    <w:rsid w:val="00A90477"/>
    <w:pPr>
      <w:spacing w:after="0" w:line="240" w:lineRule="auto"/>
    </w:pPr>
    <w:rPr>
      <w:sz w:val="24"/>
      <w:szCs w:val="24"/>
    </w:rPr>
    <w:tblPr>
      <w:tblStyleRowBandSize w:val="1"/>
      <w:tblStyleColBandSize w:val="1"/>
      <w:tblBorders>
        <w:top w:val="single" w:sz="4" w:space="0" w:color="6DA943" w:themeColor="accent5"/>
        <w:left w:val="single" w:sz="4" w:space="0" w:color="6DA943" w:themeColor="accent5"/>
        <w:bottom w:val="single" w:sz="4" w:space="0" w:color="6DA943" w:themeColor="accent5"/>
        <w:right w:val="single" w:sz="4" w:space="0" w:color="6DA943" w:themeColor="accent5"/>
      </w:tblBorders>
    </w:tblPr>
    <w:tblStylePr w:type="firstRow">
      <w:rPr>
        <w:b/>
        <w:bCs/>
        <w:color w:val="FFFFFF" w:themeColor="background1"/>
      </w:rPr>
      <w:tblPr/>
      <w:tcPr>
        <w:shd w:val="clear" w:color="auto" w:fill="6DA943" w:themeFill="accent5"/>
      </w:tcPr>
    </w:tblStylePr>
    <w:tblStylePr w:type="lastRow">
      <w:rPr>
        <w:b/>
        <w:bCs/>
      </w:rPr>
      <w:tblPr/>
      <w:tcPr>
        <w:tcBorders>
          <w:top w:val="double" w:sz="4" w:space="0" w:color="6DA94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DA943" w:themeColor="accent5"/>
          <w:right w:val="single" w:sz="4" w:space="0" w:color="6DA943" w:themeColor="accent5"/>
        </w:tcBorders>
      </w:tcPr>
    </w:tblStylePr>
    <w:tblStylePr w:type="band1Horz">
      <w:tblPr/>
      <w:tcPr>
        <w:tcBorders>
          <w:top w:val="single" w:sz="4" w:space="0" w:color="6DA943" w:themeColor="accent5"/>
          <w:bottom w:val="single" w:sz="4" w:space="0" w:color="6DA94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DA943" w:themeColor="accent5"/>
          <w:left w:val="nil"/>
        </w:tcBorders>
      </w:tcPr>
    </w:tblStylePr>
    <w:tblStylePr w:type="swCell">
      <w:tblPr/>
      <w:tcPr>
        <w:tcBorders>
          <w:top w:val="double" w:sz="4" w:space="0" w:color="6DA943" w:themeColor="accent5"/>
          <w:right w:val="nil"/>
        </w:tcBorders>
      </w:tcPr>
    </w:tblStylePr>
  </w:style>
  <w:style w:type="character" w:customStyle="1" w:styleId="transcript-snippetcontentbodyword">
    <w:name w:val="transcript-snippet__content__body__word"/>
    <w:basedOn w:val="DefaultParagraphFont"/>
    <w:rsid w:val="00A90477"/>
  </w:style>
  <w:style w:type="character" w:customStyle="1" w:styleId="Heading5Char">
    <w:name w:val="Heading 5 Char"/>
    <w:basedOn w:val="DefaultParagraphFont"/>
    <w:link w:val="Heading5"/>
    <w:uiPriority w:val="9"/>
    <w:semiHidden/>
    <w:rsid w:val="00F34E63"/>
    <w:rPr>
      <w:rFonts w:asciiTheme="majorHAnsi" w:eastAsiaTheme="majorEastAsia" w:hAnsiTheme="majorHAnsi" w:cstheme="majorBidi"/>
      <w:color w:val="182045" w:themeColor="accent1" w:themeShade="BF"/>
      <w:sz w:val="20"/>
      <w:szCs w:val="24"/>
      <w:lang w:eastAsia="en-GB"/>
    </w:rPr>
  </w:style>
  <w:style w:type="character" w:customStyle="1" w:styleId="Heading6Char">
    <w:name w:val="Heading 6 Char"/>
    <w:basedOn w:val="DefaultParagraphFont"/>
    <w:link w:val="Heading6"/>
    <w:uiPriority w:val="9"/>
    <w:semiHidden/>
    <w:rsid w:val="00F34E63"/>
    <w:rPr>
      <w:rFonts w:asciiTheme="majorHAnsi" w:eastAsiaTheme="majorEastAsia" w:hAnsiTheme="majorHAnsi" w:cstheme="majorBidi"/>
      <w:color w:val="10152E" w:themeColor="accent1" w:themeShade="7F"/>
      <w:sz w:val="20"/>
      <w:szCs w:val="24"/>
      <w:lang w:eastAsia="en-GB"/>
    </w:rPr>
  </w:style>
  <w:style w:type="paragraph" w:customStyle="1" w:styleId="StrategyHeader">
    <w:name w:val="Strategy Header"/>
    <w:basedOn w:val="Heading2"/>
    <w:link w:val="StrategyHeaderChar"/>
    <w:qFormat/>
    <w:rsid w:val="006E085C"/>
    <w:pPr>
      <w:spacing w:before="240" w:after="240"/>
    </w:pPr>
  </w:style>
  <w:style w:type="character" w:customStyle="1" w:styleId="StrategyHeaderChar">
    <w:name w:val="Strategy Header Char"/>
    <w:basedOn w:val="Heading2Char"/>
    <w:link w:val="StrategyHeader"/>
    <w:rsid w:val="006E085C"/>
    <w:rPr>
      <w:rFonts w:ascii="Arial Nova Light" w:eastAsiaTheme="majorEastAsia" w:hAnsi="Arial Nova Light" w:cs="Times New Roman (Headings CS)"/>
      <w:b/>
      <w:color w:val="212B5D" w:themeColor="accent1"/>
      <w:szCs w:val="26"/>
      <w:lang w:eastAsia="en-GB"/>
    </w:rPr>
  </w:style>
  <w:style w:type="paragraph" w:customStyle="1" w:styleId="Title1">
    <w:name w:val="Title1"/>
    <w:basedOn w:val="Title"/>
    <w:link w:val="Title1Char"/>
    <w:qFormat/>
    <w:rsid w:val="00CE60C6"/>
    <w:rPr>
      <w:rFonts w:ascii="Arial Nova" w:hAnsi="Arial Nova"/>
      <w:color w:val="FFFFFF" w:themeColor="background1"/>
      <w:sz w:val="72"/>
      <w:szCs w:val="72"/>
    </w:rPr>
  </w:style>
  <w:style w:type="paragraph" w:customStyle="1" w:styleId="Subtitle1">
    <w:name w:val="Subtitle1"/>
    <w:basedOn w:val="Subtitle"/>
    <w:link w:val="Subtitle1Char"/>
    <w:qFormat/>
    <w:rsid w:val="00F7322A"/>
    <w:pPr>
      <w:ind w:right="-142"/>
    </w:pPr>
    <w:rPr>
      <w:rFonts w:ascii="Arial Nova Light" w:hAnsi="Arial Nova Light"/>
      <w:color w:val="FFFFFF" w:themeColor="background1"/>
      <w:spacing w:val="0"/>
      <w:sz w:val="52"/>
      <w:szCs w:val="52"/>
    </w:rPr>
  </w:style>
  <w:style w:type="character" w:customStyle="1" w:styleId="Title1Char">
    <w:name w:val="Title1 Char"/>
    <w:basedOn w:val="DefaultParagraphFont"/>
    <w:link w:val="Title1"/>
    <w:rsid w:val="00CE60C6"/>
    <w:rPr>
      <w:rFonts w:ascii="Arial Nova" w:eastAsiaTheme="majorEastAsia" w:hAnsi="Arial Nova" w:cstheme="majorBidi"/>
      <w:color w:val="FFFFFF" w:themeColor="background1"/>
      <w:spacing w:val="-10"/>
      <w:kern w:val="28"/>
      <w:sz w:val="72"/>
      <w:szCs w:val="72"/>
      <w:lang w:eastAsia="en-GB"/>
    </w:rPr>
  </w:style>
  <w:style w:type="paragraph" w:styleId="Title">
    <w:name w:val="Title"/>
    <w:basedOn w:val="Normal"/>
    <w:next w:val="Normal"/>
    <w:link w:val="TitleChar"/>
    <w:uiPriority w:val="10"/>
    <w:rsid w:val="00F7322A"/>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322A"/>
    <w:rPr>
      <w:rFonts w:asciiTheme="majorHAnsi" w:eastAsiaTheme="majorEastAsia" w:hAnsiTheme="majorHAnsi" w:cstheme="majorBidi"/>
      <w:spacing w:val="-10"/>
      <w:kern w:val="28"/>
      <w:sz w:val="56"/>
      <w:szCs w:val="56"/>
      <w:lang w:eastAsia="en-GB"/>
    </w:rPr>
  </w:style>
  <w:style w:type="character" w:customStyle="1" w:styleId="Subtitle1Char">
    <w:name w:val="Subtitle1 Char"/>
    <w:basedOn w:val="DefaultParagraphFont"/>
    <w:link w:val="Subtitle1"/>
    <w:rsid w:val="00F7322A"/>
    <w:rPr>
      <w:rFonts w:ascii="Arial Nova Light" w:eastAsiaTheme="minorEastAsia" w:hAnsi="Arial Nova Light"/>
      <w:color w:val="FFFFFF" w:themeColor="background1"/>
      <w:sz w:val="52"/>
      <w:szCs w:val="52"/>
      <w:lang w:eastAsia="en-GB"/>
    </w:rPr>
  </w:style>
  <w:style w:type="paragraph" w:styleId="Subtitle">
    <w:name w:val="Subtitle"/>
    <w:basedOn w:val="Normal"/>
    <w:next w:val="Normal"/>
    <w:link w:val="SubtitleChar"/>
    <w:uiPriority w:val="11"/>
    <w:rsid w:val="00F7322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7322A"/>
    <w:rPr>
      <w:rFonts w:eastAsiaTheme="minorEastAsia"/>
      <w:color w:val="5A5A5A" w:themeColor="text1" w:themeTint="A5"/>
      <w:spacing w:val="15"/>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7598">
      <w:bodyDiv w:val="1"/>
      <w:marLeft w:val="0"/>
      <w:marRight w:val="0"/>
      <w:marTop w:val="0"/>
      <w:marBottom w:val="0"/>
      <w:divBdr>
        <w:top w:val="none" w:sz="0" w:space="0" w:color="auto"/>
        <w:left w:val="none" w:sz="0" w:space="0" w:color="auto"/>
        <w:bottom w:val="none" w:sz="0" w:space="0" w:color="auto"/>
        <w:right w:val="none" w:sz="0" w:space="0" w:color="auto"/>
      </w:divBdr>
    </w:div>
    <w:div w:id="43798012">
      <w:bodyDiv w:val="1"/>
      <w:marLeft w:val="0"/>
      <w:marRight w:val="0"/>
      <w:marTop w:val="0"/>
      <w:marBottom w:val="0"/>
      <w:divBdr>
        <w:top w:val="none" w:sz="0" w:space="0" w:color="auto"/>
        <w:left w:val="none" w:sz="0" w:space="0" w:color="auto"/>
        <w:bottom w:val="none" w:sz="0" w:space="0" w:color="auto"/>
        <w:right w:val="none" w:sz="0" w:space="0" w:color="auto"/>
      </w:divBdr>
      <w:divsChild>
        <w:div w:id="1983850902">
          <w:marLeft w:val="446"/>
          <w:marRight w:val="0"/>
          <w:marTop w:val="0"/>
          <w:marBottom w:val="0"/>
          <w:divBdr>
            <w:top w:val="none" w:sz="0" w:space="0" w:color="auto"/>
            <w:left w:val="none" w:sz="0" w:space="0" w:color="auto"/>
            <w:bottom w:val="none" w:sz="0" w:space="0" w:color="auto"/>
            <w:right w:val="none" w:sz="0" w:space="0" w:color="auto"/>
          </w:divBdr>
        </w:div>
      </w:divsChild>
    </w:div>
    <w:div w:id="55054835">
      <w:bodyDiv w:val="1"/>
      <w:marLeft w:val="0"/>
      <w:marRight w:val="0"/>
      <w:marTop w:val="0"/>
      <w:marBottom w:val="0"/>
      <w:divBdr>
        <w:top w:val="none" w:sz="0" w:space="0" w:color="auto"/>
        <w:left w:val="none" w:sz="0" w:space="0" w:color="auto"/>
        <w:bottom w:val="none" w:sz="0" w:space="0" w:color="auto"/>
        <w:right w:val="none" w:sz="0" w:space="0" w:color="auto"/>
      </w:divBdr>
    </w:div>
    <w:div w:id="65107666">
      <w:bodyDiv w:val="1"/>
      <w:marLeft w:val="0"/>
      <w:marRight w:val="0"/>
      <w:marTop w:val="0"/>
      <w:marBottom w:val="0"/>
      <w:divBdr>
        <w:top w:val="none" w:sz="0" w:space="0" w:color="auto"/>
        <w:left w:val="none" w:sz="0" w:space="0" w:color="auto"/>
        <w:bottom w:val="none" w:sz="0" w:space="0" w:color="auto"/>
        <w:right w:val="none" w:sz="0" w:space="0" w:color="auto"/>
      </w:divBdr>
      <w:divsChild>
        <w:div w:id="1367098826">
          <w:marLeft w:val="547"/>
          <w:marRight w:val="0"/>
          <w:marTop w:val="67"/>
          <w:marBottom w:val="0"/>
          <w:divBdr>
            <w:top w:val="none" w:sz="0" w:space="0" w:color="auto"/>
            <w:left w:val="none" w:sz="0" w:space="0" w:color="auto"/>
            <w:bottom w:val="none" w:sz="0" w:space="0" w:color="auto"/>
            <w:right w:val="none" w:sz="0" w:space="0" w:color="auto"/>
          </w:divBdr>
        </w:div>
      </w:divsChild>
    </w:div>
    <w:div w:id="74403429">
      <w:bodyDiv w:val="1"/>
      <w:marLeft w:val="0"/>
      <w:marRight w:val="0"/>
      <w:marTop w:val="0"/>
      <w:marBottom w:val="0"/>
      <w:divBdr>
        <w:top w:val="none" w:sz="0" w:space="0" w:color="auto"/>
        <w:left w:val="none" w:sz="0" w:space="0" w:color="auto"/>
        <w:bottom w:val="none" w:sz="0" w:space="0" w:color="auto"/>
        <w:right w:val="none" w:sz="0" w:space="0" w:color="auto"/>
      </w:divBdr>
    </w:div>
    <w:div w:id="80806069">
      <w:bodyDiv w:val="1"/>
      <w:marLeft w:val="0"/>
      <w:marRight w:val="0"/>
      <w:marTop w:val="0"/>
      <w:marBottom w:val="0"/>
      <w:divBdr>
        <w:top w:val="none" w:sz="0" w:space="0" w:color="auto"/>
        <w:left w:val="none" w:sz="0" w:space="0" w:color="auto"/>
        <w:bottom w:val="none" w:sz="0" w:space="0" w:color="auto"/>
        <w:right w:val="none" w:sz="0" w:space="0" w:color="auto"/>
      </w:divBdr>
      <w:divsChild>
        <w:div w:id="216474564">
          <w:marLeft w:val="1166"/>
          <w:marRight w:val="0"/>
          <w:marTop w:val="58"/>
          <w:marBottom w:val="0"/>
          <w:divBdr>
            <w:top w:val="none" w:sz="0" w:space="0" w:color="auto"/>
            <w:left w:val="none" w:sz="0" w:space="0" w:color="auto"/>
            <w:bottom w:val="none" w:sz="0" w:space="0" w:color="auto"/>
            <w:right w:val="none" w:sz="0" w:space="0" w:color="auto"/>
          </w:divBdr>
        </w:div>
        <w:div w:id="454521247">
          <w:marLeft w:val="1166"/>
          <w:marRight w:val="0"/>
          <w:marTop w:val="58"/>
          <w:marBottom w:val="0"/>
          <w:divBdr>
            <w:top w:val="none" w:sz="0" w:space="0" w:color="auto"/>
            <w:left w:val="none" w:sz="0" w:space="0" w:color="auto"/>
            <w:bottom w:val="none" w:sz="0" w:space="0" w:color="auto"/>
            <w:right w:val="none" w:sz="0" w:space="0" w:color="auto"/>
          </w:divBdr>
        </w:div>
        <w:div w:id="609901646">
          <w:marLeft w:val="547"/>
          <w:marRight w:val="0"/>
          <w:marTop w:val="58"/>
          <w:marBottom w:val="0"/>
          <w:divBdr>
            <w:top w:val="none" w:sz="0" w:space="0" w:color="auto"/>
            <w:left w:val="none" w:sz="0" w:space="0" w:color="auto"/>
            <w:bottom w:val="none" w:sz="0" w:space="0" w:color="auto"/>
            <w:right w:val="none" w:sz="0" w:space="0" w:color="auto"/>
          </w:divBdr>
        </w:div>
        <w:div w:id="1193226454">
          <w:marLeft w:val="1166"/>
          <w:marRight w:val="0"/>
          <w:marTop w:val="58"/>
          <w:marBottom w:val="0"/>
          <w:divBdr>
            <w:top w:val="none" w:sz="0" w:space="0" w:color="auto"/>
            <w:left w:val="none" w:sz="0" w:space="0" w:color="auto"/>
            <w:bottom w:val="none" w:sz="0" w:space="0" w:color="auto"/>
            <w:right w:val="none" w:sz="0" w:space="0" w:color="auto"/>
          </w:divBdr>
        </w:div>
        <w:div w:id="1838109918">
          <w:marLeft w:val="1166"/>
          <w:marRight w:val="0"/>
          <w:marTop w:val="58"/>
          <w:marBottom w:val="0"/>
          <w:divBdr>
            <w:top w:val="none" w:sz="0" w:space="0" w:color="auto"/>
            <w:left w:val="none" w:sz="0" w:space="0" w:color="auto"/>
            <w:bottom w:val="none" w:sz="0" w:space="0" w:color="auto"/>
            <w:right w:val="none" w:sz="0" w:space="0" w:color="auto"/>
          </w:divBdr>
        </w:div>
      </w:divsChild>
    </w:div>
    <w:div w:id="133257513">
      <w:bodyDiv w:val="1"/>
      <w:marLeft w:val="0"/>
      <w:marRight w:val="0"/>
      <w:marTop w:val="0"/>
      <w:marBottom w:val="0"/>
      <w:divBdr>
        <w:top w:val="none" w:sz="0" w:space="0" w:color="auto"/>
        <w:left w:val="none" w:sz="0" w:space="0" w:color="auto"/>
        <w:bottom w:val="none" w:sz="0" w:space="0" w:color="auto"/>
        <w:right w:val="none" w:sz="0" w:space="0" w:color="auto"/>
      </w:divBdr>
      <w:divsChild>
        <w:div w:id="157962467">
          <w:marLeft w:val="547"/>
          <w:marRight w:val="0"/>
          <w:marTop w:val="58"/>
          <w:marBottom w:val="0"/>
          <w:divBdr>
            <w:top w:val="none" w:sz="0" w:space="0" w:color="auto"/>
            <w:left w:val="none" w:sz="0" w:space="0" w:color="auto"/>
            <w:bottom w:val="none" w:sz="0" w:space="0" w:color="auto"/>
            <w:right w:val="none" w:sz="0" w:space="0" w:color="auto"/>
          </w:divBdr>
        </w:div>
        <w:div w:id="794644582">
          <w:marLeft w:val="547"/>
          <w:marRight w:val="0"/>
          <w:marTop w:val="58"/>
          <w:marBottom w:val="0"/>
          <w:divBdr>
            <w:top w:val="none" w:sz="0" w:space="0" w:color="auto"/>
            <w:left w:val="none" w:sz="0" w:space="0" w:color="auto"/>
            <w:bottom w:val="none" w:sz="0" w:space="0" w:color="auto"/>
            <w:right w:val="none" w:sz="0" w:space="0" w:color="auto"/>
          </w:divBdr>
        </w:div>
      </w:divsChild>
    </w:div>
    <w:div w:id="147089400">
      <w:bodyDiv w:val="1"/>
      <w:marLeft w:val="0"/>
      <w:marRight w:val="0"/>
      <w:marTop w:val="0"/>
      <w:marBottom w:val="0"/>
      <w:divBdr>
        <w:top w:val="none" w:sz="0" w:space="0" w:color="auto"/>
        <w:left w:val="none" w:sz="0" w:space="0" w:color="auto"/>
        <w:bottom w:val="none" w:sz="0" w:space="0" w:color="auto"/>
        <w:right w:val="none" w:sz="0" w:space="0" w:color="auto"/>
      </w:divBdr>
    </w:div>
    <w:div w:id="164633099">
      <w:bodyDiv w:val="1"/>
      <w:marLeft w:val="0"/>
      <w:marRight w:val="0"/>
      <w:marTop w:val="0"/>
      <w:marBottom w:val="0"/>
      <w:divBdr>
        <w:top w:val="none" w:sz="0" w:space="0" w:color="auto"/>
        <w:left w:val="none" w:sz="0" w:space="0" w:color="auto"/>
        <w:bottom w:val="none" w:sz="0" w:space="0" w:color="auto"/>
        <w:right w:val="none" w:sz="0" w:space="0" w:color="auto"/>
      </w:divBdr>
    </w:div>
    <w:div w:id="178393008">
      <w:bodyDiv w:val="1"/>
      <w:marLeft w:val="0"/>
      <w:marRight w:val="0"/>
      <w:marTop w:val="0"/>
      <w:marBottom w:val="0"/>
      <w:divBdr>
        <w:top w:val="none" w:sz="0" w:space="0" w:color="auto"/>
        <w:left w:val="none" w:sz="0" w:space="0" w:color="auto"/>
        <w:bottom w:val="none" w:sz="0" w:space="0" w:color="auto"/>
        <w:right w:val="none" w:sz="0" w:space="0" w:color="auto"/>
      </w:divBdr>
    </w:div>
    <w:div w:id="206844089">
      <w:bodyDiv w:val="1"/>
      <w:marLeft w:val="0"/>
      <w:marRight w:val="0"/>
      <w:marTop w:val="0"/>
      <w:marBottom w:val="0"/>
      <w:divBdr>
        <w:top w:val="none" w:sz="0" w:space="0" w:color="auto"/>
        <w:left w:val="none" w:sz="0" w:space="0" w:color="auto"/>
        <w:bottom w:val="none" w:sz="0" w:space="0" w:color="auto"/>
        <w:right w:val="none" w:sz="0" w:space="0" w:color="auto"/>
      </w:divBdr>
    </w:div>
    <w:div w:id="225342422">
      <w:bodyDiv w:val="1"/>
      <w:marLeft w:val="0"/>
      <w:marRight w:val="0"/>
      <w:marTop w:val="0"/>
      <w:marBottom w:val="0"/>
      <w:divBdr>
        <w:top w:val="none" w:sz="0" w:space="0" w:color="auto"/>
        <w:left w:val="none" w:sz="0" w:space="0" w:color="auto"/>
        <w:bottom w:val="none" w:sz="0" w:space="0" w:color="auto"/>
        <w:right w:val="none" w:sz="0" w:space="0" w:color="auto"/>
      </w:divBdr>
    </w:div>
    <w:div w:id="236020293">
      <w:bodyDiv w:val="1"/>
      <w:marLeft w:val="0"/>
      <w:marRight w:val="0"/>
      <w:marTop w:val="0"/>
      <w:marBottom w:val="0"/>
      <w:divBdr>
        <w:top w:val="none" w:sz="0" w:space="0" w:color="auto"/>
        <w:left w:val="none" w:sz="0" w:space="0" w:color="auto"/>
        <w:bottom w:val="none" w:sz="0" w:space="0" w:color="auto"/>
        <w:right w:val="none" w:sz="0" w:space="0" w:color="auto"/>
      </w:divBdr>
      <w:divsChild>
        <w:div w:id="105125790">
          <w:marLeft w:val="547"/>
          <w:marRight w:val="0"/>
          <w:marTop w:val="67"/>
          <w:marBottom w:val="0"/>
          <w:divBdr>
            <w:top w:val="none" w:sz="0" w:space="0" w:color="auto"/>
            <w:left w:val="none" w:sz="0" w:space="0" w:color="auto"/>
            <w:bottom w:val="none" w:sz="0" w:space="0" w:color="auto"/>
            <w:right w:val="none" w:sz="0" w:space="0" w:color="auto"/>
          </w:divBdr>
        </w:div>
        <w:div w:id="852457434">
          <w:marLeft w:val="547"/>
          <w:marRight w:val="0"/>
          <w:marTop w:val="67"/>
          <w:marBottom w:val="0"/>
          <w:divBdr>
            <w:top w:val="none" w:sz="0" w:space="0" w:color="auto"/>
            <w:left w:val="none" w:sz="0" w:space="0" w:color="auto"/>
            <w:bottom w:val="none" w:sz="0" w:space="0" w:color="auto"/>
            <w:right w:val="none" w:sz="0" w:space="0" w:color="auto"/>
          </w:divBdr>
        </w:div>
        <w:div w:id="1166163211">
          <w:marLeft w:val="547"/>
          <w:marRight w:val="0"/>
          <w:marTop w:val="67"/>
          <w:marBottom w:val="0"/>
          <w:divBdr>
            <w:top w:val="none" w:sz="0" w:space="0" w:color="auto"/>
            <w:left w:val="none" w:sz="0" w:space="0" w:color="auto"/>
            <w:bottom w:val="none" w:sz="0" w:space="0" w:color="auto"/>
            <w:right w:val="none" w:sz="0" w:space="0" w:color="auto"/>
          </w:divBdr>
        </w:div>
      </w:divsChild>
    </w:div>
    <w:div w:id="279188792">
      <w:bodyDiv w:val="1"/>
      <w:marLeft w:val="0"/>
      <w:marRight w:val="0"/>
      <w:marTop w:val="0"/>
      <w:marBottom w:val="0"/>
      <w:divBdr>
        <w:top w:val="none" w:sz="0" w:space="0" w:color="auto"/>
        <w:left w:val="none" w:sz="0" w:space="0" w:color="auto"/>
        <w:bottom w:val="none" w:sz="0" w:space="0" w:color="auto"/>
        <w:right w:val="none" w:sz="0" w:space="0" w:color="auto"/>
      </w:divBdr>
      <w:divsChild>
        <w:div w:id="360279388">
          <w:marLeft w:val="0"/>
          <w:marRight w:val="0"/>
          <w:marTop w:val="0"/>
          <w:marBottom w:val="0"/>
          <w:divBdr>
            <w:top w:val="none" w:sz="0" w:space="0" w:color="auto"/>
            <w:left w:val="none" w:sz="0" w:space="0" w:color="auto"/>
            <w:bottom w:val="none" w:sz="0" w:space="0" w:color="auto"/>
            <w:right w:val="none" w:sz="0" w:space="0" w:color="auto"/>
          </w:divBdr>
        </w:div>
      </w:divsChild>
    </w:div>
    <w:div w:id="280381519">
      <w:bodyDiv w:val="1"/>
      <w:marLeft w:val="0"/>
      <w:marRight w:val="0"/>
      <w:marTop w:val="0"/>
      <w:marBottom w:val="0"/>
      <w:divBdr>
        <w:top w:val="none" w:sz="0" w:space="0" w:color="auto"/>
        <w:left w:val="none" w:sz="0" w:space="0" w:color="auto"/>
        <w:bottom w:val="none" w:sz="0" w:space="0" w:color="auto"/>
        <w:right w:val="none" w:sz="0" w:space="0" w:color="auto"/>
      </w:divBdr>
    </w:div>
    <w:div w:id="285503534">
      <w:bodyDiv w:val="1"/>
      <w:marLeft w:val="0"/>
      <w:marRight w:val="0"/>
      <w:marTop w:val="0"/>
      <w:marBottom w:val="0"/>
      <w:divBdr>
        <w:top w:val="none" w:sz="0" w:space="0" w:color="auto"/>
        <w:left w:val="none" w:sz="0" w:space="0" w:color="auto"/>
        <w:bottom w:val="none" w:sz="0" w:space="0" w:color="auto"/>
        <w:right w:val="none" w:sz="0" w:space="0" w:color="auto"/>
      </w:divBdr>
    </w:div>
    <w:div w:id="293560208">
      <w:bodyDiv w:val="1"/>
      <w:marLeft w:val="0"/>
      <w:marRight w:val="0"/>
      <w:marTop w:val="0"/>
      <w:marBottom w:val="0"/>
      <w:divBdr>
        <w:top w:val="none" w:sz="0" w:space="0" w:color="auto"/>
        <w:left w:val="none" w:sz="0" w:space="0" w:color="auto"/>
        <w:bottom w:val="none" w:sz="0" w:space="0" w:color="auto"/>
        <w:right w:val="none" w:sz="0" w:space="0" w:color="auto"/>
      </w:divBdr>
    </w:div>
    <w:div w:id="303125759">
      <w:bodyDiv w:val="1"/>
      <w:marLeft w:val="0"/>
      <w:marRight w:val="0"/>
      <w:marTop w:val="0"/>
      <w:marBottom w:val="0"/>
      <w:divBdr>
        <w:top w:val="none" w:sz="0" w:space="0" w:color="auto"/>
        <w:left w:val="none" w:sz="0" w:space="0" w:color="auto"/>
        <w:bottom w:val="none" w:sz="0" w:space="0" w:color="auto"/>
        <w:right w:val="none" w:sz="0" w:space="0" w:color="auto"/>
      </w:divBdr>
      <w:divsChild>
        <w:div w:id="8801446">
          <w:marLeft w:val="446"/>
          <w:marRight w:val="0"/>
          <w:marTop w:val="0"/>
          <w:marBottom w:val="0"/>
          <w:divBdr>
            <w:top w:val="none" w:sz="0" w:space="0" w:color="auto"/>
            <w:left w:val="none" w:sz="0" w:space="0" w:color="auto"/>
            <w:bottom w:val="none" w:sz="0" w:space="0" w:color="auto"/>
            <w:right w:val="none" w:sz="0" w:space="0" w:color="auto"/>
          </w:divBdr>
        </w:div>
      </w:divsChild>
    </w:div>
    <w:div w:id="309214109">
      <w:bodyDiv w:val="1"/>
      <w:marLeft w:val="0"/>
      <w:marRight w:val="0"/>
      <w:marTop w:val="0"/>
      <w:marBottom w:val="0"/>
      <w:divBdr>
        <w:top w:val="none" w:sz="0" w:space="0" w:color="auto"/>
        <w:left w:val="none" w:sz="0" w:space="0" w:color="auto"/>
        <w:bottom w:val="none" w:sz="0" w:space="0" w:color="auto"/>
        <w:right w:val="none" w:sz="0" w:space="0" w:color="auto"/>
      </w:divBdr>
      <w:divsChild>
        <w:div w:id="1567716332">
          <w:marLeft w:val="360"/>
          <w:marRight w:val="0"/>
          <w:marTop w:val="200"/>
          <w:marBottom w:val="0"/>
          <w:divBdr>
            <w:top w:val="none" w:sz="0" w:space="0" w:color="auto"/>
            <w:left w:val="none" w:sz="0" w:space="0" w:color="auto"/>
            <w:bottom w:val="none" w:sz="0" w:space="0" w:color="auto"/>
            <w:right w:val="none" w:sz="0" w:space="0" w:color="auto"/>
          </w:divBdr>
        </w:div>
        <w:div w:id="394165447">
          <w:marLeft w:val="360"/>
          <w:marRight w:val="0"/>
          <w:marTop w:val="200"/>
          <w:marBottom w:val="0"/>
          <w:divBdr>
            <w:top w:val="none" w:sz="0" w:space="0" w:color="auto"/>
            <w:left w:val="none" w:sz="0" w:space="0" w:color="auto"/>
            <w:bottom w:val="none" w:sz="0" w:space="0" w:color="auto"/>
            <w:right w:val="none" w:sz="0" w:space="0" w:color="auto"/>
          </w:divBdr>
        </w:div>
      </w:divsChild>
    </w:div>
    <w:div w:id="327750511">
      <w:bodyDiv w:val="1"/>
      <w:marLeft w:val="0"/>
      <w:marRight w:val="0"/>
      <w:marTop w:val="0"/>
      <w:marBottom w:val="0"/>
      <w:divBdr>
        <w:top w:val="none" w:sz="0" w:space="0" w:color="auto"/>
        <w:left w:val="none" w:sz="0" w:space="0" w:color="auto"/>
        <w:bottom w:val="none" w:sz="0" w:space="0" w:color="auto"/>
        <w:right w:val="none" w:sz="0" w:space="0" w:color="auto"/>
      </w:divBdr>
    </w:div>
    <w:div w:id="333339170">
      <w:bodyDiv w:val="1"/>
      <w:marLeft w:val="0"/>
      <w:marRight w:val="0"/>
      <w:marTop w:val="0"/>
      <w:marBottom w:val="0"/>
      <w:divBdr>
        <w:top w:val="none" w:sz="0" w:space="0" w:color="auto"/>
        <w:left w:val="none" w:sz="0" w:space="0" w:color="auto"/>
        <w:bottom w:val="none" w:sz="0" w:space="0" w:color="auto"/>
        <w:right w:val="none" w:sz="0" w:space="0" w:color="auto"/>
      </w:divBdr>
    </w:div>
    <w:div w:id="365832152">
      <w:bodyDiv w:val="1"/>
      <w:marLeft w:val="0"/>
      <w:marRight w:val="0"/>
      <w:marTop w:val="0"/>
      <w:marBottom w:val="0"/>
      <w:divBdr>
        <w:top w:val="none" w:sz="0" w:space="0" w:color="auto"/>
        <w:left w:val="none" w:sz="0" w:space="0" w:color="auto"/>
        <w:bottom w:val="none" w:sz="0" w:space="0" w:color="auto"/>
        <w:right w:val="none" w:sz="0" w:space="0" w:color="auto"/>
      </w:divBdr>
      <w:divsChild>
        <w:div w:id="59906360">
          <w:marLeft w:val="547"/>
          <w:marRight w:val="0"/>
          <w:marTop w:val="67"/>
          <w:marBottom w:val="0"/>
          <w:divBdr>
            <w:top w:val="none" w:sz="0" w:space="0" w:color="auto"/>
            <w:left w:val="none" w:sz="0" w:space="0" w:color="auto"/>
            <w:bottom w:val="none" w:sz="0" w:space="0" w:color="auto"/>
            <w:right w:val="none" w:sz="0" w:space="0" w:color="auto"/>
          </w:divBdr>
        </w:div>
      </w:divsChild>
    </w:div>
    <w:div w:id="365985652">
      <w:bodyDiv w:val="1"/>
      <w:marLeft w:val="0"/>
      <w:marRight w:val="0"/>
      <w:marTop w:val="0"/>
      <w:marBottom w:val="0"/>
      <w:divBdr>
        <w:top w:val="none" w:sz="0" w:space="0" w:color="auto"/>
        <w:left w:val="none" w:sz="0" w:space="0" w:color="auto"/>
        <w:bottom w:val="none" w:sz="0" w:space="0" w:color="auto"/>
        <w:right w:val="none" w:sz="0" w:space="0" w:color="auto"/>
      </w:divBdr>
    </w:div>
    <w:div w:id="377824238">
      <w:bodyDiv w:val="1"/>
      <w:marLeft w:val="0"/>
      <w:marRight w:val="0"/>
      <w:marTop w:val="0"/>
      <w:marBottom w:val="0"/>
      <w:divBdr>
        <w:top w:val="none" w:sz="0" w:space="0" w:color="auto"/>
        <w:left w:val="none" w:sz="0" w:space="0" w:color="auto"/>
        <w:bottom w:val="none" w:sz="0" w:space="0" w:color="auto"/>
        <w:right w:val="none" w:sz="0" w:space="0" w:color="auto"/>
      </w:divBdr>
      <w:divsChild>
        <w:div w:id="953557305">
          <w:marLeft w:val="547"/>
          <w:marRight w:val="0"/>
          <w:marTop w:val="67"/>
          <w:marBottom w:val="0"/>
          <w:divBdr>
            <w:top w:val="none" w:sz="0" w:space="0" w:color="auto"/>
            <w:left w:val="none" w:sz="0" w:space="0" w:color="auto"/>
            <w:bottom w:val="none" w:sz="0" w:space="0" w:color="auto"/>
            <w:right w:val="none" w:sz="0" w:space="0" w:color="auto"/>
          </w:divBdr>
        </w:div>
        <w:div w:id="1733114058">
          <w:marLeft w:val="547"/>
          <w:marRight w:val="0"/>
          <w:marTop w:val="67"/>
          <w:marBottom w:val="0"/>
          <w:divBdr>
            <w:top w:val="none" w:sz="0" w:space="0" w:color="auto"/>
            <w:left w:val="none" w:sz="0" w:space="0" w:color="auto"/>
            <w:bottom w:val="none" w:sz="0" w:space="0" w:color="auto"/>
            <w:right w:val="none" w:sz="0" w:space="0" w:color="auto"/>
          </w:divBdr>
        </w:div>
      </w:divsChild>
    </w:div>
    <w:div w:id="388529974">
      <w:bodyDiv w:val="1"/>
      <w:marLeft w:val="0"/>
      <w:marRight w:val="0"/>
      <w:marTop w:val="0"/>
      <w:marBottom w:val="0"/>
      <w:divBdr>
        <w:top w:val="none" w:sz="0" w:space="0" w:color="auto"/>
        <w:left w:val="none" w:sz="0" w:space="0" w:color="auto"/>
        <w:bottom w:val="none" w:sz="0" w:space="0" w:color="auto"/>
        <w:right w:val="none" w:sz="0" w:space="0" w:color="auto"/>
      </w:divBdr>
      <w:divsChild>
        <w:div w:id="1318240">
          <w:marLeft w:val="547"/>
          <w:marRight w:val="0"/>
          <w:marTop w:val="96"/>
          <w:marBottom w:val="0"/>
          <w:divBdr>
            <w:top w:val="none" w:sz="0" w:space="0" w:color="auto"/>
            <w:left w:val="none" w:sz="0" w:space="0" w:color="auto"/>
            <w:bottom w:val="none" w:sz="0" w:space="0" w:color="auto"/>
            <w:right w:val="none" w:sz="0" w:space="0" w:color="auto"/>
          </w:divBdr>
        </w:div>
        <w:div w:id="207840030">
          <w:marLeft w:val="547"/>
          <w:marRight w:val="0"/>
          <w:marTop w:val="96"/>
          <w:marBottom w:val="0"/>
          <w:divBdr>
            <w:top w:val="none" w:sz="0" w:space="0" w:color="auto"/>
            <w:left w:val="none" w:sz="0" w:space="0" w:color="auto"/>
            <w:bottom w:val="none" w:sz="0" w:space="0" w:color="auto"/>
            <w:right w:val="none" w:sz="0" w:space="0" w:color="auto"/>
          </w:divBdr>
        </w:div>
        <w:div w:id="850685318">
          <w:marLeft w:val="547"/>
          <w:marRight w:val="0"/>
          <w:marTop w:val="96"/>
          <w:marBottom w:val="0"/>
          <w:divBdr>
            <w:top w:val="none" w:sz="0" w:space="0" w:color="auto"/>
            <w:left w:val="none" w:sz="0" w:space="0" w:color="auto"/>
            <w:bottom w:val="none" w:sz="0" w:space="0" w:color="auto"/>
            <w:right w:val="none" w:sz="0" w:space="0" w:color="auto"/>
          </w:divBdr>
        </w:div>
        <w:div w:id="935015678">
          <w:marLeft w:val="547"/>
          <w:marRight w:val="0"/>
          <w:marTop w:val="96"/>
          <w:marBottom w:val="0"/>
          <w:divBdr>
            <w:top w:val="none" w:sz="0" w:space="0" w:color="auto"/>
            <w:left w:val="none" w:sz="0" w:space="0" w:color="auto"/>
            <w:bottom w:val="none" w:sz="0" w:space="0" w:color="auto"/>
            <w:right w:val="none" w:sz="0" w:space="0" w:color="auto"/>
          </w:divBdr>
        </w:div>
        <w:div w:id="1486312591">
          <w:marLeft w:val="547"/>
          <w:marRight w:val="0"/>
          <w:marTop w:val="96"/>
          <w:marBottom w:val="0"/>
          <w:divBdr>
            <w:top w:val="none" w:sz="0" w:space="0" w:color="auto"/>
            <w:left w:val="none" w:sz="0" w:space="0" w:color="auto"/>
            <w:bottom w:val="none" w:sz="0" w:space="0" w:color="auto"/>
            <w:right w:val="none" w:sz="0" w:space="0" w:color="auto"/>
          </w:divBdr>
        </w:div>
        <w:div w:id="1881437299">
          <w:marLeft w:val="547"/>
          <w:marRight w:val="0"/>
          <w:marTop w:val="96"/>
          <w:marBottom w:val="0"/>
          <w:divBdr>
            <w:top w:val="none" w:sz="0" w:space="0" w:color="auto"/>
            <w:left w:val="none" w:sz="0" w:space="0" w:color="auto"/>
            <w:bottom w:val="none" w:sz="0" w:space="0" w:color="auto"/>
            <w:right w:val="none" w:sz="0" w:space="0" w:color="auto"/>
          </w:divBdr>
        </w:div>
        <w:div w:id="1906600986">
          <w:marLeft w:val="547"/>
          <w:marRight w:val="0"/>
          <w:marTop w:val="96"/>
          <w:marBottom w:val="0"/>
          <w:divBdr>
            <w:top w:val="none" w:sz="0" w:space="0" w:color="auto"/>
            <w:left w:val="none" w:sz="0" w:space="0" w:color="auto"/>
            <w:bottom w:val="none" w:sz="0" w:space="0" w:color="auto"/>
            <w:right w:val="none" w:sz="0" w:space="0" w:color="auto"/>
          </w:divBdr>
        </w:div>
      </w:divsChild>
    </w:div>
    <w:div w:id="402945615">
      <w:bodyDiv w:val="1"/>
      <w:marLeft w:val="0"/>
      <w:marRight w:val="0"/>
      <w:marTop w:val="0"/>
      <w:marBottom w:val="0"/>
      <w:divBdr>
        <w:top w:val="none" w:sz="0" w:space="0" w:color="auto"/>
        <w:left w:val="none" w:sz="0" w:space="0" w:color="auto"/>
        <w:bottom w:val="none" w:sz="0" w:space="0" w:color="auto"/>
        <w:right w:val="none" w:sz="0" w:space="0" w:color="auto"/>
      </w:divBdr>
      <w:divsChild>
        <w:div w:id="962688332">
          <w:marLeft w:val="547"/>
          <w:marRight w:val="0"/>
          <w:marTop w:val="67"/>
          <w:marBottom w:val="0"/>
          <w:divBdr>
            <w:top w:val="none" w:sz="0" w:space="0" w:color="auto"/>
            <w:left w:val="none" w:sz="0" w:space="0" w:color="auto"/>
            <w:bottom w:val="none" w:sz="0" w:space="0" w:color="auto"/>
            <w:right w:val="none" w:sz="0" w:space="0" w:color="auto"/>
          </w:divBdr>
        </w:div>
      </w:divsChild>
    </w:div>
    <w:div w:id="435442903">
      <w:bodyDiv w:val="1"/>
      <w:marLeft w:val="0"/>
      <w:marRight w:val="0"/>
      <w:marTop w:val="0"/>
      <w:marBottom w:val="0"/>
      <w:divBdr>
        <w:top w:val="none" w:sz="0" w:space="0" w:color="auto"/>
        <w:left w:val="none" w:sz="0" w:space="0" w:color="auto"/>
        <w:bottom w:val="none" w:sz="0" w:space="0" w:color="auto"/>
        <w:right w:val="none" w:sz="0" w:space="0" w:color="auto"/>
      </w:divBdr>
    </w:div>
    <w:div w:id="436682716">
      <w:bodyDiv w:val="1"/>
      <w:marLeft w:val="0"/>
      <w:marRight w:val="0"/>
      <w:marTop w:val="0"/>
      <w:marBottom w:val="0"/>
      <w:divBdr>
        <w:top w:val="none" w:sz="0" w:space="0" w:color="auto"/>
        <w:left w:val="none" w:sz="0" w:space="0" w:color="auto"/>
        <w:bottom w:val="none" w:sz="0" w:space="0" w:color="auto"/>
        <w:right w:val="none" w:sz="0" w:space="0" w:color="auto"/>
      </w:divBdr>
    </w:div>
    <w:div w:id="451097642">
      <w:bodyDiv w:val="1"/>
      <w:marLeft w:val="0"/>
      <w:marRight w:val="0"/>
      <w:marTop w:val="0"/>
      <w:marBottom w:val="0"/>
      <w:divBdr>
        <w:top w:val="none" w:sz="0" w:space="0" w:color="auto"/>
        <w:left w:val="none" w:sz="0" w:space="0" w:color="auto"/>
        <w:bottom w:val="none" w:sz="0" w:space="0" w:color="auto"/>
        <w:right w:val="none" w:sz="0" w:space="0" w:color="auto"/>
      </w:divBdr>
    </w:div>
    <w:div w:id="454640428">
      <w:bodyDiv w:val="1"/>
      <w:marLeft w:val="0"/>
      <w:marRight w:val="0"/>
      <w:marTop w:val="0"/>
      <w:marBottom w:val="0"/>
      <w:divBdr>
        <w:top w:val="none" w:sz="0" w:space="0" w:color="auto"/>
        <w:left w:val="none" w:sz="0" w:space="0" w:color="auto"/>
        <w:bottom w:val="none" w:sz="0" w:space="0" w:color="auto"/>
        <w:right w:val="none" w:sz="0" w:space="0" w:color="auto"/>
      </w:divBdr>
    </w:div>
    <w:div w:id="458382387">
      <w:bodyDiv w:val="1"/>
      <w:marLeft w:val="0"/>
      <w:marRight w:val="0"/>
      <w:marTop w:val="0"/>
      <w:marBottom w:val="0"/>
      <w:divBdr>
        <w:top w:val="none" w:sz="0" w:space="0" w:color="auto"/>
        <w:left w:val="none" w:sz="0" w:space="0" w:color="auto"/>
        <w:bottom w:val="none" w:sz="0" w:space="0" w:color="auto"/>
        <w:right w:val="none" w:sz="0" w:space="0" w:color="auto"/>
      </w:divBdr>
    </w:div>
    <w:div w:id="485630315">
      <w:bodyDiv w:val="1"/>
      <w:marLeft w:val="0"/>
      <w:marRight w:val="0"/>
      <w:marTop w:val="0"/>
      <w:marBottom w:val="0"/>
      <w:divBdr>
        <w:top w:val="none" w:sz="0" w:space="0" w:color="auto"/>
        <w:left w:val="none" w:sz="0" w:space="0" w:color="auto"/>
        <w:bottom w:val="none" w:sz="0" w:space="0" w:color="auto"/>
        <w:right w:val="none" w:sz="0" w:space="0" w:color="auto"/>
      </w:divBdr>
    </w:div>
    <w:div w:id="495607874">
      <w:bodyDiv w:val="1"/>
      <w:marLeft w:val="0"/>
      <w:marRight w:val="0"/>
      <w:marTop w:val="0"/>
      <w:marBottom w:val="0"/>
      <w:divBdr>
        <w:top w:val="none" w:sz="0" w:space="0" w:color="auto"/>
        <w:left w:val="none" w:sz="0" w:space="0" w:color="auto"/>
        <w:bottom w:val="none" w:sz="0" w:space="0" w:color="auto"/>
        <w:right w:val="none" w:sz="0" w:space="0" w:color="auto"/>
      </w:divBdr>
      <w:divsChild>
        <w:div w:id="1436823977">
          <w:marLeft w:val="360"/>
          <w:marRight w:val="0"/>
          <w:marTop w:val="200"/>
          <w:marBottom w:val="0"/>
          <w:divBdr>
            <w:top w:val="none" w:sz="0" w:space="0" w:color="auto"/>
            <w:left w:val="none" w:sz="0" w:space="0" w:color="auto"/>
            <w:bottom w:val="none" w:sz="0" w:space="0" w:color="auto"/>
            <w:right w:val="none" w:sz="0" w:space="0" w:color="auto"/>
          </w:divBdr>
        </w:div>
        <w:div w:id="569997988">
          <w:marLeft w:val="360"/>
          <w:marRight w:val="0"/>
          <w:marTop w:val="200"/>
          <w:marBottom w:val="0"/>
          <w:divBdr>
            <w:top w:val="none" w:sz="0" w:space="0" w:color="auto"/>
            <w:left w:val="none" w:sz="0" w:space="0" w:color="auto"/>
            <w:bottom w:val="none" w:sz="0" w:space="0" w:color="auto"/>
            <w:right w:val="none" w:sz="0" w:space="0" w:color="auto"/>
          </w:divBdr>
        </w:div>
      </w:divsChild>
    </w:div>
    <w:div w:id="540242725">
      <w:bodyDiv w:val="1"/>
      <w:marLeft w:val="0"/>
      <w:marRight w:val="0"/>
      <w:marTop w:val="0"/>
      <w:marBottom w:val="0"/>
      <w:divBdr>
        <w:top w:val="none" w:sz="0" w:space="0" w:color="auto"/>
        <w:left w:val="none" w:sz="0" w:space="0" w:color="auto"/>
        <w:bottom w:val="none" w:sz="0" w:space="0" w:color="auto"/>
        <w:right w:val="none" w:sz="0" w:space="0" w:color="auto"/>
      </w:divBdr>
    </w:div>
    <w:div w:id="580066844">
      <w:bodyDiv w:val="1"/>
      <w:marLeft w:val="0"/>
      <w:marRight w:val="0"/>
      <w:marTop w:val="0"/>
      <w:marBottom w:val="0"/>
      <w:divBdr>
        <w:top w:val="none" w:sz="0" w:space="0" w:color="auto"/>
        <w:left w:val="none" w:sz="0" w:space="0" w:color="auto"/>
        <w:bottom w:val="none" w:sz="0" w:space="0" w:color="auto"/>
        <w:right w:val="none" w:sz="0" w:space="0" w:color="auto"/>
      </w:divBdr>
      <w:divsChild>
        <w:div w:id="1540318900">
          <w:marLeft w:val="547"/>
          <w:marRight w:val="0"/>
          <w:marTop w:val="67"/>
          <w:marBottom w:val="0"/>
          <w:divBdr>
            <w:top w:val="none" w:sz="0" w:space="0" w:color="auto"/>
            <w:left w:val="none" w:sz="0" w:space="0" w:color="auto"/>
            <w:bottom w:val="none" w:sz="0" w:space="0" w:color="auto"/>
            <w:right w:val="none" w:sz="0" w:space="0" w:color="auto"/>
          </w:divBdr>
        </w:div>
      </w:divsChild>
    </w:div>
    <w:div w:id="622154022">
      <w:bodyDiv w:val="1"/>
      <w:marLeft w:val="0"/>
      <w:marRight w:val="0"/>
      <w:marTop w:val="0"/>
      <w:marBottom w:val="0"/>
      <w:divBdr>
        <w:top w:val="none" w:sz="0" w:space="0" w:color="auto"/>
        <w:left w:val="none" w:sz="0" w:space="0" w:color="auto"/>
        <w:bottom w:val="none" w:sz="0" w:space="0" w:color="auto"/>
        <w:right w:val="none" w:sz="0" w:space="0" w:color="auto"/>
      </w:divBdr>
    </w:div>
    <w:div w:id="634599355">
      <w:bodyDiv w:val="1"/>
      <w:marLeft w:val="0"/>
      <w:marRight w:val="0"/>
      <w:marTop w:val="0"/>
      <w:marBottom w:val="0"/>
      <w:divBdr>
        <w:top w:val="none" w:sz="0" w:space="0" w:color="auto"/>
        <w:left w:val="none" w:sz="0" w:space="0" w:color="auto"/>
        <w:bottom w:val="none" w:sz="0" w:space="0" w:color="auto"/>
        <w:right w:val="none" w:sz="0" w:space="0" w:color="auto"/>
      </w:divBdr>
    </w:div>
    <w:div w:id="652568181">
      <w:bodyDiv w:val="1"/>
      <w:marLeft w:val="0"/>
      <w:marRight w:val="0"/>
      <w:marTop w:val="0"/>
      <w:marBottom w:val="0"/>
      <w:divBdr>
        <w:top w:val="none" w:sz="0" w:space="0" w:color="auto"/>
        <w:left w:val="none" w:sz="0" w:space="0" w:color="auto"/>
        <w:bottom w:val="none" w:sz="0" w:space="0" w:color="auto"/>
        <w:right w:val="none" w:sz="0" w:space="0" w:color="auto"/>
      </w:divBdr>
    </w:div>
    <w:div w:id="655374672">
      <w:bodyDiv w:val="1"/>
      <w:marLeft w:val="0"/>
      <w:marRight w:val="0"/>
      <w:marTop w:val="0"/>
      <w:marBottom w:val="0"/>
      <w:divBdr>
        <w:top w:val="none" w:sz="0" w:space="0" w:color="auto"/>
        <w:left w:val="none" w:sz="0" w:space="0" w:color="auto"/>
        <w:bottom w:val="none" w:sz="0" w:space="0" w:color="auto"/>
        <w:right w:val="none" w:sz="0" w:space="0" w:color="auto"/>
      </w:divBdr>
      <w:divsChild>
        <w:div w:id="953950548">
          <w:marLeft w:val="547"/>
          <w:marRight w:val="0"/>
          <w:marTop w:val="58"/>
          <w:marBottom w:val="0"/>
          <w:divBdr>
            <w:top w:val="none" w:sz="0" w:space="0" w:color="auto"/>
            <w:left w:val="none" w:sz="0" w:space="0" w:color="auto"/>
            <w:bottom w:val="none" w:sz="0" w:space="0" w:color="auto"/>
            <w:right w:val="none" w:sz="0" w:space="0" w:color="auto"/>
          </w:divBdr>
        </w:div>
      </w:divsChild>
    </w:div>
    <w:div w:id="671184946">
      <w:bodyDiv w:val="1"/>
      <w:marLeft w:val="0"/>
      <w:marRight w:val="0"/>
      <w:marTop w:val="0"/>
      <w:marBottom w:val="0"/>
      <w:divBdr>
        <w:top w:val="none" w:sz="0" w:space="0" w:color="auto"/>
        <w:left w:val="none" w:sz="0" w:space="0" w:color="auto"/>
        <w:bottom w:val="none" w:sz="0" w:space="0" w:color="auto"/>
        <w:right w:val="none" w:sz="0" w:space="0" w:color="auto"/>
      </w:divBdr>
    </w:div>
    <w:div w:id="673151393">
      <w:bodyDiv w:val="1"/>
      <w:marLeft w:val="0"/>
      <w:marRight w:val="0"/>
      <w:marTop w:val="0"/>
      <w:marBottom w:val="0"/>
      <w:divBdr>
        <w:top w:val="none" w:sz="0" w:space="0" w:color="auto"/>
        <w:left w:val="none" w:sz="0" w:space="0" w:color="auto"/>
        <w:bottom w:val="none" w:sz="0" w:space="0" w:color="auto"/>
        <w:right w:val="none" w:sz="0" w:space="0" w:color="auto"/>
      </w:divBdr>
    </w:div>
    <w:div w:id="676812971">
      <w:bodyDiv w:val="1"/>
      <w:marLeft w:val="0"/>
      <w:marRight w:val="0"/>
      <w:marTop w:val="0"/>
      <w:marBottom w:val="0"/>
      <w:divBdr>
        <w:top w:val="none" w:sz="0" w:space="0" w:color="auto"/>
        <w:left w:val="none" w:sz="0" w:space="0" w:color="auto"/>
        <w:bottom w:val="none" w:sz="0" w:space="0" w:color="auto"/>
        <w:right w:val="none" w:sz="0" w:space="0" w:color="auto"/>
      </w:divBdr>
      <w:divsChild>
        <w:div w:id="1335960262">
          <w:marLeft w:val="547"/>
          <w:marRight w:val="0"/>
          <w:marTop w:val="67"/>
          <w:marBottom w:val="0"/>
          <w:divBdr>
            <w:top w:val="none" w:sz="0" w:space="0" w:color="auto"/>
            <w:left w:val="none" w:sz="0" w:space="0" w:color="auto"/>
            <w:bottom w:val="none" w:sz="0" w:space="0" w:color="auto"/>
            <w:right w:val="none" w:sz="0" w:space="0" w:color="auto"/>
          </w:divBdr>
        </w:div>
      </w:divsChild>
    </w:div>
    <w:div w:id="716902104">
      <w:bodyDiv w:val="1"/>
      <w:marLeft w:val="0"/>
      <w:marRight w:val="0"/>
      <w:marTop w:val="0"/>
      <w:marBottom w:val="0"/>
      <w:divBdr>
        <w:top w:val="none" w:sz="0" w:space="0" w:color="auto"/>
        <w:left w:val="none" w:sz="0" w:space="0" w:color="auto"/>
        <w:bottom w:val="none" w:sz="0" w:space="0" w:color="auto"/>
        <w:right w:val="none" w:sz="0" w:space="0" w:color="auto"/>
      </w:divBdr>
    </w:div>
    <w:div w:id="720373113">
      <w:bodyDiv w:val="1"/>
      <w:marLeft w:val="0"/>
      <w:marRight w:val="0"/>
      <w:marTop w:val="0"/>
      <w:marBottom w:val="0"/>
      <w:divBdr>
        <w:top w:val="none" w:sz="0" w:space="0" w:color="auto"/>
        <w:left w:val="none" w:sz="0" w:space="0" w:color="auto"/>
        <w:bottom w:val="none" w:sz="0" w:space="0" w:color="auto"/>
        <w:right w:val="none" w:sz="0" w:space="0" w:color="auto"/>
      </w:divBdr>
      <w:divsChild>
        <w:div w:id="137113346">
          <w:marLeft w:val="547"/>
          <w:marRight w:val="0"/>
          <w:marTop w:val="120"/>
          <w:marBottom w:val="0"/>
          <w:divBdr>
            <w:top w:val="none" w:sz="0" w:space="0" w:color="auto"/>
            <w:left w:val="none" w:sz="0" w:space="0" w:color="auto"/>
            <w:bottom w:val="none" w:sz="0" w:space="0" w:color="auto"/>
            <w:right w:val="none" w:sz="0" w:space="0" w:color="auto"/>
          </w:divBdr>
        </w:div>
        <w:div w:id="263735522">
          <w:marLeft w:val="547"/>
          <w:marRight w:val="0"/>
          <w:marTop w:val="120"/>
          <w:marBottom w:val="0"/>
          <w:divBdr>
            <w:top w:val="none" w:sz="0" w:space="0" w:color="auto"/>
            <w:left w:val="none" w:sz="0" w:space="0" w:color="auto"/>
            <w:bottom w:val="none" w:sz="0" w:space="0" w:color="auto"/>
            <w:right w:val="none" w:sz="0" w:space="0" w:color="auto"/>
          </w:divBdr>
        </w:div>
        <w:div w:id="368535985">
          <w:marLeft w:val="547"/>
          <w:marRight w:val="0"/>
          <w:marTop w:val="120"/>
          <w:marBottom w:val="0"/>
          <w:divBdr>
            <w:top w:val="none" w:sz="0" w:space="0" w:color="auto"/>
            <w:left w:val="none" w:sz="0" w:space="0" w:color="auto"/>
            <w:bottom w:val="none" w:sz="0" w:space="0" w:color="auto"/>
            <w:right w:val="none" w:sz="0" w:space="0" w:color="auto"/>
          </w:divBdr>
        </w:div>
        <w:div w:id="447167910">
          <w:marLeft w:val="547"/>
          <w:marRight w:val="0"/>
          <w:marTop w:val="120"/>
          <w:marBottom w:val="0"/>
          <w:divBdr>
            <w:top w:val="none" w:sz="0" w:space="0" w:color="auto"/>
            <w:left w:val="none" w:sz="0" w:space="0" w:color="auto"/>
            <w:bottom w:val="none" w:sz="0" w:space="0" w:color="auto"/>
            <w:right w:val="none" w:sz="0" w:space="0" w:color="auto"/>
          </w:divBdr>
        </w:div>
        <w:div w:id="1694841429">
          <w:marLeft w:val="547"/>
          <w:marRight w:val="0"/>
          <w:marTop w:val="120"/>
          <w:marBottom w:val="0"/>
          <w:divBdr>
            <w:top w:val="none" w:sz="0" w:space="0" w:color="auto"/>
            <w:left w:val="none" w:sz="0" w:space="0" w:color="auto"/>
            <w:bottom w:val="none" w:sz="0" w:space="0" w:color="auto"/>
            <w:right w:val="none" w:sz="0" w:space="0" w:color="auto"/>
          </w:divBdr>
        </w:div>
        <w:div w:id="1912227825">
          <w:marLeft w:val="547"/>
          <w:marRight w:val="0"/>
          <w:marTop w:val="120"/>
          <w:marBottom w:val="0"/>
          <w:divBdr>
            <w:top w:val="none" w:sz="0" w:space="0" w:color="auto"/>
            <w:left w:val="none" w:sz="0" w:space="0" w:color="auto"/>
            <w:bottom w:val="none" w:sz="0" w:space="0" w:color="auto"/>
            <w:right w:val="none" w:sz="0" w:space="0" w:color="auto"/>
          </w:divBdr>
        </w:div>
      </w:divsChild>
    </w:div>
    <w:div w:id="733047218">
      <w:bodyDiv w:val="1"/>
      <w:marLeft w:val="0"/>
      <w:marRight w:val="0"/>
      <w:marTop w:val="0"/>
      <w:marBottom w:val="0"/>
      <w:divBdr>
        <w:top w:val="none" w:sz="0" w:space="0" w:color="auto"/>
        <w:left w:val="none" w:sz="0" w:space="0" w:color="auto"/>
        <w:bottom w:val="none" w:sz="0" w:space="0" w:color="auto"/>
        <w:right w:val="none" w:sz="0" w:space="0" w:color="auto"/>
      </w:divBdr>
    </w:div>
    <w:div w:id="832140566">
      <w:bodyDiv w:val="1"/>
      <w:marLeft w:val="0"/>
      <w:marRight w:val="0"/>
      <w:marTop w:val="0"/>
      <w:marBottom w:val="0"/>
      <w:divBdr>
        <w:top w:val="none" w:sz="0" w:space="0" w:color="auto"/>
        <w:left w:val="none" w:sz="0" w:space="0" w:color="auto"/>
        <w:bottom w:val="none" w:sz="0" w:space="0" w:color="auto"/>
        <w:right w:val="none" w:sz="0" w:space="0" w:color="auto"/>
      </w:divBdr>
      <w:divsChild>
        <w:div w:id="678240933">
          <w:marLeft w:val="547"/>
          <w:marRight w:val="0"/>
          <w:marTop w:val="58"/>
          <w:marBottom w:val="0"/>
          <w:divBdr>
            <w:top w:val="none" w:sz="0" w:space="0" w:color="auto"/>
            <w:left w:val="none" w:sz="0" w:space="0" w:color="auto"/>
            <w:bottom w:val="none" w:sz="0" w:space="0" w:color="auto"/>
            <w:right w:val="none" w:sz="0" w:space="0" w:color="auto"/>
          </w:divBdr>
        </w:div>
      </w:divsChild>
    </w:div>
    <w:div w:id="868957872">
      <w:bodyDiv w:val="1"/>
      <w:marLeft w:val="0"/>
      <w:marRight w:val="0"/>
      <w:marTop w:val="0"/>
      <w:marBottom w:val="0"/>
      <w:divBdr>
        <w:top w:val="none" w:sz="0" w:space="0" w:color="auto"/>
        <w:left w:val="none" w:sz="0" w:space="0" w:color="auto"/>
        <w:bottom w:val="none" w:sz="0" w:space="0" w:color="auto"/>
        <w:right w:val="none" w:sz="0" w:space="0" w:color="auto"/>
      </w:divBdr>
      <w:divsChild>
        <w:div w:id="1765222964">
          <w:marLeft w:val="547"/>
          <w:marRight w:val="0"/>
          <w:marTop w:val="67"/>
          <w:marBottom w:val="0"/>
          <w:divBdr>
            <w:top w:val="none" w:sz="0" w:space="0" w:color="auto"/>
            <w:left w:val="none" w:sz="0" w:space="0" w:color="auto"/>
            <w:bottom w:val="none" w:sz="0" w:space="0" w:color="auto"/>
            <w:right w:val="none" w:sz="0" w:space="0" w:color="auto"/>
          </w:divBdr>
        </w:div>
      </w:divsChild>
    </w:div>
    <w:div w:id="880941360">
      <w:bodyDiv w:val="1"/>
      <w:marLeft w:val="0"/>
      <w:marRight w:val="0"/>
      <w:marTop w:val="0"/>
      <w:marBottom w:val="0"/>
      <w:divBdr>
        <w:top w:val="none" w:sz="0" w:space="0" w:color="auto"/>
        <w:left w:val="none" w:sz="0" w:space="0" w:color="auto"/>
        <w:bottom w:val="none" w:sz="0" w:space="0" w:color="auto"/>
        <w:right w:val="none" w:sz="0" w:space="0" w:color="auto"/>
      </w:divBdr>
      <w:divsChild>
        <w:div w:id="1703440096">
          <w:marLeft w:val="446"/>
          <w:marRight w:val="0"/>
          <w:marTop w:val="0"/>
          <w:marBottom w:val="0"/>
          <w:divBdr>
            <w:top w:val="none" w:sz="0" w:space="0" w:color="auto"/>
            <w:left w:val="none" w:sz="0" w:space="0" w:color="auto"/>
            <w:bottom w:val="none" w:sz="0" w:space="0" w:color="auto"/>
            <w:right w:val="none" w:sz="0" w:space="0" w:color="auto"/>
          </w:divBdr>
        </w:div>
      </w:divsChild>
    </w:div>
    <w:div w:id="926691467">
      <w:bodyDiv w:val="1"/>
      <w:marLeft w:val="0"/>
      <w:marRight w:val="0"/>
      <w:marTop w:val="0"/>
      <w:marBottom w:val="0"/>
      <w:divBdr>
        <w:top w:val="none" w:sz="0" w:space="0" w:color="auto"/>
        <w:left w:val="none" w:sz="0" w:space="0" w:color="auto"/>
        <w:bottom w:val="none" w:sz="0" w:space="0" w:color="auto"/>
        <w:right w:val="none" w:sz="0" w:space="0" w:color="auto"/>
      </w:divBdr>
      <w:divsChild>
        <w:div w:id="1187603324">
          <w:marLeft w:val="547"/>
          <w:marRight w:val="0"/>
          <w:marTop w:val="67"/>
          <w:marBottom w:val="0"/>
          <w:divBdr>
            <w:top w:val="none" w:sz="0" w:space="0" w:color="auto"/>
            <w:left w:val="none" w:sz="0" w:space="0" w:color="auto"/>
            <w:bottom w:val="none" w:sz="0" w:space="0" w:color="auto"/>
            <w:right w:val="none" w:sz="0" w:space="0" w:color="auto"/>
          </w:divBdr>
        </w:div>
      </w:divsChild>
    </w:div>
    <w:div w:id="943196227">
      <w:bodyDiv w:val="1"/>
      <w:marLeft w:val="0"/>
      <w:marRight w:val="0"/>
      <w:marTop w:val="0"/>
      <w:marBottom w:val="0"/>
      <w:divBdr>
        <w:top w:val="none" w:sz="0" w:space="0" w:color="auto"/>
        <w:left w:val="none" w:sz="0" w:space="0" w:color="auto"/>
        <w:bottom w:val="none" w:sz="0" w:space="0" w:color="auto"/>
        <w:right w:val="none" w:sz="0" w:space="0" w:color="auto"/>
      </w:divBdr>
      <w:divsChild>
        <w:div w:id="609553877">
          <w:marLeft w:val="547"/>
          <w:marRight w:val="0"/>
          <w:marTop w:val="67"/>
          <w:marBottom w:val="0"/>
          <w:divBdr>
            <w:top w:val="none" w:sz="0" w:space="0" w:color="auto"/>
            <w:left w:val="none" w:sz="0" w:space="0" w:color="auto"/>
            <w:bottom w:val="none" w:sz="0" w:space="0" w:color="auto"/>
            <w:right w:val="none" w:sz="0" w:space="0" w:color="auto"/>
          </w:divBdr>
        </w:div>
      </w:divsChild>
    </w:div>
    <w:div w:id="964627620">
      <w:bodyDiv w:val="1"/>
      <w:marLeft w:val="0"/>
      <w:marRight w:val="0"/>
      <w:marTop w:val="0"/>
      <w:marBottom w:val="0"/>
      <w:divBdr>
        <w:top w:val="none" w:sz="0" w:space="0" w:color="auto"/>
        <w:left w:val="none" w:sz="0" w:space="0" w:color="auto"/>
        <w:bottom w:val="none" w:sz="0" w:space="0" w:color="auto"/>
        <w:right w:val="none" w:sz="0" w:space="0" w:color="auto"/>
      </w:divBdr>
      <w:divsChild>
        <w:div w:id="1191332300">
          <w:marLeft w:val="547"/>
          <w:marRight w:val="0"/>
          <w:marTop w:val="67"/>
          <w:marBottom w:val="0"/>
          <w:divBdr>
            <w:top w:val="none" w:sz="0" w:space="0" w:color="auto"/>
            <w:left w:val="none" w:sz="0" w:space="0" w:color="auto"/>
            <w:bottom w:val="none" w:sz="0" w:space="0" w:color="auto"/>
            <w:right w:val="none" w:sz="0" w:space="0" w:color="auto"/>
          </w:divBdr>
        </w:div>
      </w:divsChild>
    </w:div>
    <w:div w:id="986544422">
      <w:bodyDiv w:val="1"/>
      <w:marLeft w:val="0"/>
      <w:marRight w:val="0"/>
      <w:marTop w:val="0"/>
      <w:marBottom w:val="0"/>
      <w:divBdr>
        <w:top w:val="none" w:sz="0" w:space="0" w:color="auto"/>
        <w:left w:val="none" w:sz="0" w:space="0" w:color="auto"/>
        <w:bottom w:val="none" w:sz="0" w:space="0" w:color="auto"/>
        <w:right w:val="none" w:sz="0" w:space="0" w:color="auto"/>
      </w:divBdr>
    </w:div>
    <w:div w:id="1003775622">
      <w:bodyDiv w:val="1"/>
      <w:marLeft w:val="0"/>
      <w:marRight w:val="0"/>
      <w:marTop w:val="0"/>
      <w:marBottom w:val="0"/>
      <w:divBdr>
        <w:top w:val="none" w:sz="0" w:space="0" w:color="auto"/>
        <w:left w:val="none" w:sz="0" w:space="0" w:color="auto"/>
        <w:bottom w:val="none" w:sz="0" w:space="0" w:color="auto"/>
        <w:right w:val="none" w:sz="0" w:space="0" w:color="auto"/>
      </w:divBdr>
      <w:divsChild>
        <w:div w:id="1775709492">
          <w:marLeft w:val="547"/>
          <w:marRight w:val="0"/>
          <w:marTop w:val="67"/>
          <w:marBottom w:val="0"/>
          <w:divBdr>
            <w:top w:val="none" w:sz="0" w:space="0" w:color="auto"/>
            <w:left w:val="none" w:sz="0" w:space="0" w:color="auto"/>
            <w:bottom w:val="none" w:sz="0" w:space="0" w:color="auto"/>
            <w:right w:val="none" w:sz="0" w:space="0" w:color="auto"/>
          </w:divBdr>
        </w:div>
      </w:divsChild>
    </w:div>
    <w:div w:id="1006715029">
      <w:bodyDiv w:val="1"/>
      <w:marLeft w:val="0"/>
      <w:marRight w:val="0"/>
      <w:marTop w:val="0"/>
      <w:marBottom w:val="0"/>
      <w:divBdr>
        <w:top w:val="none" w:sz="0" w:space="0" w:color="auto"/>
        <w:left w:val="none" w:sz="0" w:space="0" w:color="auto"/>
        <w:bottom w:val="none" w:sz="0" w:space="0" w:color="auto"/>
        <w:right w:val="none" w:sz="0" w:space="0" w:color="auto"/>
      </w:divBdr>
    </w:div>
    <w:div w:id="1010370633">
      <w:bodyDiv w:val="1"/>
      <w:marLeft w:val="0"/>
      <w:marRight w:val="0"/>
      <w:marTop w:val="0"/>
      <w:marBottom w:val="0"/>
      <w:divBdr>
        <w:top w:val="none" w:sz="0" w:space="0" w:color="auto"/>
        <w:left w:val="none" w:sz="0" w:space="0" w:color="auto"/>
        <w:bottom w:val="none" w:sz="0" w:space="0" w:color="auto"/>
        <w:right w:val="none" w:sz="0" w:space="0" w:color="auto"/>
      </w:divBdr>
    </w:div>
    <w:div w:id="1029450395">
      <w:bodyDiv w:val="1"/>
      <w:marLeft w:val="0"/>
      <w:marRight w:val="0"/>
      <w:marTop w:val="0"/>
      <w:marBottom w:val="0"/>
      <w:divBdr>
        <w:top w:val="none" w:sz="0" w:space="0" w:color="auto"/>
        <w:left w:val="none" w:sz="0" w:space="0" w:color="auto"/>
        <w:bottom w:val="none" w:sz="0" w:space="0" w:color="auto"/>
        <w:right w:val="none" w:sz="0" w:space="0" w:color="auto"/>
      </w:divBdr>
      <w:divsChild>
        <w:div w:id="774442070">
          <w:marLeft w:val="0"/>
          <w:marRight w:val="0"/>
          <w:marTop w:val="0"/>
          <w:marBottom w:val="0"/>
          <w:divBdr>
            <w:top w:val="none" w:sz="0" w:space="0" w:color="auto"/>
            <w:left w:val="none" w:sz="0" w:space="0" w:color="auto"/>
            <w:bottom w:val="none" w:sz="0" w:space="0" w:color="auto"/>
            <w:right w:val="none" w:sz="0" w:space="0" w:color="auto"/>
          </w:divBdr>
          <w:divsChild>
            <w:div w:id="642004516">
              <w:marLeft w:val="0"/>
              <w:marRight w:val="0"/>
              <w:marTop w:val="0"/>
              <w:marBottom w:val="0"/>
              <w:divBdr>
                <w:top w:val="none" w:sz="0" w:space="0" w:color="auto"/>
                <w:left w:val="none" w:sz="0" w:space="0" w:color="auto"/>
                <w:bottom w:val="none" w:sz="0" w:space="0" w:color="auto"/>
                <w:right w:val="none" w:sz="0" w:space="0" w:color="auto"/>
              </w:divBdr>
              <w:divsChild>
                <w:div w:id="40306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69963">
      <w:bodyDiv w:val="1"/>
      <w:marLeft w:val="0"/>
      <w:marRight w:val="0"/>
      <w:marTop w:val="0"/>
      <w:marBottom w:val="0"/>
      <w:divBdr>
        <w:top w:val="none" w:sz="0" w:space="0" w:color="auto"/>
        <w:left w:val="none" w:sz="0" w:space="0" w:color="auto"/>
        <w:bottom w:val="none" w:sz="0" w:space="0" w:color="auto"/>
        <w:right w:val="none" w:sz="0" w:space="0" w:color="auto"/>
      </w:divBdr>
      <w:divsChild>
        <w:div w:id="1599867389">
          <w:marLeft w:val="547"/>
          <w:marRight w:val="0"/>
          <w:marTop w:val="67"/>
          <w:marBottom w:val="0"/>
          <w:divBdr>
            <w:top w:val="none" w:sz="0" w:space="0" w:color="auto"/>
            <w:left w:val="none" w:sz="0" w:space="0" w:color="auto"/>
            <w:bottom w:val="none" w:sz="0" w:space="0" w:color="auto"/>
            <w:right w:val="none" w:sz="0" w:space="0" w:color="auto"/>
          </w:divBdr>
        </w:div>
      </w:divsChild>
    </w:div>
    <w:div w:id="1070813204">
      <w:bodyDiv w:val="1"/>
      <w:marLeft w:val="0"/>
      <w:marRight w:val="0"/>
      <w:marTop w:val="0"/>
      <w:marBottom w:val="0"/>
      <w:divBdr>
        <w:top w:val="none" w:sz="0" w:space="0" w:color="auto"/>
        <w:left w:val="none" w:sz="0" w:space="0" w:color="auto"/>
        <w:bottom w:val="none" w:sz="0" w:space="0" w:color="auto"/>
        <w:right w:val="none" w:sz="0" w:space="0" w:color="auto"/>
      </w:divBdr>
      <w:divsChild>
        <w:div w:id="2089964368">
          <w:marLeft w:val="547"/>
          <w:marRight w:val="0"/>
          <w:marTop w:val="67"/>
          <w:marBottom w:val="0"/>
          <w:divBdr>
            <w:top w:val="none" w:sz="0" w:space="0" w:color="auto"/>
            <w:left w:val="none" w:sz="0" w:space="0" w:color="auto"/>
            <w:bottom w:val="none" w:sz="0" w:space="0" w:color="auto"/>
            <w:right w:val="none" w:sz="0" w:space="0" w:color="auto"/>
          </w:divBdr>
        </w:div>
      </w:divsChild>
    </w:div>
    <w:div w:id="1082918093">
      <w:bodyDiv w:val="1"/>
      <w:marLeft w:val="0"/>
      <w:marRight w:val="0"/>
      <w:marTop w:val="0"/>
      <w:marBottom w:val="0"/>
      <w:divBdr>
        <w:top w:val="none" w:sz="0" w:space="0" w:color="auto"/>
        <w:left w:val="none" w:sz="0" w:space="0" w:color="auto"/>
        <w:bottom w:val="none" w:sz="0" w:space="0" w:color="auto"/>
        <w:right w:val="none" w:sz="0" w:space="0" w:color="auto"/>
      </w:divBdr>
    </w:div>
    <w:div w:id="1083527801">
      <w:bodyDiv w:val="1"/>
      <w:marLeft w:val="0"/>
      <w:marRight w:val="0"/>
      <w:marTop w:val="0"/>
      <w:marBottom w:val="0"/>
      <w:divBdr>
        <w:top w:val="none" w:sz="0" w:space="0" w:color="auto"/>
        <w:left w:val="none" w:sz="0" w:space="0" w:color="auto"/>
        <w:bottom w:val="none" w:sz="0" w:space="0" w:color="auto"/>
        <w:right w:val="none" w:sz="0" w:space="0" w:color="auto"/>
      </w:divBdr>
      <w:divsChild>
        <w:div w:id="1650866312">
          <w:marLeft w:val="547"/>
          <w:marRight w:val="0"/>
          <w:marTop w:val="77"/>
          <w:marBottom w:val="0"/>
          <w:divBdr>
            <w:top w:val="none" w:sz="0" w:space="0" w:color="auto"/>
            <w:left w:val="none" w:sz="0" w:space="0" w:color="auto"/>
            <w:bottom w:val="none" w:sz="0" w:space="0" w:color="auto"/>
            <w:right w:val="none" w:sz="0" w:space="0" w:color="auto"/>
          </w:divBdr>
        </w:div>
      </w:divsChild>
    </w:div>
    <w:div w:id="1118067755">
      <w:bodyDiv w:val="1"/>
      <w:marLeft w:val="0"/>
      <w:marRight w:val="0"/>
      <w:marTop w:val="0"/>
      <w:marBottom w:val="0"/>
      <w:divBdr>
        <w:top w:val="none" w:sz="0" w:space="0" w:color="auto"/>
        <w:left w:val="none" w:sz="0" w:space="0" w:color="auto"/>
        <w:bottom w:val="none" w:sz="0" w:space="0" w:color="auto"/>
        <w:right w:val="none" w:sz="0" w:space="0" w:color="auto"/>
      </w:divBdr>
    </w:div>
    <w:div w:id="1122771833">
      <w:bodyDiv w:val="1"/>
      <w:marLeft w:val="0"/>
      <w:marRight w:val="0"/>
      <w:marTop w:val="0"/>
      <w:marBottom w:val="0"/>
      <w:divBdr>
        <w:top w:val="none" w:sz="0" w:space="0" w:color="auto"/>
        <w:left w:val="none" w:sz="0" w:space="0" w:color="auto"/>
        <w:bottom w:val="none" w:sz="0" w:space="0" w:color="auto"/>
        <w:right w:val="none" w:sz="0" w:space="0" w:color="auto"/>
      </w:divBdr>
      <w:divsChild>
        <w:div w:id="1682395784">
          <w:marLeft w:val="547"/>
          <w:marRight w:val="0"/>
          <w:marTop w:val="67"/>
          <w:marBottom w:val="0"/>
          <w:divBdr>
            <w:top w:val="none" w:sz="0" w:space="0" w:color="auto"/>
            <w:left w:val="none" w:sz="0" w:space="0" w:color="auto"/>
            <w:bottom w:val="none" w:sz="0" w:space="0" w:color="auto"/>
            <w:right w:val="none" w:sz="0" w:space="0" w:color="auto"/>
          </w:divBdr>
        </w:div>
      </w:divsChild>
    </w:div>
    <w:div w:id="1127700211">
      <w:bodyDiv w:val="1"/>
      <w:marLeft w:val="0"/>
      <w:marRight w:val="0"/>
      <w:marTop w:val="0"/>
      <w:marBottom w:val="0"/>
      <w:divBdr>
        <w:top w:val="none" w:sz="0" w:space="0" w:color="auto"/>
        <w:left w:val="none" w:sz="0" w:space="0" w:color="auto"/>
        <w:bottom w:val="none" w:sz="0" w:space="0" w:color="auto"/>
        <w:right w:val="none" w:sz="0" w:space="0" w:color="auto"/>
      </w:divBdr>
    </w:div>
    <w:div w:id="1138690853">
      <w:bodyDiv w:val="1"/>
      <w:marLeft w:val="0"/>
      <w:marRight w:val="0"/>
      <w:marTop w:val="0"/>
      <w:marBottom w:val="0"/>
      <w:divBdr>
        <w:top w:val="none" w:sz="0" w:space="0" w:color="auto"/>
        <w:left w:val="none" w:sz="0" w:space="0" w:color="auto"/>
        <w:bottom w:val="none" w:sz="0" w:space="0" w:color="auto"/>
        <w:right w:val="none" w:sz="0" w:space="0" w:color="auto"/>
      </w:divBdr>
    </w:div>
    <w:div w:id="1164197705">
      <w:bodyDiv w:val="1"/>
      <w:marLeft w:val="0"/>
      <w:marRight w:val="0"/>
      <w:marTop w:val="0"/>
      <w:marBottom w:val="0"/>
      <w:divBdr>
        <w:top w:val="none" w:sz="0" w:space="0" w:color="auto"/>
        <w:left w:val="none" w:sz="0" w:space="0" w:color="auto"/>
        <w:bottom w:val="none" w:sz="0" w:space="0" w:color="auto"/>
        <w:right w:val="none" w:sz="0" w:space="0" w:color="auto"/>
      </w:divBdr>
    </w:div>
    <w:div w:id="1166550164">
      <w:bodyDiv w:val="1"/>
      <w:marLeft w:val="0"/>
      <w:marRight w:val="0"/>
      <w:marTop w:val="0"/>
      <w:marBottom w:val="0"/>
      <w:divBdr>
        <w:top w:val="none" w:sz="0" w:space="0" w:color="auto"/>
        <w:left w:val="none" w:sz="0" w:space="0" w:color="auto"/>
        <w:bottom w:val="none" w:sz="0" w:space="0" w:color="auto"/>
        <w:right w:val="none" w:sz="0" w:space="0" w:color="auto"/>
      </w:divBdr>
      <w:divsChild>
        <w:div w:id="98063281">
          <w:marLeft w:val="547"/>
          <w:marRight w:val="0"/>
          <w:marTop w:val="67"/>
          <w:marBottom w:val="0"/>
          <w:divBdr>
            <w:top w:val="none" w:sz="0" w:space="0" w:color="auto"/>
            <w:left w:val="none" w:sz="0" w:space="0" w:color="auto"/>
            <w:bottom w:val="none" w:sz="0" w:space="0" w:color="auto"/>
            <w:right w:val="none" w:sz="0" w:space="0" w:color="auto"/>
          </w:divBdr>
        </w:div>
      </w:divsChild>
    </w:div>
    <w:div w:id="1193498511">
      <w:bodyDiv w:val="1"/>
      <w:marLeft w:val="0"/>
      <w:marRight w:val="0"/>
      <w:marTop w:val="0"/>
      <w:marBottom w:val="0"/>
      <w:divBdr>
        <w:top w:val="none" w:sz="0" w:space="0" w:color="auto"/>
        <w:left w:val="none" w:sz="0" w:space="0" w:color="auto"/>
        <w:bottom w:val="none" w:sz="0" w:space="0" w:color="auto"/>
        <w:right w:val="none" w:sz="0" w:space="0" w:color="auto"/>
      </w:divBdr>
    </w:div>
    <w:div w:id="1214385131">
      <w:bodyDiv w:val="1"/>
      <w:marLeft w:val="0"/>
      <w:marRight w:val="0"/>
      <w:marTop w:val="0"/>
      <w:marBottom w:val="0"/>
      <w:divBdr>
        <w:top w:val="none" w:sz="0" w:space="0" w:color="auto"/>
        <w:left w:val="none" w:sz="0" w:space="0" w:color="auto"/>
        <w:bottom w:val="none" w:sz="0" w:space="0" w:color="auto"/>
        <w:right w:val="none" w:sz="0" w:space="0" w:color="auto"/>
      </w:divBdr>
      <w:divsChild>
        <w:div w:id="418140711">
          <w:marLeft w:val="547"/>
          <w:marRight w:val="0"/>
          <w:marTop w:val="67"/>
          <w:marBottom w:val="0"/>
          <w:divBdr>
            <w:top w:val="none" w:sz="0" w:space="0" w:color="auto"/>
            <w:left w:val="none" w:sz="0" w:space="0" w:color="auto"/>
            <w:bottom w:val="none" w:sz="0" w:space="0" w:color="auto"/>
            <w:right w:val="none" w:sz="0" w:space="0" w:color="auto"/>
          </w:divBdr>
        </w:div>
      </w:divsChild>
    </w:div>
    <w:div w:id="1254975127">
      <w:bodyDiv w:val="1"/>
      <w:marLeft w:val="0"/>
      <w:marRight w:val="0"/>
      <w:marTop w:val="0"/>
      <w:marBottom w:val="0"/>
      <w:divBdr>
        <w:top w:val="none" w:sz="0" w:space="0" w:color="auto"/>
        <w:left w:val="none" w:sz="0" w:space="0" w:color="auto"/>
        <w:bottom w:val="none" w:sz="0" w:space="0" w:color="auto"/>
        <w:right w:val="none" w:sz="0" w:space="0" w:color="auto"/>
      </w:divBdr>
    </w:div>
    <w:div w:id="1271818522">
      <w:bodyDiv w:val="1"/>
      <w:marLeft w:val="0"/>
      <w:marRight w:val="0"/>
      <w:marTop w:val="0"/>
      <w:marBottom w:val="0"/>
      <w:divBdr>
        <w:top w:val="none" w:sz="0" w:space="0" w:color="auto"/>
        <w:left w:val="none" w:sz="0" w:space="0" w:color="auto"/>
        <w:bottom w:val="none" w:sz="0" w:space="0" w:color="auto"/>
        <w:right w:val="none" w:sz="0" w:space="0" w:color="auto"/>
      </w:divBdr>
    </w:div>
    <w:div w:id="1272320346">
      <w:bodyDiv w:val="1"/>
      <w:marLeft w:val="0"/>
      <w:marRight w:val="0"/>
      <w:marTop w:val="0"/>
      <w:marBottom w:val="0"/>
      <w:divBdr>
        <w:top w:val="none" w:sz="0" w:space="0" w:color="auto"/>
        <w:left w:val="none" w:sz="0" w:space="0" w:color="auto"/>
        <w:bottom w:val="none" w:sz="0" w:space="0" w:color="auto"/>
        <w:right w:val="none" w:sz="0" w:space="0" w:color="auto"/>
      </w:divBdr>
    </w:div>
    <w:div w:id="1319962462">
      <w:bodyDiv w:val="1"/>
      <w:marLeft w:val="0"/>
      <w:marRight w:val="0"/>
      <w:marTop w:val="0"/>
      <w:marBottom w:val="0"/>
      <w:divBdr>
        <w:top w:val="none" w:sz="0" w:space="0" w:color="auto"/>
        <w:left w:val="none" w:sz="0" w:space="0" w:color="auto"/>
        <w:bottom w:val="none" w:sz="0" w:space="0" w:color="auto"/>
        <w:right w:val="none" w:sz="0" w:space="0" w:color="auto"/>
      </w:divBdr>
    </w:div>
    <w:div w:id="1333606235">
      <w:bodyDiv w:val="1"/>
      <w:marLeft w:val="0"/>
      <w:marRight w:val="0"/>
      <w:marTop w:val="0"/>
      <w:marBottom w:val="0"/>
      <w:divBdr>
        <w:top w:val="none" w:sz="0" w:space="0" w:color="auto"/>
        <w:left w:val="none" w:sz="0" w:space="0" w:color="auto"/>
        <w:bottom w:val="none" w:sz="0" w:space="0" w:color="auto"/>
        <w:right w:val="none" w:sz="0" w:space="0" w:color="auto"/>
      </w:divBdr>
      <w:divsChild>
        <w:div w:id="216093283">
          <w:marLeft w:val="446"/>
          <w:marRight w:val="0"/>
          <w:marTop w:val="0"/>
          <w:marBottom w:val="0"/>
          <w:divBdr>
            <w:top w:val="none" w:sz="0" w:space="0" w:color="auto"/>
            <w:left w:val="none" w:sz="0" w:space="0" w:color="auto"/>
            <w:bottom w:val="none" w:sz="0" w:space="0" w:color="auto"/>
            <w:right w:val="none" w:sz="0" w:space="0" w:color="auto"/>
          </w:divBdr>
        </w:div>
      </w:divsChild>
    </w:div>
    <w:div w:id="1347708744">
      <w:bodyDiv w:val="1"/>
      <w:marLeft w:val="0"/>
      <w:marRight w:val="0"/>
      <w:marTop w:val="0"/>
      <w:marBottom w:val="0"/>
      <w:divBdr>
        <w:top w:val="none" w:sz="0" w:space="0" w:color="auto"/>
        <w:left w:val="none" w:sz="0" w:space="0" w:color="auto"/>
        <w:bottom w:val="none" w:sz="0" w:space="0" w:color="auto"/>
        <w:right w:val="none" w:sz="0" w:space="0" w:color="auto"/>
      </w:divBdr>
    </w:div>
    <w:div w:id="1347751054">
      <w:bodyDiv w:val="1"/>
      <w:marLeft w:val="0"/>
      <w:marRight w:val="0"/>
      <w:marTop w:val="0"/>
      <w:marBottom w:val="0"/>
      <w:divBdr>
        <w:top w:val="none" w:sz="0" w:space="0" w:color="auto"/>
        <w:left w:val="none" w:sz="0" w:space="0" w:color="auto"/>
        <w:bottom w:val="none" w:sz="0" w:space="0" w:color="auto"/>
        <w:right w:val="none" w:sz="0" w:space="0" w:color="auto"/>
      </w:divBdr>
      <w:divsChild>
        <w:div w:id="580138849">
          <w:marLeft w:val="547"/>
          <w:marRight w:val="0"/>
          <w:marTop w:val="53"/>
          <w:marBottom w:val="0"/>
          <w:divBdr>
            <w:top w:val="none" w:sz="0" w:space="0" w:color="auto"/>
            <w:left w:val="none" w:sz="0" w:space="0" w:color="auto"/>
            <w:bottom w:val="none" w:sz="0" w:space="0" w:color="auto"/>
            <w:right w:val="none" w:sz="0" w:space="0" w:color="auto"/>
          </w:divBdr>
        </w:div>
        <w:div w:id="1376734873">
          <w:marLeft w:val="547"/>
          <w:marRight w:val="0"/>
          <w:marTop w:val="53"/>
          <w:marBottom w:val="0"/>
          <w:divBdr>
            <w:top w:val="none" w:sz="0" w:space="0" w:color="auto"/>
            <w:left w:val="none" w:sz="0" w:space="0" w:color="auto"/>
            <w:bottom w:val="none" w:sz="0" w:space="0" w:color="auto"/>
            <w:right w:val="none" w:sz="0" w:space="0" w:color="auto"/>
          </w:divBdr>
        </w:div>
      </w:divsChild>
    </w:div>
    <w:div w:id="1350837649">
      <w:bodyDiv w:val="1"/>
      <w:marLeft w:val="0"/>
      <w:marRight w:val="0"/>
      <w:marTop w:val="0"/>
      <w:marBottom w:val="0"/>
      <w:divBdr>
        <w:top w:val="none" w:sz="0" w:space="0" w:color="auto"/>
        <w:left w:val="none" w:sz="0" w:space="0" w:color="auto"/>
        <w:bottom w:val="none" w:sz="0" w:space="0" w:color="auto"/>
        <w:right w:val="none" w:sz="0" w:space="0" w:color="auto"/>
      </w:divBdr>
    </w:div>
    <w:div w:id="1416706279">
      <w:bodyDiv w:val="1"/>
      <w:marLeft w:val="0"/>
      <w:marRight w:val="0"/>
      <w:marTop w:val="0"/>
      <w:marBottom w:val="0"/>
      <w:divBdr>
        <w:top w:val="none" w:sz="0" w:space="0" w:color="auto"/>
        <w:left w:val="none" w:sz="0" w:space="0" w:color="auto"/>
        <w:bottom w:val="none" w:sz="0" w:space="0" w:color="auto"/>
        <w:right w:val="none" w:sz="0" w:space="0" w:color="auto"/>
      </w:divBdr>
      <w:divsChild>
        <w:div w:id="913859660">
          <w:marLeft w:val="547"/>
          <w:marRight w:val="0"/>
          <w:marTop w:val="67"/>
          <w:marBottom w:val="0"/>
          <w:divBdr>
            <w:top w:val="none" w:sz="0" w:space="0" w:color="auto"/>
            <w:left w:val="none" w:sz="0" w:space="0" w:color="auto"/>
            <w:bottom w:val="none" w:sz="0" w:space="0" w:color="auto"/>
            <w:right w:val="none" w:sz="0" w:space="0" w:color="auto"/>
          </w:divBdr>
        </w:div>
      </w:divsChild>
    </w:div>
    <w:div w:id="1424498909">
      <w:bodyDiv w:val="1"/>
      <w:marLeft w:val="0"/>
      <w:marRight w:val="0"/>
      <w:marTop w:val="0"/>
      <w:marBottom w:val="0"/>
      <w:divBdr>
        <w:top w:val="none" w:sz="0" w:space="0" w:color="auto"/>
        <w:left w:val="none" w:sz="0" w:space="0" w:color="auto"/>
        <w:bottom w:val="none" w:sz="0" w:space="0" w:color="auto"/>
        <w:right w:val="none" w:sz="0" w:space="0" w:color="auto"/>
      </w:divBdr>
      <w:divsChild>
        <w:div w:id="632634074">
          <w:marLeft w:val="547"/>
          <w:marRight w:val="0"/>
          <w:marTop w:val="48"/>
          <w:marBottom w:val="0"/>
          <w:divBdr>
            <w:top w:val="none" w:sz="0" w:space="0" w:color="auto"/>
            <w:left w:val="none" w:sz="0" w:space="0" w:color="auto"/>
            <w:bottom w:val="none" w:sz="0" w:space="0" w:color="auto"/>
            <w:right w:val="none" w:sz="0" w:space="0" w:color="auto"/>
          </w:divBdr>
        </w:div>
      </w:divsChild>
    </w:div>
    <w:div w:id="1443569867">
      <w:bodyDiv w:val="1"/>
      <w:marLeft w:val="0"/>
      <w:marRight w:val="0"/>
      <w:marTop w:val="0"/>
      <w:marBottom w:val="0"/>
      <w:divBdr>
        <w:top w:val="none" w:sz="0" w:space="0" w:color="auto"/>
        <w:left w:val="none" w:sz="0" w:space="0" w:color="auto"/>
        <w:bottom w:val="none" w:sz="0" w:space="0" w:color="auto"/>
        <w:right w:val="none" w:sz="0" w:space="0" w:color="auto"/>
      </w:divBdr>
      <w:divsChild>
        <w:div w:id="1680307631">
          <w:marLeft w:val="0"/>
          <w:marRight w:val="0"/>
          <w:marTop w:val="0"/>
          <w:marBottom w:val="0"/>
          <w:divBdr>
            <w:top w:val="none" w:sz="0" w:space="0" w:color="auto"/>
            <w:left w:val="none" w:sz="0" w:space="0" w:color="auto"/>
            <w:bottom w:val="none" w:sz="0" w:space="0" w:color="auto"/>
            <w:right w:val="none" w:sz="0" w:space="0" w:color="auto"/>
          </w:divBdr>
          <w:divsChild>
            <w:div w:id="1770731780">
              <w:marLeft w:val="0"/>
              <w:marRight w:val="0"/>
              <w:marTop w:val="0"/>
              <w:marBottom w:val="0"/>
              <w:divBdr>
                <w:top w:val="none" w:sz="0" w:space="0" w:color="auto"/>
                <w:left w:val="none" w:sz="0" w:space="0" w:color="auto"/>
                <w:bottom w:val="none" w:sz="0" w:space="0" w:color="auto"/>
                <w:right w:val="none" w:sz="0" w:space="0" w:color="auto"/>
              </w:divBdr>
              <w:divsChild>
                <w:div w:id="101838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39297">
      <w:bodyDiv w:val="1"/>
      <w:marLeft w:val="0"/>
      <w:marRight w:val="0"/>
      <w:marTop w:val="0"/>
      <w:marBottom w:val="0"/>
      <w:divBdr>
        <w:top w:val="none" w:sz="0" w:space="0" w:color="auto"/>
        <w:left w:val="none" w:sz="0" w:space="0" w:color="auto"/>
        <w:bottom w:val="none" w:sz="0" w:space="0" w:color="auto"/>
        <w:right w:val="none" w:sz="0" w:space="0" w:color="auto"/>
      </w:divBdr>
      <w:divsChild>
        <w:div w:id="1129473730">
          <w:marLeft w:val="0"/>
          <w:marRight w:val="0"/>
          <w:marTop w:val="0"/>
          <w:marBottom w:val="0"/>
          <w:divBdr>
            <w:top w:val="none" w:sz="0" w:space="0" w:color="auto"/>
            <w:left w:val="none" w:sz="0" w:space="0" w:color="auto"/>
            <w:bottom w:val="none" w:sz="0" w:space="0" w:color="auto"/>
            <w:right w:val="none" w:sz="0" w:space="0" w:color="auto"/>
          </w:divBdr>
          <w:divsChild>
            <w:div w:id="1348675532">
              <w:marLeft w:val="0"/>
              <w:marRight w:val="0"/>
              <w:marTop w:val="0"/>
              <w:marBottom w:val="0"/>
              <w:divBdr>
                <w:top w:val="none" w:sz="0" w:space="0" w:color="auto"/>
                <w:left w:val="none" w:sz="0" w:space="0" w:color="auto"/>
                <w:bottom w:val="none" w:sz="0" w:space="0" w:color="auto"/>
                <w:right w:val="none" w:sz="0" w:space="0" w:color="auto"/>
              </w:divBdr>
              <w:divsChild>
                <w:div w:id="412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70841">
      <w:bodyDiv w:val="1"/>
      <w:marLeft w:val="0"/>
      <w:marRight w:val="0"/>
      <w:marTop w:val="0"/>
      <w:marBottom w:val="0"/>
      <w:divBdr>
        <w:top w:val="none" w:sz="0" w:space="0" w:color="auto"/>
        <w:left w:val="none" w:sz="0" w:space="0" w:color="auto"/>
        <w:bottom w:val="none" w:sz="0" w:space="0" w:color="auto"/>
        <w:right w:val="none" w:sz="0" w:space="0" w:color="auto"/>
      </w:divBdr>
      <w:divsChild>
        <w:div w:id="623924786">
          <w:marLeft w:val="547"/>
          <w:marRight w:val="0"/>
          <w:marTop w:val="67"/>
          <w:marBottom w:val="0"/>
          <w:divBdr>
            <w:top w:val="none" w:sz="0" w:space="0" w:color="auto"/>
            <w:left w:val="none" w:sz="0" w:space="0" w:color="auto"/>
            <w:bottom w:val="none" w:sz="0" w:space="0" w:color="auto"/>
            <w:right w:val="none" w:sz="0" w:space="0" w:color="auto"/>
          </w:divBdr>
        </w:div>
      </w:divsChild>
    </w:div>
    <w:div w:id="1509098139">
      <w:bodyDiv w:val="1"/>
      <w:marLeft w:val="0"/>
      <w:marRight w:val="0"/>
      <w:marTop w:val="0"/>
      <w:marBottom w:val="0"/>
      <w:divBdr>
        <w:top w:val="none" w:sz="0" w:space="0" w:color="auto"/>
        <w:left w:val="none" w:sz="0" w:space="0" w:color="auto"/>
        <w:bottom w:val="none" w:sz="0" w:space="0" w:color="auto"/>
        <w:right w:val="none" w:sz="0" w:space="0" w:color="auto"/>
      </w:divBdr>
      <w:divsChild>
        <w:div w:id="732507258">
          <w:marLeft w:val="0"/>
          <w:marRight w:val="0"/>
          <w:marTop w:val="0"/>
          <w:marBottom w:val="0"/>
          <w:divBdr>
            <w:top w:val="none" w:sz="0" w:space="0" w:color="auto"/>
            <w:left w:val="none" w:sz="0" w:space="0" w:color="auto"/>
            <w:bottom w:val="none" w:sz="0" w:space="0" w:color="auto"/>
            <w:right w:val="none" w:sz="0" w:space="0" w:color="auto"/>
          </w:divBdr>
          <w:divsChild>
            <w:div w:id="972176099">
              <w:marLeft w:val="0"/>
              <w:marRight w:val="0"/>
              <w:marTop w:val="0"/>
              <w:marBottom w:val="0"/>
              <w:divBdr>
                <w:top w:val="none" w:sz="0" w:space="0" w:color="auto"/>
                <w:left w:val="none" w:sz="0" w:space="0" w:color="auto"/>
                <w:bottom w:val="none" w:sz="0" w:space="0" w:color="auto"/>
                <w:right w:val="none" w:sz="0" w:space="0" w:color="auto"/>
              </w:divBdr>
              <w:divsChild>
                <w:div w:id="2803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19399">
      <w:bodyDiv w:val="1"/>
      <w:marLeft w:val="0"/>
      <w:marRight w:val="0"/>
      <w:marTop w:val="0"/>
      <w:marBottom w:val="0"/>
      <w:divBdr>
        <w:top w:val="none" w:sz="0" w:space="0" w:color="auto"/>
        <w:left w:val="none" w:sz="0" w:space="0" w:color="auto"/>
        <w:bottom w:val="none" w:sz="0" w:space="0" w:color="auto"/>
        <w:right w:val="none" w:sz="0" w:space="0" w:color="auto"/>
      </w:divBdr>
    </w:div>
    <w:div w:id="1546064238">
      <w:bodyDiv w:val="1"/>
      <w:marLeft w:val="0"/>
      <w:marRight w:val="0"/>
      <w:marTop w:val="0"/>
      <w:marBottom w:val="0"/>
      <w:divBdr>
        <w:top w:val="none" w:sz="0" w:space="0" w:color="auto"/>
        <w:left w:val="none" w:sz="0" w:space="0" w:color="auto"/>
        <w:bottom w:val="none" w:sz="0" w:space="0" w:color="auto"/>
        <w:right w:val="none" w:sz="0" w:space="0" w:color="auto"/>
      </w:divBdr>
      <w:divsChild>
        <w:div w:id="71053270">
          <w:marLeft w:val="547"/>
          <w:marRight w:val="0"/>
          <w:marTop w:val="67"/>
          <w:marBottom w:val="0"/>
          <w:divBdr>
            <w:top w:val="none" w:sz="0" w:space="0" w:color="auto"/>
            <w:left w:val="none" w:sz="0" w:space="0" w:color="auto"/>
            <w:bottom w:val="none" w:sz="0" w:space="0" w:color="auto"/>
            <w:right w:val="none" w:sz="0" w:space="0" w:color="auto"/>
          </w:divBdr>
        </w:div>
        <w:div w:id="258218825">
          <w:marLeft w:val="547"/>
          <w:marRight w:val="0"/>
          <w:marTop w:val="67"/>
          <w:marBottom w:val="0"/>
          <w:divBdr>
            <w:top w:val="none" w:sz="0" w:space="0" w:color="auto"/>
            <w:left w:val="none" w:sz="0" w:space="0" w:color="auto"/>
            <w:bottom w:val="none" w:sz="0" w:space="0" w:color="auto"/>
            <w:right w:val="none" w:sz="0" w:space="0" w:color="auto"/>
          </w:divBdr>
        </w:div>
      </w:divsChild>
    </w:div>
    <w:div w:id="1559632446">
      <w:bodyDiv w:val="1"/>
      <w:marLeft w:val="0"/>
      <w:marRight w:val="0"/>
      <w:marTop w:val="0"/>
      <w:marBottom w:val="0"/>
      <w:divBdr>
        <w:top w:val="none" w:sz="0" w:space="0" w:color="auto"/>
        <w:left w:val="none" w:sz="0" w:space="0" w:color="auto"/>
        <w:bottom w:val="none" w:sz="0" w:space="0" w:color="auto"/>
        <w:right w:val="none" w:sz="0" w:space="0" w:color="auto"/>
      </w:divBdr>
    </w:div>
    <w:div w:id="1567957688">
      <w:bodyDiv w:val="1"/>
      <w:marLeft w:val="0"/>
      <w:marRight w:val="0"/>
      <w:marTop w:val="0"/>
      <w:marBottom w:val="0"/>
      <w:divBdr>
        <w:top w:val="none" w:sz="0" w:space="0" w:color="auto"/>
        <w:left w:val="none" w:sz="0" w:space="0" w:color="auto"/>
        <w:bottom w:val="none" w:sz="0" w:space="0" w:color="auto"/>
        <w:right w:val="none" w:sz="0" w:space="0" w:color="auto"/>
      </w:divBdr>
      <w:divsChild>
        <w:div w:id="1380544999">
          <w:marLeft w:val="446"/>
          <w:marRight w:val="0"/>
          <w:marTop w:val="0"/>
          <w:marBottom w:val="0"/>
          <w:divBdr>
            <w:top w:val="none" w:sz="0" w:space="0" w:color="auto"/>
            <w:left w:val="none" w:sz="0" w:space="0" w:color="auto"/>
            <w:bottom w:val="none" w:sz="0" w:space="0" w:color="auto"/>
            <w:right w:val="none" w:sz="0" w:space="0" w:color="auto"/>
          </w:divBdr>
        </w:div>
      </w:divsChild>
    </w:div>
    <w:div w:id="1588231226">
      <w:bodyDiv w:val="1"/>
      <w:marLeft w:val="0"/>
      <w:marRight w:val="0"/>
      <w:marTop w:val="0"/>
      <w:marBottom w:val="0"/>
      <w:divBdr>
        <w:top w:val="none" w:sz="0" w:space="0" w:color="auto"/>
        <w:left w:val="none" w:sz="0" w:space="0" w:color="auto"/>
        <w:bottom w:val="none" w:sz="0" w:space="0" w:color="auto"/>
        <w:right w:val="none" w:sz="0" w:space="0" w:color="auto"/>
      </w:divBdr>
    </w:div>
    <w:div w:id="1596355481">
      <w:bodyDiv w:val="1"/>
      <w:marLeft w:val="0"/>
      <w:marRight w:val="0"/>
      <w:marTop w:val="0"/>
      <w:marBottom w:val="0"/>
      <w:divBdr>
        <w:top w:val="none" w:sz="0" w:space="0" w:color="auto"/>
        <w:left w:val="none" w:sz="0" w:space="0" w:color="auto"/>
        <w:bottom w:val="none" w:sz="0" w:space="0" w:color="auto"/>
        <w:right w:val="none" w:sz="0" w:space="0" w:color="auto"/>
      </w:divBdr>
    </w:div>
    <w:div w:id="1606576567">
      <w:bodyDiv w:val="1"/>
      <w:marLeft w:val="0"/>
      <w:marRight w:val="0"/>
      <w:marTop w:val="0"/>
      <w:marBottom w:val="0"/>
      <w:divBdr>
        <w:top w:val="none" w:sz="0" w:space="0" w:color="auto"/>
        <w:left w:val="none" w:sz="0" w:space="0" w:color="auto"/>
        <w:bottom w:val="none" w:sz="0" w:space="0" w:color="auto"/>
        <w:right w:val="none" w:sz="0" w:space="0" w:color="auto"/>
      </w:divBdr>
    </w:div>
    <w:div w:id="1612938279">
      <w:bodyDiv w:val="1"/>
      <w:marLeft w:val="0"/>
      <w:marRight w:val="0"/>
      <w:marTop w:val="0"/>
      <w:marBottom w:val="0"/>
      <w:divBdr>
        <w:top w:val="none" w:sz="0" w:space="0" w:color="auto"/>
        <w:left w:val="none" w:sz="0" w:space="0" w:color="auto"/>
        <w:bottom w:val="none" w:sz="0" w:space="0" w:color="auto"/>
        <w:right w:val="none" w:sz="0" w:space="0" w:color="auto"/>
      </w:divBdr>
    </w:div>
    <w:div w:id="1637685260">
      <w:bodyDiv w:val="1"/>
      <w:marLeft w:val="0"/>
      <w:marRight w:val="0"/>
      <w:marTop w:val="0"/>
      <w:marBottom w:val="0"/>
      <w:divBdr>
        <w:top w:val="none" w:sz="0" w:space="0" w:color="auto"/>
        <w:left w:val="none" w:sz="0" w:space="0" w:color="auto"/>
        <w:bottom w:val="none" w:sz="0" w:space="0" w:color="auto"/>
        <w:right w:val="none" w:sz="0" w:space="0" w:color="auto"/>
      </w:divBdr>
    </w:div>
    <w:div w:id="1654069457">
      <w:bodyDiv w:val="1"/>
      <w:marLeft w:val="0"/>
      <w:marRight w:val="0"/>
      <w:marTop w:val="0"/>
      <w:marBottom w:val="0"/>
      <w:divBdr>
        <w:top w:val="none" w:sz="0" w:space="0" w:color="auto"/>
        <w:left w:val="none" w:sz="0" w:space="0" w:color="auto"/>
        <w:bottom w:val="none" w:sz="0" w:space="0" w:color="auto"/>
        <w:right w:val="none" w:sz="0" w:space="0" w:color="auto"/>
      </w:divBdr>
      <w:divsChild>
        <w:div w:id="1496604795">
          <w:marLeft w:val="547"/>
          <w:marRight w:val="0"/>
          <w:marTop w:val="58"/>
          <w:marBottom w:val="0"/>
          <w:divBdr>
            <w:top w:val="none" w:sz="0" w:space="0" w:color="auto"/>
            <w:left w:val="none" w:sz="0" w:space="0" w:color="auto"/>
            <w:bottom w:val="none" w:sz="0" w:space="0" w:color="auto"/>
            <w:right w:val="none" w:sz="0" w:space="0" w:color="auto"/>
          </w:divBdr>
        </w:div>
      </w:divsChild>
    </w:div>
    <w:div w:id="1659457287">
      <w:bodyDiv w:val="1"/>
      <w:marLeft w:val="0"/>
      <w:marRight w:val="0"/>
      <w:marTop w:val="0"/>
      <w:marBottom w:val="0"/>
      <w:divBdr>
        <w:top w:val="none" w:sz="0" w:space="0" w:color="auto"/>
        <w:left w:val="none" w:sz="0" w:space="0" w:color="auto"/>
        <w:bottom w:val="none" w:sz="0" w:space="0" w:color="auto"/>
        <w:right w:val="none" w:sz="0" w:space="0" w:color="auto"/>
      </w:divBdr>
    </w:div>
    <w:div w:id="1677076426">
      <w:bodyDiv w:val="1"/>
      <w:marLeft w:val="0"/>
      <w:marRight w:val="0"/>
      <w:marTop w:val="0"/>
      <w:marBottom w:val="0"/>
      <w:divBdr>
        <w:top w:val="none" w:sz="0" w:space="0" w:color="auto"/>
        <w:left w:val="none" w:sz="0" w:space="0" w:color="auto"/>
        <w:bottom w:val="none" w:sz="0" w:space="0" w:color="auto"/>
        <w:right w:val="none" w:sz="0" w:space="0" w:color="auto"/>
      </w:divBdr>
      <w:divsChild>
        <w:div w:id="195041301">
          <w:marLeft w:val="547"/>
          <w:marRight w:val="0"/>
          <w:marTop w:val="67"/>
          <w:marBottom w:val="0"/>
          <w:divBdr>
            <w:top w:val="none" w:sz="0" w:space="0" w:color="auto"/>
            <w:left w:val="none" w:sz="0" w:space="0" w:color="auto"/>
            <w:bottom w:val="none" w:sz="0" w:space="0" w:color="auto"/>
            <w:right w:val="none" w:sz="0" w:space="0" w:color="auto"/>
          </w:divBdr>
        </w:div>
      </w:divsChild>
    </w:div>
    <w:div w:id="1697148738">
      <w:bodyDiv w:val="1"/>
      <w:marLeft w:val="0"/>
      <w:marRight w:val="0"/>
      <w:marTop w:val="0"/>
      <w:marBottom w:val="0"/>
      <w:divBdr>
        <w:top w:val="none" w:sz="0" w:space="0" w:color="auto"/>
        <w:left w:val="none" w:sz="0" w:space="0" w:color="auto"/>
        <w:bottom w:val="none" w:sz="0" w:space="0" w:color="auto"/>
        <w:right w:val="none" w:sz="0" w:space="0" w:color="auto"/>
      </w:divBdr>
    </w:div>
    <w:div w:id="1705136384">
      <w:bodyDiv w:val="1"/>
      <w:marLeft w:val="0"/>
      <w:marRight w:val="0"/>
      <w:marTop w:val="0"/>
      <w:marBottom w:val="0"/>
      <w:divBdr>
        <w:top w:val="none" w:sz="0" w:space="0" w:color="auto"/>
        <w:left w:val="none" w:sz="0" w:space="0" w:color="auto"/>
        <w:bottom w:val="none" w:sz="0" w:space="0" w:color="auto"/>
        <w:right w:val="none" w:sz="0" w:space="0" w:color="auto"/>
      </w:divBdr>
      <w:divsChild>
        <w:div w:id="589003597">
          <w:marLeft w:val="547"/>
          <w:marRight w:val="0"/>
          <w:marTop w:val="77"/>
          <w:marBottom w:val="0"/>
          <w:divBdr>
            <w:top w:val="none" w:sz="0" w:space="0" w:color="auto"/>
            <w:left w:val="none" w:sz="0" w:space="0" w:color="auto"/>
            <w:bottom w:val="none" w:sz="0" w:space="0" w:color="auto"/>
            <w:right w:val="none" w:sz="0" w:space="0" w:color="auto"/>
          </w:divBdr>
        </w:div>
      </w:divsChild>
    </w:div>
    <w:div w:id="1715081202">
      <w:bodyDiv w:val="1"/>
      <w:marLeft w:val="0"/>
      <w:marRight w:val="0"/>
      <w:marTop w:val="0"/>
      <w:marBottom w:val="0"/>
      <w:divBdr>
        <w:top w:val="none" w:sz="0" w:space="0" w:color="auto"/>
        <w:left w:val="none" w:sz="0" w:space="0" w:color="auto"/>
        <w:bottom w:val="none" w:sz="0" w:space="0" w:color="auto"/>
        <w:right w:val="none" w:sz="0" w:space="0" w:color="auto"/>
      </w:divBdr>
    </w:div>
    <w:div w:id="1721784561">
      <w:bodyDiv w:val="1"/>
      <w:marLeft w:val="0"/>
      <w:marRight w:val="0"/>
      <w:marTop w:val="0"/>
      <w:marBottom w:val="0"/>
      <w:divBdr>
        <w:top w:val="none" w:sz="0" w:space="0" w:color="auto"/>
        <w:left w:val="none" w:sz="0" w:space="0" w:color="auto"/>
        <w:bottom w:val="none" w:sz="0" w:space="0" w:color="auto"/>
        <w:right w:val="none" w:sz="0" w:space="0" w:color="auto"/>
      </w:divBdr>
      <w:divsChild>
        <w:div w:id="673217294">
          <w:marLeft w:val="547"/>
          <w:marRight w:val="0"/>
          <w:marTop w:val="67"/>
          <w:marBottom w:val="0"/>
          <w:divBdr>
            <w:top w:val="none" w:sz="0" w:space="0" w:color="auto"/>
            <w:left w:val="none" w:sz="0" w:space="0" w:color="auto"/>
            <w:bottom w:val="none" w:sz="0" w:space="0" w:color="auto"/>
            <w:right w:val="none" w:sz="0" w:space="0" w:color="auto"/>
          </w:divBdr>
        </w:div>
      </w:divsChild>
    </w:div>
    <w:div w:id="1758021554">
      <w:bodyDiv w:val="1"/>
      <w:marLeft w:val="0"/>
      <w:marRight w:val="0"/>
      <w:marTop w:val="0"/>
      <w:marBottom w:val="0"/>
      <w:divBdr>
        <w:top w:val="none" w:sz="0" w:space="0" w:color="auto"/>
        <w:left w:val="none" w:sz="0" w:space="0" w:color="auto"/>
        <w:bottom w:val="none" w:sz="0" w:space="0" w:color="auto"/>
        <w:right w:val="none" w:sz="0" w:space="0" w:color="auto"/>
      </w:divBdr>
      <w:divsChild>
        <w:div w:id="294258958">
          <w:marLeft w:val="0"/>
          <w:marRight w:val="0"/>
          <w:marTop w:val="0"/>
          <w:marBottom w:val="0"/>
          <w:divBdr>
            <w:top w:val="none" w:sz="0" w:space="0" w:color="auto"/>
            <w:left w:val="none" w:sz="0" w:space="0" w:color="auto"/>
            <w:bottom w:val="none" w:sz="0" w:space="0" w:color="auto"/>
            <w:right w:val="none" w:sz="0" w:space="0" w:color="auto"/>
          </w:divBdr>
          <w:divsChild>
            <w:div w:id="804084579">
              <w:marLeft w:val="0"/>
              <w:marRight w:val="0"/>
              <w:marTop w:val="0"/>
              <w:marBottom w:val="0"/>
              <w:divBdr>
                <w:top w:val="none" w:sz="0" w:space="0" w:color="auto"/>
                <w:left w:val="none" w:sz="0" w:space="0" w:color="auto"/>
                <w:bottom w:val="none" w:sz="0" w:space="0" w:color="auto"/>
                <w:right w:val="none" w:sz="0" w:space="0" w:color="auto"/>
              </w:divBdr>
              <w:divsChild>
                <w:div w:id="7333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029958">
      <w:bodyDiv w:val="1"/>
      <w:marLeft w:val="0"/>
      <w:marRight w:val="0"/>
      <w:marTop w:val="0"/>
      <w:marBottom w:val="0"/>
      <w:divBdr>
        <w:top w:val="none" w:sz="0" w:space="0" w:color="auto"/>
        <w:left w:val="none" w:sz="0" w:space="0" w:color="auto"/>
        <w:bottom w:val="none" w:sz="0" w:space="0" w:color="auto"/>
        <w:right w:val="none" w:sz="0" w:space="0" w:color="auto"/>
      </w:divBdr>
      <w:divsChild>
        <w:div w:id="1235704104">
          <w:marLeft w:val="547"/>
          <w:marRight w:val="0"/>
          <w:marTop w:val="53"/>
          <w:marBottom w:val="0"/>
          <w:divBdr>
            <w:top w:val="none" w:sz="0" w:space="0" w:color="auto"/>
            <w:left w:val="none" w:sz="0" w:space="0" w:color="auto"/>
            <w:bottom w:val="none" w:sz="0" w:space="0" w:color="auto"/>
            <w:right w:val="none" w:sz="0" w:space="0" w:color="auto"/>
          </w:divBdr>
        </w:div>
      </w:divsChild>
    </w:div>
    <w:div w:id="1799571740">
      <w:bodyDiv w:val="1"/>
      <w:marLeft w:val="0"/>
      <w:marRight w:val="0"/>
      <w:marTop w:val="0"/>
      <w:marBottom w:val="0"/>
      <w:divBdr>
        <w:top w:val="none" w:sz="0" w:space="0" w:color="auto"/>
        <w:left w:val="none" w:sz="0" w:space="0" w:color="auto"/>
        <w:bottom w:val="none" w:sz="0" w:space="0" w:color="auto"/>
        <w:right w:val="none" w:sz="0" w:space="0" w:color="auto"/>
      </w:divBdr>
      <w:divsChild>
        <w:div w:id="1829054112">
          <w:marLeft w:val="446"/>
          <w:marRight w:val="0"/>
          <w:marTop w:val="0"/>
          <w:marBottom w:val="0"/>
          <w:divBdr>
            <w:top w:val="none" w:sz="0" w:space="0" w:color="auto"/>
            <w:left w:val="none" w:sz="0" w:space="0" w:color="auto"/>
            <w:bottom w:val="none" w:sz="0" w:space="0" w:color="auto"/>
            <w:right w:val="none" w:sz="0" w:space="0" w:color="auto"/>
          </w:divBdr>
        </w:div>
        <w:div w:id="2092240037">
          <w:marLeft w:val="446"/>
          <w:marRight w:val="0"/>
          <w:marTop w:val="0"/>
          <w:marBottom w:val="0"/>
          <w:divBdr>
            <w:top w:val="none" w:sz="0" w:space="0" w:color="auto"/>
            <w:left w:val="none" w:sz="0" w:space="0" w:color="auto"/>
            <w:bottom w:val="none" w:sz="0" w:space="0" w:color="auto"/>
            <w:right w:val="none" w:sz="0" w:space="0" w:color="auto"/>
          </w:divBdr>
        </w:div>
      </w:divsChild>
    </w:div>
    <w:div w:id="1814523784">
      <w:bodyDiv w:val="1"/>
      <w:marLeft w:val="0"/>
      <w:marRight w:val="0"/>
      <w:marTop w:val="0"/>
      <w:marBottom w:val="0"/>
      <w:divBdr>
        <w:top w:val="none" w:sz="0" w:space="0" w:color="auto"/>
        <w:left w:val="none" w:sz="0" w:space="0" w:color="auto"/>
        <w:bottom w:val="none" w:sz="0" w:space="0" w:color="auto"/>
        <w:right w:val="none" w:sz="0" w:space="0" w:color="auto"/>
      </w:divBdr>
      <w:divsChild>
        <w:div w:id="1743403311">
          <w:marLeft w:val="547"/>
          <w:marRight w:val="0"/>
          <w:marTop w:val="58"/>
          <w:marBottom w:val="0"/>
          <w:divBdr>
            <w:top w:val="none" w:sz="0" w:space="0" w:color="auto"/>
            <w:left w:val="none" w:sz="0" w:space="0" w:color="auto"/>
            <w:bottom w:val="none" w:sz="0" w:space="0" w:color="auto"/>
            <w:right w:val="none" w:sz="0" w:space="0" w:color="auto"/>
          </w:divBdr>
        </w:div>
      </w:divsChild>
    </w:div>
    <w:div w:id="1826820089">
      <w:bodyDiv w:val="1"/>
      <w:marLeft w:val="0"/>
      <w:marRight w:val="0"/>
      <w:marTop w:val="0"/>
      <w:marBottom w:val="0"/>
      <w:divBdr>
        <w:top w:val="none" w:sz="0" w:space="0" w:color="auto"/>
        <w:left w:val="none" w:sz="0" w:space="0" w:color="auto"/>
        <w:bottom w:val="none" w:sz="0" w:space="0" w:color="auto"/>
        <w:right w:val="none" w:sz="0" w:space="0" w:color="auto"/>
      </w:divBdr>
      <w:divsChild>
        <w:div w:id="56786783">
          <w:marLeft w:val="547"/>
          <w:marRight w:val="0"/>
          <w:marTop w:val="48"/>
          <w:marBottom w:val="0"/>
          <w:divBdr>
            <w:top w:val="none" w:sz="0" w:space="0" w:color="auto"/>
            <w:left w:val="none" w:sz="0" w:space="0" w:color="auto"/>
            <w:bottom w:val="none" w:sz="0" w:space="0" w:color="auto"/>
            <w:right w:val="none" w:sz="0" w:space="0" w:color="auto"/>
          </w:divBdr>
        </w:div>
        <w:div w:id="61997667">
          <w:marLeft w:val="547"/>
          <w:marRight w:val="0"/>
          <w:marTop w:val="48"/>
          <w:marBottom w:val="0"/>
          <w:divBdr>
            <w:top w:val="none" w:sz="0" w:space="0" w:color="auto"/>
            <w:left w:val="none" w:sz="0" w:space="0" w:color="auto"/>
            <w:bottom w:val="none" w:sz="0" w:space="0" w:color="auto"/>
            <w:right w:val="none" w:sz="0" w:space="0" w:color="auto"/>
          </w:divBdr>
        </w:div>
        <w:div w:id="120735647">
          <w:marLeft w:val="547"/>
          <w:marRight w:val="0"/>
          <w:marTop w:val="48"/>
          <w:marBottom w:val="0"/>
          <w:divBdr>
            <w:top w:val="none" w:sz="0" w:space="0" w:color="auto"/>
            <w:left w:val="none" w:sz="0" w:space="0" w:color="auto"/>
            <w:bottom w:val="none" w:sz="0" w:space="0" w:color="auto"/>
            <w:right w:val="none" w:sz="0" w:space="0" w:color="auto"/>
          </w:divBdr>
        </w:div>
        <w:div w:id="141779352">
          <w:marLeft w:val="547"/>
          <w:marRight w:val="0"/>
          <w:marTop w:val="48"/>
          <w:marBottom w:val="0"/>
          <w:divBdr>
            <w:top w:val="none" w:sz="0" w:space="0" w:color="auto"/>
            <w:left w:val="none" w:sz="0" w:space="0" w:color="auto"/>
            <w:bottom w:val="none" w:sz="0" w:space="0" w:color="auto"/>
            <w:right w:val="none" w:sz="0" w:space="0" w:color="auto"/>
          </w:divBdr>
        </w:div>
        <w:div w:id="156575210">
          <w:marLeft w:val="547"/>
          <w:marRight w:val="0"/>
          <w:marTop w:val="48"/>
          <w:marBottom w:val="0"/>
          <w:divBdr>
            <w:top w:val="none" w:sz="0" w:space="0" w:color="auto"/>
            <w:left w:val="none" w:sz="0" w:space="0" w:color="auto"/>
            <w:bottom w:val="none" w:sz="0" w:space="0" w:color="auto"/>
            <w:right w:val="none" w:sz="0" w:space="0" w:color="auto"/>
          </w:divBdr>
        </w:div>
        <w:div w:id="179007748">
          <w:marLeft w:val="547"/>
          <w:marRight w:val="0"/>
          <w:marTop w:val="48"/>
          <w:marBottom w:val="0"/>
          <w:divBdr>
            <w:top w:val="none" w:sz="0" w:space="0" w:color="auto"/>
            <w:left w:val="none" w:sz="0" w:space="0" w:color="auto"/>
            <w:bottom w:val="none" w:sz="0" w:space="0" w:color="auto"/>
            <w:right w:val="none" w:sz="0" w:space="0" w:color="auto"/>
          </w:divBdr>
        </w:div>
        <w:div w:id="301473184">
          <w:marLeft w:val="547"/>
          <w:marRight w:val="0"/>
          <w:marTop w:val="48"/>
          <w:marBottom w:val="0"/>
          <w:divBdr>
            <w:top w:val="none" w:sz="0" w:space="0" w:color="auto"/>
            <w:left w:val="none" w:sz="0" w:space="0" w:color="auto"/>
            <w:bottom w:val="none" w:sz="0" w:space="0" w:color="auto"/>
            <w:right w:val="none" w:sz="0" w:space="0" w:color="auto"/>
          </w:divBdr>
        </w:div>
        <w:div w:id="304243008">
          <w:marLeft w:val="547"/>
          <w:marRight w:val="0"/>
          <w:marTop w:val="48"/>
          <w:marBottom w:val="0"/>
          <w:divBdr>
            <w:top w:val="none" w:sz="0" w:space="0" w:color="auto"/>
            <w:left w:val="none" w:sz="0" w:space="0" w:color="auto"/>
            <w:bottom w:val="none" w:sz="0" w:space="0" w:color="auto"/>
            <w:right w:val="none" w:sz="0" w:space="0" w:color="auto"/>
          </w:divBdr>
        </w:div>
        <w:div w:id="379477984">
          <w:marLeft w:val="547"/>
          <w:marRight w:val="0"/>
          <w:marTop w:val="48"/>
          <w:marBottom w:val="0"/>
          <w:divBdr>
            <w:top w:val="none" w:sz="0" w:space="0" w:color="auto"/>
            <w:left w:val="none" w:sz="0" w:space="0" w:color="auto"/>
            <w:bottom w:val="none" w:sz="0" w:space="0" w:color="auto"/>
            <w:right w:val="none" w:sz="0" w:space="0" w:color="auto"/>
          </w:divBdr>
        </w:div>
        <w:div w:id="386953173">
          <w:marLeft w:val="547"/>
          <w:marRight w:val="0"/>
          <w:marTop w:val="48"/>
          <w:marBottom w:val="0"/>
          <w:divBdr>
            <w:top w:val="none" w:sz="0" w:space="0" w:color="auto"/>
            <w:left w:val="none" w:sz="0" w:space="0" w:color="auto"/>
            <w:bottom w:val="none" w:sz="0" w:space="0" w:color="auto"/>
            <w:right w:val="none" w:sz="0" w:space="0" w:color="auto"/>
          </w:divBdr>
        </w:div>
        <w:div w:id="395395159">
          <w:marLeft w:val="547"/>
          <w:marRight w:val="0"/>
          <w:marTop w:val="48"/>
          <w:marBottom w:val="0"/>
          <w:divBdr>
            <w:top w:val="none" w:sz="0" w:space="0" w:color="auto"/>
            <w:left w:val="none" w:sz="0" w:space="0" w:color="auto"/>
            <w:bottom w:val="none" w:sz="0" w:space="0" w:color="auto"/>
            <w:right w:val="none" w:sz="0" w:space="0" w:color="auto"/>
          </w:divBdr>
        </w:div>
        <w:div w:id="397945282">
          <w:marLeft w:val="547"/>
          <w:marRight w:val="0"/>
          <w:marTop w:val="48"/>
          <w:marBottom w:val="0"/>
          <w:divBdr>
            <w:top w:val="none" w:sz="0" w:space="0" w:color="auto"/>
            <w:left w:val="none" w:sz="0" w:space="0" w:color="auto"/>
            <w:bottom w:val="none" w:sz="0" w:space="0" w:color="auto"/>
            <w:right w:val="none" w:sz="0" w:space="0" w:color="auto"/>
          </w:divBdr>
        </w:div>
        <w:div w:id="464280453">
          <w:marLeft w:val="547"/>
          <w:marRight w:val="0"/>
          <w:marTop w:val="48"/>
          <w:marBottom w:val="0"/>
          <w:divBdr>
            <w:top w:val="none" w:sz="0" w:space="0" w:color="auto"/>
            <w:left w:val="none" w:sz="0" w:space="0" w:color="auto"/>
            <w:bottom w:val="none" w:sz="0" w:space="0" w:color="auto"/>
            <w:right w:val="none" w:sz="0" w:space="0" w:color="auto"/>
          </w:divBdr>
        </w:div>
        <w:div w:id="551624466">
          <w:marLeft w:val="547"/>
          <w:marRight w:val="0"/>
          <w:marTop w:val="48"/>
          <w:marBottom w:val="0"/>
          <w:divBdr>
            <w:top w:val="none" w:sz="0" w:space="0" w:color="auto"/>
            <w:left w:val="none" w:sz="0" w:space="0" w:color="auto"/>
            <w:bottom w:val="none" w:sz="0" w:space="0" w:color="auto"/>
            <w:right w:val="none" w:sz="0" w:space="0" w:color="auto"/>
          </w:divBdr>
        </w:div>
        <w:div w:id="571355556">
          <w:marLeft w:val="547"/>
          <w:marRight w:val="0"/>
          <w:marTop w:val="48"/>
          <w:marBottom w:val="0"/>
          <w:divBdr>
            <w:top w:val="none" w:sz="0" w:space="0" w:color="auto"/>
            <w:left w:val="none" w:sz="0" w:space="0" w:color="auto"/>
            <w:bottom w:val="none" w:sz="0" w:space="0" w:color="auto"/>
            <w:right w:val="none" w:sz="0" w:space="0" w:color="auto"/>
          </w:divBdr>
        </w:div>
        <w:div w:id="693192074">
          <w:marLeft w:val="547"/>
          <w:marRight w:val="0"/>
          <w:marTop w:val="48"/>
          <w:marBottom w:val="0"/>
          <w:divBdr>
            <w:top w:val="none" w:sz="0" w:space="0" w:color="auto"/>
            <w:left w:val="none" w:sz="0" w:space="0" w:color="auto"/>
            <w:bottom w:val="none" w:sz="0" w:space="0" w:color="auto"/>
            <w:right w:val="none" w:sz="0" w:space="0" w:color="auto"/>
          </w:divBdr>
        </w:div>
        <w:div w:id="1118642772">
          <w:marLeft w:val="547"/>
          <w:marRight w:val="0"/>
          <w:marTop w:val="48"/>
          <w:marBottom w:val="0"/>
          <w:divBdr>
            <w:top w:val="none" w:sz="0" w:space="0" w:color="auto"/>
            <w:left w:val="none" w:sz="0" w:space="0" w:color="auto"/>
            <w:bottom w:val="none" w:sz="0" w:space="0" w:color="auto"/>
            <w:right w:val="none" w:sz="0" w:space="0" w:color="auto"/>
          </w:divBdr>
        </w:div>
        <w:div w:id="1277372342">
          <w:marLeft w:val="547"/>
          <w:marRight w:val="0"/>
          <w:marTop w:val="48"/>
          <w:marBottom w:val="0"/>
          <w:divBdr>
            <w:top w:val="none" w:sz="0" w:space="0" w:color="auto"/>
            <w:left w:val="none" w:sz="0" w:space="0" w:color="auto"/>
            <w:bottom w:val="none" w:sz="0" w:space="0" w:color="auto"/>
            <w:right w:val="none" w:sz="0" w:space="0" w:color="auto"/>
          </w:divBdr>
        </w:div>
        <w:div w:id="1332025574">
          <w:marLeft w:val="547"/>
          <w:marRight w:val="0"/>
          <w:marTop w:val="48"/>
          <w:marBottom w:val="0"/>
          <w:divBdr>
            <w:top w:val="none" w:sz="0" w:space="0" w:color="auto"/>
            <w:left w:val="none" w:sz="0" w:space="0" w:color="auto"/>
            <w:bottom w:val="none" w:sz="0" w:space="0" w:color="auto"/>
            <w:right w:val="none" w:sz="0" w:space="0" w:color="auto"/>
          </w:divBdr>
        </w:div>
        <w:div w:id="1459254462">
          <w:marLeft w:val="547"/>
          <w:marRight w:val="0"/>
          <w:marTop w:val="48"/>
          <w:marBottom w:val="0"/>
          <w:divBdr>
            <w:top w:val="none" w:sz="0" w:space="0" w:color="auto"/>
            <w:left w:val="none" w:sz="0" w:space="0" w:color="auto"/>
            <w:bottom w:val="none" w:sz="0" w:space="0" w:color="auto"/>
            <w:right w:val="none" w:sz="0" w:space="0" w:color="auto"/>
          </w:divBdr>
        </w:div>
        <w:div w:id="1585337816">
          <w:marLeft w:val="547"/>
          <w:marRight w:val="0"/>
          <w:marTop w:val="48"/>
          <w:marBottom w:val="0"/>
          <w:divBdr>
            <w:top w:val="none" w:sz="0" w:space="0" w:color="auto"/>
            <w:left w:val="none" w:sz="0" w:space="0" w:color="auto"/>
            <w:bottom w:val="none" w:sz="0" w:space="0" w:color="auto"/>
            <w:right w:val="none" w:sz="0" w:space="0" w:color="auto"/>
          </w:divBdr>
        </w:div>
        <w:div w:id="1610163949">
          <w:marLeft w:val="547"/>
          <w:marRight w:val="0"/>
          <w:marTop w:val="48"/>
          <w:marBottom w:val="0"/>
          <w:divBdr>
            <w:top w:val="none" w:sz="0" w:space="0" w:color="auto"/>
            <w:left w:val="none" w:sz="0" w:space="0" w:color="auto"/>
            <w:bottom w:val="none" w:sz="0" w:space="0" w:color="auto"/>
            <w:right w:val="none" w:sz="0" w:space="0" w:color="auto"/>
          </w:divBdr>
        </w:div>
        <w:div w:id="1756127728">
          <w:marLeft w:val="547"/>
          <w:marRight w:val="0"/>
          <w:marTop w:val="48"/>
          <w:marBottom w:val="0"/>
          <w:divBdr>
            <w:top w:val="none" w:sz="0" w:space="0" w:color="auto"/>
            <w:left w:val="none" w:sz="0" w:space="0" w:color="auto"/>
            <w:bottom w:val="none" w:sz="0" w:space="0" w:color="auto"/>
            <w:right w:val="none" w:sz="0" w:space="0" w:color="auto"/>
          </w:divBdr>
        </w:div>
        <w:div w:id="1774982559">
          <w:marLeft w:val="547"/>
          <w:marRight w:val="0"/>
          <w:marTop w:val="48"/>
          <w:marBottom w:val="0"/>
          <w:divBdr>
            <w:top w:val="none" w:sz="0" w:space="0" w:color="auto"/>
            <w:left w:val="none" w:sz="0" w:space="0" w:color="auto"/>
            <w:bottom w:val="none" w:sz="0" w:space="0" w:color="auto"/>
            <w:right w:val="none" w:sz="0" w:space="0" w:color="auto"/>
          </w:divBdr>
        </w:div>
        <w:div w:id="1845625585">
          <w:marLeft w:val="547"/>
          <w:marRight w:val="0"/>
          <w:marTop w:val="48"/>
          <w:marBottom w:val="0"/>
          <w:divBdr>
            <w:top w:val="none" w:sz="0" w:space="0" w:color="auto"/>
            <w:left w:val="none" w:sz="0" w:space="0" w:color="auto"/>
            <w:bottom w:val="none" w:sz="0" w:space="0" w:color="auto"/>
            <w:right w:val="none" w:sz="0" w:space="0" w:color="auto"/>
          </w:divBdr>
        </w:div>
        <w:div w:id="1909727470">
          <w:marLeft w:val="547"/>
          <w:marRight w:val="0"/>
          <w:marTop w:val="48"/>
          <w:marBottom w:val="0"/>
          <w:divBdr>
            <w:top w:val="none" w:sz="0" w:space="0" w:color="auto"/>
            <w:left w:val="none" w:sz="0" w:space="0" w:color="auto"/>
            <w:bottom w:val="none" w:sz="0" w:space="0" w:color="auto"/>
            <w:right w:val="none" w:sz="0" w:space="0" w:color="auto"/>
          </w:divBdr>
        </w:div>
        <w:div w:id="1916746811">
          <w:marLeft w:val="547"/>
          <w:marRight w:val="0"/>
          <w:marTop w:val="48"/>
          <w:marBottom w:val="0"/>
          <w:divBdr>
            <w:top w:val="none" w:sz="0" w:space="0" w:color="auto"/>
            <w:left w:val="none" w:sz="0" w:space="0" w:color="auto"/>
            <w:bottom w:val="none" w:sz="0" w:space="0" w:color="auto"/>
            <w:right w:val="none" w:sz="0" w:space="0" w:color="auto"/>
          </w:divBdr>
        </w:div>
        <w:div w:id="1960407407">
          <w:marLeft w:val="547"/>
          <w:marRight w:val="0"/>
          <w:marTop w:val="48"/>
          <w:marBottom w:val="0"/>
          <w:divBdr>
            <w:top w:val="none" w:sz="0" w:space="0" w:color="auto"/>
            <w:left w:val="none" w:sz="0" w:space="0" w:color="auto"/>
            <w:bottom w:val="none" w:sz="0" w:space="0" w:color="auto"/>
            <w:right w:val="none" w:sz="0" w:space="0" w:color="auto"/>
          </w:divBdr>
        </w:div>
        <w:div w:id="2036272393">
          <w:marLeft w:val="547"/>
          <w:marRight w:val="0"/>
          <w:marTop w:val="48"/>
          <w:marBottom w:val="0"/>
          <w:divBdr>
            <w:top w:val="none" w:sz="0" w:space="0" w:color="auto"/>
            <w:left w:val="none" w:sz="0" w:space="0" w:color="auto"/>
            <w:bottom w:val="none" w:sz="0" w:space="0" w:color="auto"/>
            <w:right w:val="none" w:sz="0" w:space="0" w:color="auto"/>
          </w:divBdr>
        </w:div>
        <w:div w:id="2091385335">
          <w:marLeft w:val="547"/>
          <w:marRight w:val="0"/>
          <w:marTop w:val="48"/>
          <w:marBottom w:val="0"/>
          <w:divBdr>
            <w:top w:val="none" w:sz="0" w:space="0" w:color="auto"/>
            <w:left w:val="none" w:sz="0" w:space="0" w:color="auto"/>
            <w:bottom w:val="none" w:sz="0" w:space="0" w:color="auto"/>
            <w:right w:val="none" w:sz="0" w:space="0" w:color="auto"/>
          </w:divBdr>
        </w:div>
      </w:divsChild>
    </w:div>
    <w:div w:id="1833177737">
      <w:bodyDiv w:val="1"/>
      <w:marLeft w:val="0"/>
      <w:marRight w:val="0"/>
      <w:marTop w:val="0"/>
      <w:marBottom w:val="0"/>
      <w:divBdr>
        <w:top w:val="none" w:sz="0" w:space="0" w:color="auto"/>
        <w:left w:val="none" w:sz="0" w:space="0" w:color="auto"/>
        <w:bottom w:val="none" w:sz="0" w:space="0" w:color="auto"/>
        <w:right w:val="none" w:sz="0" w:space="0" w:color="auto"/>
      </w:divBdr>
    </w:div>
    <w:div w:id="1849709660">
      <w:bodyDiv w:val="1"/>
      <w:marLeft w:val="0"/>
      <w:marRight w:val="0"/>
      <w:marTop w:val="0"/>
      <w:marBottom w:val="0"/>
      <w:divBdr>
        <w:top w:val="none" w:sz="0" w:space="0" w:color="auto"/>
        <w:left w:val="none" w:sz="0" w:space="0" w:color="auto"/>
        <w:bottom w:val="none" w:sz="0" w:space="0" w:color="auto"/>
        <w:right w:val="none" w:sz="0" w:space="0" w:color="auto"/>
      </w:divBdr>
      <w:divsChild>
        <w:div w:id="5258780">
          <w:marLeft w:val="0"/>
          <w:marRight w:val="0"/>
          <w:marTop w:val="0"/>
          <w:marBottom w:val="0"/>
          <w:divBdr>
            <w:top w:val="none" w:sz="0" w:space="0" w:color="auto"/>
            <w:left w:val="none" w:sz="0" w:space="0" w:color="auto"/>
            <w:bottom w:val="none" w:sz="0" w:space="0" w:color="auto"/>
            <w:right w:val="none" w:sz="0" w:space="0" w:color="auto"/>
          </w:divBdr>
        </w:div>
        <w:div w:id="89472960">
          <w:marLeft w:val="0"/>
          <w:marRight w:val="0"/>
          <w:marTop w:val="0"/>
          <w:marBottom w:val="0"/>
          <w:divBdr>
            <w:top w:val="none" w:sz="0" w:space="0" w:color="auto"/>
            <w:left w:val="none" w:sz="0" w:space="0" w:color="auto"/>
            <w:bottom w:val="none" w:sz="0" w:space="0" w:color="auto"/>
            <w:right w:val="none" w:sz="0" w:space="0" w:color="auto"/>
          </w:divBdr>
        </w:div>
        <w:div w:id="107282541">
          <w:marLeft w:val="0"/>
          <w:marRight w:val="0"/>
          <w:marTop w:val="0"/>
          <w:marBottom w:val="0"/>
          <w:divBdr>
            <w:top w:val="none" w:sz="0" w:space="0" w:color="auto"/>
            <w:left w:val="none" w:sz="0" w:space="0" w:color="auto"/>
            <w:bottom w:val="none" w:sz="0" w:space="0" w:color="auto"/>
            <w:right w:val="none" w:sz="0" w:space="0" w:color="auto"/>
          </w:divBdr>
        </w:div>
        <w:div w:id="176117088">
          <w:marLeft w:val="0"/>
          <w:marRight w:val="0"/>
          <w:marTop w:val="0"/>
          <w:marBottom w:val="0"/>
          <w:divBdr>
            <w:top w:val="none" w:sz="0" w:space="0" w:color="auto"/>
            <w:left w:val="none" w:sz="0" w:space="0" w:color="auto"/>
            <w:bottom w:val="none" w:sz="0" w:space="0" w:color="auto"/>
            <w:right w:val="none" w:sz="0" w:space="0" w:color="auto"/>
          </w:divBdr>
        </w:div>
        <w:div w:id="189690820">
          <w:marLeft w:val="0"/>
          <w:marRight w:val="0"/>
          <w:marTop w:val="0"/>
          <w:marBottom w:val="0"/>
          <w:divBdr>
            <w:top w:val="none" w:sz="0" w:space="0" w:color="auto"/>
            <w:left w:val="none" w:sz="0" w:space="0" w:color="auto"/>
            <w:bottom w:val="none" w:sz="0" w:space="0" w:color="auto"/>
            <w:right w:val="none" w:sz="0" w:space="0" w:color="auto"/>
          </w:divBdr>
        </w:div>
        <w:div w:id="208033050">
          <w:marLeft w:val="0"/>
          <w:marRight w:val="0"/>
          <w:marTop w:val="0"/>
          <w:marBottom w:val="0"/>
          <w:divBdr>
            <w:top w:val="none" w:sz="0" w:space="0" w:color="auto"/>
            <w:left w:val="none" w:sz="0" w:space="0" w:color="auto"/>
            <w:bottom w:val="none" w:sz="0" w:space="0" w:color="auto"/>
            <w:right w:val="none" w:sz="0" w:space="0" w:color="auto"/>
          </w:divBdr>
        </w:div>
        <w:div w:id="225455016">
          <w:marLeft w:val="0"/>
          <w:marRight w:val="0"/>
          <w:marTop w:val="0"/>
          <w:marBottom w:val="0"/>
          <w:divBdr>
            <w:top w:val="none" w:sz="0" w:space="0" w:color="auto"/>
            <w:left w:val="none" w:sz="0" w:space="0" w:color="auto"/>
            <w:bottom w:val="none" w:sz="0" w:space="0" w:color="auto"/>
            <w:right w:val="none" w:sz="0" w:space="0" w:color="auto"/>
          </w:divBdr>
        </w:div>
        <w:div w:id="282461671">
          <w:marLeft w:val="0"/>
          <w:marRight w:val="0"/>
          <w:marTop w:val="0"/>
          <w:marBottom w:val="0"/>
          <w:divBdr>
            <w:top w:val="none" w:sz="0" w:space="0" w:color="auto"/>
            <w:left w:val="none" w:sz="0" w:space="0" w:color="auto"/>
            <w:bottom w:val="none" w:sz="0" w:space="0" w:color="auto"/>
            <w:right w:val="none" w:sz="0" w:space="0" w:color="auto"/>
          </w:divBdr>
        </w:div>
        <w:div w:id="321588675">
          <w:marLeft w:val="0"/>
          <w:marRight w:val="0"/>
          <w:marTop w:val="0"/>
          <w:marBottom w:val="0"/>
          <w:divBdr>
            <w:top w:val="none" w:sz="0" w:space="0" w:color="auto"/>
            <w:left w:val="none" w:sz="0" w:space="0" w:color="auto"/>
            <w:bottom w:val="none" w:sz="0" w:space="0" w:color="auto"/>
            <w:right w:val="none" w:sz="0" w:space="0" w:color="auto"/>
          </w:divBdr>
        </w:div>
        <w:div w:id="423571108">
          <w:marLeft w:val="0"/>
          <w:marRight w:val="0"/>
          <w:marTop w:val="0"/>
          <w:marBottom w:val="0"/>
          <w:divBdr>
            <w:top w:val="none" w:sz="0" w:space="0" w:color="auto"/>
            <w:left w:val="none" w:sz="0" w:space="0" w:color="auto"/>
            <w:bottom w:val="none" w:sz="0" w:space="0" w:color="auto"/>
            <w:right w:val="none" w:sz="0" w:space="0" w:color="auto"/>
          </w:divBdr>
        </w:div>
        <w:div w:id="442193342">
          <w:marLeft w:val="0"/>
          <w:marRight w:val="0"/>
          <w:marTop w:val="0"/>
          <w:marBottom w:val="0"/>
          <w:divBdr>
            <w:top w:val="none" w:sz="0" w:space="0" w:color="auto"/>
            <w:left w:val="none" w:sz="0" w:space="0" w:color="auto"/>
            <w:bottom w:val="none" w:sz="0" w:space="0" w:color="auto"/>
            <w:right w:val="none" w:sz="0" w:space="0" w:color="auto"/>
          </w:divBdr>
        </w:div>
        <w:div w:id="557127485">
          <w:marLeft w:val="0"/>
          <w:marRight w:val="0"/>
          <w:marTop w:val="0"/>
          <w:marBottom w:val="0"/>
          <w:divBdr>
            <w:top w:val="none" w:sz="0" w:space="0" w:color="auto"/>
            <w:left w:val="none" w:sz="0" w:space="0" w:color="auto"/>
            <w:bottom w:val="none" w:sz="0" w:space="0" w:color="auto"/>
            <w:right w:val="none" w:sz="0" w:space="0" w:color="auto"/>
          </w:divBdr>
        </w:div>
        <w:div w:id="561327429">
          <w:marLeft w:val="0"/>
          <w:marRight w:val="0"/>
          <w:marTop w:val="0"/>
          <w:marBottom w:val="0"/>
          <w:divBdr>
            <w:top w:val="none" w:sz="0" w:space="0" w:color="auto"/>
            <w:left w:val="none" w:sz="0" w:space="0" w:color="auto"/>
            <w:bottom w:val="none" w:sz="0" w:space="0" w:color="auto"/>
            <w:right w:val="none" w:sz="0" w:space="0" w:color="auto"/>
          </w:divBdr>
        </w:div>
        <w:div w:id="563176824">
          <w:marLeft w:val="0"/>
          <w:marRight w:val="0"/>
          <w:marTop w:val="0"/>
          <w:marBottom w:val="0"/>
          <w:divBdr>
            <w:top w:val="none" w:sz="0" w:space="0" w:color="auto"/>
            <w:left w:val="none" w:sz="0" w:space="0" w:color="auto"/>
            <w:bottom w:val="none" w:sz="0" w:space="0" w:color="auto"/>
            <w:right w:val="none" w:sz="0" w:space="0" w:color="auto"/>
          </w:divBdr>
        </w:div>
        <w:div w:id="615060572">
          <w:marLeft w:val="0"/>
          <w:marRight w:val="0"/>
          <w:marTop w:val="0"/>
          <w:marBottom w:val="0"/>
          <w:divBdr>
            <w:top w:val="none" w:sz="0" w:space="0" w:color="auto"/>
            <w:left w:val="none" w:sz="0" w:space="0" w:color="auto"/>
            <w:bottom w:val="none" w:sz="0" w:space="0" w:color="auto"/>
            <w:right w:val="none" w:sz="0" w:space="0" w:color="auto"/>
          </w:divBdr>
        </w:div>
        <w:div w:id="627781543">
          <w:marLeft w:val="0"/>
          <w:marRight w:val="0"/>
          <w:marTop w:val="0"/>
          <w:marBottom w:val="0"/>
          <w:divBdr>
            <w:top w:val="none" w:sz="0" w:space="0" w:color="auto"/>
            <w:left w:val="none" w:sz="0" w:space="0" w:color="auto"/>
            <w:bottom w:val="none" w:sz="0" w:space="0" w:color="auto"/>
            <w:right w:val="none" w:sz="0" w:space="0" w:color="auto"/>
          </w:divBdr>
        </w:div>
        <w:div w:id="665478403">
          <w:marLeft w:val="0"/>
          <w:marRight w:val="0"/>
          <w:marTop w:val="0"/>
          <w:marBottom w:val="0"/>
          <w:divBdr>
            <w:top w:val="none" w:sz="0" w:space="0" w:color="auto"/>
            <w:left w:val="none" w:sz="0" w:space="0" w:color="auto"/>
            <w:bottom w:val="none" w:sz="0" w:space="0" w:color="auto"/>
            <w:right w:val="none" w:sz="0" w:space="0" w:color="auto"/>
          </w:divBdr>
        </w:div>
        <w:div w:id="739594545">
          <w:marLeft w:val="0"/>
          <w:marRight w:val="0"/>
          <w:marTop w:val="0"/>
          <w:marBottom w:val="0"/>
          <w:divBdr>
            <w:top w:val="none" w:sz="0" w:space="0" w:color="auto"/>
            <w:left w:val="none" w:sz="0" w:space="0" w:color="auto"/>
            <w:bottom w:val="none" w:sz="0" w:space="0" w:color="auto"/>
            <w:right w:val="none" w:sz="0" w:space="0" w:color="auto"/>
          </w:divBdr>
        </w:div>
        <w:div w:id="877468121">
          <w:marLeft w:val="0"/>
          <w:marRight w:val="0"/>
          <w:marTop w:val="0"/>
          <w:marBottom w:val="0"/>
          <w:divBdr>
            <w:top w:val="none" w:sz="0" w:space="0" w:color="auto"/>
            <w:left w:val="none" w:sz="0" w:space="0" w:color="auto"/>
            <w:bottom w:val="none" w:sz="0" w:space="0" w:color="auto"/>
            <w:right w:val="none" w:sz="0" w:space="0" w:color="auto"/>
          </w:divBdr>
        </w:div>
        <w:div w:id="930699326">
          <w:marLeft w:val="0"/>
          <w:marRight w:val="0"/>
          <w:marTop w:val="0"/>
          <w:marBottom w:val="0"/>
          <w:divBdr>
            <w:top w:val="none" w:sz="0" w:space="0" w:color="auto"/>
            <w:left w:val="none" w:sz="0" w:space="0" w:color="auto"/>
            <w:bottom w:val="none" w:sz="0" w:space="0" w:color="auto"/>
            <w:right w:val="none" w:sz="0" w:space="0" w:color="auto"/>
          </w:divBdr>
        </w:div>
        <w:div w:id="985469748">
          <w:marLeft w:val="0"/>
          <w:marRight w:val="0"/>
          <w:marTop w:val="0"/>
          <w:marBottom w:val="0"/>
          <w:divBdr>
            <w:top w:val="none" w:sz="0" w:space="0" w:color="auto"/>
            <w:left w:val="none" w:sz="0" w:space="0" w:color="auto"/>
            <w:bottom w:val="none" w:sz="0" w:space="0" w:color="auto"/>
            <w:right w:val="none" w:sz="0" w:space="0" w:color="auto"/>
          </w:divBdr>
        </w:div>
        <w:div w:id="1038506739">
          <w:marLeft w:val="0"/>
          <w:marRight w:val="0"/>
          <w:marTop w:val="0"/>
          <w:marBottom w:val="0"/>
          <w:divBdr>
            <w:top w:val="none" w:sz="0" w:space="0" w:color="auto"/>
            <w:left w:val="none" w:sz="0" w:space="0" w:color="auto"/>
            <w:bottom w:val="none" w:sz="0" w:space="0" w:color="auto"/>
            <w:right w:val="none" w:sz="0" w:space="0" w:color="auto"/>
          </w:divBdr>
        </w:div>
        <w:div w:id="1139107376">
          <w:marLeft w:val="0"/>
          <w:marRight w:val="0"/>
          <w:marTop w:val="0"/>
          <w:marBottom w:val="0"/>
          <w:divBdr>
            <w:top w:val="none" w:sz="0" w:space="0" w:color="auto"/>
            <w:left w:val="none" w:sz="0" w:space="0" w:color="auto"/>
            <w:bottom w:val="none" w:sz="0" w:space="0" w:color="auto"/>
            <w:right w:val="none" w:sz="0" w:space="0" w:color="auto"/>
          </w:divBdr>
        </w:div>
        <w:div w:id="1159226277">
          <w:marLeft w:val="0"/>
          <w:marRight w:val="0"/>
          <w:marTop w:val="0"/>
          <w:marBottom w:val="0"/>
          <w:divBdr>
            <w:top w:val="none" w:sz="0" w:space="0" w:color="auto"/>
            <w:left w:val="none" w:sz="0" w:space="0" w:color="auto"/>
            <w:bottom w:val="none" w:sz="0" w:space="0" w:color="auto"/>
            <w:right w:val="none" w:sz="0" w:space="0" w:color="auto"/>
          </w:divBdr>
        </w:div>
        <w:div w:id="1169562956">
          <w:marLeft w:val="0"/>
          <w:marRight w:val="0"/>
          <w:marTop w:val="0"/>
          <w:marBottom w:val="0"/>
          <w:divBdr>
            <w:top w:val="none" w:sz="0" w:space="0" w:color="auto"/>
            <w:left w:val="none" w:sz="0" w:space="0" w:color="auto"/>
            <w:bottom w:val="none" w:sz="0" w:space="0" w:color="auto"/>
            <w:right w:val="none" w:sz="0" w:space="0" w:color="auto"/>
          </w:divBdr>
        </w:div>
        <w:div w:id="1266766156">
          <w:marLeft w:val="0"/>
          <w:marRight w:val="0"/>
          <w:marTop w:val="0"/>
          <w:marBottom w:val="0"/>
          <w:divBdr>
            <w:top w:val="none" w:sz="0" w:space="0" w:color="auto"/>
            <w:left w:val="none" w:sz="0" w:space="0" w:color="auto"/>
            <w:bottom w:val="none" w:sz="0" w:space="0" w:color="auto"/>
            <w:right w:val="none" w:sz="0" w:space="0" w:color="auto"/>
          </w:divBdr>
        </w:div>
        <w:div w:id="1272325124">
          <w:marLeft w:val="0"/>
          <w:marRight w:val="0"/>
          <w:marTop w:val="0"/>
          <w:marBottom w:val="0"/>
          <w:divBdr>
            <w:top w:val="none" w:sz="0" w:space="0" w:color="auto"/>
            <w:left w:val="none" w:sz="0" w:space="0" w:color="auto"/>
            <w:bottom w:val="none" w:sz="0" w:space="0" w:color="auto"/>
            <w:right w:val="none" w:sz="0" w:space="0" w:color="auto"/>
          </w:divBdr>
        </w:div>
        <w:div w:id="1296983748">
          <w:marLeft w:val="0"/>
          <w:marRight w:val="0"/>
          <w:marTop w:val="0"/>
          <w:marBottom w:val="0"/>
          <w:divBdr>
            <w:top w:val="none" w:sz="0" w:space="0" w:color="auto"/>
            <w:left w:val="none" w:sz="0" w:space="0" w:color="auto"/>
            <w:bottom w:val="none" w:sz="0" w:space="0" w:color="auto"/>
            <w:right w:val="none" w:sz="0" w:space="0" w:color="auto"/>
          </w:divBdr>
        </w:div>
        <w:div w:id="1299915552">
          <w:marLeft w:val="0"/>
          <w:marRight w:val="0"/>
          <w:marTop w:val="0"/>
          <w:marBottom w:val="0"/>
          <w:divBdr>
            <w:top w:val="none" w:sz="0" w:space="0" w:color="auto"/>
            <w:left w:val="none" w:sz="0" w:space="0" w:color="auto"/>
            <w:bottom w:val="none" w:sz="0" w:space="0" w:color="auto"/>
            <w:right w:val="none" w:sz="0" w:space="0" w:color="auto"/>
          </w:divBdr>
        </w:div>
        <w:div w:id="1300958895">
          <w:marLeft w:val="0"/>
          <w:marRight w:val="0"/>
          <w:marTop w:val="0"/>
          <w:marBottom w:val="0"/>
          <w:divBdr>
            <w:top w:val="none" w:sz="0" w:space="0" w:color="auto"/>
            <w:left w:val="none" w:sz="0" w:space="0" w:color="auto"/>
            <w:bottom w:val="none" w:sz="0" w:space="0" w:color="auto"/>
            <w:right w:val="none" w:sz="0" w:space="0" w:color="auto"/>
          </w:divBdr>
        </w:div>
        <w:div w:id="1337464956">
          <w:marLeft w:val="0"/>
          <w:marRight w:val="0"/>
          <w:marTop w:val="0"/>
          <w:marBottom w:val="0"/>
          <w:divBdr>
            <w:top w:val="none" w:sz="0" w:space="0" w:color="auto"/>
            <w:left w:val="none" w:sz="0" w:space="0" w:color="auto"/>
            <w:bottom w:val="none" w:sz="0" w:space="0" w:color="auto"/>
            <w:right w:val="none" w:sz="0" w:space="0" w:color="auto"/>
          </w:divBdr>
        </w:div>
        <w:div w:id="1345746478">
          <w:marLeft w:val="0"/>
          <w:marRight w:val="0"/>
          <w:marTop w:val="0"/>
          <w:marBottom w:val="0"/>
          <w:divBdr>
            <w:top w:val="none" w:sz="0" w:space="0" w:color="auto"/>
            <w:left w:val="none" w:sz="0" w:space="0" w:color="auto"/>
            <w:bottom w:val="none" w:sz="0" w:space="0" w:color="auto"/>
            <w:right w:val="none" w:sz="0" w:space="0" w:color="auto"/>
          </w:divBdr>
        </w:div>
        <w:div w:id="1352873428">
          <w:marLeft w:val="0"/>
          <w:marRight w:val="0"/>
          <w:marTop w:val="0"/>
          <w:marBottom w:val="0"/>
          <w:divBdr>
            <w:top w:val="none" w:sz="0" w:space="0" w:color="auto"/>
            <w:left w:val="none" w:sz="0" w:space="0" w:color="auto"/>
            <w:bottom w:val="none" w:sz="0" w:space="0" w:color="auto"/>
            <w:right w:val="none" w:sz="0" w:space="0" w:color="auto"/>
          </w:divBdr>
        </w:div>
        <w:div w:id="1366558239">
          <w:marLeft w:val="0"/>
          <w:marRight w:val="0"/>
          <w:marTop w:val="0"/>
          <w:marBottom w:val="0"/>
          <w:divBdr>
            <w:top w:val="none" w:sz="0" w:space="0" w:color="auto"/>
            <w:left w:val="none" w:sz="0" w:space="0" w:color="auto"/>
            <w:bottom w:val="none" w:sz="0" w:space="0" w:color="auto"/>
            <w:right w:val="none" w:sz="0" w:space="0" w:color="auto"/>
          </w:divBdr>
        </w:div>
        <w:div w:id="1379082907">
          <w:marLeft w:val="0"/>
          <w:marRight w:val="0"/>
          <w:marTop w:val="0"/>
          <w:marBottom w:val="0"/>
          <w:divBdr>
            <w:top w:val="none" w:sz="0" w:space="0" w:color="auto"/>
            <w:left w:val="none" w:sz="0" w:space="0" w:color="auto"/>
            <w:bottom w:val="none" w:sz="0" w:space="0" w:color="auto"/>
            <w:right w:val="none" w:sz="0" w:space="0" w:color="auto"/>
          </w:divBdr>
        </w:div>
        <w:div w:id="1385064162">
          <w:marLeft w:val="0"/>
          <w:marRight w:val="0"/>
          <w:marTop w:val="0"/>
          <w:marBottom w:val="0"/>
          <w:divBdr>
            <w:top w:val="none" w:sz="0" w:space="0" w:color="auto"/>
            <w:left w:val="none" w:sz="0" w:space="0" w:color="auto"/>
            <w:bottom w:val="none" w:sz="0" w:space="0" w:color="auto"/>
            <w:right w:val="none" w:sz="0" w:space="0" w:color="auto"/>
          </w:divBdr>
        </w:div>
        <w:div w:id="1452479341">
          <w:marLeft w:val="0"/>
          <w:marRight w:val="0"/>
          <w:marTop w:val="0"/>
          <w:marBottom w:val="0"/>
          <w:divBdr>
            <w:top w:val="none" w:sz="0" w:space="0" w:color="auto"/>
            <w:left w:val="none" w:sz="0" w:space="0" w:color="auto"/>
            <w:bottom w:val="none" w:sz="0" w:space="0" w:color="auto"/>
            <w:right w:val="none" w:sz="0" w:space="0" w:color="auto"/>
          </w:divBdr>
        </w:div>
        <w:div w:id="1478717816">
          <w:marLeft w:val="0"/>
          <w:marRight w:val="0"/>
          <w:marTop w:val="0"/>
          <w:marBottom w:val="0"/>
          <w:divBdr>
            <w:top w:val="none" w:sz="0" w:space="0" w:color="auto"/>
            <w:left w:val="none" w:sz="0" w:space="0" w:color="auto"/>
            <w:bottom w:val="none" w:sz="0" w:space="0" w:color="auto"/>
            <w:right w:val="none" w:sz="0" w:space="0" w:color="auto"/>
          </w:divBdr>
        </w:div>
        <w:div w:id="1517579309">
          <w:marLeft w:val="0"/>
          <w:marRight w:val="0"/>
          <w:marTop w:val="0"/>
          <w:marBottom w:val="0"/>
          <w:divBdr>
            <w:top w:val="none" w:sz="0" w:space="0" w:color="auto"/>
            <w:left w:val="none" w:sz="0" w:space="0" w:color="auto"/>
            <w:bottom w:val="none" w:sz="0" w:space="0" w:color="auto"/>
            <w:right w:val="none" w:sz="0" w:space="0" w:color="auto"/>
          </w:divBdr>
        </w:div>
        <w:div w:id="1530025743">
          <w:marLeft w:val="0"/>
          <w:marRight w:val="0"/>
          <w:marTop w:val="0"/>
          <w:marBottom w:val="0"/>
          <w:divBdr>
            <w:top w:val="none" w:sz="0" w:space="0" w:color="auto"/>
            <w:left w:val="none" w:sz="0" w:space="0" w:color="auto"/>
            <w:bottom w:val="none" w:sz="0" w:space="0" w:color="auto"/>
            <w:right w:val="none" w:sz="0" w:space="0" w:color="auto"/>
          </w:divBdr>
        </w:div>
        <w:div w:id="1535802096">
          <w:marLeft w:val="0"/>
          <w:marRight w:val="0"/>
          <w:marTop w:val="0"/>
          <w:marBottom w:val="0"/>
          <w:divBdr>
            <w:top w:val="none" w:sz="0" w:space="0" w:color="auto"/>
            <w:left w:val="none" w:sz="0" w:space="0" w:color="auto"/>
            <w:bottom w:val="none" w:sz="0" w:space="0" w:color="auto"/>
            <w:right w:val="none" w:sz="0" w:space="0" w:color="auto"/>
          </w:divBdr>
        </w:div>
        <w:div w:id="1603612898">
          <w:marLeft w:val="0"/>
          <w:marRight w:val="0"/>
          <w:marTop w:val="0"/>
          <w:marBottom w:val="0"/>
          <w:divBdr>
            <w:top w:val="none" w:sz="0" w:space="0" w:color="auto"/>
            <w:left w:val="none" w:sz="0" w:space="0" w:color="auto"/>
            <w:bottom w:val="none" w:sz="0" w:space="0" w:color="auto"/>
            <w:right w:val="none" w:sz="0" w:space="0" w:color="auto"/>
          </w:divBdr>
        </w:div>
        <w:div w:id="1613510404">
          <w:marLeft w:val="0"/>
          <w:marRight w:val="0"/>
          <w:marTop w:val="0"/>
          <w:marBottom w:val="0"/>
          <w:divBdr>
            <w:top w:val="none" w:sz="0" w:space="0" w:color="auto"/>
            <w:left w:val="none" w:sz="0" w:space="0" w:color="auto"/>
            <w:bottom w:val="none" w:sz="0" w:space="0" w:color="auto"/>
            <w:right w:val="none" w:sz="0" w:space="0" w:color="auto"/>
          </w:divBdr>
        </w:div>
        <w:div w:id="1638410539">
          <w:marLeft w:val="0"/>
          <w:marRight w:val="0"/>
          <w:marTop w:val="0"/>
          <w:marBottom w:val="0"/>
          <w:divBdr>
            <w:top w:val="none" w:sz="0" w:space="0" w:color="auto"/>
            <w:left w:val="none" w:sz="0" w:space="0" w:color="auto"/>
            <w:bottom w:val="none" w:sz="0" w:space="0" w:color="auto"/>
            <w:right w:val="none" w:sz="0" w:space="0" w:color="auto"/>
          </w:divBdr>
        </w:div>
        <w:div w:id="1703630552">
          <w:marLeft w:val="0"/>
          <w:marRight w:val="0"/>
          <w:marTop w:val="0"/>
          <w:marBottom w:val="0"/>
          <w:divBdr>
            <w:top w:val="none" w:sz="0" w:space="0" w:color="auto"/>
            <w:left w:val="none" w:sz="0" w:space="0" w:color="auto"/>
            <w:bottom w:val="none" w:sz="0" w:space="0" w:color="auto"/>
            <w:right w:val="none" w:sz="0" w:space="0" w:color="auto"/>
          </w:divBdr>
        </w:div>
        <w:div w:id="1724866755">
          <w:marLeft w:val="0"/>
          <w:marRight w:val="0"/>
          <w:marTop w:val="0"/>
          <w:marBottom w:val="0"/>
          <w:divBdr>
            <w:top w:val="none" w:sz="0" w:space="0" w:color="auto"/>
            <w:left w:val="none" w:sz="0" w:space="0" w:color="auto"/>
            <w:bottom w:val="none" w:sz="0" w:space="0" w:color="auto"/>
            <w:right w:val="none" w:sz="0" w:space="0" w:color="auto"/>
          </w:divBdr>
        </w:div>
        <w:div w:id="1726026563">
          <w:marLeft w:val="0"/>
          <w:marRight w:val="0"/>
          <w:marTop w:val="0"/>
          <w:marBottom w:val="0"/>
          <w:divBdr>
            <w:top w:val="none" w:sz="0" w:space="0" w:color="auto"/>
            <w:left w:val="none" w:sz="0" w:space="0" w:color="auto"/>
            <w:bottom w:val="none" w:sz="0" w:space="0" w:color="auto"/>
            <w:right w:val="none" w:sz="0" w:space="0" w:color="auto"/>
          </w:divBdr>
        </w:div>
        <w:div w:id="1733891063">
          <w:marLeft w:val="0"/>
          <w:marRight w:val="0"/>
          <w:marTop w:val="0"/>
          <w:marBottom w:val="0"/>
          <w:divBdr>
            <w:top w:val="none" w:sz="0" w:space="0" w:color="auto"/>
            <w:left w:val="none" w:sz="0" w:space="0" w:color="auto"/>
            <w:bottom w:val="none" w:sz="0" w:space="0" w:color="auto"/>
            <w:right w:val="none" w:sz="0" w:space="0" w:color="auto"/>
          </w:divBdr>
        </w:div>
        <w:div w:id="1760061297">
          <w:marLeft w:val="0"/>
          <w:marRight w:val="0"/>
          <w:marTop w:val="0"/>
          <w:marBottom w:val="0"/>
          <w:divBdr>
            <w:top w:val="none" w:sz="0" w:space="0" w:color="auto"/>
            <w:left w:val="none" w:sz="0" w:space="0" w:color="auto"/>
            <w:bottom w:val="none" w:sz="0" w:space="0" w:color="auto"/>
            <w:right w:val="none" w:sz="0" w:space="0" w:color="auto"/>
          </w:divBdr>
        </w:div>
        <w:div w:id="1768230993">
          <w:marLeft w:val="0"/>
          <w:marRight w:val="0"/>
          <w:marTop w:val="0"/>
          <w:marBottom w:val="0"/>
          <w:divBdr>
            <w:top w:val="none" w:sz="0" w:space="0" w:color="auto"/>
            <w:left w:val="none" w:sz="0" w:space="0" w:color="auto"/>
            <w:bottom w:val="none" w:sz="0" w:space="0" w:color="auto"/>
            <w:right w:val="none" w:sz="0" w:space="0" w:color="auto"/>
          </w:divBdr>
        </w:div>
        <w:div w:id="1783501092">
          <w:marLeft w:val="0"/>
          <w:marRight w:val="0"/>
          <w:marTop w:val="0"/>
          <w:marBottom w:val="0"/>
          <w:divBdr>
            <w:top w:val="none" w:sz="0" w:space="0" w:color="auto"/>
            <w:left w:val="none" w:sz="0" w:space="0" w:color="auto"/>
            <w:bottom w:val="none" w:sz="0" w:space="0" w:color="auto"/>
            <w:right w:val="none" w:sz="0" w:space="0" w:color="auto"/>
          </w:divBdr>
        </w:div>
        <w:div w:id="1845048908">
          <w:marLeft w:val="0"/>
          <w:marRight w:val="0"/>
          <w:marTop w:val="0"/>
          <w:marBottom w:val="0"/>
          <w:divBdr>
            <w:top w:val="none" w:sz="0" w:space="0" w:color="auto"/>
            <w:left w:val="none" w:sz="0" w:space="0" w:color="auto"/>
            <w:bottom w:val="none" w:sz="0" w:space="0" w:color="auto"/>
            <w:right w:val="none" w:sz="0" w:space="0" w:color="auto"/>
          </w:divBdr>
        </w:div>
        <w:div w:id="1883978332">
          <w:marLeft w:val="0"/>
          <w:marRight w:val="0"/>
          <w:marTop w:val="0"/>
          <w:marBottom w:val="0"/>
          <w:divBdr>
            <w:top w:val="none" w:sz="0" w:space="0" w:color="auto"/>
            <w:left w:val="none" w:sz="0" w:space="0" w:color="auto"/>
            <w:bottom w:val="none" w:sz="0" w:space="0" w:color="auto"/>
            <w:right w:val="none" w:sz="0" w:space="0" w:color="auto"/>
          </w:divBdr>
        </w:div>
        <w:div w:id="1899587780">
          <w:marLeft w:val="0"/>
          <w:marRight w:val="0"/>
          <w:marTop w:val="0"/>
          <w:marBottom w:val="0"/>
          <w:divBdr>
            <w:top w:val="none" w:sz="0" w:space="0" w:color="auto"/>
            <w:left w:val="none" w:sz="0" w:space="0" w:color="auto"/>
            <w:bottom w:val="none" w:sz="0" w:space="0" w:color="auto"/>
            <w:right w:val="none" w:sz="0" w:space="0" w:color="auto"/>
          </w:divBdr>
        </w:div>
        <w:div w:id="1932202428">
          <w:marLeft w:val="0"/>
          <w:marRight w:val="0"/>
          <w:marTop w:val="0"/>
          <w:marBottom w:val="0"/>
          <w:divBdr>
            <w:top w:val="none" w:sz="0" w:space="0" w:color="auto"/>
            <w:left w:val="none" w:sz="0" w:space="0" w:color="auto"/>
            <w:bottom w:val="none" w:sz="0" w:space="0" w:color="auto"/>
            <w:right w:val="none" w:sz="0" w:space="0" w:color="auto"/>
          </w:divBdr>
        </w:div>
        <w:div w:id="2037609644">
          <w:marLeft w:val="0"/>
          <w:marRight w:val="0"/>
          <w:marTop w:val="0"/>
          <w:marBottom w:val="0"/>
          <w:divBdr>
            <w:top w:val="none" w:sz="0" w:space="0" w:color="auto"/>
            <w:left w:val="none" w:sz="0" w:space="0" w:color="auto"/>
            <w:bottom w:val="none" w:sz="0" w:space="0" w:color="auto"/>
            <w:right w:val="none" w:sz="0" w:space="0" w:color="auto"/>
          </w:divBdr>
        </w:div>
        <w:div w:id="2075658463">
          <w:marLeft w:val="0"/>
          <w:marRight w:val="0"/>
          <w:marTop w:val="0"/>
          <w:marBottom w:val="0"/>
          <w:divBdr>
            <w:top w:val="none" w:sz="0" w:space="0" w:color="auto"/>
            <w:left w:val="none" w:sz="0" w:space="0" w:color="auto"/>
            <w:bottom w:val="none" w:sz="0" w:space="0" w:color="auto"/>
            <w:right w:val="none" w:sz="0" w:space="0" w:color="auto"/>
          </w:divBdr>
        </w:div>
      </w:divsChild>
    </w:div>
    <w:div w:id="1853572587">
      <w:bodyDiv w:val="1"/>
      <w:marLeft w:val="0"/>
      <w:marRight w:val="0"/>
      <w:marTop w:val="0"/>
      <w:marBottom w:val="0"/>
      <w:divBdr>
        <w:top w:val="none" w:sz="0" w:space="0" w:color="auto"/>
        <w:left w:val="none" w:sz="0" w:space="0" w:color="auto"/>
        <w:bottom w:val="none" w:sz="0" w:space="0" w:color="auto"/>
        <w:right w:val="none" w:sz="0" w:space="0" w:color="auto"/>
      </w:divBdr>
      <w:divsChild>
        <w:div w:id="700981413">
          <w:marLeft w:val="446"/>
          <w:marRight w:val="0"/>
          <w:marTop w:val="0"/>
          <w:marBottom w:val="0"/>
          <w:divBdr>
            <w:top w:val="none" w:sz="0" w:space="0" w:color="auto"/>
            <w:left w:val="none" w:sz="0" w:space="0" w:color="auto"/>
            <w:bottom w:val="none" w:sz="0" w:space="0" w:color="auto"/>
            <w:right w:val="none" w:sz="0" w:space="0" w:color="auto"/>
          </w:divBdr>
        </w:div>
      </w:divsChild>
    </w:div>
    <w:div w:id="1859613796">
      <w:bodyDiv w:val="1"/>
      <w:marLeft w:val="0"/>
      <w:marRight w:val="0"/>
      <w:marTop w:val="0"/>
      <w:marBottom w:val="0"/>
      <w:divBdr>
        <w:top w:val="none" w:sz="0" w:space="0" w:color="auto"/>
        <w:left w:val="none" w:sz="0" w:space="0" w:color="auto"/>
        <w:bottom w:val="none" w:sz="0" w:space="0" w:color="auto"/>
        <w:right w:val="none" w:sz="0" w:space="0" w:color="auto"/>
      </w:divBdr>
    </w:div>
    <w:div w:id="1914699803">
      <w:bodyDiv w:val="1"/>
      <w:marLeft w:val="0"/>
      <w:marRight w:val="0"/>
      <w:marTop w:val="0"/>
      <w:marBottom w:val="0"/>
      <w:divBdr>
        <w:top w:val="none" w:sz="0" w:space="0" w:color="auto"/>
        <w:left w:val="none" w:sz="0" w:space="0" w:color="auto"/>
        <w:bottom w:val="none" w:sz="0" w:space="0" w:color="auto"/>
        <w:right w:val="none" w:sz="0" w:space="0" w:color="auto"/>
      </w:divBdr>
    </w:div>
    <w:div w:id="1941837920">
      <w:bodyDiv w:val="1"/>
      <w:marLeft w:val="0"/>
      <w:marRight w:val="0"/>
      <w:marTop w:val="0"/>
      <w:marBottom w:val="0"/>
      <w:divBdr>
        <w:top w:val="none" w:sz="0" w:space="0" w:color="auto"/>
        <w:left w:val="none" w:sz="0" w:space="0" w:color="auto"/>
        <w:bottom w:val="none" w:sz="0" w:space="0" w:color="auto"/>
        <w:right w:val="none" w:sz="0" w:space="0" w:color="auto"/>
      </w:divBdr>
      <w:divsChild>
        <w:div w:id="1249998622">
          <w:marLeft w:val="547"/>
          <w:marRight w:val="0"/>
          <w:marTop w:val="58"/>
          <w:marBottom w:val="0"/>
          <w:divBdr>
            <w:top w:val="none" w:sz="0" w:space="0" w:color="auto"/>
            <w:left w:val="none" w:sz="0" w:space="0" w:color="auto"/>
            <w:bottom w:val="none" w:sz="0" w:space="0" w:color="auto"/>
            <w:right w:val="none" w:sz="0" w:space="0" w:color="auto"/>
          </w:divBdr>
        </w:div>
      </w:divsChild>
    </w:div>
    <w:div w:id="1947542951">
      <w:bodyDiv w:val="1"/>
      <w:marLeft w:val="0"/>
      <w:marRight w:val="0"/>
      <w:marTop w:val="0"/>
      <w:marBottom w:val="0"/>
      <w:divBdr>
        <w:top w:val="none" w:sz="0" w:space="0" w:color="auto"/>
        <w:left w:val="none" w:sz="0" w:space="0" w:color="auto"/>
        <w:bottom w:val="none" w:sz="0" w:space="0" w:color="auto"/>
        <w:right w:val="none" w:sz="0" w:space="0" w:color="auto"/>
      </w:divBdr>
    </w:div>
    <w:div w:id="1948006204">
      <w:bodyDiv w:val="1"/>
      <w:marLeft w:val="0"/>
      <w:marRight w:val="0"/>
      <w:marTop w:val="0"/>
      <w:marBottom w:val="0"/>
      <w:divBdr>
        <w:top w:val="none" w:sz="0" w:space="0" w:color="auto"/>
        <w:left w:val="none" w:sz="0" w:space="0" w:color="auto"/>
        <w:bottom w:val="none" w:sz="0" w:space="0" w:color="auto"/>
        <w:right w:val="none" w:sz="0" w:space="0" w:color="auto"/>
      </w:divBdr>
    </w:div>
    <w:div w:id="1975023188">
      <w:bodyDiv w:val="1"/>
      <w:marLeft w:val="0"/>
      <w:marRight w:val="0"/>
      <w:marTop w:val="0"/>
      <w:marBottom w:val="0"/>
      <w:divBdr>
        <w:top w:val="none" w:sz="0" w:space="0" w:color="auto"/>
        <w:left w:val="none" w:sz="0" w:space="0" w:color="auto"/>
        <w:bottom w:val="none" w:sz="0" w:space="0" w:color="auto"/>
        <w:right w:val="none" w:sz="0" w:space="0" w:color="auto"/>
      </w:divBdr>
    </w:div>
    <w:div w:id="2002734585">
      <w:bodyDiv w:val="1"/>
      <w:marLeft w:val="0"/>
      <w:marRight w:val="0"/>
      <w:marTop w:val="0"/>
      <w:marBottom w:val="0"/>
      <w:divBdr>
        <w:top w:val="none" w:sz="0" w:space="0" w:color="auto"/>
        <w:left w:val="none" w:sz="0" w:space="0" w:color="auto"/>
        <w:bottom w:val="none" w:sz="0" w:space="0" w:color="auto"/>
        <w:right w:val="none" w:sz="0" w:space="0" w:color="auto"/>
      </w:divBdr>
      <w:divsChild>
        <w:div w:id="2034959470">
          <w:marLeft w:val="547"/>
          <w:marRight w:val="0"/>
          <w:marTop w:val="67"/>
          <w:marBottom w:val="0"/>
          <w:divBdr>
            <w:top w:val="none" w:sz="0" w:space="0" w:color="auto"/>
            <w:left w:val="none" w:sz="0" w:space="0" w:color="auto"/>
            <w:bottom w:val="none" w:sz="0" w:space="0" w:color="auto"/>
            <w:right w:val="none" w:sz="0" w:space="0" w:color="auto"/>
          </w:divBdr>
        </w:div>
      </w:divsChild>
    </w:div>
    <w:div w:id="2035032179">
      <w:bodyDiv w:val="1"/>
      <w:marLeft w:val="0"/>
      <w:marRight w:val="0"/>
      <w:marTop w:val="0"/>
      <w:marBottom w:val="0"/>
      <w:divBdr>
        <w:top w:val="none" w:sz="0" w:space="0" w:color="auto"/>
        <w:left w:val="none" w:sz="0" w:space="0" w:color="auto"/>
        <w:bottom w:val="none" w:sz="0" w:space="0" w:color="auto"/>
        <w:right w:val="none" w:sz="0" w:space="0" w:color="auto"/>
      </w:divBdr>
      <w:divsChild>
        <w:div w:id="1794208032">
          <w:marLeft w:val="0"/>
          <w:marRight w:val="0"/>
          <w:marTop w:val="0"/>
          <w:marBottom w:val="0"/>
          <w:divBdr>
            <w:top w:val="none" w:sz="0" w:space="0" w:color="auto"/>
            <w:left w:val="none" w:sz="0" w:space="0" w:color="auto"/>
            <w:bottom w:val="none" w:sz="0" w:space="0" w:color="auto"/>
            <w:right w:val="none" w:sz="0" w:space="0" w:color="auto"/>
          </w:divBdr>
          <w:divsChild>
            <w:div w:id="1342463389">
              <w:marLeft w:val="0"/>
              <w:marRight w:val="0"/>
              <w:marTop w:val="0"/>
              <w:marBottom w:val="0"/>
              <w:divBdr>
                <w:top w:val="none" w:sz="0" w:space="0" w:color="auto"/>
                <w:left w:val="none" w:sz="0" w:space="0" w:color="auto"/>
                <w:bottom w:val="none" w:sz="0" w:space="0" w:color="auto"/>
                <w:right w:val="none" w:sz="0" w:space="0" w:color="auto"/>
              </w:divBdr>
              <w:divsChild>
                <w:div w:id="100925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2950">
      <w:bodyDiv w:val="1"/>
      <w:marLeft w:val="0"/>
      <w:marRight w:val="0"/>
      <w:marTop w:val="0"/>
      <w:marBottom w:val="0"/>
      <w:divBdr>
        <w:top w:val="none" w:sz="0" w:space="0" w:color="auto"/>
        <w:left w:val="none" w:sz="0" w:space="0" w:color="auto"/>
        <w:bottom w:val="none" w:sz="0" w:space="0" w:color="auto"/>
        <w:right w:val="none" w:sz="0" w:space="0" w:color="auto"/>
      </w:divBdr>
      <w:divsChild>
        <w:div w:id="1090661576">
          <w:marLeft w:val="547"/>
          <w:marRight w:val="0"/>
          <w:marTop w:val="67"/>
          <w:marBottom w:val="0"/>
          <w:divBdr>
            <w:top w:val="none" w:sz="0" w:space="0" w:color="auto"/>
            <w:left w:val="none" w:sz="0" w:space="0" w:color="auto"/>
            <w:bottom w:val="none" w:sz="0" w:space="0" w:color="auto"/>
            <w:right w:val="none" w:sz="0" w:space="0" w:color="auto"/>
          </w:divBdr>
        </w:div>
      </w:divsChild>
    </w:div>
    <w:div w:id="2131780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png"/><Relationship Id="rId42" Type="http://schemas.openxmlformats.org/officeDocument/2006/relationships/image" Target="media/image27.e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10" Type="http://schemas.openxmlformats.org/officeDocument/2006/relationships/styles" Target="styl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2.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emf"/><Relationship Id="rId20" Type="http://schemas.openxmlformats.org/officeDocument/2006/relationships/image" Target="media/image5.png"/><Relationship Id="rId41" Type="http://schemas.openxmlformats.org/officeDocument/2006/relationships/image" Target="media/image26.emf"/></Relationships>
</file>

<file path=word/_rels/footnotes.xml.rels><?xml version="1.0" encoding="UTF-8" standalone="yes"?>
<Relationships xmlns="http://schemas.openxmlformats.org/package/2006/relationships"><Relationship Id="rId1" Type="http://schemas.openxmlformats.org/officeDocument/2006/relationships/hyperlink" Target="https://www.health.govt.nz/about-ministry/what-we-do/work-programme-2019-20/achieving-equi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dy\Dropbox\Dbox%20KG%20Help\1%20Admin\New%20Word%20Template\Files%20from%20simply%20Training\Report%20Template%20v0.02.dotx" TargetMode="External"/></Relationships>
</file>

<file path=word/theme/theme1.xml><?xml version="1.0" encoding="utf-8"?>
<a:theme xmlns:a="http://schemas.openxmlformats.org/drawingml/2006/main" name="Office Theme">
  <a:themeElements>
    <a:clrScheme name="Kinnect colours">
      <a:dk1>
        <a:sysClr val="windowText" lastClr="000000"/>
      </a:dk1>
      <a:lt1>
        <a:sysClr val="window" lastClr="FFFFFF"/>
      </a:lt1>
      <a:dk2>
        <a:srgbClr val="44546A"/>
      </a:dk2>
      <a:lt2>
        <a:srgbClr val="E7E6E6"/>
      </a:lt2>
      <a:accent1>
        <a:srgbClr val="212B5D"/>
      </a:accent1>
      <a:accent2>
        <a:srgbClr val="2A5CFA"/>
      </a:accent2>
      <a:accent3>
        <a:srgbClr val="17B4DD"/>
      </a:accent3>
      <a:accent4>
        <a:srgbClr val="1EA17B"/>
      </a:accent4>
      <a:accent5>
        <a:srgbClr val="6DA943"/>
      </a:accent5>
      <a:accent6>
        <a:srgbClr val="C3C050"/>
      </a:accent6>
      <a:hlink>
        <a:srgbClr val="0563C1"/>
      </a:hlink>
      <a:folHlink>
        <a:srgbClr val="954F72"/>
      </a:folHlink>
    </a:clrScheme>
    <a:fontScheme name="Kinnect Group">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B647BEF33651A141ABFC35944E5802F2" ma:contentTypeVersion="11" ma:contentTypeDescription="Create a new document." ma:contentTypeScope="" ma:versionID="766d03fa8f3ffc227138b877c014bc6c">
  <xsd:schema xmlns:xsd="http://www.w3.org/2001/XMLSchema" xmlns:xs="http://www.w3.org/2001/XMLSchema" xmlns:p="http://schemas.microsoft.com/office/2006/metadata/properties" xmlns:ns3="bbdb2c1b-35d0-4fe2-8dbb-7e45473280f3" xmlns:ns4="151e44d8-2891-425d-a7e6-cb86f9a18d19" targetNamespace="http://schemas.microsoft.com/office/2006/metadata/properties" ma:root="true" ma:fieldsID="60fd0951b351ece92e404a7bd4b94517" ns3:_="" ns4:_="">
    <xsd:import namespace="bbdb2c1b-35d0-4fe2-8dbb-7e45473280f3"/>
    <xsd:import namespace="151e44d8-2891-425d-a7e6-cb86f9a18d1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db2c1b-35d0-4fe2-8dbb-7e45473280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1e44d8-2891-425d-a7e6-cb86f9a18d1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b:Source>
    <b:Tag>Min05</b:Tag>
    <b:SourceType>Misc</b:SourceType>
    <b:Guid>{736D34EA-45C3-41FC-8950-A970D2A9B382}</b:Guid>
    <b:Title>Notice of Introduction of a Ministerial Scheme under Section 8A of the Foundation for Research, Science and Technology Act 1990: Final Envirolink Notice 27</b:Title>
    <b:Year>2005</b:Year>
    <b:Publisher>New Zealand Governement</b:Publisher>
    <b:City>Wellington</b:City>
    <b:Author>
      <b:Author>
        <b:Corporate>Minister of Research, Science and Technology</b:Corporate>
      </b:Author>
    </b:Author>
    <b:CountryRegion>New Zealand</b:CountryRegion>
    <b:RefOrder>4</b:RefOrder>
  </b:Source>
  <b:Source>
    <b:Tag>Wor20</b:Tag>
    <b:SourceType>InternetSite</b:SourceType>
    <b:Guid>{62C598A3-88BC-421B-BEAE-C3FEBC040931}</b:Guid>
    <b:Author>
      <b:Author>
        <b:Corporate>World Health Organisation</b:Corporate>
      </b:Author>
    </b:Author>
    <b:Title>Health systems: Equity</b:Title>
    <b:Year>2020</b:Year>
    <b:InternetSiteTitle>World Health Organisation</b:InternetSiteTitle>
    <b:Month>November </b:Month>
    <b:Day>30</b:Day>
    <b:URL>https://www.who.int/healthsystems/topics/equity/en/#:~:text=Equity%20is%20the%20absence%20of,economically%2C%20demographically%2C%20or%20geographically.</b:URL>
    <b:RefOrder>1</b:RefOrder>
  </b:Source>
  <b:Source>
    <b:Tag>Min18</b:Tag>
    <b:SourceType>Book</b:SourceType>
    <b:Guid>{8E226BA0-4F05-476B-92F2-9D2827DB8234}</b:Guid>
    <b:Author>
      <b:Author>
        <b:Corporate>Ministry of Health</b:Corporate>
      </b:Author>
    </b:Author>
    <b:Title>Achieving equity in health outcomes: Highlights of important national and international papers</b:Title>
    <b:Year>2018</b:Year>
    <b:City>Wellington</b:City>
    <b:Publisher>Ministry of Health</b:Publisher>
    <b:RefOrder>2</b:RefOrder>
  </b:Source>
  <b:Source>
    <b:Tag>Min19</b:Tag>
    <b:SourceType>InternetSite</b:SourceType>
    <b:Guid>{0751AF12-7A9D-4F08-95E9-61C995BD2EC4}</b:Guid>
    <b:Title>Achieving equity</b:Title>
    <b:Year>2019</b:Year>
    <b:Author>
      <b:Author>
        <b:Corporate>Ministry of Health</b:Corporate>
      </b:Author>
    </b:Author>
    <b:InternetSiteTitle>Ministry of Heath</b:InternetSiteTitle>
    <b:Month>October</b:Month>
    <b:Day>1</b:Day>
    <b:URL>https://www.health.govt.nz/about-ministry/what-we-do/work-programme-2019-20/achieving-equity</b:URL>
    <b:RefOrder>3</b:RefOrder>
  </b:Source>
</b:Sources>
</file>

<file path=customXml/item8.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5FC9DA-DE1E-4B02-AA7B-D2E590F32A5B}">
  <ds:schemaRefs>
    <ds:schemaRef ds:uri="http://schemas.microsoft.com/sharepoint/v3/contenttype/forms"/>
  </ds:schemaRefs>
</ds:datastoreItem>
</file>

<file path=customXml/itemProps2.xml><?xml version="1.0" encoding="utf-8"?>
<ds:datastoreItem xmlns:ds="http://schemas.openxmlformats.org/officeDocument/2006/customXml" ds:itemID="{B1302592-0FE7-4CC1-A4C9-B21D0D7B0CE8}">
  <ds:schemaRefs>
    <ds:schemaRef ds:uri="http://schemas.microsoft.com/sharepoint/v3/contenttype/forms"/>
  </ds:schemaRefs>
</ds:datastoreItem>
</file>

<file path=customXml/itemProps3.xml><?xml version="1.0" encoding="utf-8"?>
<ds:datastoreItem xmlns:ds="http://schemas.openxmlformats.org/officeDocument/2006/customXml" ds:itemID="{33491DEA-E3B1-4194-BE19-DAEE8D0889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E64D664-CB70-4DAB-A034-63BCC1F9268B}">
  <ds:schemaRefs>
    <ds:schemaRef ds:uri="http://schemas.microsoft.com/sharepoint/v3/contenttype/forms"/>
  </ds:schemaRefs>
</ds:datastoreItem>
</file>

<file path=customXml/itemProps5.xml><?xml version="1.0" encoding="utf-8"?>
<ds:datastoreItem xmlns:ds="http://schemas.openxmlformats.org/officeDocument/2006/customXml" ds:itemID="{EB494794-4DFF-45DA-9984-DF98E77C760F}">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06599255-76F7-4D1E-9547-63F7B9DB5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db2c1b-35d0-4fe2-8dbb-7e45473280f3"/>
    <ds:schemaRef ds:uri="151e44d8-2891-425d-a7e6-cb86f9a18d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24AB796-47B3-41F3-81EC-9F63F993620A}">
  <ds:schemaRefs>
    <ds:schemaRef ds:uri="http://schemas.openxmlformats.org/officeDocument/2006/bibliography"/>
  </ds:schemaRefs>
</ds:datastoreItem>
</file>

<file path=customXml/itemProps8.xml><?xml version="1.0" encoding="utf-8"?>
<ds:datastoreItem xmlns:ds="http://schemas.openxmlformats.org/officeDocument/2006/customXml" ds:itemID="{A8E1042A-4CE5-416B-9309-1006A80BFB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Report Template v0.02</Template>
  <TotalTime>0</TotalTime>
  <Pages>66</Pages>
  <Words>25063</Words>
  <Characters>142861</Characters>
  <Application>Microsoft Office Word</Application>
  <DocSecurity>0</DocSecurity>
  <Lines>1190</Lines>
  <Paragraphs>335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oakden</dc:creator>
  <cp:keywords/>
  <dc:description/>
  <cp:lastModifiedBy>Kahiwa Sebire</cp:lastModifiedBy>
  <cp:revision>2</cp:revision>
  <cp:lastPrinted>2021-03-23T03:37:00Z</cp:lastPrinted>
  <dcterms:created xsi:type="dcterms:W3CDTF">2021-05-14T03:19:00Z</dcterms:created>
  <dcterms:modified xsi:type="dcterms:W3CDTF">2021-05-14T03:19:00Z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 Name">
    <vt:lpwstr>Enter details via File &gt; Properties &gt; Custom</vt:lpwstr>
  </property>
  <property fmtid="{D5CDD505-2E9C-101B-9397-08002B2CF9AE}" pid="3" name="Subreport Name">
    <vt:lpwstr>Enter details via File &gt; Properties &gt; Custom</vt:lpwstr>
  </property>
  <property fmtid="{D5CDD505-2E9C-101B-9397-08002B2CF9AE}" pid="4" name="Template Version">
    <vt:lpwstr>0.02</vt:lpwstr>
  </property>
  <property fmtid="{D5CDD505-2E9C-101B-9397-08002B2CF9AE}" pid="5" name="ContentTypeId">
    <vt:lpwstr>0x010100B647BEF33651A141ABFC35944E5802F2</vt:lpwstr>
  </property>
</Properties>
</file>