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4C41F" w14:textId="77777777" w:rsidR="00C86248" w:rsidRDefault="006954FE" w:rsidP="00926083">
      <w:pPr>
        <w:pStyle w:val="Title"/>
      </w:pPr>
      <w:r>
        <w:t>Suicide Data related to Mental Health Service Users (2016)</w:t>
      </w:r>
    </w:p>
    <w:p w14:paraId="2FE4CAC8" w14:textId="77777777" w:rsidR="00C05132" w:rsidRDefault="00C05132" w:rsidP="00A06BE4"/>
    <w:p w14:paraId="77441552" w14:textId="77777777" w:rsidR="00142954" w:rsidRPr="00142954" w:rsidRDefault="00142954" w:rsidP="00142954">
      <w:pPr>
        <w:sectPr w:rsidR="00142954" w:rsidRPr="00142954" w:rsidSect="00925892">
          <w:headerReference w:type="default" r:id="rId11"/>
          <w:footerReference w:type="default" r:id="rId12"/>
          <w:pgSz w:w="11907" w:h="16834" w:code="9"/>
          <w:pgMar w:top="5670" w:right="1134" w:bottom="1134" w:left="1134" w:header="567" w:footer="851" w:gutter="0"/>
          <w:pgNumType w:start="1"/>
          <w:cols w:space="720"/>
        </w:sectPr>
      </w:pPr>
    </w:p>
    <w:p w14:paraId="09F2F39D" w14:textId="77777777" w:rsidR="006954FE" w:rsidRDefault="006954FE" w:rsidP="006954FE">
      <w:r>
        <w:lastRenderedPageBreak/>
        <w:t>Note: This report presents some of the information that the Office of the Director of Mental Health and Addiction Services Annual Reports covered in the past. The establishment of the Suicide Prevention Office has prompted this change. The specific information in this report concerns deaths by suicide, or deaths of undetermined intent, by mental health service users.</w:t>
      </w:r>
    </w:p>
    <w:p w14:paraId="48787539" w14:textId="77777777" w:rsidR="006954FE" w:rsidRDefault="006954FE" w:rsidP="006954FE">
      <w:pPr>
        <w:spacing w:before="120"/>
      </w:pPr>
      <w:r>
        <w:t xml:space="preserve">Mental health service users are defined in this context as people who accessed district health board or non-governmental organisation specialist mental health services (including services treating people with alcohol and other drugs (AOD) addiction) in the year before their death. People with no history of mental health service use in the year before their death are referred to as </w:t>
      </w:r>
      <w:r w:rsidR="000E38BA">
        <w:t>‘</w:t>
      </w:r>
      <w:r>
        <w:t>non-service users</w:t>
      </w:r>
      <w:r w:rsidR="000E38BA">
        <w:t>’</w:t>
      </w:r>
      <w:r>
        <w:t xml:space="preserve"> here, although we acknowledge that some non-service users may have used mental health or AOD services at some earlier time in their lives. This data covers people aged 10–64 years.</w:t>
      </w:r>
    </w:p>
    <w:p w14:paraId="5035E578" w14:textId="77777777" w:rsidR="00D27922" w:rsidRPr="00D27922" w:rsidRDefault="006954FE" w:rsidP="006954FE">
      <w:pPr>
        <w:spacing w:before="120"/>
      </w:pPr>
      <w:r>
        <w:t xml:space="preserve">Please interpret the data provided cautiously because it has a small statistical base. For further statistics on deaths by suicide, see </w:t>
      </w:r>
      <w:r w:rsidR="000E38BA">
        <w:t>‘</w:t>
      </w:r>
      <w:r>
        <w:t>Understanding suicide in New Zealand</w:t>
      </w:r>
      <w:r w:rsidR="000E38BA">
        <w:t>’</w:t>
      </w:r>
      <w:r>
        <w:t xml:space="preserve"> on the Ministry of Health</w:t>
      </w:r>
      <w:r w:rsidR="000E38BA">
        <w:t>’</w:t>
      </w:r>
      <w:r>
        <w:t>s website.</w:t>
      </w:r>
    </w:p>
    <w:p w14:paraId="3EB11DA9" w14:textId="77777777"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6954FE">
        <w:rPr>
          <w:rFonts w:cs="Segoe UI"/>
        </w:rPr>
        <w:t>2021</w:t>
      </w:r>
      <w:r w:rsidR="00442C1C" w:rsidRPr="00C05132">
        <w:rPr>
          <w:rFonts w:cs="Segoe UI"/>
        </w:rPr>
        <w:t xml:space="preserve">. </w:t>
      </w:r>
      <w:r w:rsidR="006954FE">
        <w:rPr>
          <w:rFonts w:cs="Segoe UI"/>
          <w:i/>
        </w:rPr>
        <w:t>Suicide Data related to Mental Health Service Users (2016)</w:t>
      </w:r>
      <w:r w:rsidR="00442C1C" w:rsidRPr="00C05132">
        <w:rPr>
          <w:rFonts w:cs="Segoe UI"/>
        </w:rPr>
        <w:t>. Wellington: Ministry of Health.</w:t>
      </w:r>
    </w:p>
    <w:p w14:paraId="2BCBB9E8" w14:textId="77777777" w:rsidR="00C86248" w:rsidRDefault="00C86248">
      <w:pPr>
        <w:pStyle w:val="Imprint"/>
      </w:pPr>
      <w:r>
        <w:t xml:space="preserve">Published in </w:t>
      </w:r>
      <w:r w:rsidR="006954FE" w:rsidRPr="005A2AD3">
        <w:t>June</w:t>
      </w:r>
      <w:r w:rsidR="00D27922">
        <w:t xml:space="preserve">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41A7C722" w14:textId="1797175F" w:rsidR="00082CD6" w:rsidRPr="009C0F2D" w:rsidRDefault="00D863D0" w:rsidP="00082CD6">
      <w:pPr>
        <w:pStyle w:val="Imprint"/>
      </w:pPr>
      <w:r>
        <w:t>ISBN</w:t>
      </w:r>
      <w:r w:rsidR="00442C1C">
        <w:t xml:space="preserve"> </w:t>
      </w:r>
      <w:r w:rsidR="002D4B55" w:rsidRPr="002D4B55">
        <w:t>978-1-99-100724-7</w:t>
      </w:r>
      <w:r w:rsidR="002B7BEC">
        <w:t xml:space="preserve"> </w:t>
      </w:r>
      <w:r>
        <w:t>(</w:t>
      </w:r>
      <w:r w:rsidR="00442C1C">
        <w:t>online</w:t>
      </w:r>
      <w:r>
        <w:t>)</w:t>
      </w:r>
      <w:r w:rsidR="00082CD6">
        <w:br/>
      </w:r>
      <w:r w:rsidR="00082CD6" w:rsidRPr="009C0F2D">
        <w:t xml:space="preserve">HP </w:t>
      </w:r>
      <w:r w:rsidR="00B44C1A">
        <w:t>7714</w:t>
      </w:r>
    </w:p>
    <w:p w14:paraId="5C8F32A0" w14:textId="77777777" w:rsidR="00C86248" w:rsidRDefault="008C64C4" w:rsidP="00D27922">
      <w:pPr>
        <w:spacing w:before="360"/>
      </w:pPr>
      <w:r>
        <w:rPr>
          <w:noProof/>
          <w:lang w:eastAsia="en-NZ"/>
        </w:rPr>
        <w:drawing>
          <wp:inline distT="0" distB="0" distL="0" distR="0" wp14:anchorId="07521C75" wp14:editId="365F9DCD">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bookmarkStart w:id="0" w:name="_GoBack"/>
      <w:bookmarkEnd w:id="0"/>
    </w:p>
    <w:p w14:paraId="7C9604B4" w14:textId="77777777" w:rsidR="00A63DFF" w:rsidRDefault="00A63DFF" w:rsidP="00A63DFF">
      <w:pPr>
        <w:pStyle w:val="Imprint"/>
        <w:spacing w:before="240" w:after="480"/>
      </w:pPr>
      <w:r>
        <w:t xml:space="preserve">This document is available at </w:t>
      </w:r>
      <w:hyperlink r:id="rId14"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02ED5BAD" w14:textId="77777777" w:rsidTr="00A63DFF">
        <w:trPr>
          <w:cantSplit/>
        </w:trPr>
        <w:tc>
          <w:tcPr>
            <w:tcW w:w="1526" w:type="dxa"/>
          </w:tcPr>
          <w:p w14:paraId="223F72C4"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3527CD71" wp14:editId="5301359A">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72288F7"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66E2BDB5" w14:textId="77777777" w:rsidR="007E74F1" w:rsidRPr="001F45A7" w:rsidRDefault="007E74F1" w:rsidP="006E2886">
      <w:pPr>
        <w:pStyle w:val="Imprint"/>
      </w:pPr>
    </w:p>
    <w:p w14:paraId="2394BBFF" w14:textId="77777777" w:rsidR="00C86248" w:rsidRDefault="00C86248">
      <w:pPr>
        <w:jc w:val="center"/>
        <w:sectPr w:rsidR="00C86248" w:rsidSect="00925892">
          <w:footerReference w:type="even" r:id="rId16"/>
          <w:footerReference w:type="default" r:id="rId17"/>
          <w:pgSz w:w="11907" w:h="16834" w:code="9"/>
          <w:pgMar w:top="1701" w:right="2268" w:bottom="1134" w:left="2268" w:header="0" w:footer="0" w:gutter="0"/>
          <w:cols w:space="720"/>
          <w:vAlign w:val="bottom"/>
        </w:sectPr>
      </w:pPr>
    </w:p>
    <w:p w14:paraId="1BFCFE0E" w14:textId="77777777" w:rsidR="00C86248" w:rsidRDefault="00C86248" w:rsidP="00025A6F">
      <w:pPr>
        <w:pStyle w:val="IntroHead"/>
      </w:pPr>
      <w:bookmarkStart w:id="1" w:name="_Toc405792991"/>
      <w:bookmarkStart w:id="2" w:name="_Toc405793224"/>
      <w:r>
        <w:lastRenderedPageBreak/>
        <w:t>Contents</w:t>
      </w:r>
      <w:bookmarkEnd w:id="1"/>
      <w:bookmarkEnd w:id="2"/>
    </w:p>
    <w:p w14:paraId="18728853" w14:textId="45662C87" w:rsidR="00E40688" w:rsidRDefault="00E40688">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75339096" w:history="1">
        <w:r w:rsidRPr="004A693B">
          <w:rPr>
            <w:rStyle w:val="Hyperlink"/>
            <w:noProof/>
          </w:rPr>
          <w:t>Overview</w:t>
        </w:r>
        <w:r>
          <w:rPr>
            <w:noProof/>
            <w:webHidden/>
          </w:rPr>
          <w:tab/>
        </w:r>
        <w:r>
          <w:rPr>
            <w:noProof/>
            <w:webHidden/>
          </w:rPr>
          <w:fldChar w:fldCharType="begin"/>
        </w:r>
        <w:r>
          <w:rPr>
            <w:noProof/>
            <w:webHidden/>
          </w:rPr>
          <w:instrText xml:space="preserve"> PAGEREF _Toc75339096 \h </w:instrText>
        </w:r>
        <w:r>
          <w:rPr>
            <w:noProof/>
            <w:webHidden/>
          </w:rPr>
        </w:r>
        <w:r>
          <w:rPr>
            <w:noProof/>
            <w:webHidden/>
          </w:rPr>
          <w:fldChar w:fldCharType="separate"/>
        </w:r>
        <w:r w:rsidR="00746605">
          <w:rPr>
            <w:noProof/>
            <w:webHidden/>
          </w:rPr>
          <w:t>1</w:t>
        </w:r>
        <w:r>
          <w:rPr>
            <w:noProof/>
            <w:webHidden/>
          </w:rPr>
          <w:fldChar w:fldCharType="end"/>
        </w:r>
      </w:hyperlink>
    </w:p>
    <w:p w14:paraId="7CE4A151" w14:textId="3FD67CAD" w:rsidR="00E40688" w:rsidRDefault="00E40688">
      <w:pPr>
        <w:pStyle w:val="TOC1"/>
        <w:rPr>
          <w:rFonts w:asciiTheme="minorHAnsi" w:eastAsiaTheme="minorEastAsia" w:hAnsiTheme="minorHAnsi" w:cstheme="minorBidi"/>
          <w:noProof/>
          <w:sz w:val="22"/>
          <w:szCs w:val="22"/>
          <w:lang w:eastAsia="en-NZ"/>
        </w:rPr>
      </w:pPr>
      <w:hyperlink w:anchor="_Toc75339097" w:history="1">
        <w:r w:rsidRPr="004A693B">
          <w:rPr>
            <w:rStyle w:val="Hyperlink"/>
            <w:noProof/>
          </w:rPr>
          <w:t>Prevalence of suicide in the population for the 2016 year</w:t>
        </w:r>
        <w:r>
          <w:rPr>
            <w:noProof/>
            <w:webHidden/>
          </w:rPr>
          <w:tab/>
        </w:r>
        <w:r>
          <w:rPr>
            <w:noProof/>
            <w:webHidden/>
          </w:rPr>
          <w:fldChar w:fldCharType="begin"/>
        </w:r>
        <w:r>
          <w:rPr>
            <w:noProof/>
            <w:webHidden/>
          </w:rPr>
          <w:instrText xml:space="preserve"> PAGEREF _Toc75339097 \h </w:instrText>
        </w:r>
        <w:r>
          <w:rPr>
            <w:noProof/>
            <w:webHidden/>
          </w:rPr>
        </w:r>
        <w:r>
          <w:rPr>
            <w:noProof/>
            <w:webHidden/>
          </w:rPr>
          <w:fldChar w:fldCharType="separate"/>
        </w:r>
        <w:r w:rsidR="00746605">
          <w:rPr>
            <w:noProof/>
            <w:webHidden/>
          </w:rPr>
          <w:t>2</w:t>
        </w:r>
        <w:r>
          <w:rPr>
            <w:noProof/>
            <w:webHidden/>
          </w:rPr>
          <w:fldChar w:fldCharType="end"/>
        </w:r>
      </w:hyperlink>
    </w:p>
    <w:p w14:paraId="6A0D9BB8" w14:textId="36CDF906" w:rsidR="00E40688" w:rsidRDefault="00E40688">
      <w:pPr>
        <w:pStyle w:val="TOC1"/>
        <w:rPr>
          <w:rFonts w:asciiTheme="minorHAnsi" w:eastAsiaTheme="minorEastAsia" w:hAnsiTheme="minorHAnsi" w:cstheme="minorBidi"/>
          <w:noProof/>
          <w:sz w:val="22"/>
          <w:szCs w:val="22"/>
          <w:lang w:eastAsia="en-NZ"/>
        </w:rPr>
      </w:pPr>
      <w:hyperlink w:anchor="_Toc75339098" w:history="1">
        <w:r w:rsidRPr="004A693B">
          <w:rPr>
            <w:rStyle w:val="Hyperlink"/>
            <w:noProof/>
          </w:rPr>
          <w:t>Changes in number of suicides over time</w:t>
        </w:r>
        <w:r>
          <w:rPr>
            <w:noProof/>
            <w:webHidden/>
          </w:rPr>
          <w:tab/>
        </w:r>
        <w:r>
          <w:rPr>
            <w:noProof/>
            <w:webHidden/>
          </w:rPr>
          <w:fldChar w:fldCharType="begin"/>
        </w:r>
        <w:r>
          <w:rPr>
            <w:noProof/>
            <w:webHidden/>
          </w:rPr>
          <w:instrText xml:space="preserve"> PAGEREF _Toc75339098 \h </w:instrText>
        </w:r>
        <w:r>
          <w:rPr>
            <w:noProof/>
            <w:webHidden/>
          </w:rPr>
        </w:r>
        <w:r>
          <w:rPr>
            <w:noProof/>
            <w:webHidden/>
          </w:rPr>
          <w:fldChar w:fldCharType="separate"/>
        </w:r>
        <w:r w:rsidR="00746605">
          <w:rPr>
            <w:noProof/>
            <w:webHidden/>
          </w:rPr>
          <w:t>4</w:t>
        </w:r>
        <w:r>
          <w:rPr>
            <w:noProof/>
            <w:webHidden/>
          </w:rPr>
          <w:fldChar w:fldCharType="end"/>
        </w:r>
      </w:hyperlink>
    </w:p>
    <w:p w14:paraId="271BCAAC" w14:textId="582E1D18" w:rsidR="00E40688" w:rsidRDefault="00E40688">
      <w:pPr>
        <w:pStyle w:val="TOC1"/>
        <w:rPr>
          <w:rFonts w:asciiTheme="minorHAnsi" w:eastAsiaTheme="minorEastAsia" w:hAnsiTheme="minorHAnsi" w:cstheme="minorBidi"/>
          <w:noProof/>
          <w:sz w:val="22"/>
          <w:szCs w:val="22"/>
          <w:lang w:eastAsia="en-NZ"/>
        </w:rPr>
      </w:pPr>
      <w:hyperlink w:anchor="_Toc75339099" w:history="1">
        <w:r w:rsidRPr="004A693B">
          <w:rPr>
            <w:rStyle w:val="Hyperlink"/>
            <w:noProof/>
          </w:rPr>
          <w:t>Ethnicity and suicide</w:t>
        </w:r>
        <w:r>
          <w:rPr>
            <w:noProof/>
            <w:webHidden/>
          </w:rPr>
          <w:tab/>
        </w:r>
        <w:r>
          <w:rPr>
            <w:noProof/>
            <w:webHidden/>
          </w:rPr>
          <w:fldChar w:fldCharType="begin"/>
        </w:r>
        <w:r>
          <w:rPr>
            <w:noProof/>
            <w:webHidden/>
          </w:rPr>
          <w:instrText xml:space="preserve"> PAGEREF _Toc75339099 \h </w:instrText>
        </w:r>
        <w:r>
          <w:rPr>
            <w:noProof/>
            <w:webHidden/>
          </w:rPr>
        </w:r>
        <w:r>
          <w:rPr>
            <w:noProof/>
            <w:webHidden/>
          </w:rPr>
          <w:fldChar w:fldCharType="separate"/>
        </w:r>
        <w:r w:rsidR="00746605">
          <w:rPr>
            <w:noProof/>
            <w:webHidden/>
          </w:rPr>
          <w:t>7</w:t>
        </w:r>
        <w:r>
          <w:rPr>
            <w:noProof/>
            <w:webHidden/>
          </w:rPr>
          <w:fldChar w:fldCharType="end"/>
        </w:r>
      </w:hyperlink>
    </w:p>
    <w:p w14:paraId="518719BA" w14:textId="703AE061" w:rsidR="00C86248" w:rsidRDefault="00E40688">
      <w:r>
        <w:rPr>
          <w:rFonts w:ascii="Segoe UI Semibold" w:hAnsi="Segoe UI Semibold"/>
          <w:b/>
          <w:sz w:val="24"/>
        </w:rPr>
        <w:fldChar w:fldCharType="end"/>
      </w:r>
    </w:p>
    <w:p w14:paraId="46F2D83A" w14:textId="77777777" w:rsidR="002B76A7" w:rsidRDefault="002B76A7" w:rsidP="002B76A7">
      <w:pPr>
        <w:pStyle w:val="TOC1"/>
        <w:keepNext/>
      </w:pPr>
      <w:r>
        <w:t>List of Tables</w:t>
      </w:r>
    </w:p>
    <w:p w14:paraId="6D5DF2DF" w14:textId="6E074E86" w:rsidR="00AD361D" w:rsidRDefault="002B76A7">
      <w:pPr>
        <w:pStyle w:val="TOC3"/>
        <w:rPr>
          <w:rFonts w:asciiTheme="minorHAnsi" w:eastAsiaTheme="minorEastAsia" w:hAnsiTheme="minorHAnsi" w:cstheme="minorBidi"/>
          <w:noProof/>
          <w:sz w:val="22"/>
          <w:szCs w:val="22"/>
          <w:lang w:eastAsia="en-NZ"/>
        </w:rPr>
      </w:pPr>
      <w:r>
        <w:rPr>
          <w:sz w:val="20"/>
        </w:rPr>
        <w:fldChar w:fldCharType="begin"/>
      </w:r>
      <w:r>
        <w:instrText xml:space="preserve"> TOC \t "Table,3" </w:instrText>
      </w:r>
      <w:r>
        <w:rPr>
          <w:sz w:val="20"/>
        </w:rPr>
        <w:fldChar w:fldCharType="separate"/>
      </w:r>
      <w:r w:rsidR="00AD361D">
        <w:rPr>
          <w:noProof/>
        </w:rPr>
        <w:t>Table 1:</w:t>
      </w:r>
      <w:r w:rsidR="00AD361D">
        <w:rPr>
          <w:noProof/>
        </w:rPr>
        <w:tab/>
        <w:t>Number and age-standardised rate of suicide, by service use, people aged 10–64 years, 2016</w:t>
      </w:r>
      <w:r w:rsidR="00AD361D">
        <w:rPr>
          <w:noProof/>
        </w:rPr>
        <w:tab/>
      </w:r>
      <w:r w:rsidR="00AD361D">
        <w:rPr>
          <w:noProof/>
        </w:rPr>
        <w:fldChar w:fldCharType="begin"/>
      </w:r>
      <w:r w:rsidR="00AD361D">
        <w:rPr>
          <w:noProof/>
        </w:rPr>
        <w:instrText xml:space="preserve"> PAGEREF _Toc75178118 \h </w:instrText>
      </w:r>
      <w:r w:rsidR="00AD361D">
        <w:rPr>
          <w:noProof/>
        </w:rPr>
      </w:r>
      <w:r w:rsidR="00AD361D">
        <w:rPr>
          <w:noProof/>
        </w:rPr>
        <w:fldChar w:fldCharType="separate"/>
      </w:r>
      <w:r w:rsidR="00746605">
        <w:rPr>
          <w:noProof/>
        </w:rPr>
        <w:t>2</w:t>
      </w:r>
      <w:r w:rsidR="00AD361D">
        <w:rPr>
          <w:noProof/>
        </w:rPr>
        <w:fldChar w:fldCharType="end"/>
      </w:r>
    </w:p>
    <w:p w14:paraId="483B51FE" w14:textId="590A3705" w:rsidR="00AD361D" w:rsidRDefault="00AD361D">
      <w:pPr>
        <w:pStyle w:val="TOC3"/>
        <w:rPr>
          <w:rFonts w:asciiTheme="minorHAnsi" w:eastAsiaTheme="minorEastAsia" w:hAnsiTheme="minorHAnsi" w:cstheme="minorBidi"/>
          <w:noProof/>
          <w:sz w:val="22"/>
          <w:szCs w:val="22"/>
          <w:lang w:eastAsia="en-NZ"/>
        </w:rPr>
      </w:pPr>
      <w:r>
        <w:rPr>
          <w:noProof/>
        </w:rPr>
        <w:t>Table 2:</w:t>
      </w:r>
      <w:r>
        <w:rPr>
          <w:noProof/>
        </w:rPr>
        <w:tab/>
        <w:t>Number and age-standardised rate of suicide, by service use and sex, people aged 10–64 years, 2016</w:t>
      </w:r>
      <w:r>
        <w:rPr>
          <w:noProof/>
        </w:rPr>
        <w:tab/>
      </w:r>
      <w:r>
        <w:rPr>
          <w:noProof/>
        </w:rPr>
        <w:fldChar w:fldCharType="begin"/>
      </w:r>
      <w:r>
        <w:rPr>
          <w:noProof/>
        </w:rPr>
        <w:instrText xml:space="preserve"> PAGEREF _Toc75178119 \h </w:instrText>
      </w:r>
      <w:r>
        <w:rPr>
          <w:noProof/>
        </w:rPr>
      </w:r>
      <w:r>
        <w:rPr>
          <w:noProof/>
        </w:rPr>
        <w:fldChar w:fldCharType="separate"/>
      </w:r>
      <w:r w:rsidR="00746605">
        <w:rPr>
          <w:noProof/>
        </w:rPr>
        <w:t>5</w:t>
      </w:r>
      <w:r>
        <w:rPr>
          <w:noProof/>
        </w:rPr>
        <w:fldChar w:fldCharType="end"/>
      </w:r>
    </w:p>
    <w:p w14:paraId="26C55637" w14:textId="731BC3CB" w:rsidR="00AD361D" w:rsidRDefault="00AD361D">
      <w:pPr>
        <w:pStyle w:val="TOC3"/>
        <w:rPr>
          <w:rFonts w:asciiTheme="minorHAnsi" w:eastAsiaTheme="minorEastAsia" w:hAnsiTheme="minorHAnsi" w:cstheme="minorBidi"/>
          <w:noProof/>
          <w:sz w:val="22"/>
          <w:szCs w:val="22"/>
          <w:lang w:eastAsia="en-NZ"/>
        </w:rPr>
      </w:pPr>
      <w:r>
        <w:rPr>
          <w:noProof/>
        </w:rPr>
        <w:t>Table 3:</w:t>
      </w:r>
      <w:r>
        <w:rPr>
          <w:noProof/>
        </w:rPr>
        <w:tab/>
        <w:t>Number and age-specific rate of suicide, by age group, sex and service use, people aged 10–64 years, 2016</w:t>
      </w:r>
      <w:r>
        <w:rPr>
          <w:noProof/>
        </w:rPr>
        <w:tab/>
      </w:r>
      <w:r>
        <w:rPr>
          <w:noProof/>
        </w:rPr>
        <w:fldChar w:fldCharType="begin"/>
      </w:r>
      <w:r>
        <w:rPr>
          <w:noProof/>
        </w:rPr>
        <w:instrText xml:space="preserve"> PAGEREF _Toc75178120 \h </w:instrText>
      </w:r>
      <w:r>
        <w:rPr>
          <w:noProof/>
        </w:rPr>
      </w:r>
      <w:r>
        <w:rPr>
          <w:noProof/>
        </w:rPr>
        <w:fldChar w:fldCharType="separate"/>
      </w:r>
      <w:r w:rsidR="00746605">
        <w:rPr>
          <w:noProof/>
        </w:rPr>
        <w:t>6</w:t>
      </w:r>
      <w:r>
        <w:rPr>
          <w:noProof/>
        </w:rPr>
        <w:fldChar w:fldCharType="end"/>
      </w:r>
    </w:p>
    <w:p w14:paraId="7B8946C1" w14:textId="44AE234A" w:rsidR="00AD361D" w:rsidRDefault="00AD361D">
      <w:pPr>
        <w:pStyle w:val="TOC3"/>
        <w:rPr>
          <w:rFonts w:asciiTheme="minorHAnsi" w:eastAsiaTheme="minorEastAsia" w:hAnsiTheme="minorHAnsi" w:cstheme="minorBidi"/>
          <w:noProof/>
          <w:sz w:val="22"/>
          <w:szCs w:val="22"/>
          <w:lang w:eastAsia="en-NZ"/>
        </w:rPr>
      </w:pPr>
      <w:r>
        <w:rPr>
          <w:noProof/>
        </w:rPr>
        <w:t>Table 4:</w:t>
      </w:r>
      <w:r>
        <w:rPr>
          <w:noProof/>
        </w:rPr>
        <w:tab/>
        <w:t>Number and age-standardised rate of suicide and deaths of undetermined intent, by ethnicity and service use, people aged</w:t>
      </w:r>
      <w:r>
        <w:rPr>
          <w:noProof/>
        </w:rPr>
        <w:br/>
        <w:t>10–64 years, 2016</w:t>
      </w:r>
      <w:r>
        <w:rPr>
          <w:noProof/>
        </w:rPr>
        <w:tab/>
      </w:r>
      <w:r>
        <w:rPr>
          <w:noProof/>
        </w:rPr>
        <w:fldChar w:fldCharType="begin"/>
      </w:r>
      <w:r>
        <w:rPr>
          <w:noProof/>
        </w:rPr>
        <w:instrText xml:space="preserve"> PAGEREF _Toc75178121 \h </w:instrText>
      </w:r>
      <w:r>
        <w:rPr>
          <w:noProof/>
        </w:rPr>
      </w:r>
      <w:r>
        <w:rPr>
          <w:noProof/>
        </w:rPr>
        <w:fldChar w:fldCharType="separate"/>
      </w:r>
      <w:r w:rsidR="00746605">
        <w:rPr>
          <w:noProof/>
        </w:rPr>
        <w:t>7</w:t>
      </w:r>
      <w:r>
        <w:rPr>
          <w:noProof/>
        </w:rPr>
        <w:fldChar w:fldCharType="end"/>
      </w:r>
    </w:p>
    <w:p w14:paraId="5C6C64F4" w14:textId="77777777" w:rsidR="002B76A7" w:rsidRDefault="002B76A7" w:rsidP="003A5FEA">
      <w:r>
        <w:fldChar w:fldCharType="end"/>
      </w:r>
    </w:p>
    <w:p w14:paraId="4569D4CF" w14:textId="77777777" w:rsidR="0033448B" w:rsidRDefault="0033448B" w:rsidP="0033448B">
      <w:pPr>
        <w:pStyle w:val="TOC1"/>
        <w:keepNext/>
      </w:pPr>
      <w:r>
        <w:t>List of Figures</w:t>
      </w:r>
    </w:p>
    <w:p w14:paraId="0815DFD2" w14:textId="18B52545" w:rsidR="00AD361D" w:rsidRDefault="0033448B">
      <w:pPr>
        <w:pStyle w:val="TOC3"/>
        <w:rPr>
          <w:rFonts w:asciiTheme="minorHAnsi" w:eastAsiaTheme="minorEastAsia" w:hAnsiTheme="minorHAnsi" w:cstheme="minorBidi"/>
          <w:noProof/>
          <w:sz w:val="22"/>
          <w:szCs w:val="22"/>
          <w:lang w:eastAsia="en-NZ"/>
        </w:rPr>
      </w:pPr>
      <w:r>
        <w:fldChar w:fldCharType="begin"/>
      </w:r>
      <w:r>
        <w:instrText xml:space="preserve"> TOC \t "Figure,3" </w:instrText>
      </w:r>
      <w:r>
        <w:fldChar w:fldCharType="separate"/>
      </w:r>
      <w:r w:rsidR="00AD361D">
        <w:rPr>
          <w:noProof/>
        </w:rPr>
        <w:t>Figure 1:</w:t>
      </w:r>
      <w:r w:rsidR="00AD361D">
        <w:rPr>
          <w:noProof/>
        </w:rPr>
        <w:tab/>
        <w:t>Age-standardised rate of suicide, by service use, people aged</w:t>
      </w:r>
      <w:r w:rsidR="00AD361D">
        <w:rPr>
          <w:noProof/>
        </w:rPr>
        <w:br/>
        <w:t>10–64 years, 2001–2016</w:t>
      </w:r>
      <w:r w:rsidR="00AD361D">
        <w:rPr>
          <w:noProof/>
        </w:rPr>
        <w:tab/>
      </w:r>
      <w:r w:rsidR="00AD361D">
        <w:rPr>
          <w:noProof/>
        </w:rPr>
        <w:fldChar w:fldCharType="begin"/>
      </w:r>
      <w:r w:rsidR="00AD361D">
        <w:rPr>
          <w:noProof/>
        </w:rPr>
        <w:instrText xml:space="preserve"> PAGEREF _Toc75178124 \h </w:instrText>
      </w:r>
      <w:r w:rsidR="00AD361D">
        <w:rPr>
          <w:noProof/>
        </w:rPr>
      </w:r>
      <w:r w:rsidR="00AD361D">
        <w:rPr>
          <w:noProof/>
        </w:rPr>
        <w:fldChar w:fldCharType="separate"/>
      </w:r>
      <w:r w:rsidR="00746605">
        <w:rPr>
          <w:noProof/>
        </w:rPr>
        <w:t>4</w:t>
      </w:r>
      <w:r w:rsidR="00AD361D">
        <w:rPr>
          <w:noProof/>
        </w:rPr>
        <w:fldChar w:fldCharType="end"/>
      </w:r>
    </w:p>
    <w:p w14:paraId="4A382DDE" w14:textId="1FF6C216" w:rsidR="00AD361D" w:rsidRDefault="00AD361D">
      <w:pPr>
        <w:pStyle w:val="TOC3"/>
        <w:rPr>
          <w:rFonts w:asciiTheme="minorHAnsi" w:eastAsiaTheme="minorEastAsia" w:hAnsiTheme="minorHAnsi" w:cstheme="minorBidi"/>
          <w:noProof/>
          <w:sz w:val="22"/>
          <w:szCs w:val="22"/>
          <w:lang w:eastAsia="en-NZ"/>
        </w:rPr>
      </w:pPr>
      <w:r>
        <w:rPr>
          <w:noProof/>
        </w:rPr>
        <w:t>Figure 2:</w:t>
      </w:r>
      <w:r>
        <w:rPr>
          <w:noProof/>
        </w:rPr>
        <w:tab/>
        <w:t>Age-standardised rate of suicide, by age group, sex and service use, people aged 10–64 years, 2016</w:t>
      </w:r>
      <w:r>
        <w:rPr>
          <w:noProof/>
        </w:rPr>
        <w:tab/>
      </w:r>
      <w:r>
        <w:rPr>
          <w:noProof/>
        </w:rPr>
        <w:fldChar w:fldCharType="begin"/>
      </w:r>
      <w:r>
        <w:rPr>
          <w:noProof/>
        </w:rPr>
        <w:instrText xml:space="preserve"> PAGEREF _Toc75178125 \h </w:instrText>
      </w:r>
      <w:r>
        <w:rPr>
          <w:noProof/>
        </w:rPr>
      </w:r>
      <w:r>
        <w:rPr>
          <w:noProof/>
        </w:rPr>
        <w:fldChar w:fldCharType="separate"/>
      </w:r>
      <w:r w:rsidR="00746605">
        <w:rPr>
          <w:noProof/>
        </w:rPr>
        <w:t>5</w:t>
      </w:r>
      <w:r>
        <w:rPr>
          <w:noProof/>
        </w:rPr>
        <w:fldChar w:fldCharType="end"/>
      </w:r>
    </w:p>
    <w:p w14:paraId="6844686D" w14:textId="77777777" w:rsidR="0033448B" w:rsidRPr="000A0158" w:rsidRDefault="0033448B" w:rsidP="0033448B">
      <w:r>
        <w:fldChar w:fldCharType="end"/>
      </w:r>
    </w:p>
    <w:p w14:paraId="23670214" w14:textId="77777777" w:rsidR="00FB0A5B" w:rsidRDefault="00FB0A5B" w:rsidP="003A5FEA"/>
    <w:p w14:paraId="41C782FF" w14:textId="77777777" w:rsidR="001D3E4E" w:rsidRDefault="001D3E4E" w:rsidP="003A5FEA">
      <w:pPr>
        <w:sectPr w:rsidR="001D3E4E" w:rsidSect="00925892">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1DF9404A" w14:textId="77777777" w:rsidR="008C2973" w:rsidRDefault="006954FE" w:rsidP="00F54E74">
      <w:pPr>
        <w:pStyle w:val="Heading1"/>
      </w:pPr>
      <w:bookmarkStart w:id="3" w:name="_Toc75339096"/>
      <w:r>
        <w:lastRenderedPageBreak/>
        <w:t>Overview</w:t>
      </w:r>
      <w:bookmarkEnd w:id="3"/>
    </w:p>
    <w:p w14:paraId="7E240D94" w14:textId="77777777" w:rsidR="006954FE" w:rsidRPr="000B4D9F" w:rsidRDefault="006954FE" w:rsidP="005300D2">
      <w:r w:rsidRPr="000B4D9F">
        <w:t>Every suicide is a tragedy and has a significant impact on friends, whānau and communities. People who die by suicide are almost always acutely distressed but</w:t>
      </w:r>
      <w:r>
        <w:t xml:space="preserve"> </w:t>
      </w:r>
      <w:r w:rsidRPr="000B4D9F">
        <w:t xml:space="preserve">not </w:t>
      </w:r>
      <w:r>
        <w:t xml:space="preserve">all of them are </w:t>
      </w:r>
      <w:r w:rsidRPr="000B4D9F">
        <w:t>mentally ill.</w:t>
      </w:r>
    </w:p>
    <w:p w14:paraId="4829D788" w14:textId="77777777" w:rsidR="005300D2" w:rsidRDefault="005300D2" w:rsidP="005300D2"/>
    <w:p w14:paraId="083E647C" w14:textId="77777777" w:rsidR="006954FE" w:rsidRPr="000B4D9F" w:rsidRDefault="006954FE" w:rsidP="005300D2">
      <w:pPr>
        <w:rPr>
          <w:rFonts w:cs="Segoe UI"/>
          <w:szCs w:val="21"/>
        </w:rPr>
      </w:pPr>
      <w:r>
        <w:t>N</w:t>
      </w:r>
      <w:r w:rsidRPr="000B4D9F">
        <w:t xml:space="preserve">ote that, </w:t>
      </w:r>
      <w:r>
        <w:t xml:space="preserve">in a </w:t>
      </w:r>
      <w:r w:rsidRPr="000B4D9F">
        <w:t>statistical</w:t>
      </w:r>
      <w:r>
        <w:t xml:space="preserve"> sense</w:t>
      </w:r>
      <w:r w:rsidRPr="000B4D9F">
        <w:t xml:space="preserve">, the number of suicides per year is </w:t>
      </w:r>
      <w:r>
        <w:t>low enough for it to be</w:t>
      </w:r>
      <w:r w:rsidRPr="000B4D9F">
        <w:t xml:space="preserve"> classified as a</w:t>
      </w:r>
      <w:r>
        <w:t>n</w:t>
      </w:r>
      <w:r w:rsidRPr="002B4E43">
        <w:t xml:space="preserve"> </w:t>
      </w:r>
      <w:r w:rsidRPr="000B4D9F">
        <w:t xml:space="preserve">event </w:t>
      </w:r>
      <w:r>
        <w:t xml:space="preserve">with a </w:t>
      </w:r>
      <w:r w:rsidRPr="000B4D9F">
        <w:t xml:space="preserve">low base rate. </w:t>
      </w:r>
      <w:r>
        <w:t>The low base rate</w:t>
      </w:r>
      <w:r w:rsidRPr="000B4D9F">
        <w:t xml:space="preserve"> means that </w:t>
      </w:r>
      <w:r>
        <w:t>the number of suicides in one year</w:t>
      </w:r>
      <w:r w:rsidRPr="000B4D9F">
        <w:t xml:space="preserve"> can differ</w:t>
      </w:r>
      <w:r>
        <w:t xml:space="preserve"> quite substantially from</w:t>
      </w:r>
      <w:r w:rsidRPr="000B4D9F">
        <w:t xml:space="preserve"> the number </w:t>
      </w:r>
      <w:r>
        <w:t>in the</w:t>
      </w:r>
      <w:r w:rsidRPr="000B4D9F">
        <w:t xml:space="preserve"> previous year, but this change is not a clear or reliable indicator of a decrease or increase in rates. Even large fluctuations in rates over short period</w:t>
      </w:r>
      <w:r>
        <w:t>s</w:t>
      </w:r>
      <w:r w:rsidRPr="000B4D9F">
        <w:t xml:space="preserve"> can be unreliable. Understanding data in specific population groups, </w:t>
      </w:r>
      <w:r>
        <w:t>such as</w:t>
      </w:r>
      <w:r w:rsidRPr="000B4D9F">
        <w:t xml:space="preserve"> mental health service users, is </w:t>
      </w:r>
      <w:r>
        <w:t>still</w:t>
      </w:r>
      <w:r w:rsidRPr="000B4D9F">
        <w:t xml:space="preserve"> more difficult because the numbers </w:t>
      </w:r>
      <w:r>
        <w:t xml:space="preserve">involved </w:t>
      </w:r>
      <w:r w:rsidRPr="000B4D9F">
        <w:t xml:space="preserve">are even smaller. Therefore, </w:t>
      </w:r>
      <w:r>
        <w:t xml:space="preserve">we must </w:t>
      </w:r>
      <w:r w:rsidRPr="000B4D9F">
        <w:t>look at patterns over very long period</w:t>
      </w:r>
      <w:r>
        <w:t>s</w:t>
      </w:r>
      <w:r w:rsidRPr="000B4D9F">
        <w:t xml:space="preserve"> to understand </w:t>
      </w:r>
      <w:r w:rsidRPr="00C63B40">
        <w:t>longe</w:t>
      </w:r>
      <w:r w:rsidRPr="003C7724">
        <w:t>r-term trends.</w:t>
      </w:r>
    </w:p>
    <w:p w14:paraId="5CA1A7FC" w14:textId="77777777" w:rsidR="005300D2" w:rsidRDefault="005300D2" w:rsidP="005300D2"/>
    <w:p w14:paraId="40B65E91" w14:textId="77777777" w:rsidR="006954FE" w:rsidRDefault="006954FE" w:rsidP="005300D2">
      <w:r w:rsidRPr="000B4D9F">
        <w:t>In addition, methodological developments have highlighted improved ways of reporting data from low base events</w:t>
      </w:r>
      <w:r>
        <w:t>, but these new approaches have not been used for the data presented in this report</w:t>
      </w:r>
      <w:r w:rsidRPr="000B4D9F">
        <w:t xml:space="preserve">. </w:t>
      </w:r>
      <w:r>
        <w:t>Our</w:t>
      </w:r>
      <w:r w:rsidRPr="000B4D9F">
        <w:t xml:space="preserve"> intention is to improve the way</w:t>
      </w:r>
      <w:r>
        <w:t xml:space="preserve"> we</w:t>
      </w:r>
      <w:r w:rsidRPr="000B4D9F">
        <w:t xml:space="preserve"> analyse and present</w:t>
      </w:r>
      <w:r>
        <w:t xml:space="preserve"> data in the future</w:t>
      </w:r>
      <w:r w:rsidRPr="000B4D9F">
        <w:t>.</w:t>
      </w:r>
    </w:p>
    <w:p w14:paraId="2F56A95C" w14:textId="77777777" w:rsidR="005300D2" w:rsidRPr="000B4D9F" w:rsidRDefault="005300D2" w:rsidP="005300D2"/>
    <w:p w14:paraId="2AABE93E" w14:textId="77777777" w:rsidR="006954FE" w:rsidRPr="00422E20" w:rsidRDefault="006954FE" w:rsidP="005300D2">
      <w:pPr>
        <w:pStyle w:val="Heading1"/>
      </w:pPr>
      <w:bookmarkStart w:id="4" w:name="_Toc75339097"/>
      <w:r w:rsidRPr="00422E20">
        <w:lastRenderedPageBreak/>
        <w:t>Prevalence of suicide in the population</w:t>
      </w:r>
      <w:r>
        <w:t xml:space="preserve"> for the 2016 year</w:t>
      </w:r>
      <w:bookmarkEnd w:id="4"/>
    </w:p>
    <w:p w14:paraId="201FB98E" w14:textId="77777777" w:rsidR="000E38BA" w:rsidRDefault="006954FE" w:rsidP="000E38BA">
      <w:r w:rsidRPr="00FE58B3">
        <w:t xml:space="preserve">In 2016, at the time the data </w:t>
      </w:r>
      <w:r>
        <w:t>was</w:t>
      </w:r>
      <w:r w:rsidRPr="00FE58B3">
        <w:t xml:space="preserve"> extracted, 496 suicides</w:t>
      </w:r>
      <w:r w:rsidRPr="00DC067A">
        <w:t xml:space="preserve"> </w:t>
      </w:r>
      <w:r w:rsidRPr="00FE58B3">
        <w:t>were recorded in the mortality database.</w:t>
      </w:r>
      <w:r w:rsidRPr="000E38BA">
        <w:rPr>
          <w:rStyle w:val="FootnoteReference"/>
        </w:rPr>
        <w:footnoteReference w:id="1"/>
      </w:r>
      <w:r w:rsidRPr="00FE58B3">
        <w:t xml:space="preserve"> A further 28 deaths of undetermined intent were recorded and are included in this report.</w:t>
      </w:r>
    </w:p>
    <w:p w14:paraId="7C1E41BE" w14:textId="77777777" w:rsidR="000E38BA" w:rsidRDefault="000E38BA" w:rsidP="000E38BA"/>
    <w:p w14:paraId="2FCD08F7" w14:textId="77D52338" w:rsidR="006954FE" w:rsidRDefault="006954FE" w:rsidP="000E38BA">
      <w:r w:rsidRPr="00FE58B3">
        <w:t xml:space="preserve">As </w:t>
      </w:r>
      <w:r w:rsidR="000E38BA">
        <w:fldChar w:fldCharType="begin"/>
      </w:r>
      <w:r w:rsidR="000E38BA">
        <w:instrText xml:space="preserve"> REF _Ref75176856 \h </w:instrText>
      </w:r>
      <w:r w:rsidR="000E38BA">
        <w:fldChar w:fldCharType="separate"/>
      </w:r>
      <w:r w:rsidR="00746605">
        <w:t>Table </w:t>
      </w:r>
      <w:r w:rsidR="00746605">
        <w:rPr>
          <w:noProof/>
        </w:rPr>
        <w:t>1</w:t>
      </w:r>
      <w:r w:rsidR="000E38BA">
        <w:fldChar w:fldCharType="end"/>
      </w:r>
      <w:r>
        <w:t xml:space="preserve"> shows</w:t>
      </w:r>
      <w:r w:rsidRPr="00FE58B3">
        <w:t>, in 2016 there were 524 deaths</w:t>
      </w:r>
      <w:r>
        <w:t xml:space="preserve"> by suicide or of undetermined intent</w:t>
      </w:r>
      <w:r w:rsidRPr="00FE58B3">
        <w:t xml:space="preserve">. Of these 524 people, 226 (43 percent) had contact with </w:t>
      </w:r>
      <w:r>
        <w:t xml:space="preserve">specialist </w:t>
      </w:r>
      <w:r w:rsidRPr="00FE58B3">
        <w:t>mental health services in the year before death.</w:t>
      </w:r>
    </w:p>
    <w:p w14:paraId="67DDB7C8" w14:textId="77777777" w:rsidR="000E38BA" w:rsidRDefault="000E38BA" w:rsidP="000E38BA"/>
    <w:p w14:paraId="3FE05B82" w14:textId="5CBEF4EF" w:rsidR="006954FE" w:rsidRPr="00FE58B3" w:rsidRDefault="000E38BA" w:rsidP="000E38BA">
      <w:pPr>
        <w:pStyle w:val="Table"/>
      </w:pPr>
      <w:bookmarkStart w:id="5" w:name="_Ref75176856"/>
      <w:bookmarkStart w:id="6" w:name="_Toc75178118"/>
      <w:r>
        <w:t>Table </w:t>
      </w:r>
      <w:r w:rsidR="00492471">
        <w:fldChar w:fldCharType="begin"/>
      </w:r>
      <w:r w:rsidR="00492471">
        <w:instrText xml:space="preserve"> SEQ Table \* ARABIC </w:instrText>
      </w:r>
      <w:r w:rsidR="00492471">
        <w:fldChar w:fldCharType="separate"/>
      </w:r>
      <w:r w:rsidR="00746605">
        <w:rPr>
          <w:noProof/>
        </w:rPr>
        <w:t>1</w:t>
      </w:r>
      <w:r w:rsidR="00492471">
        <w:rPr>
          <w:noProof/>
        </w:rPr>
        <w:fldChar w:fldCharType="end"/>
      </w:r>
      <w:bookmarkEnd w:id="5"/>
      <w:r w:rsidR="006954FE" w:rsidRPr="00FE58B3">
        <w:t>: Number and age-standardised rate of suicide, by service use, people aged 10–64 years, 2016</w:t>
      </w:r>
      <w:bookmarkEnd w:id="6"/>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3544"/>
        <w:gridCol w:w="1134"/>
        <w:gridCol w:w="2069"/>
      </w:tblGrid>
      <w:tr w:rsidR="000E38BA" w:rsidRPr="000E38BA" w14:paraId="347EFE76" w14:textId="77777777" w:rsidTr="000E38BA">
        <w:trPr>
          <w:cantSplit/>
        </w:trPr>
        <w:tc>
          <w:tcPr>
            <w:tcW w:w="3544" w:type="dxa"/>
            <w:tcBorders>
              <w:top w:val="nil"/>
              <w:bottom w:val="nil"/>
            </w:tcBorders>
            <w:shd w:val="clear" w:color="auto" w:fill="D9D9D9" w:themeFill="background1" w:themeFillShade="D9"/>
          </w:tcPr>
          <w:p w14:paraId="1D235AA1" w14:textId="77777777" w:rsidR="006954FE" w:rsidRPr="000E38BA" w:rsidRDefault="006954FE" w:rsidP="000E38BA">
            <w:pPr>
              <w:pStyle w:val="TableText"/>
              <w:rPr>
                <w:b/>
              </w:rPr>
            </w:pPr>
          </w:p>
        </w:tc>
        <w:tc>
          <w:tcPr>
            <w:tcW w:w="1134" w:type="dxa"/>
            <w:tcBorders>
              <w:top w:val="nil"/>
              <w:bottom w:val="nil"/>
            </w:tcBorders>
            <w:shd w:val="clear" w:color="auto" w:fill="D9D9D9" w:themeFill="background1" w:themeFillShade="D9"/>
            <w:hideMark/>
          </w:tcPr>
          <w:p w14:paraId="70588224" w14:textId="77777777" w:rsidR="006954FE" w:rsidRPr="000E38BA" w:rsidRDefault="006954FE" w:rsidP="000E38BA">
            <w:pPr>
              <w:pStyle w:val="TableText"/>
              <w:jc w:val="center"/>
              <w:rPr>
                <w:b/>
              </w:rPr>
            </w:pPr>
            <w:r w:rsidRPr="000E38BA">
              <w:rPr>
                <w:b/>
              </w:rPr>
              <w:t>Number</w:t>
            </w:r>
          </w:p>
        </w:tc>
        <w:tc>
          <w:tcPr>
            <w:tcW w:w="2069" w:type="dxa"/>
            <w:tcBorders>
              <w:top w:val="nil"/>
              <w:bottom w:val="nil"/>
            </w:tcBorders>
            <w:shd w:val="clear" w:color="auto" w:fill="D9D9D9" w:themeFill="background1" w:themeFillShade="D9"/>
            <w:hideMark/>
          </w:tcPr>
          <w:p w14:paraId="0E858D00" w14:textId="77777777" w:rsidR="006954FE" w:rsidRPr="000E38BA" w:rsidRDefault="006954FE" w:rsidP="000E38BA">
            <w:pPr>
              <w:pStyle w:val="TableText"/>
              <w:jc w:val="center"/>
              <w:rPr>
                <w:b/>
              </w:rPr>
            </w:pPr>
            <w:r w:rsidRPr="000E38BA">
              <w:rPr>
                <w:b/>
              </w:rPr>
              <w:t>Age-standardised rate</w:t>
            </w:r>
          </w:p>
        </w:tc>
      </w:tr>
      <w:tr w:rsidR="006954FE" w:rsidRPr="000E38BA" w14:paraId="00225CDD" w14:textId="77777777" w:rsidTr="000E38BA">
        <w:trPr>
          <w:cantSplit/>
        </w:trPr>
        <w:tc>
          <w:tcPr>
            <w:tcW w:w="3544" w:type="dxa"/>
            <w:tcBorders>
              <w:top w:val="nil"/>
            </w:tcBorders>
            <w:shd w:val="clear" w:color="auto" w:fill="auto"/>
            <w:hideMark/>
          </w:tcPr>
          <w:p w14:paraId="06F4B6F5" w14:textId="77777777" w:rsidR="006954FE" w:rsidRPr="000E38BA" w:rsidRDefault="006954FE" w:rsidP="000E38BA">
            <w:pPr>
              <w:pStyle w:val="TableText"/>
              <w:rPr>
                <w:b/>
              </w:rPr>
            </w:pPr>
            <w:r w:rsidRPr="000E38BA">
              <w:rPr>
                <w:b/>
              </w:rPr>
              <w:t>Deaths due to intentional self-harm</w:t>
            </w:r>
          </w:p>
        </w:tc>
        <w:tc>
          <w:tcPr>
            <w:tcW w:w="1134" w:type="dxa"/>
            <w:tcBorders>
              <w:top w:val="nil"/>
            </w:tcBorders>
            <w:shd w:val="clear" w:color="auto" w:fill="auto"/>
          </w:tcPr>
          <w:p w14:paraId="751B906B" w14:textId="77777777" w:rsidR="006954FE" w:rsidRPr="000E38BA" w:rsidRDefault="006954FE" w:rsidP="000E38BA">
            <w:pPr>
              <w:pStyle w:val="TableText"/>
              <w:tabs>
                <w:tab w:val="decimal" w:pos="652"/>
              </w:tabs>
              <w:rPr>
                <w:b/>
              </w:rPr>
            </w:pPr>
          </w:p>
        </w:tc>
        <w:tc>
          <w:tcPr>
            <w:tcW w:w="2069" w:type="dxa"/>
            <w:tcBorders>
              <w:top w:val="nil"/>
            </w:tcBorders>
            <w:shd w:val="clear" w:color="auto" w:fill="auto"/>
          </w:tcPr>
          <w:p w14:paraId="3D805AA6" w14:textId="77777777" w:rsidR="006954FE" w:rsidRPr="000E38BA" w:rsidRDefault="006954FE" w:rsidP="000E38BA">
            <w:pPr>
              <w:pStyle w:val="TableText"/>
              <w:tabs>
                <w:tab w:val="decimal" w:pos="946"/>
              </w:tabs>
              <w:rPr>
                <w:b/>
              </w:rPr>
            </w:pPr>
          </w:p>
        </w:tc>
      </w:tr>
      <w:tr w:rsidR="006954FE" w:rsidRPr="00FE58B3" w14:paraId="5F0DC3CC" w14:textId="77777777" w:rsidTr="000E38BA">
        <w:trPr>
          <w:cantSplit/>
        </w:trPr>
        <w:tc>
          <w:tcPr>
            <w:tcW w:w="3544" w:type="dxa"/>
            <w:shd w:val="clear" w:color="auto" w:fill="auto"/>
            <w:hideMark/>
          </w:tcPr>
          <w:p w14:paraId="4151337F" w14:textId="77777777" w:rsidR="006954FE" w:rsidRPr="000261EE" w:rsidRDefault="006954FE" w:rsidP="000E38BA">
            <w:pPr>
              <w:pStyle w:val="TableText"/>
            </w:pPr>
            <w:r w:rsidRPr="000261EE">
              <w:t>Service users</w:t>
            </w:r>
          </w:p>
        </w:tc>
        <w:tc>
          <w:tcPr>
            <w:tcW w:w="1134" w:type="dxa"/>
            <w:shd w:val="clear" w:color="auto" w:fill="auto"/>
            <w:hideMark/>
          </w:tcPr>
          <w:p w14:paraId="6331653B" w14:textId="77777777" w:rsidR="006954FE" w:rsidRPr="000261EE" w:rsidRDefault="006954FE" w:rsidP="000E38BA">
            <w:pPr>
              <w:pStyle w:val="TableText"/>
              <w:tabs>
                <w:tab w:val="decimal" w:pos="652"/>
              </w:tabs>
            </w:pPr>
            <w:r w:rsidRPr="000261EE">
              <w:t>216</w:t>
            </w:r>
          </w:p>
        </w:tc>
        <w:tc>
          <w:tcPr>
            <w:tcW w:w="2069" w:type="dxa"/>
            <w:shd w:val="clear" w:color="auto" w:fill="auto"/>
            <w:hideMark/>
          </w:tcPr>
          <w:p w14:paraId="79056557" w14:textId="77777777" w:rsidR="006954FE" w:rsidRPr="000261EE" w:rsidRDefault="006954FE" w:rsidP="000E38BA">
            <w:pPr>
              <w:pStyle w:val="TableText"/>
              <w:tabs>
                <w:tab w:val="decimal" w:pos="946"/>
              </w:tabs>
            </w:pPr>
            <w:r w:rsidRPr="000261EE">
              <w:t>132.0</w:t>
            </w:r>
          </w:p>
        </w:tc>
      </w:tr>
      <w:tr w:rsidR="006954FE" w:rsidRPr="00FE58B3" w14:paraId="08C45F2E" w14:textId="77777777" w:rsidTr="000E38BA">
        <w:trPr>
          <w:cantSplit/>
        </w:trPr>
        <w:tc>
          <w:tcPr>
            <w:tcW w:w="3544" w:type="dxa"/>
            <w:shd w:val="clear" w:color="auto" w:fill="auto"/>
            <w:hideMark/>
          </w:tcPr>
          <w:p w14:paraId="2E1D596E" w14:textId="77777777" w:rsidR="006954FE" w:rsidRPr="000261EE" w:rsidRDefault="006954FE" w:rsidP="000E38BA">
            <w:pPr>
              <w:pStyle w:val="TableText"/>
            </w:pPr>
            <w:r w:rsidRPr="000261EE">
              <w:t>Non-service users</w:t>
            </w:r>
          </w:p>
        </w:tc>
        <w:tc>
          <w:tcPr>
            <w:tcW w:w="1134" w:type="dxa"/>
            <w:shd w:val="clear" w:color="auto" w:fill="auto"/>
            <w:hideMark/>
          </w:tcPr>
          <w:p w14:paraId="36FC8F27" w14:textId="77777777" w:rsidR="006954FE" w:rsidRPr="000261EE" w:rsidRDefault="006954FE" w:rsidP="000E38BA">
            <w:pPr>
              <w:pStyle w:val="TableText"/>
              <w:tabs>
                <w:tab w:val="decimal" w:pos="652"/>
              </w:tabs>
            </w:pPr>
            <w:r w:rsidRPr="000261EE">
              <w:t>280</w:t>
            </w:r>
          </w:p>
        </w:tc>
        <w:tc>
          <w:tcPr>
            <w:tcW w:w="2069" w:type="dxa"/>
            <w:shd w:val="clear" w:color="auto" w:fill="auto"/>
            <w:hideMark/>
          </w:tcPr>
          <w:p w14:paraId="120C9BDE" w14:textId="77777777" w:rsidR="006954FE" w:rsidRPr="000261EE" w:rsidRDefault="006954FE" w:rsidP="000E38BA">
            <w:pPr>
              <w:pStyle w:val="TableText"/>
              <w:tabs>
                <w:tab w:val="decimal" w:pos="946"/>
              </w:tabs>
            </w:pPr>
            <w:r w:rsidRPr="000261EE">
              <w:t>6.9</w:t>
            </w:r>
          </w:p>
        </w:tc>
      </w:tr>
      <w:tr w:rsidR="006954FE" w:rsidRPr="00FE58B3" w14:paraId="04E40D04" w14:textId="77777777" w:rsidTr="000E38BA">
        <w:trPr>
          <w:cantSplit/>
        </w:trPr>
        <w:tc>
          <w:tcPr>
            <w:tcW w:w="3544" w:type="dxa"/>
            <w:shd w:val="clear" w:color="auto" w:fill="auto"/>
            <w:hideMark/>
          </w:tcPr>
          <w:p w14:paraId="70841EC8" w14:textId="77777777" w:rsidR="006954FE" w:rsidRPr="000261EE" w:rsidRDefault="006954FE" w:rsidP="000E38BA">
            <w:pPr>
              <w:pStyle w:val="TableText"/>
            </w:pPr>
            <w:r w:rsidRPr="000261EE">
              <w:t>Total</w:t>
            </w:r>
          </w:p>
        </w:tc>
        <w:tc>
          <w:tcPr>
            <w:tcW w:w="1134" w:type="dxa"/>
            <w:shd w:val="clear" w:color="auto" w:fill="auto"/>
            <w:hideMark/>
          </w:tcPr>
          <w:p w14:paraId="179DCBE8" w14:textId="77777777" w:rsidR="006954FE" w:rsidRPr="000261EE" w:rsidRDefault="006954FE" w:rsidP="000E38BA">
            <w:pPr>
              <w:pStyle w:val="TableText"/>
              <w:tabs>
                <w:tab w:val="decimal" w:pos="652"/>
              </w:tabs>
            </w:pPr>
            <w:r w:rsidRPr="000261EE">
              <w:t>496</w:t>
            </w:r>
          </w:p>
        </w:tc>
        <w:tc>
          <w:tcPr>
            <w:tcW w:w="2069" w:type="dxa"/>
            <w:shd w:val="clear" w:color="auto" w:fill="auto"/>
            <w:hideMark/>
          </w:tcPr>
          <w:p w14:paraId="1BA43077" w14:textId="77777777" w:rsidR="006954FE" w:rsidRPr="000261EE" w:rsidRDefault="006954FE" w:rsidP="000E38BA">
            <w:pPr>
              <w:pStyle w:val="TableText"/>
              <w:tabs>
                <w:tab w:val="decimal" w:pos="946"/>
              </w:tabs>
            </w:pPr>
            <w:r w:rsidRPr="000261EE">
              <w:t>12.4</w:t>
            </w:r>
          </w:p>
        </w:tc>
      </w:tr>
      <w:tr w:rsidR="006954FE" w:rsidRPr="000E38BA" w14:paraId="44E72A77" w14:textId="77777777" w:rsidTr="000E38BA">
        <w:trPr>
          <w:cantSplit/>
        </w:trPr>
        <w:tc>
          <w:tcPr>
            <w:tcW w:w="3544" w:type="dxa"/>
            <w:shd w:val="clear" w:color="auto" w:fill="auto"/>
            <w:hideMark/>
          </w:tcPr>
          <w:p w14:paraId="3BD40661" w14:textId="77777777" w:rsidR="006954FE" w:rsidRPr="000E38BA" w:rsidRDefault="006954FE" w:rsidP="000E38BA">
            <w:pPr>
              <w:pStyle w:val="TableText"/>
              <w:rPr>
                <w:b/>
              </w:rPr>
            </w:pPr>
            <w:r w:rsidRPr="000E38BA">
              <w:rPr>
                <w:b/>
              </w:rPr>
              <w:t>Deaths of undetermined intent</w:t>
            </w:r>
          </w:p>
        </w:tc>
        <w:tc>
          <w:tcPr>
            <w:tcW w:w="1134" w:type="dxa"/>
            <w:shd w:val="clear" w:color="auto" w:fill="auto"/>
          </w:tcPr>
          <w:p w14:paraId="50058C5B" w14:textId="77777777" w:rsidR="006954FE" w:rsidRPr="000E38BA" w:rsidRDefault="006954FE" w:rsidP="000E38BA">
            <w:pPr>
              <w:pStyle w:val="TableText"/>
              <w:tabs>
                <w:tab w:val="decimal" w:pos="652"/>
              </w:tabs>
              <w:rPr>
                <w:b/>
              </w:rPr>
            </w:pPr>
          </w:p>
        </w:tc>
        <w:tc>
          <w:tcPr>
            <w:tcW w:w="2069" w:type="dxa"/>
            <w:shd w:val="clear" w:color="auto" w:fill="auto"/>
          </w:tcPr>
          <w:p w14:paraId="7FE66615" w14:textId="77777777" w:rsidR="006954FE" w:rsidRPr="000E38BA" w:rsidRDefault="006954FE" w:rsidP="000E38BA">
            <w:pPr>
              <w:pStyle w:val="TableText"/>
              <w:tabs>
                <w:tab w:val="decimal" w:pos="946"/>
              </w:tabs>
              <w:rPr>
                <w:b/>
              </w:rPr>
            </w:pPr>
          </w:p>
        </w:tc>
      </w:tr>
      <w:tr w:rsidR="006954FE" w:rsidRPr="00FE58B3" w14:paraId="0E25899E" w14:textId="77777777" w:rsidTr="000E38BA">
        <w:trPr>
          <w:cantSplit/>
        </w:trPr>
        <w:tc>
          <w:tcPr>
            <w:tcW w:w="3544" w:type="dxa"/>
            <w:shd w:val="clear" w:color="auto" w:fill="auto"/>
            <w:hideMark/>
          </w:tcPr>
          <w:p w14:paraId="7354F45D" w14:textId="77777777" w:rsidR="006954FE" w:rsidRPr="000261EE" w:rsidRDefault="006954FE" w:rsidP="000E38BA">
            <w:pPr>
              <w:pStyle w:val="TableText"/>
            </w:pPr>
            <w:r w:rsidRPr="000261EE">
              <w:t>Service users</w:t>
            </w:r>
          </w:p>
        </w:tc>
        <w:tc>
          <w:tcPr>
            <w:tcW w:w="1134" w:type="dxa"/>
            <w:shd w:val="clear" w:color="auto" w:fill="auto"/>
            <w:hideMark/>
          </w:tcPr>
          <w:p w14:paraId="1D2F8B86" w14:textId="77777777" w:rsidR="006954FE" w:rsidRPr="000261EE" w:rsidRDefault="006954FE" w:rsidP="000E38BA">
            <w:pPr>
              <w:pStyle w:val="TableText"/>
              <w:tabs>
                <w:tab w:val="decimal" w:pos="652"/>
              </w:tabs>
            </w:pPr>
            <w:r w:rsidRPr="000261EE">
              <w:t>10</w:t>
            </w:r>
          </w:p>
        </w:tc>
        <w:tc>
          <w:tcPr>
            <w:tcW w:w="2069" w:type="dxa"/>
            <w:shd w:val="clear" w:color="auto" w:fill="auto"/>
            <w:hideMark/>
          </w:tcPr>
          <w:p w14:paraId="44085159" w14:textId="77777777" w:rsidR="006954FE" w:rsidRPr="000261EE" w:rsidRDefault="006954FE" w:rsidP="000E38BA">
            <w:pPr>
              <w:pStyle w:val="TableText"/>
              <w:tabs>
                <w:tab w:val="decimal" w:pos="946"/>
              </w:tabs>
            </w:pPr>
            <w:r w:rsidRPr="000261EE">
              <w:t>6.3</w:t>
            </w:r>
          </w:p>
        </w:tc>
      </w:tr>
      <w:tr w:rsidR="006954FE" w:rsidRPr="00FE58B3" w14:paraId="68CAC04F" w14:textId="77777777" w:rsidTr="000E38BA">
        <w:trPr>
          <w:cantSplit/>
        </w:trPr>
        <w:tc>
          <w:tcPr>
            <w:tcW w:w="3544" w:type="dxa"/>
            <w:shd w:val="clear" w:color="auto" w:fill="auto"/>
            <w:hideMark/>
          </w:tcPr>
          <w:p w14:paraId="511D3469" w14:textId="77777777" w:rsidR="006954FE" w:rsidRPr="000261EE" w:rsidRDefault="006954FE" w:rsidP="000E38BA">
            <w:pPr>
              <w:pStyle w:val="TableText"/>
            </w:pPr>
            <w:r w:rsidRPr="000261EE">
              <w:t>Non-service users</w:t>
            </w:r>
          </w:p>
        </w:tc>
        <w:tc>
          <w:tcPr>
            <w:tcW w:w="1134" w:type="dxa"/>
            <w:shd w:val="clear" w:color="auto" w:fill="auto"/>
            <w:hideMark/>
          </w:tcPr>
          <w:p w14:paraId="68707AF5" w14:textId="77777777" w:rsidR="006954FE" w:rsidRPr="000261EE" w:rsidRDefault="006954FE" w:rsidP="000E38BA">
            <w:pPr>
              <w:pStyle w:val="TableText"/>
              <w:tabs>
                <w:tab w:val="decimal" w:pos="652"/>
              </w:tabs>
            </w:pPr>
            <w:r w:rsidRPr="000261EE">
              <w:t>18</w:t>
            </w:r>
          </w:p>
        </w:tc>
        <w:tc>
          <w:tcPr>
            <w:tcW w:w="2069" w:type="dxa"/>
            <w:shd w:val="clear" w:color="auto" w:fill="auto"/>
            <w:hideMark/>
          </w:tcPr>
          <w:p w14:paraId="3E29E88A" w14:textId="77777777" w:rsidR="006954FE" w:rsidRPr="000261EE" w:rsidRDefault="006954FE" w:rsidP="000E38BA">
            <w:pPr>
              <w:pStyle w:val="TableText"/>
              <w:tabs>
                <w:tab w:val="decimal" w:pos="946"/>
              </w:tabs>
            </w:pPr>
            <w:r w:rsidRPr="000261EE">
              <w:t>0.4</w:t>
            </w:r>
          </w:p>
        </w:tc>
      </w:tr>
      <w:tr w:rsidR="006954FE" w:rsidRPr="00FE58B3" w14:paraId="31E573DD" w14:textId="77777777" w:rsidTr="000E38BA">
        <w:trPr>
          <w:cantSplit/>
        </w:trPr>
        <w:tc>
          <w:tcPr>
            <w:tcW w:w="3544" w:type="dxa"/>
            <w:shd w:val="clear" w:color="auto" w:fill="auto"/>
            <w:hideMark/>
          </w:tcPr>
          <w:p w14:paraId="45409028" w14:textId="77777777" w:rsidR="006954FE" w:rsidRPr="000261EE" w:rsidRDefault="006954FE" w:rsidP="000E38BA">
            <w:pPr>
              <w:pStyle w:val="TableText"/>
            </w:pPr>
            <w:r w:rsidRPr="000261EE">
              <w:t>Total</w:t>
            </w:r>
          </w:p>
        </w:tc>
        <w:tc>
          <w:tcPr>
            <w:tcW w:w="1134" w:type="dxa"/>
            <w:shd w:val="clear" w:color="auto" w:fill="auto"/>
            <w:hideMark/>
          </w:tcPr>
          <w:p w14:paraId="58E7393A" w14:textId="77777777" w:rsidR="006954FE" w:rsidRPr="000261EE" w:rsidRDefault="006954FE" w:rsidP="000E38BA">
            <w:pPr>
              <w:pStyle w:val="TableText"/>
              <w:tabs>
                <w:tab w:val="decimal" w:pos="652"/>
              </w:tabs>
            </w:pPr>
            <w:r w:rsidRPr="000261EE">
              <w:t>28</w:t>
            </w:r>
          </w:p>
        </w:tc>
        <w:tc>
          <w:tcPr>
            <w:tcW w:w="2069" w:type="dxa"/>
            <w:shd w:val="clear" w:color="auto" w:fill="auto"/>
            <w:hideMark/>
          </w:tcPr>
          <w:p w14:paraId="398B5916" w14:textId="77777777" w:rsidR="006954FE" w:rsidRPr="000261EE" w:rsidRDefault="006954FE" w:rsidP="000E38BA">
            <w:pPr>
              <w:pStyle w:val="TableText"/>
              <w:tabs>
                <w:tab w:val="decimal" w:pos="946"/>
              </w:tabs>
            </w:pPr>
            <w:r w:rsidRPr="000261EE">
              <w:t>0.7</w:t>
            </w:r>
          </w:p>
        </w:tc>
      </w:tr>
      <w:tr w:rsidR="006954FE" w:rsidRPr="000E38BA" w14:paraId="05CB0C48" w14:textId="77777777" w:rsidTr="000E38BA">
        <w:trPr>
          <w:cantSplit/>
        </w:trPr>
        <w:tc>
          <w:tcPr>
            <w:tcW w:w="3544" w:type="dxa"/>
            <w:shd w:val="clear" w:color="auto" w:fill="auto"/>
            <w:hideMark/>
          </w:tcPr>
          <w:p w14:paraId="4A9ABB14" w14:textId="77777777" w:rsidR="006954FE" w:rsidRPr="000E38BA" w:rsidRDefault="006954FE" w:rsidP="000E38BA">
            <w:pPr>
              <w:pStyle w:val="TableText"/>
              <w:rPr>
                <w:b/>
              </w:rPr>
            </w:pPr>
            <w:r w:rsidRPr="000E38BA">
              <w:rPr>
                <w:b/>
              </w:rPr>
              <w:t>Total deaths</w:t>
            </w:r>
          </w:p>
        </w:tc>
        <w:tc>
          <w:tcPr>
            <w:tcW w:w="1134" w:type="dxa"/>
            <w:shd w:val="clear" w:color="auto" w:fill="auto"/>
          </w:tcPr>
          <w:p w14:paraId="2D07C748" w14:textId="77777777" w:rsidR="006954FE" w:rsidRPr="000E38BA" w:rsidRDefault="006954FE" w:rsidP="000E38BA">
            <w:pPr>
              <w:pStyle w:val="TableText"/>
              <w:tabs>
                <w:tab w:val="decimal" w:pos="652"/>
              </w:tabs>
              <w:rPr>
                <w:b/>
              </w:rPr>
            </w:pPr>
          </w:p>
        </w:tc>
        <w:tc>
          <w:tcPr>
            <w:tcW w:w="2069" w:type="dxa"/>
            <w:shd w:val="clear" w:color="auto" w:fill="auto"/>
          </w:tcPr>
          <w:p w14:paraId="1E74E6E8" w14:textId="77777777" w:rsidR="006954FE" w:rsidRPr="000E38BA" w:rsidRDefault="006954FE" w:rsidP="000E38BA">
            <w:pPr>
              <w:pStyle w:val="TableText"/>
              <w:tabs>
                <w:tab w:val="decimal" w:pos="946"/>
              </w:tabs>
              <w:rPr>
                <w:b/>
              </w:rPr>
            </w:pPr>
          </w:p>
        </w:tc>
      </w:tr>
      <w:tr w:rsidR="006954FE" w:rsidRPr="00FE58B3" w14:paraId="144E4130" w14:textId="77777777" w:rsidTr="000E38BA">
        <w:trPr>
          <w:cantSplit/>
        </w:trPr>
        <w:tc>
          <w:tcPr>
            <w:tcW w:w="3544" w:type="dxa"/>
            <w:shd w:val="clear" w:color="auto" w:fill="auto"/>
            <w:hideMark/>
          </w:tcPr>
          <w:p w14:paraId="59A2C9E5" w14:textId="77777777" w:rsidR="006954FE" w:rsidRPr="000261EE" w:rsidRDefault="006954FE" w:rsidP="000E38BA">
            <w:pPr>
              <w:pStyle w:val="TableText"/>
            </w:pPr>
            <w:r w:rsidRPr="000261EE">
              <w:t>Service users</w:t>
            </w:r>
          </w:p>
        </w:tc>
        <w:tc>
          <w:tcPr>
            <w:tcW w:w="1134" w:type="dxa"/>
            <w:shd w:val="clear" w:color="auto" w:fill="auto"/>
            <w:hideMark/>
          </w:tcPr>
          <w:p w14:paraId="552848AE" w14:textId="77777777" w:rsidR="006954FE" w:rsidRPr="000261EE" w:rsidRDefault="006954FE" w:rsidP="000E38BA">
            <w:pPr>
              <w:pStyle w:val="TableText"/>
              <w:tabs>
                <w:tab w:val="decimal" w:pos="652"/>
              </w:tabs>
            </w:pPr>
            <w:r w:rsidRPr="000261EE">
              <w:t>226</w:t>
            </w:r>
          </w:p>
        </w:tc>
        <w:tc>
          <w:tcPr>
            <w:tcW w:w="2069" w:type="dxa"/>
            <w:shd w:val="clear" w:color="auto" w:fill="auto"/>
            <w:hideMark/>
          </w:tcPr>
          <w:p w14:paraId="05792A09" w14:textId="77777777" w:rsidR="006954FE" w:rsidRPr="000261EE" w:rsidRDefault="006954FE" w:rsidP="000E38BA">
            <w:pPr>
              <w:pStyle w:val="TableText"/>
              <w:tabs>
                <w:tab w:val="decimal" w:pos="946"/>
              </w:tabs>
            </w:pPr>
            <w:r w:rsidRPr="000261EE">
              <w:t>138.3</w:t>
            </w:r>
          </w:p>
        </w:tc>
      </w:tr>
      <w:tr w:rsidR="006954FE" w:rsidRPr="00FE58B3" w14:paraId="25992BD8" w14:textId="77777777" w:rsidTr="000E38BA">
        <w:trPr>
          <w:cantSplit/>
        </w:trPr>
        <w:tc>
          <w:tcPr>
            <w:tcW w:w="3544" w:type="dxa"/>
            <w:shd w:val="clear" w:color="auto" w:fill="auto"/>
            <w:hideMark/>
          </w:tcPr>
          <w:p w14:paraId="19277E78" w14:textId="77777777" w:rsidR="006954FE" w:rsidRPr="000261EE" w:rsidRDefault="006954FE" w:rsidP="000E38BA">
            <w:pPr>
              <w:pStyle w:val="TableText"/>
            </w:pPr>
            <w:r w:rsidRPr="000261EE">
              <w:t>Non-service users</w:t>
            </w:r>
          </w:p>
        </w:tc>
        <w:tc>
          <w:tcPr>
            <w:tcW w:w="1134" w:type="dxa"/>
            <w:shd w:val="clear" w:color="auto" w:fill="auto"/>
            <w:hideMark/>
          </w:tcPr>
          <w:p w14:paraId="1B2B85A2" w14:textId="77777777" w:rsidR="006954FE" w:rsidRPr="000261EE" w:rsidRDefault="006954FE" w:rsidP="000E38BA">
            <w:pPr>
              <w:pStyle w:val="TableText"/>
              <w:tabs>
                <w:tab w:val="decimal" w:pos="652"/>
              </w:tabs>
            </w:pPr>
            <w:r w:rsidRPr="000261EE">
              <w:t>298</w:t>
            </w:r>
          </w:p>
        </w:tc>
        <w:tc>
          <w:tcPr>
            <w:tcW w:w="2069" w:type="dxa"/>
            <w:shd w:val="clear" w:color="auto" w:fill="auto"/>
            <w:hideMark/>
          </w:tcPr>
          <w:p w14:paraId="6FB248A1" w14:textId="77777777" w:rsidR="006954FE" w:rsidRPr="000261EE" w:rsidRDefault="006954FE" w:rsidP="000E38BA">
            <w:pPr>
              <w:pStyle w:val="TableText"/>
              <w:tabs>
                <w:tab w:val="decimal" w:pos="946"/>
              </w:tabs>
            </w:pPr>
            <w:r w:rsidRPr="000261EE">
              <w:t>7.3</w:t>
            </w:r>
          </w:p>
        </w:tc>
      </w:tr>
      <w:tr w:rsidR="006954FE" w:rsidRPr="00FE58B3" w14:paraId="140CA7EF" w14:textId="77777777" w:rsidTr="000E38BA">
        <w:trPr>
          <w:cantSplit/>
        </w:trPr>
        <w:tc>
          <w:tcPr>
            <w:tcW w:w="3544" w:type="dxa"/>
            <w:shd w:val="clear" w:color="auto" w:fill="auto"/>
            <w:hideMark/>
          </w:tcPr>
          <w:p w14:paraId="0033D1EB" w14:textId="77777777" w:rsidR="006954FE" w:rsidRPr="000261EE" w:rsidRDefault="006954FE" w:rsidP="000E38BA">
            <w:pPr>
              <w:pStyle w:val="TableText"/>
            </w:pPr>
            <w:r w:rsidRPr="000261EE">
              <w:t>Total</w:t>
            </w:r>
          </w:p>
        </w:tc>
        <w:tc>
          <w:tcPr>
            <w:tcW w:w="1134" w:type="dxa"/>
            <w:shd w:val="clear" w:color="auto" w:fill="auto"/>
            <w:hideMark/>
          </w:tcPr>
          <w:p w14:paraId="5F08CCAE" w14:textId="77777777" w:rsidR="006954FE" w:rsidRPr="000261EE" w:rsidRDefault="006954FE" w:rsidP="000E38BA">
            <w:pPr>
              <w:pStyle w:val="TableText"/>
              <w:tabs>
                <w:tab w:val="decimal" w:pos="652"/>
              </w:tabs>
            </w:pPr>
            <w:r w:rsidRPr="000261EE">
              <w:t>524</w:t>
            </w:r>
          </w:p>
        </w:tc>
        <w:tc>
          <w:tcPr>
            <w:tcW w:w="2069" w:type="dxa"/>
            <w:shd w:val="clear" w:color="auto" w:fill="auto"/>
            <w:hideMark/>
          </w:tcPr>
          <w:p w14:paraId="6FA124C6" w14:textId="77777777" w:rsidR="006954FE" w:rsidRPr="000261EE" w:rsidRDefault="006954FE" w:rsidP="000E38BA">
            <w:pPr>
              <w:pStyle w:val="TableText"/>
              <w:tabs>
                <w:tab w:val="decimal" w:pos="946"/>
              </w:tabs>
            </w:pPr>
            <w:r w:rsidRPr="000261EE">
              <w:t>12.3</w:t>
            </w:r>
          </w:p>
        </w:tc>
      </w:tr>
    </w:tbl>
    <w:p w14:paraId="449333CC" w14:textId="77777777" w:rsidR="006954FE" w:rsidRPr="00FE58B3" w:rsidRDefault="006954FE" w:rsidP="000E38BA">
      <w:pPr>
        <w:pStyle w:val="Note"/>
      </w:pPr>
      <w:r w:rsidRPr="00FE58B3">
        <w:t>Notes: Age-standardised rate is per 100,000, standardised to the World Health Organization (WHO) standard population aged 0–64 years. Service user denominator excludes service users of unknown age.</w:t>
      </w:r>
    </w:p>
    <w:p w14:paraId="5E36E6E2" w14:textId="77777777" w:rsidR="006954FE" w:rsidRDefault="006954FE" w:rsidP="000E38BA">
      <w:pPr>
        <w:pStyle w:val="Source"/>
      </w:pPr>
      <w:r w:rsidRPr="00FE58B3">
        <w:t>Source: Ministry of Health mortality database data, extracted on 19 April 2021.</w:t>
      </w:r>
    </w:p>
    <w:p w14:paraId="7B445AC4" w14:textId="77777777" w:rsidR="000E38BA" w:rsidRDefault="000E38BA" w:rsidP="000E38BA"/>
    <w:p w14:paraId="085B1C46" w14:textId="77777777" w:rsidR="006954FE" w:rsidRDefault="006954FE" w:rsidP="000E38BA">
      <w:r w:rsidRPr="00FE58B3">
        <w:lastRenderedPageBreak/>
        <w:t xml:space="preserve">Of the 226 service users who died by suicide in 2016, </w:t>
      </w:r>
      <w:r w:rsidR="000E38BA">
        <w:t>four</w:t>
      </w:r>
      <w:r w:rsidRPr="00FE58B3">
        <w:t xml:space="preserve"> died while they were inpatients,</w:t>
      </w:r>
      <w:r w:rsidRPr="000E38BA">
        <w:rPr>
          <w:rStyle w:val="FootnoteReference"/>
        </w:rPr>
        <w:footnoteReference w:id="2"/>
      </w:r>
      <w:r w:rsidRPr="00FE58B3">
        <w:t xml:space="preserve"> </w:t>
      </w:r>
      <w:r w:rsidR="000E38BA">
        <w:t>seven</w:t>
      </w:r>
      <w:r w:rsidRPr="00FE58B3">
        <w:t xml:space="preserve"> died within a week of being discharged</w:t>
      </w:r>
      <w:r w:rsidRPr="000E38BA">
        <w:rPr>
          <w:rStyle w:val="FootnoteReference"/>
        </w:rPr>
        <w:footnoteReference w:id="3"/>
      </w:r>
      <w:r w:rsidRPr="00FE58B3">
        <w:t xml:space="preserve"> and 50 died within 12</w:t>
      </w:r>
      <w:r w:rsidR="000E38BA">
        <w:t> </w:t>
      </w:r>
      <w:r w:rsidRPr="00FE58B3">
        <w:t>months of discharge</w:t>
      </w:r>
      <w:r>
        <w:t xml:space="preserve"> from an inpatient team</w:t>
      </w:r>
      <w:r w:rsidRPr="00FE58B3">
        <w:t>.</w:t>
      </w:r>
      <w:r w:rsidRPr="000E38BA">
        <w:rPr>
          <w:rStyle w:val="FootnoteReference"/>
        </w:rPr>
        <w:footnoteReference w:id="4"/>
      </w:r>
    </w:p>
    <w:p w14:paraId="2A5861B4" w14:textId="77777777" w:rsidR="000E38BA" w:rsidRDefault="000E38BA" w:rsidP="000E38BA"/>
    <w:p w14:paraId="1BA8F9AE" w14:textId="77777777" w:rsidR="006954FE" w:rsidRPr="00FE58B3" w:rsidRDefault="006954FE" w:rsidP="000E38BA">
      <w:pPr>
        <w:pStyle w:val="Heading1"/>
      </w:pPr>
      <w:bookmarkStart w:id="7" w:name="_Toc75339098"/>
      <w:r w:rsidRPr="00FE58B3">
        <w:lastRenderedPageBreak/>
        <w:t>Changes in number of suicides over time</w:t>
      </w:r>
      <w:bookmarkEnd w:id="7"/>
    </w:p>
    <w:p w14:paraId="3C7F4008" w14:textId="77777777" w:rsidR="006954FE" w:rsidRPr="00FE58B3" w:rsidRDefault="006954FE" w:rsidP="000E38BA">
      <w:r w:rsidRPr="00FE58B3">
        <w:t>From 2001 to 201</w:t>
      </w:r>
      <w:r>
        <w:t>6</w:t>
      </w:r>
      <w:r w:rsidRPr="00FE58B3">
        <w:t xml:space="preserve">, </w:t>
      </w:r>
      <w:r>
        <w:t>2,832</w:t>
      </w:r>
      <w:r w:rsidRPr="00FE58B3">
        <w:t xml:space="preserve"> service users died by suicide.</w:t>
      </w:r>
      <w:r w:rsidRPr="000E38BA">
        <w:rPr>
          <w:rStyle w:val="FootnoteReference"/>
        </w:rPr>
        <w:footnoteReference w:id="5"/>
      </w:r>
      <w:r w:rsidRPr="00FE58B3">
        <w:t xml:space="preserve"> Of this total, </w:t>
      </w:r>
      <w:r>
        <w:t>55</w:t>
      </w:r>
      <w:r w:rsidRPr="00FE58B3">
        <w:t xml:space="preserve"> service users (</w:t>
      </w:r>
      <w:r>
        <w:t>1.9</w:t>
      </w:r>
      <w:r w:rsidR="000E38BA">
        <w:t> </w:t>
      </w:r>
      <w:r w:rsidRPr="00FE58B3">
        <w:t>percent) died while</w:t>
      </w:r>
      <w:r>
        <w:t xml:space="preserve"> they were</w:t>
      </w:r>
      <w:r w:rsidRPr="00FE58B3">
        <w:t xml:space="preserve"> </w:t>
      </w:r>
      <w:r>
        <w:t xml:space="preserve">an </w:t>
      </w:r>
      <w:r w:rsidRPr="00FE58B3">
        <w:t>inpatient, 1</w:t>
      </w:r>
      <w:r>
        <w:t>78</w:t>
      </w:r>
      <w:r w:rsidRPr="00FE58B3">
        <w:t xml:space="preserve"> (6.</w:t>
      </w:r>
      <w:r>
        <w:t>3</w:t>
      </w:r>
      <w:r w:rsidRPr="00FE58B3">
        <w:t xml:space="preserve"> percent) died within a week of being discharged and 8</w:t>
      </w:r>
      <w:r>
        <w:t>16</w:t>
      </w:r>
      <w:r w:rsidRPr="00FE58B3">
        <w:t xml:space="preserve"> (28.</w:t>
      </w:r>
      <w:r>
        <w:t>8</w:t>
      </w:r>
      <w:r w:rsidRPr="00FE58B3">
        <w:t xml:space="preserve"> percent) died within 12 months of discharge</w:t>
      </w:r>
      <w:r>
        <w:t xml:space="preserve"> from an inpatient team</w:t>
      </w:r>
      <w:r w:rsidRPr="00FE58B3">
        <w:t>.</w:t>
      </w:r>
    </w:p>
    <w:p w14:paraId="78C8591B" w14:textId="77777777" w:rsidR="000E38BA" w:rsidRDefault="000E38BA" w:rsidP="000E38BA"/>
    <w:p w14:paraId="390F57B8" w14:textId="77777777" w:rsidR="006954FE" w:rsidRPr="00FE58B3" w:rsidRDefault="006954FE" w:rsidP="000E38BA">
      <w:r w:rsidRPr="00FE58B3">
        <w:t xml:space="preserve">Of the </w:t>
      </w:r>
      <w:r>
        <w:t>2,832</w:t>
      </w:r>
      <w:r w:rsidRPr="00FE58B3">
        <w:t xml:space="preserve"> service user suicides</w:t>
      </w:r>
      <w:r>
        <w:t xml:space="preserve"> that have occurred</w:t>
      </w:r>
      <w:r w:rsidRPr="00FE58B3">
        <w:t xml:space="preserve"> since 2001, </w:t>
      </w:r>
      <w:r>
        <w:t>2,793</w:t>
      </w:r>
      <w:r w:rsidRPr="00FE58B3">
        <w:t xml:space="preserve"> people had received treatment from a community mental health team in the 12 months before their death, and </w:t>
      </w:r>
      <w:r>
        <w:t>678</w:t>
      </w:r>
      <w:r w:rsidRPr="00FE58B3">
        <w:t xml:space="preserve"> had received treatment from an</w:t>
      </w:r>
      <w:r>
        <w:t xml:space="preserve"> AOD</w:t>
      </w:r>
      <w:r w:rsidRPr="00FE58B3">
        <w:t xml:space="preserve"> team in the 12 months before their death</w:t>
      </w:r>
      <w:r>
        <w:t>.</w:t>
      </w:r>
      <w:r w:rsidRPr="000E38BA">
        <w:rPr>
          <w:rStyle w:val="FootnoteReference"/>
        </w:rPr>
        <w:footnoteReference w:id="6"/>
      </w:r>
    </w:p>
    <w:p w14:paraId="1CA511E0" w14:textId="77777777" w:rsidR="000E38BA" w:rsidRDefault="000E38BA" w:rsidP="000E38BA"/>
    <w:p w14:paraId="03AB84A9" w14:textId="13E64E00" w:rsidR="006954FE" w:rsidRDefault="000E38BA" w:rsidP="000E38BA">
      <w:r>
        <w:fldChar w:fldCharType="begin"/>
      </w:r>
      <w:r>
        <w:instrText xml:space="preserve"> REF _Ref75177092 \h </w:instrText>
      </w:r>
      <w:r>
        <w:fldChar w:fldCharType="separate"/>
      </w:r>
      <w:r w:rsidR="00746605">
        <w:t>Figure </w:t>
      </w:r>
      <w:r w:rsidR="00746605">
        <w:rPr>
          <w:noProof/>
        </w:rPr>
        <w:t>1</w:t>
      </w:r>
      <w:r>
        <w:fldChar w:fldCharType="end"/>
      </w:r>
      <w:r w:rsidR="006954FE" w:rsidRPr="00FE58B3">
        <w:t xml:space="preserve"> shows the changes in the rates of suicide by service users and non-service users between 2001 and 201</w:t>
      </w:r>
      <w:r w:rsidR="006954FE">
        <w:t>6</w:t>
      </w:r>
      <w:r w:rsidR="006954FE" w:rsidRPr="00FE58B3">
        <w:t>.</w:t>
      </w:r>
    </w:p>
    <w:p w14:paraId="660D0968" w14:textId="77777777" w:rsidR="000E38BA" w:rsidRPr="00FE58B3" w:rsidRDefault="000E38BA" w:rsidP="008E1235"/>
    <w:p w14:paraId="1D2EB599" w14:textId="596EEE30" w:rsidR="006954FE" w:rsidRPr="00FE58B3" w:rsidRDefault="000E38BA" w:rsidP="000E38BA">
      <w:pPr>
        <w:pStyle w:val="Figure"/>
      </w:pPr>
      <w:bookmarkStart w:id="8" w:name="_Ref75177092"/>
      <w:bookmarkStart w:id="9" w:name="_Toc2845735"/>
      <w:bookmarkStart w:id="10" w:name="_Toc75178124"/>
      <w:r>
        <w:t>Figure </w:t>
      </w:r>
      <w:r w:rsidR="00492471">
        <w:fldChar w:fldCharType="begin"/>
      </w:r>
      <w:r w:rsidR="00492471">
        <w:instrText xml:space="preserve"> SEQ Figure </w:instrText>
      </w:r>
      <w:r w:rsidR="00492471">
        <w:instrText xml:space="preserve">\* ARABIC </w:instrText>
      </w:r>
      <w:r w:rsidR="00492471">
        <w:fldChar w:fldCharType="separate"/>
      </w:r>
      <w:r w:rsidR="00746605">
        <w:rPr>
          <w:noProof/>
        </w:rPr>
        <w:t>1</w:t>
      </w:r>
      <w:r w:rsidR="00492471">
        <w:rPr>
          <w:noProof/>
        </w:rPr>
        <w:fldChar w:fldCharType="end"/>
      </w:r>
      <w:bookmarkEnd w:id="8"/>
      <w:r w:rsidR="006954FE" w:rsidRPr="00FE58B3">
        <w:t>: Age-standardised rate of suicide, by service use, people aged 10–64 years, 2001–201</w:t>
      </w:r>
      <w:bookmarkEnd w:id="9"/>
      <w:r w:rsidR="006954FE">
        <w:t>6</w:t>
      </w:r>
      <w:bookmarkEnd w:id="10"/>
    </w:p>
    <w:p w14:paraId="23F967C1" w14:textId="77777777" w:rsidR="006954FE" w:rsidRPr="00FE58B3" w:rsidRDefault="006954FE" w:rsidP="00F53132">
      <w:pPr>
        <w:pStyle w:val="Note"/>
      </w:pPr>
      <w:r w:rsidRPr="00FE58B3">
        <w:rPr>
          <w:noProof/>
          <w:lang w:eastAsia="en-NZ"/>
        </w:rPr>
        <w:drawing>
          <wp:inline distT="0" distB="0" distL="0" distR="0" wp14:anchorId="70722EB5" wp14:editId="5C03B457">
            <wp:extent cx="5195454" cy="2836642"/>
            <wp:effectExtent l="0" t="0" r="5715" b="1905"/>
            <wp:docPr id="8" name="Chart 8" descr="Figure 1: Age standardised rate of suicide, by service use, people aged 10-64 years, 2001-2016">
              <a:extLst xmlns:a="http://schemas.openxmlformats.org/drawingml/2006/main">
                <a:ext uri="{FF2B5EF4-FFF2-40B4-BE49-F238E27FC236}">
                  <a16:creationId xmlns:a16="http://schemas.microsoft.com/office/drawing/2014/main" id="{954482D7-1638-4F1D-87BB-C9C7BDBD19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422E20">
        <w:t>Notes: Age-standardised rate is per 100,000 population, standardised to the WHO standard population aged</w:t>
      </w:r>
      <w:r>
        <w:t xml:space="preserve"> </w:t>
      </w:r>
      <w:r w:rsidRPr="00422E20">
        <w:t>0–64 years. The service user population is much smaller than the non-service user population and will therefore produce rates more prone to fluctuation from year to year.</w:t>
      </w:r>
    </w:p>
    <w:p w14:paraId="320E214B" w14:textId="77777777" w:rsidR="006954FE" w:rsidRDefault="006954FE" w:rsidP="00F53132">
      <w:pPr>
        <w:pStyle w:val="Source"/>
      </w:pPr>
      <w:r w:rsidRPr="00FE58B3">
        <w:t>Source: Ministry of Health mortality database data, extracted on 19 April 2021.</w:t>
      </w:r>
    </w:p>
    <w:p w14:paraId="63200D57" w14:textId="77777777" w:rsidR="00F53132" w:rsidRPr="00F53132" w:rsidRDefault="00F53132" w:rsidP="00F53132"/>
    <w:p w14:paraId="5FACAD4D" w14:textId="77777777" w:rsidR="006954FE" w:rsidRPr="00FE58B3" w:rsidRDefault="006954FE" w:rsidP="006954FE">
      <w:pPr>
        <w:pStyle w:val="Heading3"/>
      </w:pPr>
      <w:r w:rsidRPr="00FE58B3">
        <w:lastRenderedPageBreak/>
        <w:t>Sex and age in relation to suicide</w:t>
      </w:r>
    </w:p>
    <w:p w14:paraId="7E8155FC" w14:textId="4FF37246" w:rsidR="006954FE" w:rsidRDefault="006954FE" w:rsidP="008E1235">
      <w:r>
        <w:t>In</w:t>
      </w:r>
      <w:r w:rsidRPr="00FE58B3">
        <w:t xml:space="preserve"> 2016, as </w:t>
      </w:r>
      <w:r w:rsidR="008E1235">
        <w:fldChar w:fldCharType="begin"/>
      </w:r>
      <w:r w:rsidR="008E1235">
        <w:instrText xml:space="preserve"> REF _Ref75177472 \h </w:instrText>
      </w:r>
      <w:r w:rsidR="008E1235">
        <w:fldChar w:fldCharType="separate"/>
      </w:r>
      <w:r w:rsidR="00746605">
        <w:t>Table </w:t>
      </w:r>
      <w:r w:rsidR="00746605">
        <w:rPr>
          <w:noProof/>
        </w:rPr>
        <w:t>2</w:t>
      </w:r>
      <w:r w:rsidR="008E1235">
        <w:fldChar w:fldCharType="end"/>
      </w:r>
      <w:r w:rsidRPr="00FE58B3">
        <w:t xml:space="preserve"> and </w:t>
      </w:r>
      <w:r w:rsidR="008E1235">
        <w:fldChar w:fldCharType="begin"/>
      </w:r>
      <w:r w:rsidR="008E1235">
        <w:instrText xml:space="preserve"> REF _Ref75177484 \h </w:instrText>
      </w:r>
      <w:r w:rsidR="008E1235">
        <w:fldChar w:fldCharType="separate"/>
      </w:r>
      <w:r w:rsidR="00746605">
        <w:t>Figure </w:t>
      </w:r>
      <w:r w:rsidR="00746605">
        <w:rPr>
          <w:noProof/>
        </w:rPr>
        <w:t>2</w:t>
      </w:r>
      <w:r w:rsidR="008E1235">
        <w:fldChar w:fldCharType="end"/>
      </w:r>
      <w:r w:rsidRPr="00FE58B3">
        <w:t xml:space="preserve"> show, 2.6 times more males than females died by suicide. Of the service users who died by suicide in 2016, 33.6 percent were female and 66.4 percent were male.</w:t>
      </w:r>
    </w:p>
    <w:p w14:paraId="42CC9DC8" w14:textId="77777777" w:rsidR="008E1235" w:rsidRDefault="008E1235" w:rsidP="008E1235"/>
    <w:p w14:paraId="3ECDD799" w14:textId="76DD1A13" w:rsidR="000E38BA" w:rsidRDefault="008E1235" w:rsidP="008E1235">
      <w:r>
        <w:fldChar w:fldCharType="begin"/>
      </w:r>
      <w:r>
        <w:instrText xml:space="preserve"> REF _Ref75177594 \h </w:instrText>
      </w:r>
      <w:r>
        <w:fldChar w:fldCharType="separate"/>
      </w:r>
      <w:r w:rsidR="00746605">
        <w:t>Table </w:t>
      </w:r>
      <w:r w:rsidR="00746605">
        <w:rPr>
          <w:noProof/>
        </w:rPr>
        <w:t>3</w:t>
      </w:r>
      <w:r>
        <w:fldChar w:fldCharType="end"/>
      </w:r>
      <w:r w:rsidR="006954FE">
        <w:t xml:space="preserve"> shows the number and rate of suicide by age group, sex and service use.</w:t>
      </w:r>
    </w:p>
    <w:p w14:paraId="79D4EF88" w14:textId="77777777" w:rsidR="008E1235" w:rsidRDefault="008E1235" w:rsidP="008E1235"/>
    <w:p w14:paraId="78F62445" w14:textId="77777777" w:rsidR="006954FE" w:rsidRDefault="006954FE" w:rsidP="008E1235">
      <w:r w:rsidRPr="00FE58B3">
        <w:t xml:space="preserve">When considering these numbers, </w:t>
      </w:r>
      <w:r>
        <w:t>remember</w:t>
      </w:r>
      <w:r w:rsidRPr="00FE58B3">
        <w:t xml:space="preserve"> that these age-standardised rates are highly variable over time because they </w:t>
      </w:r>
      <w:r>
        <w:t>come</w:t>
      </w:r>
      <w:r w:rsidRPr="00FE58B3">
        <w:t xml:space="preserve"> from a small population </w:t>
      </w:r>
      <w:r>
        <w:t xml:space="preserve">of </w:t>
      </w:r>
      <w:r w:rsidRPr="00FE58B3">
        <w:t>service user</w:t>
      </w:r>
      <w:r>
        <w:t>s</w:t>
      </w:r>
      <w:r w:rsidRPr="00FE58B3">
        <w:t>.</w:t>
      </w:r>
    </w:p>
    <w:p w14:paraId="15DA729D" w14:textId="77777777" w:rsidR="008E1235" w:rsidRPr="00FE58B3" w:rsidRDefault="008E1235" w:rsidP="008E1235"/>
    <w:p w14:paraId="786BBB23" w14:textId="5C5A31DF" w:rsidR="006954FE" w:rsidRPr="00FE58B3" w:rsidRDefault="008E1235" w:rsidP="008E1235">
      <w:pPr>
        <w:pStyle w:val="Table"/>
      </w:pPr>
      <w:bookmarkStart w:id="11" w:name="_Ref75177472"/>
      <w:bookmarkStart w:id="12" w:name="_Toc75178119"/>
      <w:r>
        <w:t>Table </w:t>
      </w:r>
      <w:r w:rsidR="00492471">
        <w:fldChar w:fldCharType="begin"/>
      </w:r>
      <w:r w:rsidR="00492471">
        <w:instrText xml:space="preserve"> SEQ Table \* ARABIC </w:instrText>
      </w:r>
      <w:r w:rsidR="00492471">
        <w:fldChar w:fldCharType="separate"/>
      </w:r>
      <w:r w:rsidR="00746605">
        <w:rPr>
          <w:noProof/>
        </w:rPr>
        <w:t>2</w:t>
      </w:r>
      <w:r w:rsidR="00492471">
        <w:rPr>
          <w:noProof/>
        </w:rPr>
        <w:fldChar w:fldCharType="end"/>
      </w:r>
      <w:bookmarkEnd w:id="11"/>
      <w:r w:rsidR="006954FE" w:rsidRPr="00FE58B3">
        <w:t>: Number and age-standardised rate of suicide, by service use and sex, people aged 10–64 years, 2016</w:t>
      </w:r>
      <w:bookmarkEnd w:id="12"/>
    </w:p>
    <w:tbl>
      <w:tblPr>
        <w:tblW w:w="8085" w:type="dxa"/>
        <w:tblInd w:w="57" w:type="dxa"/>
        <w:tblLayout w:type="fixed"/>
        <w:tblCellMar>
          <w:left w:w="57" w:type="dxa"/>
          <w:right w:w="57" w:type="dxa"/>
        </w:tblCellMar>
        <w:tblLook w:val="01E0" w:firstRow="1" w:lastRow="1" w:firstColumn="1" w:lastColumn="1" w:noHBand="0" w:noVBand="0"/>
      </w:tblPr>
      <w:tblGrid>
        <w:gridCol w:w="1318"/>
        <w:gridCol w:w="1127"/>
        <w:gridCol w:w="1128"/>
        <w:gridCol w:w="1128"/>
        <w:gridCol w:w="1128"/>
        <w:gridCol w:w="1128"/>
        <w:gridCol w:w="1128"/>
      </w:tblGrid>
      <w:tr w:rsidR="006954FE" w:rsidRPr="008E1235" w14:paraId="62806406" w14:textId="77777777" w:rsidTr="004D354A">
        <w:trPr>
          <w:cantSplit/>
        </w:trPr>
        <w:tc>
          <w:tcPr>
            <w:tcW w:w="1318" w:type="dxa"/>
            <w:vMerge w:val="restart"/>
            <w:tcBorders>
              <w:top w:val="nil"/>
              <w:left w:val="nil"/>
              <w:bottom w:val="nil"/>
              <w:right w:val="single" w:sz="4" w:space="0" w:color="A6A6A6" w:themeColor="background1" w:themeShade="A6"/>
            </w:tcBorders>
            <w:shd w:val="clear" w:color="auto" w:fill="D9D9D9" w:themeFill="background1" w:themeFillShade="D9"/>
            <w:hideMark/>
          </w:tcPr>
          <w:p w14:paraId="57F72034" w14:textId="77777777" w:rsidR="006954FE" w:rsidRPr="008E1235" w:rsidRDefault="006954FE" w:rsidP="008E1235">
            <w:pPr>
              <w:pStyle w:val="TableText"/>
              <w:rPr>
                <w:b/>
              </w:rPr>
            </w:pPr>
            <w:r w:rsidRPr="008E1235">
              <w:rPr>
                <w:b/>
              </w:rPr>
              <w:t>Sex</w:t>
            </w:r>
          </w:p>
        </w:tc>
        <w:tc>
          <w:tcPr>
            <w:tcW w:w="2254"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3E9B59B6" w14:textId="77777777" w:rsidR="006954FE" w:rsidRPr="008E1235" w:rsidRDefault="006954FE" w:rsidP="008E1235">
            <w:pPr>
              <w:pStyle w:val="TableText"/>
              <w:jc w:val="center"/>
              <w:rPr>
                <w:b/>
              </w:rPr>
            </w:pPr>
            <w:r w:rsidRPr="008E1235">
              <w:rPr>
                <w:b/>
              </w:rPr>
              <w:t>Service users</w:t>
            </w:r>
          </w:p>
        </w:tc>
        <w:tc>
          <w:tcPr>
            <w:tcW w:w="2254"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68CD6764" w14:textId="77777777" w:rsidR="006954FE" w:rsidRPr="008E1235" w:rsidRDefault="006954FE" w:rsidP="008E1235">
            <w:pPr>
              <w:pStyle w:val="TableText"/>
              <w:jc w:val="center"/>
              <w:rPr>
                <w:b/>
              </w:rPr>
            </w:pPr>
            <w:r w:rsidRPr="008E1235">
              <w:rPr>
                <w:b/>
              </w:rPr>
              <w:t>Non-service users</w:t>
            </w:r>
          </w:p>
        </w:tc>
        <w:tc>
          <w:tcPr>
            <w:tcW w:w="2254" w:type="dxa"/>
            <w:gridSpan w:val="2"/>
            <w:tcBorders>
              <w:top w:val="nil"/>
              <w:left w:val="single" w:sz="4" w:space="0" w:color="A6A6A6" w:themeColor="background1" w:themeShade="A6"/>
              <w:bottom w:val="nil"/>
              <w:right w:val="nil"/>
            </w:tcBorders>
            <w:shd w:val="clear" w:color="auto" w:fill="D9D9D9" w:themeFill="background1" w:themeFillShade="D9"/>
            <w:hideMark/>
          </w:tcPr>
          <w:p w14:paraId="2B046416" w14:textId="77777777" w:rsidR="006954FE" w:rsidRPr="008E1235" w:rsidRDefault="006954FE" w:rsidP="008E1235">
            <w:pPr>
              <w:pStyle w:val="TableText"/>
              <w:jc w:val="center"/>
              <w:rPr>
                <w:b/>
              </w:rPr>
            </w:pPr>
            <w:r w:rsidRPr="008E1235">
              <w:rPr>
                <w:b/>
              </w:rPr>
              <w:t>Total</w:t>
            </w:r>
          </w:p>
        </w:tc>
      </w:tr>
      <w:tr w:rsidR="006954FE" w:rsidRPr="008E1235" w14:paraId="4CE36A07" w14:textId="77777777" w:rsidTr="004D354A">
        <w:trPr>
          <w:cantSplit/>
        </w:trPr>
        <w:tc>
          <w:tcPr>
            <w:tcW w:w="1318" w:type="dxa"/>
            <w:vMerge/>
            <w:tcBorders>
              <w:top w:val="nil"/>
              <w:left w:val="nil"/>
              <w:bottom w:val="nil"/>
              <w:right w:val="single" w:sz="4" w:space="0" w:color="A6A6A6" w:themeColor="background1" w:themeShade="A6"/>
            </w:tcBorders>
            <w:vAlign w:val="center"/>
            <w:hideMark/>
          </w:tcPr>
          <w:p w14:paraId="728A37AF" w14:textId="77777777" w:rsidR="006954FE" w:rsidRPr="008E1235" w:rsidRDefault="006954FE" w:rsidP="008E1235">
            <w:pPr>
              <w:pStyle w:val="TableText"/>
              <w:rPr>
                <w:b/>
              </w:rPr>
            </w:pPr>
          </w:p>
        </w:tc>
        <w:tc>
          <w:tcPr>
            <w:tcW w:w="1127" w:type="dxa"/>
            <w:tcBorders>
              <w:top w:val="nil"/>
              <w:left w:val="single" w:sz="4" w:space="0" w:color="A6A6A6" w:themeColor="background1" w:themeShade="A6"/>
              <w:bottom w:val="nil"/>
              <w:right w:val="nil"/>
            </w:tcBorders>
            <w:shd w:val="clear" w:color="auto" w:fill="D9D9D9" w:themeFill="background1" w:themeFillShade="D9"/>
            <w:hideMark/>
          </w:tcPr>
          <w:p w14:paraId="3B8717EE" w14:textId="77777777" w:rsidR="006954FE" w:rsidRPr="008E1235" w:rsidRDefault="006954FE" w:rsidP="008E1235">
            <w:pPr>
              <w:pStyle w:val="TableText"/>
              <w:spacing w:before="0"/>
              <w:jc w:val="center"/>
              <w:rPr>
                <w:b/>
              </w:rPr>
            </w:pPr>
            <w:r w:rsidRPr="008E1235">
              <w:rPr>
                <w:b/>
              </w:rPr>
              <w:t>Number</w:t>
            </w:r>
          </w:p>
        </w:tc>
        <w:tc>
          <w:tcPr>
            <w:tcW w:w="1127" w:type="dxa"/>
            <w:tcBorders>
              <w:top w:val="nil"/>
              <w:left w:val="nil"/>
              <w:bottom w:val="nil"/>
              <w:right w:val="single" w:sz="4" w:space="0" w:color="A6A6A6" w:themeColor="background1" w:themeShade="A6"/>
            </w:tcBorders>
            <w:shd w:val="clear" w:color="auto" w:fill="D9D9D9" w:themeFill="background1" w:themeFillShade="D9"/>
            <w:hideMark/>
          </w:tcPr>
          <w:p w14:paraId="48ADD9E8" w14:textId="77777777" w:rsidR="006954FE" w:rsidRPr="008E1235" w:rsidRDefault="006954FE" w:rsidP="008E1235">
            <w:pPr>
              <w:pStyle w:val="TableText"/>
              <w:spacing w:before="0"/>
              <w:jc w:val="center"/>
              <w:rPr>
                <w:b/>
              </w:rPr>
            </w:pPr>
            <w:r w:rsidRPr="008E1235">
              <w:rPr>
                <w:b/>
              </w:rPr>
              <w:t>ASR</w:t>
            </w:r>
          </w:p>
        </w:tc>
        <w:tc>
          <w:tcPr>
            <w:tcW w:w="1127" w:type="dxa"/>
            <w:tcBorders>
              <w:top w:val="nil"/>
              <w:left w:val="single" w:sz="4" w:space="0" w:color="A6A6A6" w:themeColor="background1" w:themeShade="A6"/>
              <w:bottom w:val="nil"/>
              <w:right w:val="nil"/>
            </w:tcBorders>
            <w:shd w:val="clear" w:color="auto" w:fill="D9D9D9" w:themeFill="background1" w:themeFillShade="D9"/>
            <w:hideMark/>
          </w:tcPr>
          <w:p w14:paraId="508D67F5" w14:textId="77777777" w:rsidR="006954FE" w:rsidRPr="008E1235" w:rsidRDefault="006954FE" w:rsidP="008E1235">
            <w:pPr>
              <w:pStyle w:val="TableText"/>
              <w:spacing w:before="0"/>
              <w:jc w:val="center"/>
              <w:rPr>
                <w:b/>
              </w:rPr>
            </w:pPr>
            <w:r w:rsidRPr="008E1235">
              <w:rPr>
                <w:b/>
              </w:rPr>
              <w:t>Number</w:t>
            </w:r>
          </w:p>
        </w:tc>
        <w:tc>
          <w:tcPr>
            <w:tcW w:w="1127" w:type="dxa"/>
            <w:tcBorders>
              <w:top w:val="nil"/>
              <w:left w:val="nil"/>
              <w:bottom w:val="nil"/>
              <w:right w:val="single" w:sz="4" w:space="0" w:color="A6A6A6" w:themeColor="background1" w:themeShade="A6"/>
            </w:tcBorders>
            <w:shd w:val="clear" w:color="auto" w:fill="D9D9D9" w:themeFill="background1" w:themeFillShade="D9"/>
            <w:hideMark/>
          </w:tcPr>
          <w:p w14:paraId="5BD9F134" w14:textId="77777777" w:rsidR="006954FE" w:rsidRPr="008E1235" w:rsidRDefault="006954FE" w:rsidP="008E1235">
            <w:pPr>
              <w:pStyle w:val="TableText"/>
              <w:spacing w:before="0"/>
              <w:jc w:val="center"/>
              <w:rPr>
                <w:b/>
              </w:rPr>
            </w:pPr>
            <w:r w:rsidRPr="008E1235">
              <w:rPr>
                <w:b/>
              </w:rPr>
              <w:t>ASR</w:t>
            </w:r>
          </w:p>
        </w:tc>
        <w:tc>
          <w:tcPr>
            <w:tcW w:w="1127" w:type="dxa"/>
            <w:tcBorders>
              <w:top w:val="nil"/>
              <w:left w:val="single" w:sz="4" w:space="0" w:color="A6A6A6" w:themeColor="background1" w:themeShade="A6"/>
              <w:bottom w:val="nil"/>
              <w:right w:val="nil"/>
            </w:tcBorders>
            <w:shd w:val="clear" w:color="auto" w:fill="D9D9D9" w:themeFill="background1" w:themeFillShade="D9"/>
            <w:hideMark/>
          </w:tcPr>
          <w:p w14:paraId="53073181" w14:textId="77777777" w:rsidR="006954FE" w:rsidRPr="008E1235" w:rsidRDefault="006954FE" w:rsidP="008E1235">
            <w:pPr>
              <w:pStyle w:val="TableText"/>
              <w:spacing w:before="0"/>
              <w:jc w:val="center"/>
              <w:rPr>
                <w:b/>
              </w:rPr>
            </w:pPr>
            <w:r w:rsidRPr="008E1235">
              <w:rPr>
                <w:b/>
              </w:rPr>
              <w:t>Number</w:t>
            </w:r>
          </w:p>
        </w:tc>
        <w:tc>
          <w:tcPr>
            <w:tcW w:w="1127" w:type="dxa"/>
            <w:shd w:val="clear" w:color="auto" w:fill="D9D9D9" w:themeFill="background1" w:themeFillShade="D9"/>
            <w:hideMark/>
          </w:tcPr>
          <w:p w14:paraId="560304FE" w14:textId="77777777" w:rsidR="006954FE" w:rsidRPr="008E1235" w:rsidRDefault="006954FE" w:rsidP="008E1235">
            <w:pPr>
              <w:pStyle w:val="TableText"/>
              <w:spacing w:before="0"/>
              <w:jc w:val="center"/>
              <w:rPr>
                <w:b/>
              </w:rPr>
            </w:pPr>
            <w:r w:rsidRPr="008E1235">
              <w:rPr>
                <w:b/>
              </w:rPr>
              <w:t>ASR</w:t>
            </w:r>
          </w:p>
        </w:tc>
      </w:tr>
      <w:tr w:rsidR="006954FE" w:rsidRPr="00FE58B3" w14:paraId="03D1C6ED" w14:textId="77777777" w:rsidTr="004D354A">
        <w:trPr>
          <w:cantSplit/>
        </w:trPr>
        <w:tc>
          <w:tcPr>
            <w:tcW w:w="1318" w:type="dxa"/>
            <w:tcBorders>
              <w:top w:val="nil"/>
              <w:left w:val="nil"/>
              <w:bottom w:val="single" w:sz="4" w:space="0" w:color="A6A6A6" w:themeColor="background1" w:themeShade="A6"/>
              <w:right w:val="single" w:sz="4" w:space="0" w:color="A6A6A6" w:themeColor="background1" w:themeShade="A6"/>
            </w:tcBorders>
            <w:hideMark/>
          </w:tcPr>
          <w:p w14:paraId="4B675BA5" w14:textId="77777777" w:rsidR="006954FE" w:rsidRPr="000261EE" w:rsidRDefault="006954FE" w:rsidP="008E1235">
            <w:pPr>
              <w:pStyle w:val="TableText"/>
            </w:pPr>
            <w:r w:rsidRPr="000261EE">
              <w:t>Males</w:t>
            </w:r>
          </w:p>
        </w:tc>
        <w:tc>
          <w:tcPr>
            <w:tcW w:w="1127" w:type="dxa"/>
            <w:tcBorders>
              <w:top w:val="nil"/>
              <w:left w:val="single" w:sz="4" w:space="0" w:color="A6A6A6" w:themeColor="background1" w:themeShade="A6"/>
              <w:bottom w:val="single" w:sz="4" w:space="0" w:color="A6A6A6" w:themeColor="background1" w:themeShade="A6"/>
              <w:right w:val="nil"/>
            </w:tcBorders>
            <w:hideMark/>
          </w:tcPr>
          <w:p w14:paraId="57339F42" w14:textId="77777777" w:rsidR="006954FE" w:rsidRPr="000261EE" w:rsidRDefault="006954FE" w:rsidP="008E1235">
            <w:pPr>
              <w:pStyle w:val="TableText"/>
              <w:tabs>
                <w:tab w:val="decimal" w:pos="628"/>
              </w:tabs>
            </w:pPr>
            <w:r w:rsidRPr="000261EE">
              <w:t>150</w:t>
            </w:r>
          </w:p>
        </w:tc>
        <w:tc>
          <w:tcPr>
            <w:tcW w:w="1127" w:type="dxa"/>
            <w:tcBorders>
              <w:top w:val="nil"/>
              <w:left w:val="nil"/>
              <w:bottom w:val="single" w:sz="4" w:space="0" w:color="A6A6A6" w:themeColor="background1" w:themeShade="A6"/>
              <w:right w:val="single" w:sz="4" w:space="0" w:color="A6A6A6" w:themeColor="background1" w:themeShade="A6"/>
            </w:tcBorders>
            <w:hideMark/>
          </w:tcPr>
          <w:p w14:paraId="72718A67" w14:textId="77777777" w:rsidR="006954FE" w:rsidRPr="000261EE" w:rsidRDefault="006954FE" w:rsidP="008E1235">
            <w:pPr>
              <w:pStyle w:val="TableText"/>
              <w:jc w:val="center"/>
            </w:pPr>
            <w:r w:rsidRPr="000261EE">
              <w:t>170.3</w:t>
            </w:r>
          </w:p>
        </w:tc>
        <w:tc>
          <w:tcPr>
            <w:tcW w:w="1127" w:type="dxa"/>
            <w:tcBorders>
              <w:top w:val="nil"/>
              <w:left w:val="single" w:sz="4" w:space="0" w:color="A6A6A6" w:themeColor="background1" w:themeShade="A6"/>
              <w:bottom w:val="single" w:sz="4" w:space="0" w:color="A6A6A6" w:themeColor="background1" w:themeShade="A6"/>
              <w:right w:val="nil"/>
            </w:tcBorders>
            <w:hideMark/>
          </w:tcPr>
          <w:p w14:paraId="08D7930C" w14:textId="77777777" w:rsidR="006954FE" w:rsidRPr="000261EE" w:rsidRDefault="006954FE" w:rsidP="008E1235">
            <w:pPr>
              <w:pStyle w:val="TableText"/>
              <w:tabs>
                <w:tab w:val="decimal" w:pos="637"/>
              </w:tabs>
            </w:pPr>
            <w:r w:rsidRPr="000261EE">
              <w:t>229</w:t>
            </w:r>
          </w:p>
        </w:tc>
        <w:tc>
          <w:tcPr>
            <w:tcW w:w="1127" w:type="dxa"/>
            <w:tcBorders>
              <w:top w:val="nil"/>
              <w:left w:val="nil"/>
              <w:bottom w:val="single" w:sz="4" w:space="0" w:color="A6A6A6" w:themeColor="background1" w:themeShade="A6"/>
              <w:right w:val="single" w:sz="4" w:space="0" w:color="A6A6A6" w:themeColor="background1" w:themeShade="A6"/>
            </w:tcBorders>
            <w:hideMark/>
          </w:tcPr>
          <w:p w14:paraId="5130F020" w14:textId="77777777" w:rsidR="006954FE" w:rsidRPr="000261EE" w:rsidRDefault="006954FE" w:rsidP="008E1235">
            <w:pPr>
              <w:pStyle w:val="TableText"/>
              <w:tabs>
                <w:tab w:val="decimal" w:pos="517"/>
              </w:tabs>
            </w:pPr>
            <w:r w:rsidRPr="000261EE">
              <w:t>11.3</w:t>
            </w:r>
          </w:p>
        </w:tc>
        <w:tc>
          <w:tcPr>
            <w:tcW w:w="1127" w:type="dxa"/>
            <w:tcBorders>
              <w:top w:val="nil"/>
              <w:left w:val="single" w:sz="4" w:space="0" w:color="A6A6A6" w:themeColor="background1" w:themeShade="A6"/>
              <w:bottom w:val="single" w:sz="4" w:space="0" w:color="A6A6A6" w:themeColor="background1" w:themeShade="A6"/>
              <w:right w:val="nil"/>
            </w:tcBorders>
            <w:hideMark/>
          </w:tcPr>
          <w:p w14:paraId="5D78E160" w14:textId="77777777" w:rsidR="006954FE" w:rsidRPr="000261EE" w:rsidRDefault="006954FE" w:rsidP="008E1235">
            <w:pPr>
              <w:pStyle w:val="TableText"/>
              <w:jc w:val="center"/>
            </w:pPr>
            <w:r w:rsidRPr="000261EE">
              <w:t>379</w:t>
            </w:r>
          </w:p>
        </w:tc>
        <w:tc>
          <w:tcPr>
            <w:tcW w:w="1127" w:type="dxa"/>
            <w:tcBorders>
              <w:top w:val="nil"/>
              <w:left w:val="nil"/>
              <w:bottom w:val="single" w:sz="4" w:space="0" w:color="A6A6A6" w:themeColor="background1" w:themeShade="A6"/>
              <w:right w:val="nil"/>
            </w:tcBorders>
            <w:hideMark/>
          </w:tcPr>
          <w:p w14:paraId="016B1358" w14:textId="77777777" w:rsidR="006954FE" w:rsidRPr="000261EE" w:rsidRDefault="006954FE" w:rsidP="008E1235">
            <w:pPr>
              <w:pStyle w:val="TableText"/>
              <w:tabs>
                <w:tab w:val="decimal" w:pos="500"/>
              </w:tabs>
            </w:pPr>
            <w:r w:rsidRPr="000261EE">
              <w:t>18.0</w:t>
            </w:r>
          </w:p>
        </w:tc>
      </w:tr>
      <w:tr w:rsidR="006954FE" w:rsidRPr="00FE58B3" w14:paraId="39620034" w14:textId="77777777" w:rsidTr="004D354A">
        <w:trPr>
          <w:cantSplit/>
        </w:trPr>
        <w:tc>
          <w:tcPr>
            <w:tcW w:w="131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21C92F2B" w14:textId="77777777" w:rsidR="006954FE" w:rsidRPr="000261EE" w:rsidRDefault="006954FE" w:rsidP="008E1235">
            <w:pPr>
              <w:pStyle w:val="TableText"/>
            </w:pPr>
            <w:r w:rsidRPr="000261EE">
              <w:t>Females</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3E234505" w14:textId="77777777" w:rsidR="006954FE" w:rsidRPr="000261EE" w:rsidRDefault="006954FE" w:rsidP="008E1235">
            <w:pPr>
              <w:pStyle w:val="TableText"/>
              <w:tabs>
                <w:tab w:val="decimal" w:pos="628"/>
              </w:tabs>
            </w:pPr>
            <w:r w:rsidRPr="000261EE">
              <w:t>76</w:t>
            </w:r>
          </w:p>
        </w:tc>
        <w:tc>
          <w:tcPr>
            <w:tcW w:w="1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6A1B9470" w14:textId="77777777" w:rsidR="006954FE" w:rsidRPr="000261EE" w:rsidRDefault="006954FE" w:rsidP="008E1235">
            <w:pPr>
              <w:pStyle w:val="TableText"/>
              <w:jc w:val="center"/>
            </w:pPr>
            <w:r w:rsidRPr="000261EE">
              <w:t>102.0</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3F1A7716" w14:textId="77777777" w:rsidR="006954FE" w:rsidRPr="000261EE" w:rsidRDefault="006954FE" w:rsidP="008E1235">
            <w:pPr>
              <w:pStyle w:val="TableText"/>
              <w:tabs>
                <w:tab w:val="decimal" w:pos="637"/>
              </w:tabs>
            </w:pPr>
            <w:r w:rsidRPr="000261EE">
              <w:t>69</w:t>
            </w:r>
          </w:p>
        </w:tc>
        <w:tc>
          <w:tcPr>
            <w:tcW w:w="1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75575E22" w14:textId="77777777" w:rsidR="006954FE" w:rsidRPr="000261EE" w:rsidRDefault="006954FE" w:rsidP="008E1235">
            <w:pPr>
              <w:pStyle w:val="TableText"/>
              <w:tabs>
                <w:tab w:val="decimal" w:pos="517"/>
              </w:tabs>
            </w:pPr>
            <w:r w:rsidRPr="000261EE">
              <w:t>3.4</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33C321B5" w14:textId="77777777" w:rsidR="006954FE" w:rsidRPr="000261EE" w:rsidRDefault="006954FE" w:rsidP="008E1235">
            <w:pPr>
              <w:pStyle w:val="TableText"/>
              <w:jc w:val="center"/>
            </w:pPr>
            <w:r w:rsidRPr="000261EE">
              <w:t>145</w:t>
            </w:r>
          </w:p>
        </w:tc>
        <w:tc>
          <w:tcPr>
            <w:tcW w:w="1127" w:type="dxa"/>
            <w:tcBorders>
              <w:top w:val="single" w:sz="4" w:space="0" w:color="A6A6A6" w:themeColor="background1" w:themeShade="A6"/>
              <w:left w:val="nil"/>
              <w:bottom w:val="single" w:sz="4" w:space="0" w:color="A6A6A6" w:themeColor="background1" w:themeShade="A6"/>
              <w:right w:val="nil"/>
            </w:tcBorders>
            <w:hideMark/>
          </w:tcPr>
          <w:p w14:paraId="5FF0F132" w14:textId="77777777" w:rsidR="006954FE" w:rsidRPr="000261EE" w:rsidRDefault="006954FE" w:rsidP="008E1235">
            <w:pPr>
              <w:pStyle w:val="TableText"/>
              <w:tabs>
                <w:tab w:val="decimal" w:pos="500"/>
              </w:tabs>
            </w:pPr>
            <w:r w:rsidRPr="000261EE">
              <w:t>6.4</w:t>
            </w:r>
          </w:p>
        </w:tc>
      </w:tr>
      <w:tr w:rsidR="006954FE" w:rsidRPr="008E1235" w14:paraId="5430C46D" w14:textId="77777777" w:rsidTr="004D354A">
        <w:trPr>
          <w:cantSplit/>
        </w:trPr>
        <w:tc>
          <w:tcPr>
            <w:tcW w:w="131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7FAE9A16" w14:textId="77777777" w:rsidR="006954FE" w:rsidRPr="008E1235" w:rsidRDefault="006954FE" w:rsidP="008E1235">
            <w:pPr>
              <w:pStyle w:val="TableText"/>
              <w:rPr>
                <w:b/>
              </w:rPr>
            </w:pPr>
            <w:r w:rsidRPr="008E1235">
              <w:rPr>
                <w:b/>
              </w:rPr>
              <w:t>Total</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685A3DF8" w14:textId="77777777" w:rsidR="006954FE" w:rsidRPr="008E1235" w:rsidRDefault="006954FE" w:rsidP="008E1235">
            <w:pPr>
              <w:pStyle w:val="TableText"/>
              <w:tabs>
                <w:tab w:val="decimal" w:pos="628"/>
              </w:tabs>
              <w:rPr>
                <w:b/>
              </w:rPr>
            </w:pPr>
            <w:r w:rsidRPr="008E1235">
              <w:rPr>
                <w:b/>
              </w:rPr>
              <w:t>226</w:t>
            </w:r>
          </w:p>
        </w:tc>
        <w:tc>
          <w:tcPr>
            <w:tcW w:w="1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69083639" w14:textId="77777777" w:rsidR="006954FE" w:rsidRPr="008E1235" w:rsidRDefault="006954FE" w:rsidP="008E1235">
            <w:pPr>
              <w:pStyle w:val="TableText"/>
              <w:jc w:val="center"/>
              <w:rPr>
                <w:b/>
              </w:rPr>
            </w:pPr>
            <w:r w:rsidRPr="008E1235">
              <w:rPr>
                <w:b/>
              </w:rPr>
              <w:t>138.3</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7B150E75" w14:textId="77777777" w:rsidR="006954FE" w:rsidRPr="008E1235" w:rsidRDefault="006954FE" w:rsidP="008E1235">
            <w:pPr>
              <w:pStyle w:val="TableText"/>
              <w:tabs>
                <w:tab w:val="decimal" w:pos="637"/>
              </w:tabs>
              <w:rPr>
                <w:b/>
              </w:rPr>
            </w:pPr>
            <w:r w:rsidRPr="008E1235">
              <w:rPr>
                <w:b/>
              </w:rPr>
              <w:t>298</w:t>
            </w:r>
          </w:p>
        </w:tc>
        <w:tc>
          <w:tcPr>
            <w:tcW w:w="1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71D891F7" w14:textId="77777777" w:rsidR="006954FE" w:rsidRPr="008E1235" w:rsidRDefault="006954FE" w:rsidP="008E1235">
            <w:pPr>
              <w:pStyle w:val="TableText"/>
              <w:tabs>
                <w:tab w:val="decimal" w:pos="517"/>
              </w:tabs>
              <w:rPr>
                <w:b/>
              </w:rPr>
            </w:pPr>
            <w:r w:rsidRPr="008E1235">
              <w:rPr>
                <w:b/>
              </w:rPr>
              <w:t>7.3</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1C64AD7D" w14:textId="77777777" w:rsidR="006954FE" w:rsidRPr="008E1235" w:rsidRDefault="006954FE" w:rsidP="008E1235">
            <w:pPr>
              <w:pStyle w:val="TableText"/>
              <w:jc w:val="center"/>
              <w:rPr>
                <w:b/>
              </w:rPr>
            </w:pPr>
            <w:r w:rsidRPr="008E1235">
              <w:rPr>
                <w:b/>
              </w:rPr>
              <w:t>524</w:t>
            </w:r>
          </w:p>
        </w:tc>
        <w:tc>
          <w:tcPr>
            <w:tcW w:w="1127" w:type="dxa"/>
            <w:tcBorders>
              <w:top w:val="single" w:sz="4" w:space="0" w:color="A6A6A6" w:themeColor="background1" w:themeShade="A6"/>
              <w:left w:val="nil"/>
              <w:bottom w:val="single" w:sz="4" w:space="0" w:color="A6A6A6" w:themeColor="background1" w:themeShade="A6"/>
              <w:right w:val="nil"/>
            </w:tcBorders>
            <w:hideMark/>
          </w:tcPr>
          <w:p w14:paraId="5D605885" w14:textId="77777777" w:rsidR="006954FE" w:rsidRPr="008E1235" w:rsidRDefault="006954FE" w:rsidP="008E1235">
            <w:pPr>
              <w:pStyle w:val="TableText"/>
              <w:tabs>
                <w:tab w:val="decimal" w:pos="500"/>
              </w:tabs>
              <w:rPr>
                <w:b/>
              </w:rPr>
            </w:pPr>
            <w:r w:rsidRPr="008E1235">
              <w:rPr>
                <w:b/>
              </w:rPr>
              <w:t>12.3</w:t>
            </w:r>
          </w:p>
        </w:tc>
      </w:tr>
    </w:tbl>
    <w:p w14:paraId="6DEC68D4" w14:textId="77777777" w:rsidR="006954FE" w:rsidRPr="00FE58B3" w:rsidRDefault="006954FE" w:rsidP="008E1235">
      <w:pPr>
        <w:pStyle w:val="Note"/>
      </w:pPr>
      <w:r w:rsidRPr="00FE58B3">
        <w:t>Notes: ASR = Age-standardised rate. Includes deaths of undetermined intent. Age-standardised rate is per 100,000, standardised to the WHO standard population aged 0–64 years. Service user denominator excludes service users of unknown age.</w:t>
      </w:r>
    </w:p>
    <w:p w14:paraId="217E880D" w14:textId="77777777" w:rsidR="006954FE" w:rsidRPr="00FE58B3" w:rsidRDefault="006954FE" w:rsidP="008E1235">
      <w:pPr>
        <w:pStyle w:val="Source"/>
      </w:pPr>
      <w:r w:rsidRPr="00FE58B3">
        <w:t>Source: Ministry of Health mortality database data, extracted on 19 April 2021.</w:t>
      </w:r>
    </w:p>
    <w:p w14:paraId="0E361818" w14:textId="77777777" w:rsidR="006954FE" w:rsidRPr="00FE58B3" w:rsidRDefault="006954FE" w:rsidP="008E1235"/>
    <w:p w14:paraId="4C46FB21" w14:textId="08A04715" w:rsidR="006954FE" w:rsidRPr="00FE58B3" w:rsidRDefault="008E1235" w:rsidP="008E1235">
      <w:pPr>
        <w:pStyle w:val="Figure"/>
      </w:pPr>
      <w:bookmarkStart w:id="13" w:name="_Ref75177484"/>
      <w:bookmarkStart w:id="14" w:name="_Toc2845736"/>
      <w:bookmarkStart w:id="15" w:name="_Toc75178125"/>
      <w:r>
        <w:t>Figure </w:t>
      </w:r>
      <w:r w:rsidR="00492471">
        <w:fldChar w:fldCharType="begin"/>
      </w:r>
      <w:r w:rsidR="00492471">
        <w:instrText xml:space="preserve"> SEQ Figure \* ARABIC </w:instrText>
      </w:r>
      <w:r w:rsidR="00492471">
        <w:fldChar w:fldCharType="separate"/>
      </w:r>
      <w:r w:rsidR="00746605">
        <w:rPr>
          <w:noProof/>
        </w:rPr>
        <w:t>2</w:t>
      </w:r>
      <w:r w:rsidR="00492471">
        <w:rPr>
          <w:noProof/>
        </w:rPr>
        <w:fldChar w:fldCharType="end"/>
      </w:r>
      <w:bookmarkEnd w:id="13"/>
      <w:r w:rsidR="006954FE" w:rsidRPr="00FE58B3">
        <w:t>: Age-standardised rate of suicide, by age</w:t>
      </w:r>
      <w:r w:rsidR="006954FE">
        <w:t xml:space="preserve"> </w:t>
      </w:r>
      <w:r w:rsidR="006954FE" w:rsidRPr="00FE58B3">
        <w:t>group, sex and service use, people aged 10–64 years, 201</w:t>
      </w:r>
      <w:bookmarkEnd w:id="14"/>
      <w:r w:rsidR="006954FE" w:rsidRPr="00FE58B3">
        <w:t>6</w:t>
      </w:r>
      <w:bookmarkEnd w:id="15"/>
    </w:p>
    <w:p w14:paraId="5A1CF37C" w14:textId="77777777" w:rsidR="006954FE" w:rsidRPr="00FE58B3" w:rsidRDefault="006954FE" w:rsidP="008E1235">
      <w:pPr>
        <w:rPr>
          <w:rFonts w:cs="Segoe UI"/>
          <w:szCs w:val="21"/>
        </w:rPr>
      </w:pPr>
      <w:r>
        <w:rPr>
          <w:noProof/>
          <w:lang w:eastAsia="en-NZ"/>
        </w:rPr>
        <w:drawing>
          <wp:inline distT="0" distB="0" distL="0" distR="0" wp14:anchorId="52B643E0" wp14:editId="7C61A152">
            <wp:extent cx="5128953" cy="2892830"/>
            <wp:effectExtent l="0" t="0" r="0" b="3175"/>
            <wp:docPr id="1" name="Chart 1" descr="Figure 2: Age standardised rate of suicide, by age group, sex and sevice use, people aged 10-64 years, 2016">
              <a:extLst xmlns:a="http://schemas.openxmlformats.org/drawingml/2006/main">
                <a:ext uri="{FF2B5EF4-FFF2-40B4-BE49-F238E27FC236}">
                  <a16:creationId xmlns:a16="http://schemas.microsoft.com/office/drawing/2014/main" id="{D4A37584-7237-4AC8-8AF3-E96944B478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3B5B55D" w14:textId="77777777" w:rsidR="006954FE" w:rsidRPr="00FE58B3" w:rsidRDefault="006954FE" w:rsidP="00DC3BE1">
      <w:pPr>
        <w:pStyle w:val="Source"/>
      </w:pPr>
      <w:r w:rsidRPr="00FE58B3">
        <w:t>Source: Ministry of Health mortality database data, extracted on 19 April 2021.</w:t>
      </w:r>
    </w:p>
    <w:p w14:paraId="0CFB780C" w14:textId="77777777" w:rsidR="006954FE" w:rsidRDefault="006954FE" w:rsidP="00DC3BE1"/>
    <w:p w14:paraId="26390DDF" w14:textId="5236AA7D" w:rsidR="006954FE" w:rsidRPr="00FE58B3" w:rsidRDefault="008E1235" w:rsidP="008E1235">
      <w:pPr>
        <w:pStyle w:val="Table"/>
      </w:pPr>
      <w:bookmarkStart w:id="16" w:name="_Ref75177594"/>
      <w:bookmarkStart w:id="17" w:name="_Toc2845759"/>
      <w:bookmarkStart w:id="18" w:name="_Toc75178120"/>
      <w:r>
        <w:lastRenderedPageBreak/>
        <w:t>Table </w:t>
      </w:r>
      <w:r w:rsidR="00492471">
        <w:fldChar w:fldCharType="begin"/>
      </w:r>
      <w:r w:rsidR="00492471">
        <w:instrText xml:space="preserve"> SEQ Table \* ARABIC </w:instrText>
      </w:r>
      <w:r w:rsidR="00492471">
        <w:fldChar w:fldCharType="separate"/>
      </w:r>
      <w:r w:rsidR="00746605">
        <w:rPr>
          <w:noProof/>
        </w:rPr>
        <w:t>3</w:t>
      </w:r>
      <w:r w:rsidR="00492471">
        <w:rPr>
          <w:noProof/>
        </w:rPr>
        <w:fldChar w:fldCharType="end"/>
      </w:r>
      <w:bookmarkEnd w:id="16"/>
      <w:r w:rsidR="006954FE" w:rsidRPr="00FE58B3">
        <w:t>: Number and age-</w:t>
      </w:r>
      <w:r w:rsidR="006954FE">
        <w:t>specific</w:t>
      </w:r>
      <w:r w:rsidR="006954FE" w:rsidRPr="00FE58B3">
        <w:t xml:space="preserve"> rate of suicide, by age</w:t>
      </w:r>
      <w:r w:rsidR="006954FE">
        <w:t xml:space="preserve"> </w:t>
      </w:r>
      <w:r w:rsidR="006954FE" w:rsidRPr="00FE58B3">
        <w:t>group, sex and service use, people aged 10–64 years, 201</w:t>
      </w:r>
      <w:bookmarkEnd w:id="17"/>
      <w:r w:rsidR="006954FE" w:rsidRPr="00FE58B3">
        <w:t>6</w:t>
      </w:r>
      <w:bookmarkEnd w:id="18"/>
    </w:p>
    <w:tbl>
      <w:tblPr>
        <w:tblW w:w="8080" w:type="dxa"/>
        <w:tblInd w:w="5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57" w:type="dxa"/>
          <w:right w:w="57" w:type="dxa"/>
        </w:tblCellMar>
        <w:tblLook w:val="01E0" w:firstRow="1" w:lastRow="1" w:firstColumn="1" w:lastColumn="1" w:noHBand="0" w:noVBand="0"/>
      </w:tblPr>
      <w:tblGrid>
        <w:gridCol w:w="851"/>
        <w:gridCol w:w="797"/>
        <w:gridCol w:w="797"/>
        <w:gridCol w:w="798"/>
        <w:gridCol w:w="797"/>
        <w:gridCol w:w="797"/>
        <w:gridCol w:w="798"/>
        <w:gridCol w:w="797"/>
        <w:gridCol w:w="798"/>
        <w:gridCol w:w="850"/>
      </w:tblGrid>
      <w:tr w:rsidR="00DC3BE1" w:rsidRPr="00FE58B3" w14:paraId="1A0B6B91" w14:textId="77777777" w:rsidTr="00DC3BE1">
        <w:trPr>
          <w:cantSplit/>
        </w:trPr>
        <w:tc>
          <w:tcPr>
            <w:tcW w:w="851" w:type="dxa"/>
            <w:vMerge w:val="restart"/>
            <w:tcBorders>
              <w:top w:val="nil"/>
              <w:left w:val="nil"/>
              <w:bottom w:val="nil"/>
              <w:right w:val="single" w:sz="4" w:space="0" w:color="A6A6A6" w:themeColor="background1" w:themeShade="A6"/>
            </w:tcBorders>
            <w:shd w:val="clear" w:color="auto" w:fill="D9D9D9" w:themeFill="background1" w:themeFillShade="D9"/>
            <w:hideMark/>
          </w:tcPr>
          <w:p w14:paraId="75D5EF9D" w14:textId="77777777" w:rsidR="00DC3BE1" w:rsidRPr="002F7B52" w:rsidRDefault="00DC3BE1" w:rsidP="00DC3BE1">
            <w:pPr>
              <w:pStyle w:val="TableText"/>
              <w:keepNext/>
              <w:rPr>
                <w:rFonts w:cs="Segoe UI"/>
                <w:b/>
                <w:szCs w:val="18"/>
              </w:rPr>
            </w:pPr>
            <w:r w:rsidRPr="002F7B52">
              <w:rPr>
                <w:rFonts w:cs="Segoe UI"/>
                <w:b/>
                <w:szCs w:val="18"/>
              </w:rPr>
              <w:t>Age band (years)</w:t>
            </w:r>
          </w:p>
        </w:tc>
        <w:tc>
          <w:tcPr>
            <w:tcW w:w="3189" w:type="dxa"/>
            <w:gridSpan w:val="4"/>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2B563E71" w14:textId="77777777" w:rsidR="00DC3BE1" w:rsidRPr="002F7B52" w:rsidRDefault="00DC3BE1" w:rsidP="00DC3BE1">
            <w:pPr>
              <w:pStyle w:val="TableText"/>
              <w:keepNext/>
              <w:jc w:val="center"/>
              <w:rPr>
                <w:rFonts w:cs="Segoe UI"/>
                <w:b/>
                <w:szCs w:val="18"/>
              </w:rPr>
            </w:pPr>
            <w:r w:rsidRPr="002F7B52">
              <w:rPr>
                <w:rFonts w:cs="Segoe UI"/>
                <w:b/>
                <w:szCs w:val="18"/>
              </w:rPr>
              <w:t>Service users</w:t>
            </w:r>
          </w:p>
        </w:tc>
        <w:tc>
          <w:tcPr>
            <w:tcW w:w="3190" w:type="dxa"/>
            <w:gridSpan w:val="4"/>
            <w:tcBorders>
              <w:top w:val="nil"/>
              <w:left w:val="single" w:sz="4" w:space="0" w:color="A6A6A6" w:themeColor="background1" w:themeShade="A6"/>
              <w:bottom w:val="nil"/>
              <w:right w:val="nil"/>
            </w:tcBorders>
            <w:shd w:val="clear" w:color="auto" w:fill="D9D9D9" w:themeFill="background1" w:themeFillShade="D9"/>
            <w:hideMark/>
          </w:tcPr>
          <w:p w14:paraId="26A637D0" w14:textId="77777777" w:rsidR="00DC3BE1" w:rsidRPr="002F7B52" w:rsidRDefault="00DC3BE1" w:rsidP="00DC3BE1">
            <w:pPr>
              <w:pStyle w:val="TableText"/>
              <w:keepNext/>
              <w:jc w:val="center"/>
              <w:rPr>
                <w:rFonts w:cs="Segoe UI"/>
                <w:b/>
                <w:szCs w:val="18"/>
              </w:rPr>
            </w:pPr>
            <w:r w:rsidRPr="002F7B52">
              <w:rPr>
                <w:rFonts w:cs="Segoe UI"/>
                <w:b/>
                <w:szCs w:val="18"/>
              </w:rPr>
              <w:t>Non-service users</w:t>
            </w:r>
          </w:p>
        </w:tc>
        <w:tc>
          <w:tcPr>
            <w:tcW w:w="850" w:type="dxa"/>
            <w:vMerge w:val="restart"/>
            <w:tcBorders>
              <w:top w:val="nil"/>
              <w:left w:val="single" w:sz="4" w:space="0" w:color="A6A6A6" w:themeColor="background1" w:themeShade="A6"/>
              <w:right w:val="nil"/>
            </w:tcBorders>
            <w:shd w:val="clear" w:color="auto" w:fill="D9D9D9" w:themeFill="background1" w:themeFillShade="D9"/>
            <w:hideMark/>
          </w:tcPr>
          <w:p w14:paraId="51B7FA55" w14:textId="77777777" w:rsidR="00DC3BE1" w:rsidRPr="002F7B52" w:rsidRDefault="00DC3BE1" w:rsidP="00DC3BE1">
            <w:pPr>
              <w:pStyle w:val="TableText"/>
              <w:keepNext/>
              <w:jc w:val="center"/>
              <w:rPr>
                <w:rFonts w:cs="Segoe UI"/>
                <w:b/>
                <w:szCs w:val="18"/>
              </w:rPr>
            </w:pPr>
            <w:r w:rsidRPr="002F7B52">
              <w:rPr>
                <w:rFonts w:cs="Segoe UI"/>
                <w:b/>
                <w:szCs w:val="18"/>
              </w:rPr>
              <w:t>Total</w:t>
            </w:r>
            <w:r>
              <w:rPr>
                <w:rFonts w:cs="Segoe UI"/>
                <w:b/>
                <w:szCs w:val="18"/>
              </w:rPr>
              <w:t xml:space="preserve"> </w:t>
            </w:r>
            <w:r w:rsidRPr="002F7B52">
              <w:rPr>
                <w:rFonts w:cs="Segoe UI"/>
                <w:b/>
                <w:szCs w:val="18"/>
              </w:rPr>
              <w:t>number</w:t>
            </w:r>
          </w:p>
        </w:tc>
      </w:tr>
      <w:tr w:rsidR="00DC3BE1" w:rsidRPr="00FE58B3" w14:paraId="7A8437A6" w14:textId="77777777" w:rsidTr="00DC3BE1">
        <w:trPr>
          <w:cantSplit/>
        </w:trPr>
        <w:tc>
          <w:tcPr>
            <w:tcW w:w="851" w:type="dxa"/>
            <w:vMerge/>
            <w:tcBorders>
              <w:top w:val="nil"/>
              <w:left w:val="nil"/>
              <w:bottom w:val="nil"/>
              <w:right w:val="single" w:sz="4" w:space="0" w:color="A6A6A6" w:themeColor="background1" w:themeShade="A6"/>
            </w:tcBorders>
            <w:vAlign w:val="center"/>
            <w:hideMark/>
          </w:tcPr>
          <w:p w14:paraId="432A679A" w14:textId="77777777" w:rsidR="00DC3BE1" w:rsidRPr="002F7B52" w:rsidRDefault="00DC3BE1" w:rsidP="00DC3BE1">
            <w:pPr>
              <w:keepNext/>
              <w:rPr>
                <w:rFonts w:cs="Segoe UI"/>
                <w:b/>
                <w:sz w:val="18"/>
                <w:szCs w:val="18"/>
              </w:rPr>
            </w:pPr>
          </w:p>
        </w:tc>
        <w:tc>
          <w:tcPr>
            <w:tcW w:w="1594"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4CD55530" w14:textId="77777777" w:rsidR="00DC3BE1" w:rsidRPr="002F7B52" w:rsidRDefault="00DC3BE1" w:rsidP="00DC3BE1">
            <w:pPr>
              <w:pStyle w:val="TableText"/>
              <w:keepNext/>
              <w:spacing w:before="0"/>
              <w:jc w:val="center"/>
              <w:rPr>
                <w:rFonts w:cs="Segoe UI"/>
                <w:b/>
                <w:szCs w:val="18"/>
              </w:rPr>
            </w:pPr>
            <w:r w:rsidRPr="002F7B52">
              <w:rPr>
                <w:rFonts w:cs="Segoe UI"/>
                <w:b/>
                <w:szCs w:val="18"/>
              </w:rPr>
              <w:t>Female</w:t>
            </w:r>
          </w:p>
        </w:tc>
        <w:tc>
          <w:tcPr>
            <w:tcW w:w="1595"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2F31EEE6" w14:textId="77777777" w:rsidR="00DC3BE1" w:rsidRPr="002F7B52" w:rsidRDefault="00DC3BE1" w:rsidP="00DC3BE1">
            <w:pPr>
              <w:pStyle w:val="TableText"/>
              <w:keepNext/>
              <w:spacing w:before="0"/>
              <w:jc w:val="center"/>
              <w:rPr>
                <w:rFonts w:cs="Segoe UI"/>
                <w:b/>
                <w:szCs w:val="18"/>
              </w:rPr>
            </w:pPr>
            <w:r w:rsidRPr="002F7B52">
              <w:rPr>
                <w:rFonts w:cs="Segoe UI"/>
                <w:b/>
                <w:szCs w:val="18"/>
              </w:rPr>
              <w:t>Male</w:t>
            </w:r>
          </w:p>
        </w:tc>
        <w:tc>
          <w:tcPr>
            <w:tcW w:w="1595"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29A6CCF1" w14:textId="77777777" w:rsidR="00DC3BE1" w:rsidRPr="002F7B52" w:rsidRDefault="00DC3BE1" w:rsidP="00DC3BE1">
            <w:pPr>
              <w:pStyle w:val="TableText"/>
              <w:keepNext/>
              <w:spacing w:before="0"/>
              <w:jc w:val="center"/>
              <w:rPr>
                <w:rFonts w:cs="Segoe UI"/>
                <w:b/>
                <w:szCs w:val="18"/>
              </w:rPr>
            </w:pPr>
            <w:r w:rsidRPr="002F7B52">
              <w:rPr>
                <w:rFonts w:cs="Segoe UI"/>
                <w:b/>
                <w:szCs w:val="18"/>
              </w:rPr>
              <w:t>Female</w:t>
            </w:r>
          </w:p>
        </w:tc>
        <w:tc>
          <w:tcPr>
            <w:tcW w:w="1595" w:type="dxa"/>
            <w:gridSpan w:val="2"/>
            <w:tcBorders>
              <w:top w:val="nil"/>
              <w:left w:val="single" w:sz="4" w:space="0" w:color="A6A6A6" w:themeColor="background1" w:themeShade="A6"/>
              <w:bottom w:val="nil"/>
              <w:right w:val="nil"/>
            </w:tcBorders>
            <w:shd w:val="clear" w:color="auto" w:fill="D9D9D9" w:themeFill="background1" w:themeFillShade="D9"/>
            <w:hideMark/>
          </w:tcPr>
          <w:p w14:paraId="7F10F5CA" w14:textId="77777777" w:rsidR="00DC3BE1" w:rsidRPr="002F7B52" w:rsidRDefault="00DC3BE1" w:rsidP="00DC3BE1">
            <w:pPr>
              <w:pStyle w:val="TableText"/>
              <w:keepNext/>
              <w:spacing w:before="0"/>
              <w:jc w:val="center"/>
              <w:rPr>
                <w:rFonts w:cs="Segoe UI"/>
                <w:b/>
                <w:szCs w:val="18"/>
              </w:rPr>
            </w:pPr>
            <w:r w:rsidRPr="002F7B52">
              <w:rPr>
                <w:rFonts w:cs="Segoe UI"/>
                <w:b/>
                <w:szCs w:val="18"/>
              </w:rPr>
              <w:t>Male</w:t>
            </w:r>
          </w:p>
        </w:tc>
        <w:tc>
          <w:tcPr>
            <w:tcW w:w="850" w:type="dxa"/>
            <w:vMerge/>
            <w:tcBorders>
              <w:left w:val="single" w:sz="4" w:space="0" w:color="A6A6A6" w:themeColor="background1" w:themeShade="A6"/>
              <w:right w:val="nil"/>
            </w:tcBorders>
            <w:shd w:val="clear" w:color="auto" w:fill="D9D9D9" w:themeFill="background1" w:themeFillShade="D9"/>
            <w:hideMark/>
          </w:tcPr>
          <w:p w14:paraId="48B24815" w14:textId="77777777" w:rsidR="00DC3BE1" w:rsidRPr="002F7B52" w:rsidRDefault="00DC3BE1" w:rsidP="00DC3BE1">
            <w:pPr>
              <w:pStyle w:val="TableText"/>
              <w:keepNext/>
              <w:spacing w:before="0"/>
              <w:jc w:val="center"/>
              <w:rPr>
                <w:rFonts w:cs="Segoe UI"/>
                <w:b/>
                <w:szCs w:val="18"/>
              </w:rPr>
            </w:pPr>
          </w:p>
        </w:tc>
      </w:tr>
      <w:tr w:rsidR="00DC3BE1" w:rsidRPr="00FE58B3" w14:paraId="3B447F06" w14:textId="77777777" w:rsidTr="00DC3BE1">
        <w:trPr>
          <w:cantSplit/>
        </w:trPr>
        <w:tc>
          <w:tcPr>
            <w:tcW w:w="851" w:type="dxa"/>
            <w:vMerge/>
            <w:tcBorders>
              <w:top w:val="nil"/>
              <w:left w:val="nil"/>
              <w:bottom w:val="nil"/>
              <w:right w:val="single" w:sz="4" w:space="0" w:color="A6A6A6" w:themeColor="background1" w:themeShade="A6"/>
            </w:tcBorders>
            <w:vAlign w:val="center"/>
            <w:hideMark/>
          </w:tcPr>
          <w:p w14:paraId="3D57DC55" w14:textId="77777777" w:rsidR="00DC3BE1" w:rsidRPr="002F7B52" w:rsidRDefault="00DC3BE1" w:rsidP="00DC3BE1">
            <w:pPr>
              <w:keepNext/>
              <w:rPr>
                <w:rFonts w:cs="Segoe UI"/>
                <w:b/>
                <w:sz w:val="18"/>
                <w:szCs w:val="18"/>
              </w:rPr>
            </w:pPr>
          </w:p>
        </w:tc>
        <w:tc>
          <w:tcPr>
            <w:tcW w:w="797" w:type="dxa"/>
            <w:tcBorders>
              <w:top w:val="nil"/>
              <w:left w:val="single" w:sz="4" w:space="0" w:color="A6A6A6" w:themeColor="background1" w:themeShade="A6"/>
              <w:bottom w:val="nil"/>
              <w:right w:val="nil"/>
            </w:tcBorders>
            <w:shd w:val="clear" w:color="auto" w:fill="D9D9D9" w:themeFill="background1" w:themeFillShade="D9"/>
            <w:hideMark/>
          </w:tcPr>
          <w:p w14:paraId="6EAC7AA0" w14:textId="77777777" w:rsidR="00DC3BE1" w:rsidRPr="00DC3BE1" w:rsidRDefault="00DC3BE1" w:rsidP="00DC3BE1">
            <w:pPr>
              <w:pStyle w:val="TableText"/>
              <w:keepNext/>
              <w:spacing w:before="0"/>
              <w:ind w:left="-28" w:right="-28"/>
              <w:jc w:val="center"/>
              <w:rPr>
                <w:rFonts w:cs="Segoe UI"/>
                <w:b/>
                <w:spacing w:val="-2"/>
                <w:szCs w:val="18"/>
              </w:rPr>
            </w:pPr>
            <w:r w:rsidRPr="00DC3BE1">
              <w:rPr>
                <w:rFonts w:cs="Segoe UI"/>
                <w:b/>
                <w:spacing w:val="-2"/>
                <w:szCs w:val="18"/>
              </w:rPr>
              <w:t>Number</w:t>
            </w:r>
          </w:p>
        </w:tc>
        <w:tc>
          <w:tcPr>
            <w:tcW w:w="797" w:type="dxa"/>
            <w:tcBorders>
              <w:top w:val="nil"/>
              <w:left w:val="nil"/>
              <w:bottom w:val="nil"/>
              <w:right w:val="single" w:sz="4" w:space="0" w:color="A6A6A6" w:themeColor="background1" w:themeShade="A6"/>
            </w:tcBorders>
            <w:shd w:val="clear" w:color="auto" w:fill="D9D9D9" w:themeFill="background1" w:themeFillShade="D9"/>
            <w:hideMark/>
          </w:tcPr>
          <w:p w14:paraId="69E92C7B" w14:textId="77777777" w:rsidR="00DC3BE1" w:rsidRPr="002F7B52" w:rsidRDefault="00DC3BE1" w:rsidP="00DC3BE1">
            <w:pPr>
              <w:pStyle w:val="TableText"/>
              <w:keepNext/>
              <w:spacing w:before="0"/>
              <w:jc w:val="center"/>
              <w:rPr>
                <w:rFonts w:cs="Segoe UI"/>
                <w:b/>
                <w:szCs w:val="18"/>
              </w:rPr>
            </w:pPr>
            <w:r w:rsidRPr="002F7B52">
              <w:rPr>
                <w:rFonts w:cs="Segoe UI"/>
                <w:b/>
                <w:szCs w:val="18"/>
              </w:rPr>
              <w:t>ASR</w:t>
            </w:r>
          </w:p>
        </w:tc>
        <w:tc>
          <w:tcPr>
            <w:tcW w:w="798" w:type="dxa"/>
            <w:tcBorders>
              <w:top w:val="nil"/>
              <w:left w:val="single" w:sz="4" w:space="0" w:color="A6A6A6" w:themeColor="background1" w:themeShade="A6"/>
              <w:bottom w:val="nil"/>
              <w:right w:val="nil"/>
            </w:tcBorders>
            <w:shd w:val="clear" w:color="auto" w:fill="D9D9D9" w:themeFill="background1" w:themeFillShade="D9"/>
            <w:hideMark/>
          </w:tcPr>
          <w:p w14:paraId="315C5B4D" w14:textId="77777777" w:rsidR="00DC3BE1" w:rsidRPr="00DC3BE1" w:rsidRDefault="00DC3BE1" w:rsidP="00DC3BE1">
            <w:pPr>
              <w:pStyle w:val="TableText"/>
              <w:keepNext/>
              <w:spacing w:before="0"/>
              <w:ind w:left="-28" w:right="-28"/>
              <w:jc w:val="center"/>
              <w:rPr>
                <w:rFonts w:cs="Segoe UI"/>
                <w:b/>
                <w:spacing w:val="-2"/>
                <w:szCs w:val="18"/>
              </w:rPr>
            </w:pPr>
            <w:r w:rsidRPr="00DC3BE1">
              <w:rPr>
                <w:rFonts w:cs="Segoe UI"/>
                <w:b/>
                <w:spacing w:val="-2"/>
                <w:szCs w:val="18"/>
              </w:rPr>
              <w:t>Number</w:t>
            </w:r>
          </w:p>
        </w:tc>
        <w:tc>
          <w:tcPr>
            <w:tcW w:w="797" w:type="dxa"/>
            <w:tcBorders>
              <w:top w:val="nil"/>
              <w:left w:val="nil"/>
              <w:bottom w:val="nil"/>
              <w:right w:val="single" w:sz="4" w:space="0" w:color="A6A6A6" w:themeColor="background1" w:themeShade="A6"/>
            </w:tcBorders>
            <w:shd w:val="clear" w:color="auto" w:fill="D9D9D9" w:themeFill="background1" w:themeFillShade="D9"/>
            <w:hideMark/>
          </w:tcPr>
          <w:p w14:paraId="3F277309" w14:textId="77777777" w:rsidR="00DC3BE1" w:rsidRPr="002F7B52" w:rsidRDefault="00DC3BE1" w:rsidP="00DC3BE1">
            <w:pPr>
              <w:pStyle w:val="TableText"/>
              <w:keepNext/>
              <w:spacing w:before="0"/>
              <w:jc w:val="center"/>
              <w:rPr>
                <w:rFonts w:cs="Segoe UI"/>
                <w:b/>
                <w:szCs w:val="18"/>
              </w:rPr>
            </w:pPr>
            <w:r w:rsidRPr="002F7B52">
              <w:rPr>
                <w:rFonts w:cs="Segoe UI"/>
                <w:b/>
                <w:szCs w:val="18"/>
              </w:rPr>
              <w:t>ASR</w:t>
            </w:r>
          </w:p>
        </w:tc>
        <w:tc>
          <w:tcPr>
            <w:tcW w:w="797" w:type="dxa"/>
            <w:tcBorders>
              <w:top w:val="nil"/>
              <w:left w:val="single" w:sz="4" w:space="0" w:color="A6A6A6" w:themeColor="background1" w:themeShade="A6"/>
              <w:bottom w:val="nil"/>
              <w:right w:val="nil"/>
            </w:tcBorders>
            <w:shd w:val="clear" w:color="auto" w:fill="D9D9D9" w:themeFill="background1" w:themeFillShade="D9"/>
            <w:hideMark/>
          </w:tcPr>
          <w:p w14:paraId="677506D8" w14:textId="77777777" w:rsidR="00DC3BE1" w:rsidRPr="00DC3BE1" w:rsidRDefault="00DC3BE1" w:rsidP="00DC3BE1">
            <w:pPr>
              <w:pStyle w:val="TableText"/>
              <w:keepNext/>
              <w:spacing w:before="0"/>
              <w:ind w:left="-28" w:right="-28"/>
              <w:jc w:val="center"/>
              <w:rPr>
                <w:rFonts w:cs="Segoe UI"/>
                <w:b/>
                <w:spacing w:val="-2"/>
                <w:szCs w:val="18"/>
              </w:rPr>
            </w:pPr>
            <w:r w:rsidRPr="00DC3BE1">
              <w:rPr>
                <w:rFonts w:cs="Segoe UI"/>
                <w:b/>
                <w:spacing w:val="-2"/>
                <w:szCs w:val="18"/>
              </w:rPr>
              <w:t>Number</w:t>
            </w:r>
          </w:p>
        </w:tc>
        <w:tc>
          <w:tcPr>
            <w:tcW w:w="798" w:type="dxa"/>
            <w:tcBorders>
              <w:top w:val="nil"/>
              <w:left w:val="nil"/>
              <w:bottom w:val="nil"/>
              <w:right w:val="single" w:sz="4" w:space="0" w:color="A6A6A6" w:themeColor="background1" w:themeShade="A6"/>
            </w:tcBorders>
            <w:shd w:val="clear" w:color="auto" w:fill="D9D9D9" w:themeFill="background1" w:themeFillShade="D9"/>
            <w:hideMark/>
          </w:tcPr>
          <w:p w14:paraId="0F947FDD" w14:textId="77777777" w:rsidR="00DC3BE1" w:rsidRPr="002F7B52" w:rsidRDefault="00DC3BE1" w:rsidP="00DC3BE1">
            <w:pPr>
              <w:pStyle w:val="TableText"/>
              <w:keepNext/>
              <w:spacing w:before="0"/>
              <w:jc w:val="center"/>
              <w:rPr>
                <w:rFonts w:cs="Segoe UI"/>
                <w:b/>
                <w:szCs w:val="18"/>
              </w:rPr>
            </w:pPr>
            <w:r w:rsidRPr="002F7B52">
              <w:rPr>
                <w:rFonts w:cs="Segoe UI"/>
                <w:b/>
                <w:szCs w:val="18"/>
              </w:rPr>
              <w:t>ASR</w:t>
            </w:r>
          </w:p>
        </w:tc>
        <w:tc>
          <w:tcPr>
            <w:tcW w:w="797" w:type="dxa"/>
            <w:tcBorders>
              <w:top w:val="nil"/>
              <w:left w:val="single" w:sz="4" w:space="0" w:color="A6A6A6" w:themeColor="background1" w:themeShade="A6"/>
              <w:bottom w:val="nil"/>
              <w:right w:val="nil"/>
            </w:tcBorders>
            <w:shd w:val="clear" w:color="auto" w:fill="D9D9D9" w:themeFill="background1" w:themeFillShade="D9"/>
            <w:hideMark/>
          </w:tcPr>
          <w:p w14:paraId="4EF9EA45" w14:textId="77777777" w:rsidR="00DC3BE1" w:rsidRPr="00DC3BE1" w:rsidRDefault="00DC3BE1" w:rsidP="00DC3BE1">
            <w:pPr>
              <w:pStyle w:val="TableText"/>
              <w:keepNext/>
              <w:spacing w:before="0"/>
              <w:ind w:left="-28" w:right="-28"/>
              <w:jc w:val="center"/>
              <w:rPr>
                <w:rFonts w:cs="Segoe UI"/>
                <w:b/>
                <w:spacing w:val="-2"/>
                <w:szCs w:val="18"/>
              </w:rPr>
            </w:pPr>
            <w:r w:rsidRPr="00DC3BE1">
              <w:rPr>
                <w:rFonts w:cs="Segoe UI"/>
                <w:b/>
                <w:spacing w:val="-2"/>
                <w:szCs w:val="18"/>
              </w:rPr>
              <w:t>Number</w:t>
            </w:r>
          </w:p>
        </w:tc>
        <w:tc>
          <w:tcPr>
            <w:tcW w:w="798" w:type="dxa"/>
            <w:tcBorders>
              <w:top w:val="nil"/>
              <w:left w:val="nil"/>
              <w:bottom w:val="nil"/>
              <w:right w:val="single" w:sz="4" w:space="0" w:color="A6A6A6" w:themeColor="background1" w:themeShade="A6"/>
            </w:tcBorders>
            <w:shd w:val="clear" w:color="auto" w:fill="D9D9D9" w:themeFill="background1" w:themeFillShade="D9"/>
            <w:hideMark/>
          </w:tcPr>
          <w:p w14:paraId="649D409E" w14:textId="77777777" w:rsidR="00DC3BE1" w:rsidRPr="002F7B52" w:rsidRDefault="00DC3BE1" w:rsidP="00DC3BE1">
            <w:pPr>
              <w:pStyle w:val="TableText"/>
              <w:keepNext/>
              <w:spacing w:before="0"/>
              <w:jc w:val="center"/>
              <w:rPr>
                <w:rFonts w:cs="Segoe UI"/>
                <w:b/>
                <w:szCs w:val="18"/>
              </w:rPr>
            </w:pPr>
            <w:r w:rsidRPr="002F7B52">
              <w:rPr>
                <w:rFonts w:cs="Segoe UI"/>
                <w:b/>
                <w:szCs w:val="18"/>
              </w:rPr>
              <w:t>ASR</w:t>
            </w:r>
          </w:p>
        </w:tc>
        <w:tc>
          <w:tcPr>
            <w:tcW w:w="850" w:type="dxa"/>
            <w:vMerge/>
            <w:tcBorders>
              <w:left w:val="single" w:sz="4" w:space="0" w:color="A6A6A6" w:themeColor="background1" w:themeShade="A6"/>
              <w:bottom w:val="nil"/>
              <w:right w:val="nil"/>
            </w:tcBorders>
            <w:shd w:val="clear" w:color="auto" w:fill="D9D9D9" w:themeFill="background1" w:themeFillShade="D9"/>
          </w:tcPr>
          <w:p w14:paraId="7FC4C848" w14:textId="77777777" w:rsidR="00DC3BE1" w:rsidRPr="002F7B52" w:rsidRDefault="00DC3BE1" w:rsidP="00DC3BE1">
            <w:pPr>
              <w:pStyle w:val="TableText"/>
              <w:keepNext/>
              <w:spacing w:before="0"/>
              <w:jc w:val="center"/>
              <w:rPr>
                <w:rFonts w:cs="Segoe UI"/>
                <w:b/>
                <w:szCs w:val="18"/>
              </w:rPr>
            </w:pPr>
          </w:p>
        </w:tc>
      </w:tr>
      <w:tr w:rsidR="006954FE" w:rsidRPr="00FE58B3" w14:paraId="57F63D23" w14:textId="77777777" w:rsidTr="00DC3BE1">
        <w:trPr>
          <w:cantSplit/>
        </w:trPr>
        <w:tc>
          <w:tcPr>
            <w:tcW w:w="851" w:type="dxa"/>
            <w:tcBorders>
              <w:top w:val="nil"/>
              <w:left w:val="nil"/>
              <w:bottom w:val="single" w:sz="4" w:space="0" w:color="A6A6A6" w:themeColor="background1" w:themeShade="A6"/>
              <w:right w:val="single" w:sz="4" w:space="0" w:color="A6A6A6" w:themeColor="background1" w:themeShade="A6"/>
            </w:tcBorders>
            <w:hideMark/>
          </w:tcPr>
          <w:p w14:paraId="4DC9CF3D" w14:textId="77777777" w:rsidR="006954FE" w:rsidRPr="002F7B52" w:rsidRDefault="006954FE" w:rsidP="00DC3BE1">
            <w:pPr>
              <w:pStyle w:val="TableText"/>
            </w:pPr>
            <w:r w:rsidRPr="002F7B52">
              <w:t>10–14</w:t>
            </w:r>
          </w:p>
        </w:tc>
        <w:tc>
          <w:tcPr>
            <w:tcW w:w="797" w:type="dxa"/>
            <w:tcBorders>
              <w:top w:val="nil"/>
              <w:left w:val="single" w:sz="4" w:space="0" w:color="A6A6A6" w:themeColor="background1" w:themeShade="A6"/>
              <w:bottom w:val="single" w:sz="4" w:space="0" w:color="A6A6A6" w:themeColor="background1" w:themeShade="A6"/>
              <w:right w:val="nil"/>
            </w:tcBorders>
            <w:hideMark/>
          </w:tcPr>
          <w:p w14:paraId="52202AA1" w14:textId="77777777" w:rsidR="006954FE" w:rsidRPr="002F7B52" w:rsidRDefault="006954FE" w:rsidP="00DC3BE1">
            <w:pPr>
              <w:pStyle w:val="TableText"/>
              <w:tabs>
                <w:tab w:val="decimal" w:pos="445"/>
              </w:tabs>
              <w:rPr>
                <w:rFonts w:cs="Segoe UI"/>
                <w:szCs w:val="18"/>
              </w:rPr>
            </w:pPr>
            <w:r w:rsidRPr="002F7B52">
              <w:rPr>
                <w:rFonts w:cs="Segoe UI"/>
                <w:szCs w:val="18"/>
              </w:rPr>
              <w:t>1</w:t>
            </w:r>
          </w:p>
        </w:tc>
        <w:tc>
          <w:tcPr>
            <w:tcW w:w="797" w:type="dxa"/>
            <w:tcBorders>
              <w:top w:val="nil"/>
              <w:left w:val="nil"/>
              <w:bottom w:val="single" w:sz="4" w:space="0" w:color="A6A6A6" w:themeColor="background1" w:themeShade="A6"/>
              <w:right w:val="single" w:sz="4" w:space="0" w:color="A6A6A6" w:themeColor="background1" w:themeShade="A6"/>
            </w:tcBorders>
            <w:hideMark/>
          </w:tcPr>
          <w:p w14:paraId="371049AA" w14:textId="77777777" w:rsidR="006954FE" w:rsidRPr="002F7B52" w:rsidRDefault="006954FE" w:rsidP="00DC3BE1">
            <w:pPr>
              <w:pStyle w:val="TableText"/>
              <w:tabs>
                <w:tab w:val="decimal" w:pos="441"/>
              </w:tabs>
              <w:rPr>
                <w:rFonts w:cs="Segoe UI"/>
                <w:szCs w:val="18"/>
              </w:rPr>
            </w:pPr>
            <w:r w:rsidRPr="002F7B52">
              <w:rPr>
                <w:rFonts w:cs="Segoe UI"/>
                <w:szCs w:val="18"/>
              </w:rPr>
              <w:t>20.9</w:t>
            </w:r>
          </w:p>
        </w:tc>
        <w:tc>
          <w:tcPr>
            <w:tcW w:w="798" w:type="dxa"/>
            <w:tcBorders>
              <w:top w:val="nil"/>
              <w:left w:val="single" w:sz="4" w:space="0" w:color="A6A6A6" w:themeColor="background1" w:themeShade="A6"/>
              <w:bottom w:val="single" w:sz="4" w:space="0" w:color="A6A6A6" w:themeColor="background1" w:themeShade="A6"/>
              <w:right w:val="nil"/>
            </w:tcBorders>
            <w:hideMark/>
          </w:tcPr>
          <w:p w14:paraId="06E6DD2C" w14:textId="77777777" w:rsidR="006954FE" w:rsidRPr="002F7B52" w:rsidRDefault="006954FE" w:rsidP="00DC3BE1">
            <w:pPr>
              <w:pStyle w:val="TableText"/>
              <w:tabs>
                <w:tab w:val="decimal" w:pos="411"/>
              </w:tabs>
              <w:rPr>
                <w:rFonts w:cs="Segoe UI"/>
                <w:szCs w:val="18"/>
              </w:rPr>
            </w:pPr>
            <w:r w:rsidRPr="002F7B52">
              <w:rPr>
                <w:rFonts w:cs="Segoe UI"/>
                <w:szCs w:val="18"/>
              </w:rPr>
              <w:t>0</w:t>
            </w:r>
          </w:p>
        </w:tc>
        <w:tc>
          <w:tcPr>
            <w:tcW w:w="797" w:type="dxa"/>
            <w:tcBorders>
              <w:top w:val="nil"/>
              <w:left w:val="nil"/>
              <w:bottom w:val="single" w:sz="4" w:space="0" w:color="A6A6A6" w:themeColor="background1" w:themeShade="A6"/>
              <w:right w:val="single" w:sz="4" w:space="0" w:color="A6A6A6" w:themeColor="background1" w:themeShade="A6"/>
            </w:tcBorders>
            <w:hideMark/>
          </w:tcPr>
          <w:p w14:paraId="61BF8F5D" w14:textId="77777777" w:rsidR="006954FE" w:rsidRPr="002F7B52" w:rsidRDefault="006954FE" w:rsidP="00DC3BE1">
            <w:pPr>
              <w:pStyle w:val="TableText"/>
              <w:tabs>
                <w:tab w:val="decimal" w:pos="458"/>
              </w:tabs>
              <w:rPr>
                <w:rFonts w:cs="Segoe UI"/>
                <w:szCs w:val="18"/>
              </w:rPr>
            </w:pPr>
            <w:r w:rsidRPr="002F7B52">
              <w:rPr>
                <w:rFonts w:cs="Segoe UI"/>
                <w:szCs w:val="18"/>
              </w:rPr>
              <w:t>0.0</w:t>
            </w:r>
          </w:p>
        </w:tc>
        <w:tc>
          <w:tcPr>
            <w:tcW w:w="797" w:type="dxa"/>
            <w:tcBorders>
              <w:top w:val="nil"/>
              <w:left w:val="single" w:sz="4" w:space="0" w:color="A6A6A6" w:themeColor="background1" w:themeShade="A6"/>
              <w:bottom w:val="single" w:sz="4" w:space="0" w:color="A6A6A6" w:themeColor="background1" w:themeShade="A6"/>
              <w:right w:val="nil"/>
            </w:tcBorders>
            <w:hideMark/>
          </w:tcPr>
          <w:p w14:paraId="0CEBCD56" w14:textId="77777777" w:rsidR="006954FE" w:rsidRPr="002F7B52" w:rsidRDefault="006954FE" w:rsidP="00DC3BE1">
            <w:pPr>
              <w:pStyle w:val="TableText"/>
              <w:tabs>
                <w:tab w:val="decimal" w:pos="454"/>
              </w:tabs>
              <w:rPr>
                <w:rFonts w:cs="Segoe UI"/>
                <w:szCs w:val="18"/>
              </w:rPr>
            </w:pPr>
            <w:r w:rsidRPr="002F7B52">
              <w:rPr>
                <w:rFonts w:cs="Segoe UI"/>
                <w:szCs w:val="18"/>
              </w:rPr>
              <w:t>3</w:t>
            </w:r>
          </w:p>
        </w:tc>
        <w:tc>
          <w:tcPr>
            <w:tcW w:w="798" w:type="dxa"/>
            <w:tcBorders>
              <w:top w:val="nil"/>
              <w:left w:val="nil"/>
              <w:bottom w:val="single" w:sz="4" w:space="0" w:color="A6A6A6" w:themeColor="background1" w:themeShade="A6"/>
              <w:right w:val="single" w:sz="4" w:space="0" w:color="A6A6A6" w:themeColor="background1" w:themeShade="A6"/>
            </w:tcBorders>
            <w:hideMark/>
          </w:tcPr>
          <w:p w14:paraId="4D311AF5" w14:textId="77777777" w:rsidR="006954FE" w:rsidRPr="002F7B52" w:rsidRDefault="006954FE" w:rsidP="00DC3BE1">
            <w:pPr>
              <w:pStyle w:val="TableText"/>
              <w:jc w:val="center"/>
              <w:rPr>
                <w:rFonts w:cs="Segoe UI"/>
                <w:szCs w:val="18"/>
              </w:rPr>
            </w:pPr>
            <w:r w:rsidRPr="002F7B52">
              <w:rPr>
                <w:rFonts w:cs="Segoe UI"/>
                <w:szCs w:val="18"/>
              </w:rPr>
              <w:t>2.2</w:t>
            </w:r>
          </w:p>
        </w:tc>
        <w:tc>
          <w:tcPr>
            <w:tcW w:w="797" w:type="dxa"/>
            <w:tcBorders>
              <w:top w:val="nil"/>
              <w:left w:val="single" w:sz="4" w:space="0" w:color="A6A6A6" w:themeColor="background1" w:themeShade="A6"/>
              <w:bottom w:val="single" w:sz="4" w:space="0" w:color="A6A6A6" w:themeColor="background1" w:themeShade="A6"/>
              <w:right w:val="nil"/>
            </w:tcBorders>
            <w:hideMark/>
          </w:tcPr>
          <w:p w14:paraId="6FE4041D" w14:textId="77777777" w:rsidR="006954FE" w:rsidRPr="002F7B52" w:rsidRDefault="006954FE" w:rsidP="00DC3BE1">
            <w:pPr>
              <w:pStyle w:val="TableText"/>
              <w:tabs>
                <w:tab w:val="decimal" w:pos="459"/>
              </w:tabs>
              <w:rPr>
                <w:rFonts w:cs="Segoe UI"/>
                <w:szCs w:val="18"/>
              </w:rPr>
            </w:pPr>
            <w:r w:rsidRPr="002F7B52">
              <w:rPr>
                <w:rFonts w:cs="Segoe UI"/>
                <w:szCs w:val="18"/>
              </w:rPr>
              <w:t>5</w:t>
            </w:r>
          </w:p>
        </w:tc>
        <w:tc>
          <w:tcPr>
            <w:tcW w:w="798" w:type="dxa"/>
            <w:tcBorders>
              <w:top w:val="nil"/>
              <w:left w:val="nil"/>
              <w:bottom w:val="single" w:sz="4" w:space="0" w:color="A6A6A6" w:themeColor="background1" w:themeShade="A6"/>
              <w:right w:val="single" w:sz="4" w:space="0" w:color="A6A6A6" w:themeColor="background1" w:themeShade="A6"/>
            </w:tcBorders>
            <w:hideMark/>
          </w:tcPr>
          <w:p w14:paraId="197EC7F2" w14:textId="77777777" w:rsidR="006954FE" w:rsidRPr="002F7B52" w:rsidRDefault="006954FE" w:rsidP="00DC3BE1">
            <w:pPr>
              <w:pStyle w:val="TableText"/>
              <w:tabs>
                <w:tab w:val="decimal" w:pos="390"/>
              </w:tabs>
              <w:rPr>
                <w:rFonts w:cs="Segoe UI"/>
                <w:szCs w:val="18"/>
              </w:rPr>
            </w:pPr>
            <w:r w:rsidRPr="002F7B52">
              <w:rPr>
                <w:rFonts w:cs="Segoe UI"/>
                <w:szCs w:val="18"/>
              </w:rPr>
              <w:t>3.5</w:t>
            </w:r>
          </w:p>
        </w:tc>
        <w:tc>
          <w:tcPr>
            <w:tcW w:w="850" w:type="dxa"/>
            <w:tcBorders>
              <w:top w:val="nil"/>
              <w:left w:val="single" w:sz="4" w:space="0" w:color="A6A6A6" w:themeColor="background1" w:themeShade="A6"/>
              <w:bottom w:val="single" w:sz="4" w:space="0" w:color="A6A6A6" w:themeColor="background1" w:themeShade="A6"/>
              <w:right w:val="nil"/>
            </w:tcBorders>
            <w:hideMark/>
          </w:tcPr>
          <w:p w14:paraId="2FC948AF" w14:textId="77777777" w:rsidR="006954FE" w:rsidRPr="002F7B52" w:rsidRDefault="006954FE" w:rsidP="00DC3BE1">
            <w:pPr>
              <w:pStyle w:val="TableText"/>
              <w:tabs>
                <w:tab w:val="decimal" w:pos="510"/>
              </w:tabs>
              <w:rPr>
                <w:rFonts w:cs="Segoe UI"/>
                <w:szCs w:val="18"/>
              </w:rPr>
            </w:pPr>
            <w:r w:rsidRPr="002F7B52">
              <w:rPr>
                <w:rFonts w:cs="Segoe UI"/>
                <w:szCs w:val="18"/>
              </w:rPr>
              <w:t>9</w:t>
            </w:r>
          </w:p>
        </w:tc>
      </w:tr>
      <w:tr w:rsidR="006954FE" w:rsidRPr="00FE58B3" w14:paraId="4E103A69" w14:textId="77777777" w:rsidTr="00DC3BE1">
        <w:trPr>
          <w:cantSplit/>
        </w:trPr>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1C944035" w14:textId="77777777" w:rsidR="006954FE" w:rsidRPr="002F7B52" w:rsidRDefault="006954FE" w:rsidP="00DC3BE1">
            <w:pPr>
              <w:pStyle w:val="TableText"/>
              <w:rPr>
                <w:rFonts w:cs="Segoe UI"/>
                <w:szCs w:val="18"/>
              </w:rPr>
            </w:pPr>
            <w:r w:rsidRPr="002F7B52">
              <w:rPr>
                <w:rFonts w:cs="Segoe UI"/>
                <w:szCs w:val="18"/>
              </w:rPr>
              <w:t>15–19</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7E6FF895" w14:textId="77777777" w:rsidR="006954FE" w:rsidRPr="002F7B52" w:rsidRDefault="006954FE" w:rsidP="00DC3BE1">
            <w:pPr>
              <w:pStyle w:val="TableText"/>
              <w:tabs>
                <w:tab w:val="decimal" w:pos="445"/>
              </w:tabs>
              <w:rPr>
                <w:rFonts w:cs="Segoe UI"/>
                <w:szCs w:val="18"/>
              </w:rPr>
            </w:pPr>
            <w:r w:rsidRPr="002F7B52">
              <w:rPr>
                <w:rFonts w:cs="Segoe UI"/>
                <w:szCs w:val="18"/>
              </w:rPr>
              <w:t>5</w:t>
            </w:r>
          </w:p>
        </w:tc>
        <w:tc>
          <w:tcPr>
            <w:tcW w:w="79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28A06956" w14:textId="77777777" w:rsidR="006954FE" w:rsidRPr="002F7B52" w:rsidRDefault="006954FE" w:rsidP="00DC3BE1">
            <w:pPr>
              <w:pStyle w:val="TableText"/>
              <w:tabs>
                <w:tab w:val="decimal" w:pos="441"/>
              </w:tabs>
              <w:rPr>
                <w:rFonts w:cs="Segoe UI"/>
                <w:szCs w:val="18"/>
              </w:rPr>
            </w:pPr>
            <w:r w:rsidRPr="002F7B52">
              <w:rPr>
                <w:rFonts w:cs="Segoe UI"/>
                <w:szCs w:val="18"/>
              </w:rPr>
              <w:t>45.1</w:t>
            </w:r>
          </w:p>
        </w:tc>
        <w:tc>
          <w:tcPr>
            <w:tcW w:w="79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2CF5CFCD" w14:textId="77777777" w:rsidR="006954FE" w:rsidRPr="002F7B52" w:rsidRDefault="006954FE" w:rsidP="00DC3BE1">
            <w:pPr>
              <w:pStyle w:val="TableText"/>
              <w:tabs>
                <w:tab w:val="decimal" w:pos="411"/>
              </w:tabs>
              <w:rPr>
                <w:rFonts w:cs="Segoe UI"/>
                <w:szCs w:val="18"/>
              </w:rPr>
            </w:pPr>
            <w:r w:rsidRPr="002F7B52">
              <w:rPr>
                <w:rFonts w:cs="Segoe UI"/>
                <w:szCs w:val="18"/>
              </w:rPr>
              <w:t>12</w:t>
            </w:r>
          </w:p>
        </w:tc>
        <w:tc>
          <w:tcPr>
            <w:tcW w:w="79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6D31B0DB" w14:textId="77777777" w:rsidR="006954FE" w:rsidRPr="002F7B52" w:rsidRDefault="006954FE" w:rsidP="00DC3BE1">
            <w:pPr>
              <w:pStyle w:val="TableText"/>
              <w:tabs>
                <w:tab w:val="decimal" w:pos="458"/>
              </w:tabs>
              <w:rPr>
                <w:rFonts w:cs="Segoe UI"/>
                <w:szCs w:val="18"/>
              </w:rPr>
            </w:pPr>
            <w:r w:rsidRPr="002F7B52">
              <w:rPr>
                <w:rFonts w:cs="Segoe UI"/>
                <w:szCs w:val="18"/>
              </w:rPr>
              <w:t>129.8</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265AA30B" w14:textId="77777777" w:rsidR="006954FE" w:rsidRPr="002F7B52" w:rsidRDefault="006954FE" w:rsidP="00DC3BE1">
            <w:pPr>
              <w:pStyle w:val="TableText"/>
              <w:tabs>
                <w:tab w:val="decimal" w:pos="454"/>
              </w:tabs>
              <w:rPr>
                <w:rFonts w:cs="Segoe UI"/>
                <w:szCs w:val="18"/>
              </w:rPr>
            </w:pPr>
            <w:r w:rsidRPr="002F7B52">
              <w:rPr>
                <w:rFonts w:cs="Segoe UI"/>
                <w:szCs w:val="18"/>
              </w:rPr>
              <w:t>5</w:t>
            </w:r>
          </w:p>
        </w:tc>
        <w:tc>
          <w:tcPr>
            <w:tcW w:w="7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7E2D9C9B" w14:textId="77777777" w:rsidR="006954FE" w:rsidRPr="002F7B52" w:rsidRDefault="006954FE" w:rsidP="00DC3BE1">
            <w:pPr>
              <w:pStyle w:val="TableText"/>
              <w:jc w:val="center"/>
              <w:rPr>
                <w:rFonts w:cs="Segoe UI"/>
                <w:szCs w:val="18"/>
              </w:rPr>
            </w:pPr>
            <w:r w:rsidRPr="002F7B52">
              <w:rPr>
                <w:rFonts w:cs="Segoe UI"/>
                <w:szCs w:val="18"/>
              </w:rPr>
              <w:t>3.5</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36DDEEAE" w14:textId="77777777" w:rsidR="006954FE" w:rsidRPr="002F7B52" w:rsidRDefault="006954FE" w:rsidP="00DC3BE1">
            <w:pPr>
              <w:pStyle w:val="TableText"/>
              <w:tabs>
                <w:tab w:val="decimal" w:pos="459"/>
              </w:tabs>
              <w:rPr>
                <w:rFonts w:cs="Segoe UI"/>
                <w:szCs w:val="18"/>
              </w:rPr>
            </w:pPr>
            <w:r w:rsidRPr="002F7B52">
              <w:rPr>
                <w:rFonts w:cs="Segoe UI"/>
                <w:szCs w:val="18"/>
              </w:rPr>
              <w:t>23</w:t>
            </w:r>
          </w:p>
        </w:tc>
        <w:tc>
          <w:tcPr>
            <w:tcW w:w="7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7B1A5329" w14:textId="77777777" w:rsidR="006954FE" w:rsidRPr="002F7B52" w:rsidRDefault="006954FE" w:rsidP="00DC3BE1">
            <w:pPr>
              <w:pStyle w:val="TableText"/>
              <w:tabs>
                <w:tab w:val="decimal" w:pos="390"/>
              </w:tabs>
              <w:rPr>
                <w:rFonts w:cs="Segoe UI"/>
                <w:szCs w:val="18"/>
              </w:rPr>
            </w:pPr>
            <w:r w:rsidRPr="002F7B52">
              <w:rPr>
                <w:rFonts w:cs="Segoe UI"/>
                <w:szCs w:val="18"/>
              </w:rPr>
              <w:t>14.9</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3BF556D0" w14:textId="77777777" w:rsidR="006954FE" w:rsidRPr="002F7B52" w:rsidRDefault="006954FE" w:rsidP="00DC3BE1">
            <w:pPr>
              <w:pStyle w:val="TableText"/>
              <w:tabs>
                <w:tab w:val="decimal" w:pos="510"/>
              </w:tabs>
              <w:rPr>
                <w:rFonts w:cs="Segoe UI"/>
                <w:szCs w:val="18"/>
              </w:rPr>
            </w:pPr>
            <w:r w:rsidRPr="002F7B52">
              <w:rPr>
                <w:rFonts w:cs="Segoe UI"/>
                <w:szCs w:val="18"/>
              </w:rPr>
              <w:t>45</w:t>
            </w:r>
          </w:p>
        </w:tc>
      </w:tr>
      <w:tr w:rsidR="006954FE" w:rsidRPr="00FE58B3" w14:paraId="5860A82A" w14:textId="77777777" w:rsidTr="00DC3BE1">
        <w:trPr>
          <w:cantSplit/>
        </w:trPr>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5F9DA79B" w14:textId="77777777" w:rsidR="006954FE" w:rsidRPr="002F7B52" w:rsidRDefault="006954FE" w:rsidP="00DC3BE1">
            <w:pPr>
              <w:pStyle w:val="TableText"/>
              <w:rPr>
                <w:rFonts w:cs="Segoe UI"/>
                <w:szCs w:val="18"/>
              </w:rPr>
            </w:pPr>
            <w:r w:rsidRPr="002F7B52">
              <w:rPr>
                <w:rFonts w:cs="Segoe UI"/>
                <w:szCs w:val="18"/>
              </w:rPr>
              <w:t>20–24</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3E33E0DE" w14:textId="77777777" w:rsidR="006954FE" w:rsidRPr="002F7B52" w:rsidRDefault="006954FE" w:rsidP="00DC3BE1">
            <w:pPr>
              <w:pStyle w:val="TableText"/>
              <w:tabs>
                <w:tab w:val="decimal" w:pos="445"/>
              </w:tabs>
              <w:rPr>
                <w:rFonts w:cs="Segoe UI"/>
                <w:szCs w:val="18"/>
              </w:rPr>
            </w:pPr>
            <w:r w:rsidRPr="002F7B52">
              <w:rPr>
                <w:rFonts w:cs="Segoe UI"/>
                <w:szCs w:val="18"/>
              </w:rPr>
              <w:t>6</w:t>
            </w:r>
          </w:p>
        </w:tc>
        <w:tc>
          <w:tcPr>
            <w:tcW w:w="79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67466C47" w14:textId="77777777" w:rsidR="006954FE" w:rsidRPr="002F7B52" w:rsidRDefault="006954FE" w:rsidP="00DC3BE1">
            <w:pPr>
              <w:pStyle w:val="TableText"/>
              <w:tabs>
                <w:tab w:val="decimal" w:pos="441"/>
              </w:tabs>
              <w:rPr>
                <w:rFonts w:cs="Segoe UI"/>
                <w:szCs w:val="18"/>
              </w:rPr>
            </w:pPr>
            <w:r w:rsidRPr="002F7B52">
              <w:rPr>
                <w:rFonts w:cs="Segoe UI"/>
                <w:szCs w:val="18"/>
              </w:rPr>
              <w:t>86.7</w:t>
            </w:r>
          </w:p>
        </w:tc>
        <w:tc>
          <w:tcPr>
            <w:tcW w:w="79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13B4D283" w14:textId="77777777" w:rsidR="006954FE" w:rsidRPr="002F7B52" w:rsidRDefault="006954FE" w:rsidP="00DC3BE1">
            <w:pPr>
              <w:pStyle w:val="TableText"/>
              <w:tabs>
                <w:tab w:val="decimal" w:pos="411"/>
              </w:tabs>
              <w:rPr>
                <w:rFonts w:cs="Segoe UI"/>
                <w:szCs w:val="18"/>
              </w:rPr>
            </w:pPr>
            <w:r w:rsidRPr="002F7B52">
              <w:rPr>
                <w:rFonts w:cs="Segoe UI"/>
                <w:szCs w:val="18"/>
              </w:rPr>
              <w:t>24</w:t>
            </w:r>
          </w:p>
        </w:tc>
        <w:tc>
          <w:tcPr>
            <w:tcW w:w="79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1AFCA297" w14:textId="77777777" w:rsidR="006954FE" w:rsidRPr="002F7B52" w:rsidRDefault="006954FE" w:rsidP="00DC3BE1">
            <w:pPr>
              <w:pStyle w:val="TableText"/>
              <w:tabs>
                <w:tab w:val="decimal" w:pos="458"/>
              </w:tabs>
              <w:rPr>
                <w:rFonts w:cs="Segoe UI"/>
                <w:szCs w:val="18"/>
              </w:rPr>
            </w:pPr>
            <w:r w:rsidRPr="002F7B52">
              <w:rPr>
                <w:rFonts w:cs="Segoe UI"/>
                <w:szCs w:val="18"/>
              </w:rPr>
              <w:t>276.4</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68F63AC4" w14:textId="77777777" w:rsidR="006954FE" w:rsidRPr="002F7B52" w:rsidRDefault="006954FE" w:rsidP="00DC3BE1">
            <w:pPr>
              <w:pStyle w:val="TableText"/>
              <w:tabs>
                <w:tab w:val="decimal" w:pos="454"/>
              </w:tabs>
              <w:rPr>
                <w:rFonts w:cs="Segoe UI"/>
                <w:szCs w:val="18"/>
              </w:rPr>
            </w:pPr>
            <w:r w:rsidRPr="002F7B52">
              <w:rPr>
                <w:rFonts w:cs="Segoe UI"/>
                <w:szCs w:val="18"/>
              </w:rPr>
              <w:t>10</w:t>
            </w:r>
          </w:p>
        </w:tc>
        <w:tc>
          <w:tcPr>
            <w:tcW w:w="7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49396F15" w14:textId="77777777" w:rsidR="006954FE" w:rsidRPr="002F7B52" w:rsidRDefault="006954FE" w:rsidP="00DC3BE1">
            <w:pPr>
              <w:pStyle w:val="TableText"/>
              <w:jc w:val="center"/>
              <w:rPr>
                <w:rFonts w:cs="Segoe UI"/>
                <w:szCs w:val="18"/>
              </w:rPr>
            </w:pPr>
            <w:r w:rsidRPr="002F7B52">
              <w:rPr>
                <w:rFonts w:cs="Segoe UI"/>
                <w:szCs w:val="18"/>
              </w:rPr>
              <w:t>6.2</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3B675876" w14:textId="77777777" w:rsidR="006954FE" w:rsidRPr="002F7B52" w:rsidRDefault="006954FE" w:rsidP="00DC3BE1">
            <w:pPr>
              <w:pStyle w:val="TableText"/>
              <w:tabs>
                <w:tab w:val="decimal" w:pos="459"/>
              </w:tabs>
              <w:rPr>
                <w:rFonts w:cs="Segoe UI"/>
                <w:szCs w:val="18"/>
              </w:rPr>
            </w:pPr>
            <w:r w:rsidRPr="002F7B52">
              <w:rPr>
                <w:rFonts w:cs="Segoe UI"/>
                <w:szCs w:val="18"/>
              </w:rPr>
              <w:t>32</w:t>
            </w:r>
          </w:p>
        </w:tc>
        <w:tc>
          <w:tcPr>
            <w:tcW w:w="7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06B98CEC" w14:textId="77777777" w:rsidR="006954FE" w:rsidRPr="002F7B52" w:rsidRDefault="006954FE" w:rsidP="00DC3BE1">
            <w:pPr>
              <w:pStyle w:val="TableText"/>
              <w:tabs>
                <w:tab w:val="decimal" w:pos="390"/>
              </w:tabs>
              <w:rPr>
                <w:rFonts w:cs="Segoe UI"/>
                <w:szCs w:val="18"/>
              </w:rPr>
            </w:pPr>
            <w:r w:rsidRPr="002F7B52">
              <w:rPr>
                <w:rFonts w:cs="Segoe UI"/>
                <w:szCs w:val="18"/>
              </w:rPr>
              <w:t>18.4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175FFC59" w14:textId="77777777" w:rsidR="006954FE" w:rsidRPr="002F7B52" w:rsidRDefault="006954FE" w:rsidP="00DC3BE1">
            <w:pPr>
              <w:pStyle w:val="TableText"/>
              <w:tabs>
                <w:tab w:val="decimal" w:pos="510"/>
              </w:tabs>
              <w:rPr>
                <w:rFonts w:cs="Segoe UI"/>
                <w:szCs w:val="18"/>
              </w:rPr>
            </w:pPr>
            <w:r w:rsidRPr="002F7B52">
              <w:rPr>
                <w:rFonts w:cs="Segoe UI"/>
                <w:szCs w:val="18"/>
              </w:rPr>
              <w:t>72</w:t>
            </w:r>
          </w:p>
        </w:tc>
      </w:tr>
      <w:tr w:rsidR="006954FE" w:rsidRPr="00FE58B3" w14:paraId="6B2ED9DE" w14:textId="77777777" w:rsidTr="00DC3BE1">
        <w:trPr>
          <w:cantSplit/>
        </w:trPr>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0F203831" w14:textId="77777777" w:rsidR="006954FE" w:rsidRPr="002F7B52" w:rsidRDefault="006954FE" w:rsidP="00DC3BE1">
            <w:pPr>
              <w:pStyle w:val="TableText"/>
              <w:rPr>
                <w:rFonts w:cs="Segoe UI"/>
                <w:szCs w:val="18"/>
              </w:rPr>
            </w:pPr>
            <w:r w:rsidRPr="002F7B52">
              <w:rPr>
                <w:rFonts w:cs="Segoe UI"/>
                <w:szCs w:val="18"/>
              </w:rPr>
              <w:t>25–29</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6218569D" w14:textId="77777777" w:rsidR="006954FE" w:rsidRPr="002F7B52" w:rsidRDefault="006954FE" w:rsidP="00DC3BE1">
            <w:pPr>
              <w:pStyle w:val="TableText"/>
              <w:tabs>
                <w:tab w:val="decimal" w:pos="445"/>
              </w:tabs>
              <w:rPr>
                <w:rFonts w:cs="Segoe UI"/>
                <w:szCs w:val="18"/>
              </w:rPr>
            </w:pPr>
            <w:r w:rsidRPr="002F7B52">
              <w:rPr>
                <w:rFonts w:cs="Segoe UI"/>
                <w:szCs w:val="18"/>
              </w:rPr>
              <w:t>10</w:t>
            </w:r>
          </w:p>
        </w:tc>
        <w:tc>
          <w:tcPr>
            <w:tcW w:w="79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5ABFA252" w14:textId="77777777" w:rsidR="006954FE" w:rsidRPr="002F7B52" w:rsidRDefault="006954FE" w:rsidP="00DC3BE1">
            <w:pPr>
              <w:pStyle w:val="TableText"/>
              <w:tabs>
                <w:tab w:val="decimal" w:pos="441"/>
              </w:tabs>
              <w:rPr>
                <w:rFonts w:cs="Segoe UI"/>
                <w:szCs w:val="18"/>
              </w:rPr>
            </w:pPr>
            <w:r w:rsidRPr="002F7B52">
              <w:rPr>
                <w:rFonts w:cs="Segoe UI"/>
                <w:szCs w:val="18"/>
              </w:rPr>
              <w:t>149.5</w:t>
            </w:r>
          </w:p>
        </w:tc>
        <w:tc>
          <w:tcPr>
            <w:tcW w:w="79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04C3031A" w14:textId="77777777" w:rsidR="006954FE" w:rsidRPr="002F7B52" w:rsidRDefault="006954FE" w:rsidP="00DC3BE1">
            <w:pPr>
              <w:pStyle w:val="TableText"/>
              <w:tabs>
                <w:tab w:val="decimal" w:pos="411"/>
              </w:tabs>
              <w:rPr>
                <w:rFonts w:cs="Segoe UI"/>
                <w:szCs w:val="18"/>
              </w:rPr>
            </w:pPr>
            <w:r w:rsidRPr="002F7B52">
              <w:rPr>
                <w:rFonts w:cs="Segoe UI"/>
                <w:szCs w:val="18"/>
              </w:rPr>
              <w:t>22</w:t>
            </w:r>
          </w:p>
        </w:tc>
        <w:tc>
          <w:tcPr>
            <w:tcW w:w="79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485AB1B8" w14:textId="77777777" w:rsidR="006954FE" w:rsidRPr="002F7B52" w:rsidRDefault="006954FE" w:rsidP="00DC3BE1">
            <w:pPr>
              <w:pStyle w:val="TableText"/>
              <w:tabs>
                <w:tab w:val="decimal" w:pos="458"/>
              </w:tabs>
              <w:rPr>
                <w:rFonts w:cs="Segoe UI"/>
                <w:szCs w:val="18"/>
              </w:rPr>
            </w:pPr>
            <w:r w:rsidRPr="002F7B52">
              <w:rPr>
                <w:rFonts w:cs="Segoe UI"/>
                <w:szCs w:val="18"/>
              </w:rPr>
              <w:t>267.5</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5A60BF4D" w14:textId="77777777" w:rsidR="006954FE" w:rsidRPr="002F7B52" w:rsidRDefault="006954FE" w:rsidP="00DC3BE1">
            <w:pPr>
              <w:pStyle w:val="TableText"/>
              <w:tabs>
                <w:tab w:val="decimal" w:pos="454"/>
              </w:tabs>
              <w:rPr>
                <w:rFonts w:cs="Segoe UI"/>
                <w:szCs w:val="18"/>
              </w:rPr>
            </w:pPr>
            <w:r w:rsidRPr="002F7B52">
              <w:rPr>
                <w:rFonts w:cs="Segoe UI"/>
                <w:szCs w:val="18"/>
              </w:rPr>
              <w:t>8</w:t>
            </w:r>
          </w:p>
        </w:tc>
        <w:tc>
          <w:tcPr>
            <w:tcW w:w="7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4C97D68C" w14:textId="77777777" w:rsidR="006954FE" w:rsidRPr="002F7B52" w:rsidRDefault="006954FE" w:rsidP="00DC3BE1">
            <w:pPr>
              <w:pStyle w:val="TableText"/>
              <w:jc w:val="center"/>
              <w:rPr>
                <w:rFonts w:cs="Segoe UI"/>
                <w:szCs w:val="18"/>
              </w:rPr>
            </w:pPr>
            <w:r w:rsidRPr="002F7B52">
              <w:rPr>
                <w:rFonts w:cs="Segoe UI"/>
                <w:szCs w:val="18"/>
              </w:rPr>
              <w:t>4.9</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780E9013" w14:textId="77777777" w:rsidR="006954FE" w:rsidRPr="002F7B52" w:rsidRDefault="006954FE" w:rsidP="00DC3BE1">
            <w:pPr>
              <w:pStyle w:val="TableText"/>
              <w:tabs>
                <w:tab w:val="decimal" w:pos="459"/>
              </w:tabs>
              <w:rPr>
                <w:rFonts w:cs="Segoe UI"/>
                <w:szCs w:val="18"/>
              </w:rPr>
            </w:pPr>
            <w:r w:rsidRPr="002F7B52">
              <w:rPr>
                <w:rFonts w:cs="Segoe UI"/>
                <w:szCs w:val="18"/>
              </w:rPr>
              <w:t>33</w:t>
            </w:r>
          </w:p>
        </w:tc>
        <w:tc>
          <w:tcPr>
            <w:tcW w:w="7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61BA1339" w14:textId="77777777" w:rsidR="006954FE" w:rsidRPr="002F7B52" w:rsidRDefault="006954FE" w:rsidP="00DC3BE1">
            <w:pPr>
              <w:pStyle w:val="TableText"/>
              <w:tabs>
                <w:tab w:val="decimal" w:pos="390"/>
              </w:tabs>
              <w:rPr>
                <w:rFonts w:cs="Segoe UI"/>
                <w:szCs w:val="18"/>
              </w:rPr>
            </w:pPr>
            <w:r w:rsidRPr="002F7B52">
              <w:rPr>
                <w:rFonts w:cs="Segoe UI"/>
                <w:szCs w:val="18"/>
              </w:rPr>
              <w:t>20.4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3A806852" w14:textId="77777777" w:rsidR="006954FE" w:rsidRPr="002F7B52" w:rsidRDefault="006954FE" w:rsidP="00DC3BE1">
            <w:pPr>
              <w:pStyle w:val="TableText"/>
              <w:tabs>
                <w:tab w:val="decimal" w:pos="510"/>
              </w:tabs>
              <w:rPr>
                <w:rFonts w:cs="Segoe UI"/>
                <w:szCs w:val="18"/>
              </w:rPr>
            </w:pPr>
            <w:r w:rsidRPr="002F7B52">
              <w:rPr>
                <w:rFonts w:cs="Segoe UI"/>
                <w:szCs w:val="18"/>
              </w:rPr>
              <w:t>73</w:t>
            </w:r>
          </w:p>
        </w:tc>
      </w:tr>
      <w:tr w:rsidR="006954FE" w:rsidRPr="00FE58B3" w14:paraId="0D5CC2A2" w14:textId="77777777" w:rsidTr="00DC3BE1">
        <w:trPr>
          <w:cantSplit/>
        </w:trPr>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7F690FCF" w14:textId="77777777" w:rsidR="006954FE" w:rsidRPr="002F7B52" w:rsidRDefault="006954FE" w:rsidP="00DC3BE1">
            <w:pPr>
              <w:pStyle w:val="TableText"/>
              <w:rPr>
                <w:rFonts w:cs="Segoe UI"/>
                <w:szCs w:val="18"/>
              </w:rPr>
            </w:pPr>
            <w:r w:rsidRPr="002F7B52">
              <w:rPr>
                <w:rFonts w:cs="Segoe UI"/>
                <w:szCs w:val="18"/>
              </w:rPr>
              <w:t>30–34</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7C906345" w14:textId="77777777" w:rsidR="006954FE" w:rsidRPr="002F7B52" w:rsidRDefault="006954FE" w:rsidP="00DC3BE1">
            <w:pPr>
              <w:pStyle w:val="TableText"/>
              <w:tabs>
                <w:tab w:val="decimal" w:pos="445"/>
              </w:tabs>
              <w:rPr>
                <w:rFonts w:cs="Segoe UI"/>
                <w:szCs w:val="18"/>
              </w:rPr>
            </w:pPr>
            <w:r w:rsidRPr="002F7B52">
              <w:rPr>
                <w:rFonts w:cs="Segoe UI"/>
                <w:szCs w:val="18"/>
              </w:rPr>
              <w:t>6</w:t>
            </w:r>
          </w:p>
        </w:tc>
        <w:tc>
          <w:tcPr>
            <w:tcW w:w="79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4A3D3DA2" w14:textId="77777777" w:rsidR="006954FE" w:rsidRPr="002F7B52" w:rsidRDefault="006954FE" w:rsidP="00DC3BE1">
            <w:pPr>
              <w:pStyle w:val="TableText"/>
              <w:tabs>
                <w:tab w:val="decimal" w:pos="441"/>
              </w:tabs>
              <w:rPr>
                <w:rFonts w:cs="Segoe UI"/>
                <w:szCs w:val="18"/>
              </w:rPr>
            </w:pPr>
            <w:r w:rsidRPr="002F7B52">
              <w:rPr>
                <w:rFonts w:cs="Segoe UI"/>
                <w:szCs w:val="18"/>
              </w:rPr>
              <w:t>99.2</w:t>
            </w:r>
          </w:p>
        </w:tc>
        <w:tc>
          <w:tcPr>
            <w:tcW w:w="79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2A725B86" w14:textId="77777777" w:rsidR="006954FE" w:rsidRPr="002F7B52" w:rsidRDefault="006954FE" w:rsidP="00DC3BE1">
            <w:pPr>
              <w:pStyle w:val="TableText"/>
              <w:tabs>
                <w:tab w:val="decimal" w:pos="411"/>
              </w:tabs>
              <w:rPr>
                <w:rFonts w:cs="Segoe UI"/>
                <w:szCs w:val="18"/>
              </w:rPr>
            </w:pPr>
            <w:r w:rsidRPr="002F7B52">
              <w:rPr>
                <w:rFonts w:cs="Segoe UI"/>
                <w:szCs w:val="18"/>
              </w:rPr>
              <w:t>17</w:t>
            </w:r>
          </w:p>
        </w:tc>
        <w:tc>
          <w:tcPr>
            <w:tcW w:w="79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002DFE33" w14:textId="77777777" w:rsidR="006954FE" w:rsidRPr="002F7B52" w:rsidRDefault="006954FE" w:rsidP="00DC3BE1">
            <w:pPr>
              <w:pStyle w:val="TableText"/>
              <w:tabs>
                <w:tab w:val="decimal" w:pos="458"/>
              </w:tabs>
              <w:rPr>
                <w:rFonts w:cs="Segoe UI"/>
                <w:szCs w:val="18"/>
              </w:rPr>
            </w:pPr>
            <w:r w:rsidRPr="002F7B52">
              <w:rPr>
                <w:rFonts w:cs="Segoe UI"/>
                <w:szCs w:val="18"/>
              </w:rPr>
              <w:t>248.9</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7F7D87D2" w14:textId="77777777" w:rsidR="006954FE" w:rsidRPr="002F7B52" w:rsidRDefault="006954FE" w:rsidP="00DC3BE1">
            <w:pPr>
              <w:pStyle w:val="TableText"/>
              <w:tabs>
                <w:tab w:val="decimal" w:pos="454"/>
              </w:tabs>
              <w:rPr>
                <w:rFonts w:cs="Segoe UI"/>
                <w:szCs w:val="18"/>
              </w:rPr>
            </w:pPr>
            <w:r w:rsidRPr="002F7B52">
              <w:rPr>
                <w:rFonts w:cs="Segoe UI"/>
                <w:szCs w:val="18"/>
              </w:rPr>
              <w:t>5</w:t>
            </w:r>
          </w:p>
        </w:tc>
        <w:tc>
          <w:tcPr>
            <w:tcW w:w="7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0DD08452" w14:textId="77777777" w:rsidR="006954FE" w:rsidRPr="002F7B52" w:rsidRDefault="006954FE" w:rsidP="00DC3BE1">
            <w:pPr>
              <w:pStyle w:val="TableText"/>
              <w:jc w:val="center"/>
              <w:rPr>
                <w:rFonts w:cs="Segoe UI"/>
                <w:szCs w:val="18"/>
              </w:rPr>
            </w:pPr>
            <w:r w:rsidRPr="002F7B52">
              <w:rPr>
                <w:rFonts w:cs="Segoe UI"/>
                <w:szCs w:val="18"/>
              </w:rPr>
              <w:t>3.4</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1370F769" w14:textId="77777777" w:rsidR="006954FE" w:rsidRPr="002F7B52" w:rsidRDefault="006954FE" w:rsidP="00DC3BE1">
            <w:pPr>
              <w:pStyle w:val="TableText"/>
              <w:tabs>
                <w:tab w:val="decimal" w:pos="459"/>
              </w:tabs>
              <w:rPr>
                <w:rFonts w:cs="Segoe UI"/>
                <w:szCs w:val="18"/>
              </w:rPr>
            </w:pPr>
            <w:r w:rsidRPr="002F7B52">
              <w:rPr>
                <w:rFonts w:cs="Segoe UI"/>
                <w:szCs w:val="18"/>
              </w:rPr>
              <w:t>20</w:t>
            </w:r>
          </w:p>
        </w:tc>
        <w:tc>
          <w:tcPr>
            <w:tcW w:w="7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6FD044C5" w14:textId="77777777" w:rsidR="006954FE" w:rsidRPr="002F7B52" w:rsidRDefault="006954FE" w:rsidP="00DC3BE1">
            <w:pPr>
              <w:pStyle w:val="TableText"/>
              <w:tabs>
                <w:tab w:val="decimal" w:pos="390"/>
              </w:tabs>
              <w:rPr>
                <w:rFonts w:cs="Segoe UI"/>
                <w:szCs w:val="18"/>
              </w:rPr>
            </w:pPr>
            <w:r w:rsidRPr="002F7B52">
              <w:rPr>
                <w:rFonts w:cs="Segoe UI"/>
                <w:szCs w:val="18"/>
              </w:rPr>
              <w:t>14.5</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23EB1A4D" w14:textId="77777777" w:rsidR="006954FE" w:rsidRPr="002F7B52" w:rsidRDefault="006954FE" w:rsidP="00DC3BE1">
            <w:pPr>
              <w:pStyle w:val="TableText"/>
              <w:tabs>
                <w:tab w:val="decimal" w:pos="510"/>
              </w:tabs>
              <w:rPr>
                <w:rFonts w:cs="Segoe UI"/>
                <w:szCs w:val="18"/>
              </w:rPr>
            </w:pPr>
            <w:r w:rsidRPr="002F7B52">
              <w:rPr>
                <w:rFonts w:cs="Segoe UI"/>
                <w:szCs w:val="18"/>
              </w:rPr>
              <w:t>48</w:t>
            </w:r>
          </w:p>
        </w:tc>
      </w:tr>
      <w:tr w:rsidR="006954FE" w:rsidRPr="00FE58B3" w14:paraId="3175D932" w14:textId="77777777" w:rsidTr="00DC3BE1">
        <w:trPr>
          <w:cantSplit/>
        </w:trPr>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3AA37F58" w14:textId="77777777" w:rsidR="006954FE" w:rsidRPr="002F7B52" w:rsidRDefault="006954FE" w:rsidP="00DC3BE1">
            <w:pPr>
              <w:pStyle w:val="TableText"/>
              <w:rPr>
                <w:rFonts w:cs="Segoe UI"/>
                <w:szCs w:val="18"/>
              </w:rPr>
            </w:pPr>
            <w:r w:rsidRPr="002F7B52">
              <w:rPr>
                <w:rFonts w:cs="Segoe UI"/>
                <w:szCs w:val="18"/>
              </w:rPr>
              <w:t>35–39</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2D59192E" w14:textId="77777777" w:rsidR="006954FE" w:rsidRPr="002F7B52" w:rsidRDefault="006954FE" w:rsidP="00DC3BE1">
            <w:pPr>
              <w:pStyle w:val="TableText"/>
              <w:tabs>
                <w:tab w:val="decimal" w:pos="445"/>
              </w:tabs>
              <w:rPr>
                <w:rFonts w:cs="Segoe UI"/>
                <w:szCs w:val="18"/>
              </w:rPr>
            </w:pPr>
            <w:r w:rsidRPr="002F7B52">
              <w:rPr>
                <w:rFonts w:cs="Segoe UI"/>
                <w:szCs w:val="18"/>
              </w:rPr>
              <w:t>5</w:t>
            </w:r>
          </w:p>
        </w:tc>
        <w:tc>
          <w:tcPr>
            <w:tcW w:w="79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4E27B4C1" w14:textId="77777777" w:rsidR="006954FE" w:rsidRPr="002F7B52" w:rsidRDefault="006954FE" w:rsidP="00DC3BE1">
            <w:pPr>
              <w:pStyle w:val="TableText"/>
              <w:tabs>
                <w:tab w:val="decimal" w:pos="441"/>
              </w:tabs>
              <w:rPr>
                <w:rFonts w:cs="Segoe UI"/>
                <w:szCs w:val="18"/>
              </w:rPr>
            </w:pPr>
            <w:r w:rsidRPr="002F7B52">
              <w:rPr>
                <w:rFonts w:cs="Segoe UI"/>
                <w:szCs w:val="18"/>
              </w:rPr>
              <w:t>93.6</w:t>
            </w:r>
          </w:p>
        </w:tc>
        <w:tc>
          <w:tcPr>
            <w:tcW w:w="79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644E2F0C" w14:textId="77777777" w:rsidR="006954FE" w:rsidRPr="002F7B52" w:rsidRDefault="006954FE" w:rsidP="00DC3BE1">
            <w:pPr>
              <w:pStyle w:val="TableText"/>
              <w:tabs>
                <w:tab w:val="decimal" w:pos="411"/>
              </w:tabs>
              <w:rPr>
                <w:rFonts w:cs="Segoe UI"/>
                <w:szCs w:val="18"/>
              </w:rPr>
            </w:pPr>
            <w:r w:rsidRPr="002F7B52">
              <w:rPr>
                <w:rFonts w:cs="Segoe UI"/>
                <w:szCs w:val="18"/>
              </w:rPr>
              <w:t>9</w:t>
            </w:r>
          </w:p>
        </w:tc>
        <w:tc>
          <w:tcPr>
            <w:tcW w:w="79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266FBE85" w14:textId="77777777" w:rsidR="006954FE" w:rsidRPr="002F7B52" w:rsidRDefault="006954FE" w:rsidP="00DC3BE1">
            <w:pPr>
              <w:pStyle w:val="TableText"/>
              <w:tabs>
                <w:tab w:val="decimal" w:pos="458"/>
              </w:tabs>
              <w:rPr>
                <w:rFonts w:cs="Segoe UI"/>
                <w:szCs w:val="18"/>
              </w:rPr>
            </w:pPr>
            <w:r w:rsidRPr="002F7B52">
              <w:rPr>
                <w:rFonts w:cs="Segoe UI"/>
                <w:szCs w:val="18"/>
              </w:rPr>
              <w:t>145.3</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27ECC205" w14:textId="77777777" w:rsidR="006954FE" w:rsidRPr="002F7B52" w:rsidRDefault="006954FE" w:rsidP="00DC3BE1">
            <w:pPr>
              <w:pStyle w:val="TableText"/>
              <w:tabs>
                <w:tab w:val="decimal" w:pos="454"/>
              </w:tabs>
              <w:rPr>
                <w:rFonts w:cs="Segoe UI"/>
                <w:szCs w:val="18"/>
              </w:rPr>
            </w:pPr>
            <w:r w:rsidRPr="002F7B52">
              <w:rPr>
                <w:rFonts w:cs="Segoe UI"/>
                <w:szCs w:val="18"/>
              </w:rPr>
              <w:t>7</w:t>
            </w:r>
          </w:p>
        </w:tc>
        <w:tc>
          <w:tcPr>
            <w:tcW w:w="7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40DBFB27" w14:textId="77777777" w:rsidR="006954FE" w:rsidRPr="002F7B52" w:rsidRDefault="006954FE" w:rsidP="00DC3BE1">
            <w:pPr>
              <w:pStyle w:val="TableText"/>
              <w:jc w:val="center"/>
              <w:rPr>
                <w:rFonts w:cs="Segoe UI"/>
                <w:szCs w:val="18"/>
              </w:rPr>
            </w:pPr>
            <w:r w:rsidRPr="002F7B52">
              <w:rPr>
                <w:rFonts w:cs="Segoe UI"/>
                <w:szCs w:val="18"/>
              </w:rPr>
              <w:t>5.0</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523EEFFE" w14:textId="77777777" w:rsidR="006954FE" w:rsidRPr="002F7B52" w:rsidRDefault="006954FE" w:rsidP="00DC3BE1">
            <w:pPr>
              <w:pStyle w:val="TableText"/>
              <w:tabs>
                <w:tab w:val="decimal" w:pos="459"/>
              </w:tabs>
              <w:rPr>
                <w:rFonts w:cs="Segoe UI"/>
                <w:szCs w:val="18"/>
              </w:rPr>
            </w:pPr>
            <w:r w:rsidRPr="002F7B52">
              <w:rPr>
                <w:rFonts w:cs="Segoe UI"/>
                <w:szCs w:val="18"/>
              </w:rPr>
              <w:t>13</w:t>
            </w:r>
          </w:p>
        </w:tc>
        <w:tc>
          <w:tcPr>
            <w:tcW w:w="7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5389C188" w14:textId="77777777" w:rsidR="006954FE" w:rsidRPr="002F7B52" w:rsidRDefault="006954FE" w:rsidP="00DC3BE1">
            <w:pPr>
              <w:pStyle w:val="TableText"/>
              <w:tabs>
                <w:tab w:val="decimal" w:pos="390"/>
              </w:tabs>
              <w:rPr>
                <w:rFonts w:cs="Segoe UI"/>
                <w:szCs w:val="18"/>
              </w:rPr>
            </w:pPr>
            <w:r w:rsidRPr="002F7B52">
              <w:rPr>
                <w:rFonts w:cs="Segoe UI"/>
                <w:szCs w:val="18"/>
              </w:rPr>
              <w:t>10.2</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66D26B93" w14:textId="77777777" w:rsidR="006954FE" w:rsidRPr="002F7B52" w:rsidRDefault="006954FE" w:rsidP="00DC3BE1">
            <w:pPr>
              <w:pStyle w:val="TableText"/>
              <w:tabs>
                <w:tab w:val="decimal" w:pos="510"/>
              </w:tabs>
              <w:rPr>
                <w:rFonts w:cs="Segoe UI"/>
                <w:szCs w:val="18"/>
              </w:rPr>
            </w:pPr>
            <w:r w:rsidRPr="002F7B52">
              <w:rPr>
                <w:rFonts w:cs="Segoe UI"/>
                <w:szCs w:val="18"/>
              </w:rPr>
              <w:t>34</w:t>
            </w:r>
          </w:p>
        </w:tc>
      </w:tr>
      <w:tr w:rsidR="006954FE" w:rsidRPr="00FE58B3" w14:paraId="68BF09C2" w14:textId="77777777" w:rsidTr="00DC3BE1">
        <w:trPr>
          <w:cantSplit/>
        </w:trPr>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111A1122" w14:textId="77777777" w:rsidR="006954FE" w:rsidRPr="002F7B52" w:rsidRDefault="006954FE" w:rsidP="00DC3BE1">
            <w:pPr>
              <w:pStyle w:val="TableText"/>
              <w:rPr>
                <w:rFonts w:cs="Segoe UI"/>
                <w:szCs w:val="18"/>
              </w:rPr>
            </w:pPr>
            <w:r w:rsidRPr="002F7B52">
              <w:rPr>
                <w:rFonts w:cs="Segoe UI"/>
                <w:szCs w:val="18"/>
              </w:rPr>
              <w:t>40–44</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30100125" w14:textId="77777777" w:rsidR="006954FE" w:rsidRPr="002F7B52" w:rsidRDefault="006954FE" w:rsidP="00DC3BE1">
            <w:pPr>
              <w:pStyle w:val="TableText"/>
              <w:tabs>
                <w:tab w:val="decimal" w:pos="445"/>
              </w:tabs>
              <w:rPr>
                <w:rFonts w:cs="Segoe UI"/>
                <w:szCs w:val="18"/>
              </w:rPr>
            </w:pPr>
            <w:r w:rsidRPr="002F7B52">
              <w:rPr>
                <w:rFonts w:cs="Segoe UI"/>
                <w:szCs w:val="18"/>
              </w:rPr>
              <w:t>13</w:t>
            </w:r>
          </w:p>
        </w:tc>
        <w:tc>
          <w:tcPr>
            <w:tcW w:w="79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7108C054" w14:textId="77777777" w:rsidR="006954FE" w:rsidRPr="002F7B52" w:rsidRDefault="006954FE" w:rsidP="00DC3BE1">
            <w:pPr>
              <w:pStyle w:val="TableText"/>
              <w:tabs>
                <w:tab w:val="decimal" w:pos="441"/>
              </w:tabs>
              <w:rPr>
                <w:rFonts w:cs="Segoe UI"/>
                <w:szCs w:val="18"/>
              </w:rPr>
            </w:pPr>
            <w:r w:rsidRPr="002F7B52">
              <w:rPr>
                <w:rFonts w:cs="Segoe UI"/>
                <w:szCs w:val="18"/>
              </w:rPr>
              <w:t>261.3</w:t>
            </w:r>
          </w:p>
        </w:tc>
        <w:tc>
          <w:tcPr>
            <w:tcW w:w="79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77C75930" w14:textId="77777777" w:rsidR="006954FE" w:rsidRPr="002F7B52" w:rsidRDefault="006954FE" w:rsidP="00DC3BE1">
            <w:pPr>
              <w:pStyle w:val="TableText"/>
              <w:tabs>
                <w:tab w:val="decimal" w:pos="411"/>
              </w:tabs>
              <w:rPr>
                <w:rFonts w:cs="Segoe UI"/>
                <w:szCs w:val="18"/>
              </w:rPr>
            </w:pPr>
            <w:r w:rsidRPr="002F7B52">
              <w:rPr>
                <w:rFonts w:cs="Segoe UI"/>
                <w:szCs w:val="18"/>
              </w:rPr>
              <w:t>20</w:t>
            </w:r>
          </w:p>
        </w:tc>
        <w:tc>
          <w:tcPr>
            <w:tcW w:w="79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35B57E40" w14:textId="77777777" w:rsidR="006954FE" w:rsidRPr="002F7B52" w:rsidRDefault="006954FE" w:rsidP="00DC3BE1">
            <w:pPr>
              <w:pStyle w:val="TableText"/>
              <w:tabs>
                <w:tab w:val="decimal" w:pos="458"/>
              </w:tabs>
              <w:rPr>
                <w:rFonts w:cs="Segoe UI"/>
                <w:szCs w:val="18"/>
              </w:rPr>
            </w:pPr>
            <w:r w:rsidRPr="002F7B52">
              <w:rPr>
                <w:rFonts w:cs="Segoe UI"/>
                <w:szCs w:val="18"/>
              </w:rPr>
              <w:t>320.4</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0EB921D0" w14:textId="77777777" w:rsidR="006954FE" w:rsidRPr="002F7B52" w:rsidRDefault="006954FE" w:rsidP="00DC3BE1">
            <w:pPr>
              <w:pStyle w:val="TableText"/>
              <w:tabs>
                <w:tab w:val="decimal" w:pos="454"/>
              </w:tabs>
              <w:rPr>
                <w:rFonts w:cs="Segoe UI"/>
                <w:szCs w:val="18"/>
              </w:rPr>
            </w:pPr>
            <w:r w:rsidRPr="002F7B52">
              <w:rPr>
                <w:rFonts w:cs="Segoe UI"/>
                <w:szCs w:val="18"/>
              </w:rPr>
              <w:t>8</w:t>
            </w:r>
          </w:p>
        </w:tc>
        <w:tc>
          <w:tcPr>
            <w:tcW w:w="7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6F52E3C1" w14:textId="77777777" w:rsidR="006954FE" w:rsidRPr="002F7B52" w:rsidRDefault="006954FE" w:rsidP="00DC3BE1">
            <w:pPr>
              <w:pStyle w:val="TableText"/>
              <w:jc w:val="center"/>
              <w:rPr>
                <w:rFonts w:cs="Segoe UI"/>
                <w:szCs w:val="18"/>
              </w:rPr>
            </w:pPr>
            <w:r w:rsidRPr="002F7B52">
              <w:rPr>
                <w:rFonts w:cs="Segoe UI"/>
                <w:szCs w:val="18"/>
              </w:rPr>
              <w:t>5.2</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59F84FFC" w14:textId="77777777" w:rsidR="006954FE" w:rsidRPr="002F7B52" w:rsidRDefault="006954FE" w:rsidP="00DC3BE1">
            <w:pPr>
              <w:pStyle w:val="TableText"/>
              <w:tabs>
                <w:tab w:val="decimal" w:pos="459"/>
              </w:tabs>
              <w:rPr>
                <w:rFonts w:cs="Segoe UI"/>
                <w:szCs w:val="18"/>
              </w:rPr>
            </w:pPr>
            <w:r w:rsidRPr="002F7B52">
              <w:rPr>
                <w:rFonts w:cs="Segoe UI"/>
                <w:szCs w:val="18"/>
              </w:rPr>
              <w:t>16</w:t>
            </w:r>
          </w:p>
        </w:tc>
        <w:tc>
          <w:tcPr>
            <w:tcW w:w="7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26214D8A" w14:textId="77777777" w:rsidR="006954FE" w:rsidRPr="002F7B52" w:rsidRDefault="006954FE" w:rsidP="00DC3BE1">
            <w:pPr>
              <w:pStyle w:val="TableText"/>
              <w:tabs>
                <w:tab w:val="decimal" w:pos="390"/>
              </w:tabs>
              <w:rPr>
                <w:rFonts w:cs="Segoe UI"/>
                <w:szCs w:val="18"/>
              </w:rPr>
            </w:pPr>
            <w:r w:rsidRPr="002F7B52">
              <w:rPr>
                <w:rFonts w:cs="Segoe UI"/>
                <w:szCs w:val="18"/>
              </w:rPr>
              <w:t>11.6</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66A87C8D" w14:textId="77777777" w:rsidR="006954FE" w:rsidRPr="002F7B52" w:rsidRDefault="006954FE" w:rsidP="00DC3BE1">
            <w:pPr>
              <w:pStyle w:val="TableText"/>
              <w:tabs>
                <w:tab w:val="decimal" w:pos="510"/>
              </w:tabs>
              <w:rPr>
                <w:rFonts w:cs="Segoe UI"/>
                <w:szCs w:val="18"/>
              </w:rPr>
            </w:pPr>
            <w:r w:rsidRPr="002F7B52">
              <w:rPr>
                <w:rFonts w:cs="Segoe UI"/>
                <w:szCs w:val="18"/>
              </w:rPr>
              <w:t>57</w:t>
            </w:r>
          </w:p>
        </w:tc>
      </w:tr>
      <w:tr w:rsidR="006954FE" w:rsidRPr="00FE58B3" w14:paraId="38747829" w14:textId="77777777" w:rsidTr="00DC3BE1">
        <w:trPr>
          <w:cantSplit/>
        </w:trPr>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03E63DD5" w14:textId="77777777" w:rsidR="006954FE" w:rsidRPr="002F7B52" w:rsidRDefault="006954FE" w:rsidP="00DC3BE1">
            <w:pPr>
              <w:pStyle w:val="TableText"/>
              <w:rPr>
                <w:rFonts w:cs="Segoe UI"/>
                <w:szCs w:val="18"/>
              </w:rPr>
            </w:pPr>
            <w:r w:rsidRPr="002F7B52">
              <w:rPr>
                <w:rFonts w:cs="Segoe UI"/>
                <w:szCs w:val="18"/>
              </w:rPr>
              <w:t>45–49</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32DECC80" w14:textId="77777777" w:rsidR="006954FE" w:rsidRPr="002F7B52" w:rsidRDefault="006954FE" w:rsidP="00DC3BE1">
            <w:pPr>
              <w:pStyle w:val="TableText"/>
              <w:tabs>
                <w:tab w:val="decimal" w:pos="445"/>
              </w:tabs>
              <w:rPr>
                <w:rFonts w:cs="Segoe UI"/>
                <w:szCs w:val="18"/>
              </w:rPr>
            </w:pPr>
            <w:r w:rsidRPr="002F7B52">
              <w:rPr>
                <w:rFonts w:cs="Segoe UI"/>
                <w:szCs w:val="18"/>
              </w:rPr>
              <w:t>11</w:t>
            </w:r>
          </w:p>
        </w:tc>
        <w:tc>
          <w:tcPr>
            <w:tcW w:w="79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28582637" w14:textId="77777777" w:rsidR="006954FE" w:rsidRPr="002F7B52" w:rsidRDefault="006954FE" w:rsidP="00DC3BE1">
            <w:pPr>
              <w:pStyle w:val="TableText"/>
              <w:tabs>
                <w:tab w:val="decimal" w:pos="441"/>
              </w:tabs>
              <w:rPr>
                <w:rFonts w:cs="Segoe UI"/>
                <w:szCs w:val="18"/>
              </w:rPr>
            </w:pPr>
            <w:r w:rsidRPr="002F7B52">
              <w:rPr>
                <w:rFonts w:cs="Segoe UI"/>
                <w:szCs w:val="18"/>
              </w:rPr>
              <w:t>215.0</w:t>
            </w:r>
          </w:p>
        </w:tc>
        <w:tc>
          <w:tcPr>
            <w:tcW w:w="79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58BECC0B" w14:textId="77777777" w:rsidR="006954FE" w:rsidRPr="002F7B52" w:rsidRDefault="006954FE" w:rsidP="00DC3BE1">
            <w:pPr>
              <w:pStyle w:val="TableText"/>
              <w:tabs>
                <w:tab w:val="decimal" w:pos="411"/>
              </w:tabs>
              <w:rPr>
                <w:rFonts w:cs="Segoe UI"/>
                <w:szCs w:val="18"/>
              </w:rPr>
            </w:pPr>
            <w:r w:rsidRPr="002F7B52">
              <w:rPr>
                <w:rFonts w:cs="Segoe UI"/>
                <w:szCs w:val="18"/>
              </w:rPr>
              <w:t>12</w:t>
            </w:r>
          </w:p>
        </w:tc>
        <w:tc>
          <w:tcPr>
            <w:tcW w:w="79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2AA6A773" w14:textId="77777777" w:rsidR="006954FE" w:rsidRPr="002F7B52" w:rsidRDefault="006954FE" w:rsidP="00DC3BE1">
            <w:pPr>
              <w:pStyle w:val="TableText"/>
              <w:tabs>
                <w:tab w:val="decimal" w:pos="458"/>
              </w:tabs>
              <w:rPr>
                <w:rFonts w:cs="Segoe UI"/>
                <w:szCs w:val="18"/>
              </w:rPr>
            </w:pPr>
            <w:r w:rsidRPr="002F7B52">
              <w:rPr>
                <w:rFonts w:cs="Segoe UI"/>
                <w:szCs w:val="18"/>
              </w:rPr>
              <w:t>199.5</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5672BE5E" w14:textId="77777777" w:rsidR="006954FE" w:rsidRPr="002F7B52" w:rsidRDefault="006954FE" w:rsidP="00DC3BE1">
            <w:pPr>
              <w:pStyle w:val="TableText"/>
              <w:tabs>
                <w:tab w:val="decimal" w:pos="454"/>
              </w:tabs>
              <w:rPr>
                <w:rFonts w:cs="Segoe UI"/>
                <w:szCs w:val="18"/>
              </w:rPr>
            </w:pPr>
            <w:r w:rsidRPr="002F7B52">
              <w:rPr>
                <w:rFonts w:cs="Segoe UI"/>
                <w:szCs w:val="18"/>
              </w:rPr>
              <w:t>9</w:t>
            </w:r>
          </w:p>
        </w:tc>
        <w:tc>
          <w:tcPr>
            <w:tcW w:w="7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0AFE02F4" w14:textId="77777777" w:rsidR="006954FE" w:rsidRPr="002F7B52" w:rsidRDefault="006954FE" w:rsidP="00DC3BE1">
            <w:pPr>
              <w:pStyle w:val="TableText"/>
              <w:jc w:val="center"/>
              <w:rPr>
                <w:rFonts w:cs="Segoe UI"/>
                <w:szCs w:val="18"/>
              </w:rPr>
            </w:pPr>
            <w:r w:rsidRPr="002F7B52">
              <w:rPr>
                <w:rFonts w:cs="Segoe UI"/>
                <w:szCs w:val="18"/>
              </w:rPr>
              <w:t>5.6</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4DC40635" w14:textId="77777777" w:rsidR="006954FE" w:rsidRPr="002F7B52" w:rsidRDefault="006954FE" w:rsidP="00DC3BE1">
            <w:pPr>
              <w:pStyle w:val="TableText"/>
              <w:tabs>
                <w:tab w:val="decimal" w:pos="459"/>
              </w:tabs>
              <w:rPr>
                <w:rFonts w:cs="Segoe UI"/>
                <w:szCs w:val="18"/>
              </w:rPr>
            </w:pPr>
            <w:r w:rsidRPr="002F7B52">
              <w:rPr>
                <w:rFonts w:cs="Segoe UI"/>
                <w:szCs w:val="18"/>
              </w:rPr>
              <w:t>21</w:t>
            </w:r>
          </w:p>
        </w:tc>
        <w:tc>
          <w:tcPr>
            <w:tcW w:w="7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742F089A" w14:textId="77777777" w:rsidR="006954FE" w:rsidRPr="002F7B52" w:rsidRDefault="006954FE" w:rsidP="00DC3BE1">
            <w:pPr>
              <w:pStyle w:val="TableText"/>
              <w:tabs>
                <w:tab w:val="decimal" w:pos="390"/>
              </w:tabs>
              <w:rPr>
                <w:rFonts w:cs="Segoe UI"/>
                <w:szCs w:val="18"/>
              </w:rPr>
            </w:pPr>
            <w:r w:rsidRPr="002F7B52">
              <w:rPr>
                <w:rFonts w:cs="Segoe UI"/>
                <w:szCs w:val="18"/>
              </w:rPr>
              <w:t>14.4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4B69E49F" w14:textId="77777777" w:rsidR="006954FE" w:rsidRPr="002F7B52" w:rsidRDefault="006954FE" w:rsidP="00DC3BE1">
            <w:pPr>
              <w:pStyle w:val="TableText"/>
              <w:tabs>
                <w:tab w:val="decimal" w:pos="510"/>
              </w:tabs>
              <w:rPr>
                <w:rFonts w:cs="Segoe UI"/>
                <w:szCs w:val="18"/>
              </w:rPr>
            </w:pPr>
            <w:r w:rsidRPr="002F7B52">
              <w:rPr>
                <w:rFonts w:cs="Segoe UI"/>
                <w:szCs w:val="18"/>
              </w:rPr>
              <w:t>53</w:t>
            </w:r>
          </w:p>
        </w:tc>
      </w:tr>
      <w:tr w:rsidR="006954FE" w:rsidRPr="00FE58B3" w14:paraId="38262065" w14:textId="77777777" w:rsidTr="00DC3BE1">
        <w:trPr>
          <w:cantSplit/>
        </w:trPr>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673292E9" w14:textId="77777777" w:rsidR="006954FE" w:rsidRPr="002F7B52" w:rsidRDefault="006954FE" w:rsidP="00DC3BE1">
            <w:pPr>
              <w:pStyle w:val="TableText"/>
              <w:rPr>
                <w:rFonts w:cs="Segoe UI"/>
                <w:szCs w:val="18"/>
              </w:rPr>
            </w:pPr>
            <w:r w:rsidRPr="002F7B52">
              <w:rPr>
                <w:rFonts w:cs="Segoe UI"/>
                <w:szCs w:val="18"/>
              </w:rPr>
              <w:t>50–54</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1A3AE291" w14:textId="77777777" w:rsidR="006954FE" w:rsidRPr="002F7B52" w:rsidRDefault="006954FE" w:rsidP="00DC3BE1">
            <w:pPr>
              <w:pStyle w:val="TableText"/>
              <w:tabs>
                <w:tab w:val="decimal" w:pos="445"/>
              </w:tabs>
              <w:rPr>
                <w:rFonts w:cs="Segoe UI"/>
                <w:szCs w:val="18"/>
              </w:rPr>
            </w:pPr>
            <w:r w:rsidRPr="002F7B52">
              <w:rPr>
                <w:rFonts w:cs="Segoe UI"/>
                <w:szCs w:val="18"/>
              </w:rPr>
              <w:t>7</w:t>
            </w:r>
          </w:p>
        </w:tc>
        <w:tc>
          <w:tcPr>
            <w:tcW w:w="79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60129A0F" w14:textId="77777777" w:rsidR="006954FE" w:rsidRPr="002F7B52" w:rsidRDefault="006954FE" w:rsidP="00DC3BE1">
            <w:pPr>
              <w:pStyle w:val="TableText"/>
              <w:tabs>
                <w:tab w:val="decimal" w:pos="441"/>
              </w:tabs>
              <w:rPr>
                <w:rFonts w:cs="Segoe UI"/>
                <w:szCs w:val="18"/>
              </w:rPr>
            </w:pPr>
            <w:r w:rsidRPr="002F7B52">
              <w:rPr>
                <w:rFonts w:cs="Segoe UI"/>
                <w:szCs w:val="18"/>
              </w:rPr>
              <w:t>157.5</w:t>
            </w:r>
          </w:p>
        </w:tc>
        <w:tc>
          <w:tcPr>
            <w:tcW w:w="79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44AD12EE" w14:textId="77777777" w:rsidR="006954FE" w:rsidRPr="002F7B52" w:rsidRDefault="006954FE" w:rsidP="00DC3BE1">
            <w:pPr>
              <w:pStyle w:val="TableText"/>
              <w:tabs>
                <w:tab w:val="decimal" w:pos="411"/>
              </w:tabs>
              <w:rPr>
                <w:rFonts w:cs="Segoe UI"/>
                <w:szCs w:val="18"/>
              </w:rPr>
            </w:pPr>
            <w:r w:rsidRPr="002F7B52">
              <w:rPr>
                <w:rFonts w:cs="Segoe UI"/>
                <w:szCs w:val="18"/>
              </w:rPr>
              <w:t>20</w:t>
            </w:r>
          </w:p>
        </w:tc>
        <w:tc>
          <w:tcPr>
            <w:tcW w:w="79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3EBC1A5D" w14:textId="77777777" w:rsidR="006954FE" w:rsidRPr="002F7B52" w:rsidRDefault="006954FE" w:rsidP="00DC3BE1">
            <w:pPr>
              <w:pStyle w:val="TableText"/>
              <w:tabs>
                <w:tab w:val="decimal" w:pos="458"/>
              </w:tabs>
              <w:rPr>
                <w:rFonts w:cs="Segoe UI"/>
                <w:szCs w:val="18"/>
              </w:rPr>
            </w:pPr>
            <w:r w:rsidRPr="002F7B52">
              <w:rPr>
                <w:rFonts w:cs="Segoe UI"/>
                <w:szCs w:val="18"/>
              </w:rPr>
              <w:t>399.7</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514C3CD3" w14:textId="77777777" w:rsidR="006954FE" w:rsidRPr="002F7B52" w:rsidRDefault="006954FE" w:rsidP="00DC3BE1">
            <w:pPr>
              <w:pStyle w:val="TableText"/>
              <w:tabs>
                <w:tab w:val="decimal" w:pos="454"/>
              </w:tabs>
              <w:rPr>
                <w:rFonts w:cs="Segoe UI"/>
                <w:szCs w:val="18"/>
              </w:rPr>
            </w:pPr>
            <w:r w:rsidRPr="002F7B52">
              <w:rPr>
                <w:rFonts w:cs="Segoe UI"/>
                <w:szCs w:val="18"/>
              </w:rPr>
              <w:t>5</w:t>
            </w:r>
          </w:p>
        </w:tc>
        <w:tc>
          <w:tcPr>
            <w:tcW w:w="7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74C638BA" w14:textId="77777777" w:rsidR="006954FE" w:rsidRPr="002F7B52" w:rsidRDefault="006954FE" w:rsidP="00DC3BE1">
            <w:pPr>
              <w:pStyle w:val="TableText"/>
              <w:jc w:val="center"/>
              <w:rPr>
                <w:rFonts w:cs="Segoe UI"/>
                <w:szCs w:val="18"/>
              </w:rPr>
            </w:pPr>
            <w:r w:rsidRPr="002F7B52">
              <w:rPr>
                <w:rFonts w:cs="Segoe UI"/>
                <w:szCs w:val="18"/>
              </w:rPr>
              <w:t>3.1</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737B1BBF" w14:textId="77777777" w:rsidR="006954FE" w:rsidRPr="002F7B52" w:rsidRDefault="006954FE" w:rsidP="00DC3BE1">
            <w:pPr>
              <w:pStyle w:val="TableText"/>
              <w:tabs>
                <w:tab w:val="decimal" w:pos="459"/>
              </w:tabs>
              <w:rPr>
                <w:rFonts w:cs="Segoe UI"/>
                <w:szCs w:val="18"/>
              </w:rPr>
            </w:pPr>
            <w:r w:rsidRPr="002F7B52">
              <w:rPr>
                <w:rFonts w:cs="Segoe UI"/>
                <w:szCs w:val="18"/>
              </w:rPr>
              <w:t>19</w:t>
            </w:r>
          </w:p>
        </w:tc>
        <w:tc>
          <w:tcPr>
            <w:tcW w:w="7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54E4690B" w14:textId="77777777" w:rsidR="006954FE" w:rsidRPr="002F7B52" w:rsidRDefault="006954FE" w:rsidP="00DC3BE1">
            <w:pPr>
              <w:pStyle w:val="TableText"/>
              <w:tabs>
                <w:tab w:val="decimal" w:pos="390"/>
              </w:tabs>
              <w:rPr>
                <w:rFonts w:cs="Segoe UI"/>
                <w:szCs w:val="18"/>
              </w:rPr>
            </w:pPr>
            <w:r w:rsidRPr="002F7B52">
              <w:rPr>
                <w:rFonts w:cs="Segoe UI"/>
                <w:szCs w:val="18"/>
              </w:rPr>
              <w:t>12.8</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599EB22C" w14:textId="77777777" w:rsidR="006954FE" w:rsidRPr="002F7B52" w:rsidRDefault="006954FE" w:rsidP="00DC3BE1">
            <w:pPr>
              <w:pStyle w:val="TableText"/>
              <w:tabs>
                <w:tab w:val="decimal" w:pos="510"/>
              </w:tabs>
              <w:rPr>
                <w:rFonts w:cs="Segoe UI"/>
                <w:szCs w:val="18"/>
              </w:rPr>
            </w:pPr>
            <w:r w:rsidRPr="002F7B52">
              <w:rPr>
                <w:rFonts w:cs="Segoe UI"/>
                <w:szCs w:val="18"/>
              </w:rPr>
              <w:t>51</w:t>
            </w:r>
          </w:p>
        </w:tc>
      </w:tr>
      <w:tr w:rsidR="006954FE" w:rsidRPr="00FE58B3" w14:paraId="1AD4D213" w14:textId="77777777" w:rsidTr="00DC3BE1">
        <w:trPr>
          <w:cantSplit/>
        </w:trPr>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29B59770" w14:textId="77777777" w:rsidR="006954FE" w:rsidRPr="002F7B52" w:rsidRDefault="006954FE" w:rsidP="00DC3BE1">
            <w:pPr>
              <w:pStyle w:val="TableText"/>
              <w:rPr>
                <w:rFonts w:cs="Segoe UI"/>
                <w:szCs w:val="18"/>
              </w:rPr>
            </w:pPr>
            <w:r w:rsidRPr="002F7B52">
              <w:rPr>
                <w:rFonts w:cs="Segoe UI"/>
                <w:szCs w:val="18"/>
              </w:rPr>
              <w:t>55–59</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367F67E0" w14:textId="77777777" w:rsidR="006954FE" w:rsidRPr="002F7B52" w:rsidRDefault="006954FE" w:rsidP="00DC3BE1">
            <w:pPr>
              <w:pStyle w:val="TableText"/>
              <w:tabs>
                <w:tab w:val="decimal" w:pos="445"/>
              </w:tabs>
              <w:rPr>
                <w:rFonts w:cs="Segoe UI"/>
                <w:szCs w:val="18"/>
              </w:rPr>
            </w:pPr>
            <w:r w:rsidRPr="002F7B52">
              <w:rPr>
                <w:rFonts w:cs="Segoe UI"/>
                <w:szCs w:val="18"/>
              </w:rPr>
              <w:t>9</w:t>
            </w:r>
          </w:p>
        </w:tc>
        <w:tc>
          <w:tcPr>
            <w:tcW w:w="79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50C0BB17" w14:textId="77777777" w:rsidR="006954FE" w:rsidRPr="002F7B52" w:rsidRDefault="006954FE" w:rsidP="00DC3BE1">
            <w:pPr>
              <w:pStyle w:val="TableText"/>
              <w:tabs>
                <w:tab w:val="decimal" w:pos="441"/>
              </w:tabs>
              <w:rPr>
                <w:rFonts w:cs="Segoe UI"/>
                <w:szCs w:val="18"/>
              </w:rPr>
            </w:pPr>
            <w:r w:rsidRPr="002F7B52">
              <w:rPr>
                <w:rFonts w:cs="Segoe UI"/>
                <w:szCs w:val="18"/>
              </w:rPr>
              <w:t>258.5</w:t>
            </w:r>
          </w:p>
        </w:tc>
        <w:tc>
          <w:tcPr>
            <w:tcW w:w="79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0CD63C79" w14:textId="77777777" w:rsidR="006954FE" w:rsidRPr="002F7B52" w:rsidRDefault="006954FE" w:rsidP="00DC3BE1">
            <w:pPr>
              <w:pStyle w:val="TableText"/>
              <w:tabs>
                <w:tab w:val="decimal" w:pos="411"/>
              </w:tabs>
              <w:rPr>
                <w:rFonts w:cs="Segoe UI"/>
                <w:szCs w:val="18"/>
              </w:rPr>
            </w:pPr>
            <w:r w:rsidRPr="002F7B52">
              <w:rPr>
                <w:rFonts w:cs="Segoe UI"/>
                <w:szCs w:val="18"/>
              </w:rPr>
              <w:t>10</w:t>
            </w:r>
          </w:p>
        </w:tc>
        <w:tc>
          <w:tcPr>
            <w:tcW w:w="79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11DA9CA4" w14:textId="77777777" w:rsidR="006954FE" w:rsidRPr="002F7B52" w:rsidRDefault="006954FE" w:rsidP="00DC3BE1">
            <w:pPr>
              <w:pStyle w:val="TableText"/>
              <w:tabs>
                <w:tab w:val="decimal" w:pos="458"/>
              </w:tabs>
              <w:rPr>
                <w:rFonts w:cs="Segoe UI"/>
                <w:szCs w:val="18"/>
              </w:rPr>
            </w:pPr>
            <w:r w:rsidRPr="002F7B52">
              <w:rPr>
                <w:rFonts w:cs="Segoe UI"/>
                <w:szCs w:val="18"/>
              </w:rPr>
              <w:t>257.3</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0AB7F947" w14:textId="77777777" w:rsidR="006954FE" w:rsidRPr="002F7B52" w:rsidRDefault="006954FE" w:rsidP="00DC3BE1">
            <w:pPr>
              <w:pStyle w:val="TableText"/>
              <w:tabs>
                <w:tab w:val="decimal" w:pos="454"/>
              </w:tabs>
              <w:rPr>
                <w:rFonts w:cs="Segoe UI"/>
                <w:szCs w:val="18"/>
              </w:rPr>
            </w:pPr>
            <w:r w:rsidRPr="002F7B52">
              <w:rPr>
                <w:rFonts w:cs="Segoe UI"/>
                <w:szCs w:val="18"/>
              </w:rPr>
              <w:t>7</w:t>
            </w:r>
          </w:p>
        </w:tc>
        <w:tc>
          <w:tcPr>
            <w:tcW w:w="7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4EE2C706" w14:textId="77777777" w:rsidR="006954FE" w:rsidRPr="002F7B52" w:rsidRDefault="006954FE" w:rsidP="00DC3BE1">
            <w:pPr>
              <w:pStyle w:val="TableText"/>
              <w:jc w:val="center"/>
              <w:rPr>
                <w:rFonts w:cs="Segoe UI"/>
                <w:szCs w:val="18"/>
              </w:rPr>
            </w:pPr>
            <w:r w:rsidRPr="002F7B52">
              <w:rPr>
                <w:rFonts w:cs="Segoe UI"/>
                <w:szCs w:val="18"/>
              </w:rPr>
              <w:t>4.7</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6CFA0DCA" w14:textId="77777777" w:rsidR="006954FE" w:rsidRPr="002F7B52" w:rsidRDefault="006954FE" w:rsidP="00DC3BE1">
            <w:pPr>
              <w:pStyle w:val="TableText"/>
              <w:tabs>
                <w:tab w:val="decimal" w:pos="459"/>
              </w:tabs>
              <w:rPr>
                <w:rFonts w:cs="Segoe UI"/>
                <w:szCs w:val="18"/>
              </w:rPr>
            </w:pPr>
            <w:r w:rsidRPr="002F7B52">
              <w:rPr>
                <w:rFonts w:cs="Segoe UI"/>
                <w:szCs w:val="18"/>
              </w:rPr>
              <w:t>28</w:t>
            </w:r>
          </w:p>
        </w:tc>
        <w:tc>
          <w:tcPr>
            <w:tcW w:w="7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4FEFEBB4" w14:textId="77777777" w:rsidR="006954FE" w:rsidRPr="002F7B52" w:rsidRDefault="006954FE" w:rsidP="00DC3BE1">
            <w:pPr>
              <w:pStyle w:val="TableText"/>
              <w:tabs>
                <w:tab w:val="decimal" w:pos="390"/>
              </w:tabs>
              <w:rPr>
                <w:rFonts w:cs="Segoe UI"/>
                <w:szCs w:val="18"/>
              </w:rPr>
            </w:pPr>
            <w:r w:rsidRPr="002F7B52">
              <w:rPr>
                <w:rFonts w:cs="Segoe UI"/>
                <w:szCs w:val="18"/>
              </w:rPr>
              <w:t>20.1</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423232D4" w14:textId="77777777" w:rsidR="006954FE" w:rsidRPr="002F7B52" w:rsidRDefault="006954FE" w:rsidP="00DC3BE1">
            <w:pPr>
              <w:pStyle w:val="TableText"/>
              <w:tabs>
                <w:tab w:val="decimal" w:pos="510"/>
              </w:tabs>
              <w:rPr>
                <w:rFonts w:cs="Segoe UI"/>
                <w:szCs w:val="18"/>
              </w:rPr>
            </w:pPr>
            <w:r w:rsidRPr="002F7B52">
              <w:rPr>
                <w:rFonts w:cs="Segoe UI"/>
                <w:szCs w:val="18"/>
              </w:rPr>
              <w:t>54</w:t>
            </w:r>
          </w:p>
        </w:tc>
      </w:tr>
      <w:tr w:rsidR="006954FE" w:rsidRPr="00FE58B3" w14:paraId="5D7D9E48" w14:textId="77777777" w:rsidTr="00DC3BE1">
        <w:trPr>
          <w:cantSplit/>
        </w:trPr>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718BDB52" w14:textId="77777777" w:rsidR="006954FE" w:rsidRPr="002F7B52" w:rsidRDefault="006954FE" w:rsidP="00DC3BE1">
            <w:pPr>
              <w:pStyle w:val="TableText"/>
              <w:rPr>
                <w:rFonts w:cs="Segoe UI"/>
                <w:szCs w:val="18"/>
              </w:rPr>
            </w:pPr>
            <w:r w:rsidRPr="002F7B52">
              <w:rPr>
                <w:rFonts w:cs="Segoe UI"/>
                <w:szCs w:val="18"/>
              </w:rPr>
              <w:t>60–64</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1D69D061" w14:textId="77777777" w:rsidR="006954FE" w:rsidRPr="002F7B52" w:rsidRDefault="006954FE" w:rsidP="00DC3BE1">
            <w:pPr>
              <w:pStyle w:val="TableText"/>
              <w:tabs>
                <w:tab w:val="decimal" w:pos="445"/>
              </w:tabs>
              <w:rPr>
                <w:rFonts w:cs="Segoe UI"/>
                <w:szCs w:val="18"/>
              </w:rPr>
            </w:pPr>
            <w:r w:rsidRPr="002F7B52">
              <w:rPr>
                <w:rFonts w:cs="Segoe UI"/>
                <w:szCs w:val="18"/>
              </w:rPr>
              <w:t>3</w:t>
            </w:r>
          </w:p>
        </w:tc>
        <w:tc>
          <w:tcPr>
            <w:tcW w:w="79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7F6BC8D0" w14:textId="77777777" w:rsidR="006954FE" w:rsidRPr="002F7B52" w:rsidRDefault="006954FE" w:rsidP="00DC3BE1">
            <w:pPr>
              <w:pStyle w:val="TableText"/>
              <w:tabs>
                <w:tab w:val="decimal" w:pos="441"/>
              </w:tabs>
              <w:rPr>
                <w:rFonts w:cs="Segoe UI"/>
                <w:szCs w:val="18"/>
              </w:rPr>
            </w:pPr>
            <w:r w:rsidRPr="002F7B52">
              <w:rPr>
                <w:rFonts w:cs="Segoe UI"/>
                <w:szCs w:val="18"/>
              </w:rPr>
              <w:t>118.4</w:t>
            </w:r>
          </w:p>
        </w:tc>
        <w:tc>
          <w:tcPr>
            <w:tcW w:w="798"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6503E0E0" w14:textId="77777777" w:rsidR="006954FE" w:rsidRPr="002F7B52" w:rsidRDefault="006954FE" w:rsidP="00DC3BE1">
            <w:pPr>
              <w:pStyle w:val="TableText"/>
              <w:tabs>
                <w:tab w:val="decimal" w:pos="411"/>
              </w:tabs>
              <w:rPr>
                <w:rFonts w:cs="Segoe UI"/>
                <w:szCs w:val="18"/>
              </w:rPr>
            </w:pPr>
            <w:r w:rsidRPr="002F7B52">
              <w:rPr>
                <w:rFonts w:cs="Segoe UI"/>
                <w:szCs w:val="18"/>
              </w:rPr>
              <w:t>4</w:t>
            </w:r>
          </w:p>
        </w:tc>
        <w:tc>
          <w:tcPr>
            <w:tcW w:w="79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60D6E164" w14:textId="77777777" w:rsidR="006954FE" w:rsidRPr="002F7B52" w:rsidRDefault="006954FE" w:rsidP="00DC3BE1">
            <w:pPr>
              <w:pStyle w:val="TableText"/>
              <w:tabs>
                <w:tab w:val="decimal" w:pos="458"/>
              </w:tabs>
              <w:rPr>
                <w:rFonts w:cs="Segoe UI"/>
                <w:szCs w:val="18"/>
              </w:rPr>
            </w:pPr>
            <w:r w:rsidRPr="002F7B52">
              <w:rPr>
                <w:rFonts w:cs="Segoe UI"/>
                <w:szCs w:val="18"/>
              </w:rPr>
              <w:t>155.0</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2E91A860" w14:textId="77777777" w:rsidR="006954FE" w:rsidRPr="002F7B52" w:rsidRDefault="006954FE" w:rsidP="00DC3BE1">
            <w:pPr>
              <w:pStyle w:val="TableText"/>
              <w:tabs>
                <w:tab w:val="decimal" w:pos="454"/>
              </w:tabs>
              <w:rPr>
                <w:rFonts w:cs="Segoe UI"/>
                <w:szCs w:val="18"/>
              </w:rPr>
            </w:pPr>
            <w:r w:rsidRPr="002F7B52">
              <w:rPr>
                <w:rFonts w:cs="Segoe UI"/>
                <w:szCs w:val="18"/>
              </w:rPr>
              <w:t>2</w:t>
            </w:r>
          </w:p>
        </w:tc>
        <w:tc>
          <w:tcPr>
            <w:tcW w:w="7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24F525B2" w14:textId="77777777" w:rsidR="006954FE" w:rsidRPr="002F7B52" w:rsidRDefault="006954FE" w:rsidP="00DC3BE1">
            <w:pPr>
              <w:pStyle w:val="TableText"/>
              <w:jc w:val="center"/>
              <w:rPr>
                <w:rFonts w:cs="Segoe UI"/>
                <w:szCs w:val="18"/>
              </w:rPr>
            </w:pPr>
            <w:r w:rsidRPr="002F7B52">
              <w:rPr>
                <w:rFonts w:cs="Segoe UI"/>
                <w:szCs w:val="18"/>
              </w:rPr>
              <w:t>1.5</w:t>
            </w:r>
          </w:p>
        </w:tc>
        <w:tc>
          <w:tcPr>
            <w:tcW w:w="79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6BB3E7B1" w14:textId="77777777" w:rsidR="006954FE" w:rsidRPr="002F7B52" w:rsidRDefault="006954FE" w:rsidP="00DC3BE1">
            <w:pPr>
              <w:pStyle w:val="TableText"/>
              <w:tabs>
                <w:tab w:val="decimal" w:pos="459"/>
              </w:tabs>
              <w:rPr>
                <w:rFonts w:cs="Segoe UI"/>
                <w:szCs w:val="18"/>
              </w:rPr>
            </w:pPr>
            <w:r w:rsidRPr="002F7B52">
              <w:rPr>
                <w:rFonts w:cs="Segoe UI"/>
                <w:szCs w:val="18"/>
              </w:rPr>
              <w:t>19</w:t>
            </w:r>
          </w:p>
        </w:tc>
        <w:tc>
          <w:tcPr>
            <w:tcW w:w="7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6FCC5CD2" w14:textId="77777777" w:rsidR="006954FE" w:rsidRPr="002F7B52" w:rsidRDefault="006954FE" w:rsidP="00DC3BE1">
            <w:pPr>
              <w:pStyle w:val="TableText"/>
              <w:tabs>
                <w:tab w:val="decimal" w:pos="390"/>
              </w:tabs>
              <w:rPr>
                <w:rFonts w:cs="Segoe UI"/>
                <w:szCs w:val="18"/>
              </w:rPr>
            </w:pPr>
            <w:r w:rsidRPr="002F7B52">
              <w:rPr>
                <w:rFonts w:cs="Segoe UI"/>
                <w:szCs w:val="18"/>
              </w:rPr>
              <w:t>15.5</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0E11D74F" w14:textId="77777777" w:rsidR="006954FE" w:rsidRPr="002F7B52" w:rsidRDefault="006954FE" w:rsidP="00DC3BE1">
            <w:pPr>
              <w:pStyle w:val="TableText"/>
              <w:tabs>
                <w:tab w:val="decimal" w:pos="510"/>
              </w:tabs>
              <w:rPr>
                <w:rFonts w:cs="Segoe UI"/>
                <w:szCs w:val="18"/>
              </w:rPr>
            </w:pPr>
            <w:r w:rsidRPr="002F7B52">
              <w:rPr>
                <w:rFonts w:cs="Segoe UI"/>
                <w:szCs w:val="18"/>
              </w:rPr>
              <w:t>28</w:t>
            </w:r>
          </w:p>
        </w:tc>
      </w:tr>
    </w:tbl>
    <w:p w14:paraId="372E0CEB" w14:textId="77777777" w:rsidR="006954FE" w:rsidRDefault="006954FE" w:rsidP="00DC3BE1">
      <w:pPr>
        <w:pStyle w:val="Note"/>
      </w:pPr>
      <w:r w:rsidRPr="00FE58B3">
        <w:t>Notes: ASR = Age-</w:t>
      </w:r>
      <w:r>
        <w:t>specific</w:t>
      </w:r>
      <w:r w:rsidRPr="00FE58B3">
        <w:t xml:space="preserve"> rate.</w:t>
      </w:r>
      <w:r w:rsidRPr="00FE58B3">
        <w:rPr>
          <w:noProof/>
          <w:lang w:eastAsia="en-NZ"/>
        </w:rPr>
        <w:drawing>
          <wp:anchor distT="0" distB="0" distL="0" distR="0" simplePos="0" relativeHeight="251659264" behindDoc="0" locked="0" layoutInCell="1" allowOverlap="1" wp14:anchorId="5BA4F251" wp14:editId="6E6DBBE2">
            <wp:simplePos x="0" y="0"/>
            <wp:positionH relativeFrom="page">
              <wp:posOffset>8060055</wp:posOffset>
            </wp:positionH>
            <wp:positionV relativeFrom="paragraph">
              <wp:posOffset>137160</wp:posOffset>
            </wp:positionV>
            <wp:extent cx="155575" cy="15557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pic:spPr>
                </pic:pic>
              </a:graphicData>
            </a:graphic>
            <wp14:sizeRelH relativeFrom="page">
              <wp14:pctWidth>0</wp14:pctWidth>
            </wp14:sizeRelH>
            <wp14:sizeRelV relativeFrom="page">
              <wp14:pctHeight>0</wp14:pctHeight>
            </wp14:sizeRelV>
          </wp:anchor>
        </w:drawing>
      </w:r>
      <w:r w:rsidRPr="00FE58B3">
        <w:t xml:space="preserve"> Includes deaths of undetermined intent.</w:t>
      </w:r>
    </w:p>
    <w:p w14:paraId="7CB26843" w14:textId="77777777" w:rsidR="006954FE" w:rsidRDefault="006954FE" w:rsidP="00DC3BE1">
      <w:pPr>
        <w:pStyle w:val="Source"/>
      </w:pPr>
      <w:r w:rsidRPr="00FE58B3">
        <w:t>Source: Ministry of Health mortality database data, extracted on 19 April 2021.</w:t>
      </w:r>
    </w:p>
    <w:p w14:paraId="6356CAD3" w14:textId="77777777" w:rsidR="00DC3BE1" w:rsidRPr="00DC3BE1" w:rsidRDefault="00DC3BE1" w:rsidP="00DC3BE1"/>
    <w:p w14:paraId="13AFDD7E" w14:textId="77777777" w:rsidR="006954FE" w:rsidRPr="00FE58B3" w:rsidRDefault="006954FE" w:rsidP="00DC3BE1">
      <w:pPr>
        <w:pStyle w:val="Heading1"/>
      </w:pPr>
      <w:bookmarkStart w:id="19" w:name="_Toc75339099"/>
      <w:r w:rsidRPr="00FE58B3">
        <w:lastRenderedPageBreak/>
        <w:t>Ethnicity and suicide</w:t>
      </w:r>
      <w:bookmarkEnd w:id="19"/>
    </w:p>
    <w:p w14:paraId="5CD0E045" w14:textId="359A6400" w:rsidR="006954FE" w:rsidRDefault="00AD361D" w:rsidP="00AD361D">
      <w:r>
        <w:fldChar w:fldCharType="begin"/>
      </w:r>
      <w:r>
        <w:instrText xml:space="preserve"> REF _Ref75178046 \h </w:instrText>
      </w:r>
      <w:r>
        <w:fldChar w:fldCharType="separate"/>
      </w:r>
      <w:r w:rsidR="00746605">
        <w:t>Table </w:t>
      </w:r>
      <w:r w:rsidR="00746605">
        <w:rPr>
          <w:noProof/>
        </w:rPr>
        <w:t>4</w:t>
      </w:r>
      <w:r>
        <w:fldChar w:fldCharType="end"/>
      </w:r>
      <w:r w:rsidR="006954FE" w:rsidRPr="00FE58B3">
        <w:t xml:space="preserve"> indicates </w:t>
      </w:r>
      <w:r w:rsidR="006954FE">
        <w:t xml:space="preserve">that, </w:t>
      </w:r>
      <w:r w:rsidR="006954FE" w:rsidRPr="00FE58B3">
        <w:t>among people using mental health services in 2016, the age-</w:t>
      </w:r>
      <w:r w:rsidR="006954FE">
        <w:t>specific</w:t>
      </w:r>
      <w:r w:rsidR="006954FE" w:rsidRPr="00FE58B3">
        <w:t xml:space="preserve"> rate of suicide was higher for Māori (126.3 per 100,000 service users) than for Pacific peoples (56.4 per 100,000 service users) but lower than the age-</w:t>
      </w:r>
      <w:r w:rsidR="006954FE">
        <w:t>specific</w:t>
      </w:r>
      <w:r w:rsidR="006954FE" w:rsidRPr="00FE58B3">
        <w:t xml:space="preserve"> rate of suicide for those in the </w:t>
      </w:r>
      <w:r w:rsidR="000E38BA">
        <w:t>‘</w:t>
      </w:r>
      <w:r w:rsidR="006954FE" w:rsidRPr="00FE58B3">
        <w:t>Other</w:t>
      </w:r>
      <w:r w:rsidR="000E38BA">
        <w:t>’</w:t>
      </w:r>
      <w:r w:rsidR="006954FE" w:rsidRPr="00FE58B3">
        <w:t xml:space="preserve"> category (146.2 per 100,000 service users). (Note: </w:t>
      </w:r>
      <w:r w:rsidR="006954FE">
        <w:t>T</w:t>
      </w:r>
      <w:r w:rsidR="006954FE" w:rsidRPr="00FE58B3">
        <w:t>he suicide rate for Pacific peoples is highly variable over time.)</w:t>
      </w:r>
    </w:p>
    <w:p w14:paraId="5438AB6E" w14:textId="77777777" w:rsidR="00AD361D" w:rsidRPr="00FE58B3" w:rsidRDefault="00AD361D" w:rsidP="00AD361D"/>
    <w:p w14:paraId="1D15782D" w14:textId="365A3F45" w:rsidR="006954FE" w:rsidRPr="00FE58B3" w:rsidRDefault="00AD361D" w:rsidP="00AD361D">
      <w:pPr>
        <w:pStyle w:val="Table"/>
      </w:pPr>
      <w:bookmarkStart w:id="20" w:name="_Ref75178046"/>
      <w:bookmarkStart w:id="21" w:name="_Toc2845760"/>
      <w:bookmarkStart w:id="22" w:name="_Toc75178121"/>
      <w:r>
        <w:t>Table </w:t>
      </w:r>
      <w:r w:rsidR="00492471">
        <w:fldChar w:fldCharType="begin"/>
      </w:r>
      <w:r w:rsidR="00492471">
        <w:instrText xml:space="preserve"> SEQ Table \* ARABIC </w:instrText>
      </w:r>
      <w:r w:rsidR="00492471">
        <w:fldChar w:fldCharType="separate"/>
      </w:r>
      <w:r w:rsidR="00746605">
        <w:rPr>
          <w:noProof/>
        </w:rPr>
        <w:t>4</w:t>
      </w:r>
      <w:r w:rsidR="00492471">
        <w:rPr>
          <w:noProof/>
        </w:rPr>
        <w:fldChar w:fldCharType="end"/>
      </w:r>
      <w:bookmarkEnd w:id="20"/>
      <w:r w:rsidR="006954FE" w:rsidRPr="00FE58B3">
        <w:t>: Number and age-</w:t>
      </w:r>
      <w:r w:rsidR="006954FE">
        <w:t>standardised</w:t>
      </w:r>
      <w:r w:rsidR="006954FE" w:rsidRPr="00FE58B3">
        <w:t xml:space="preserve"> rate of suicide and deaths of undetermined intent, by ethnicity and service use, people aged 10–64 years, 201</w:t>
      </w:r>
      <w:bookmarkEnd w:id="21"/>
      <w:r w:rsidR="006954FE" w:rsidRPr="00FE58B3">
        <w:t>6</w:t>
      </w:r>
      <w:bookmarkEnd w:id="22"/>
    </w:p>
    <w:tbl>
      <w:tblPr>
        <w:tblW w:w="8085" w:type="dxa"/>
        <w:tblInd w:w="5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57" w:type="dxa"/>
          <w:right w:w="57" w:type="dxa"/>
        </w:tblCellMar>
        <w:tblLook w:val="01E0" w:firstRow="1" w:lastRow="1" w:firstColumn="1" w:lastColumn="1" w:noHBand="0" w:noVBand="0"/>
      </w:tblPr>
      <w:tblGrid>
        <w:gridCol w:w="1691"/>
        <w:gridCol w:w="1064"/>
        <w:gridCol w:w="1066"/>
        <w:gridCol w:w="1066"/>
        <w:gridCol w:w="1066"/>
        <w:gridCol w:w="1066"/>
        <w:gridCol w:w="1066"/>
      </w:tblGrid>
      <w:tr w:rsidR="006954FE" w:rsidRPr="00FE58B3" w14:paraId="364F6595" w14:textId="77777777" w:rsidTr="004D354A">
        <w:trPr>
          <w:cantSplit/>
        </w:trPr>
        <w:tc>
          <w:tcPr>
            <w:tcW w:w="1691" w:type="dxa"/>
            <w:vMerge w:val="restart"/>
            <w:tcBorders>
              <w:top w:val="nil"/>
              <w:left w:val="nil"/>
              <w:bottom w:val="nil"/>
              <w:right w:val="single" w:sz="4" w:space="0" w:color="A6A6A6" w:themeColor="background1" w:themeShade="A6"/>
            </w:tcBorders>
            <w:shd w:val="clear" w:color="auto" w:fill="D9D9D9" w:themeFill="background1" w:themeFillShade="D9"/>
            <w:hideMark/>
          </w:tcPr>
          <w:p w14:paraId="5BB00853" w14:textId="77777777" w:rsidR="006954FE" w:rsidRPr="00D007BA" w:rsidRDefault="006954FE" w:rsidP="00AD361D">
            <w:pPr>
              <w:pStyle w:val="TableText"/>
              <w:rPr>
                <w:rFonts w:cs="Segoe UI"/>
                <w:b/>
                <w:szCs w:val="18"/>
              </w:rPr>
            </w:pPr>
            <w:r w:rsidRPr="00D007BA">
              <w:rPr>
                <w:rFonts w:cs="Segoe UI"/>
                <w:b/>
                <w:szCs w:val="18"/>
              </w:rPr>
              <w:t>Ethnicity</w:t>
            </w:r>
          </w:p>
        </w:tc>
        <w:tc>
          <w:tcPr>
            <w:tcW w:w="2129"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0B3C37EA" w14:textId="77777777" w:rsidR="006954FE" w:rsidRPr="00D007BA" w:rsidRDefault="006954FE" w:rsidP="00AD361D">
            <w:pPr>
              <w:pStyle w:val="TableText"/>
              <w:jc w:val="center"/>
              <w:rPr>
                <w:rFonts w:cs="Segoe UI"/>
                <w:b/>
                <w:szCs w:val="18"/>
              </w:rPr>
            </w:pPr>
            <w:r w:rsidRPr="00D007BA">
              <w:rPr>
                <w:rFonts w:cs="Segoe UI"/>
                <w:b/>
                <w:szCs w:val="18"/>
              </w:rPr>
              <w:t>Service users</w:t>
            </w:r>
          </w:p>
        </w:tc>
        <w:tc>
          <w:tcPr>
            <w:tcW w:w="2130"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2039C4BB" w14:textId="77777777" w:rsidR="006954FE" w:rsidRPr="00D007BA" w:rsidRDefault="006954FE" w:rsidP="00AD361D">
            <w:pPr>
              <w:pStyle w:val="TableText"/>
              <w:jc w:val="center"/>
              <w:rPr>
                <w:rFonts w:cs="Segoe UI"/>
                <w:b/>
                <w:szCs w:val="18"/>
              </w:rPr>
            </w:pPr>
            <w:r w:rsidRPr="00D007BA">
              <w:rPr>
                <w:rFonts w:cs="Segoe UI"/>
                <w:b/>
                <w:szCs w:val="18"/>
              </w:rPr>
              <w:t>Non-service users</w:t>
            </w:r>
          </w:p>
        </w:tc>
        <w:tc>
          <w:tcPr>
            <w:tcW w:w="2130" w:type="dxa"/>
            <w:gridSpan w:val="2"/>
            <w:tcBorders>
              <w:top w:val="nil"/>
              <w:left w:val="single" w:sz="4" w:space="0" w:color="A6A6A6" w:themeColor="background1" w:themeShade="A6"/>
              <w:bottom w:val="nil"/>
              <w:right w:val="nil"/>
            </w:tcBorders>
            <w:shd w:val="clear" w:color="auto" w:fill="D9D9D9" w:themeFill="background1" w:themeFillShade="D9"/>
            <w:hideMark/>
          </w:tcPr>
          <w:p w14:paraId="633D00AA" w14:textId="77777777" w:rsidR="006954FE" w:rsidRPr="00D007BA" w:rsidRDefault="006954FE" w:rsidP="00AD361D">
            <w:pPr>
              <w:pStyle w:val="TableText"/>
              <w:jc w:val="center"/>
              <w:rPr>
                <w:rFonts w:cs="Segoe UI"/>
                <w:b/>
                <w:szCs w:val="18"/>
              </w:rPr>
            </w:pPr>
            <w:r w:rsidRPr="00D007BA">
              <w:rPr>
                <w:rFonts w:cs="Segoe UI"/>
                <w:b/>
                <w:szCs w:val="18"/>
              </w:rPr>
              <w:t>Total</w:t>
            </w:r>
          </w:p>
        </w:tc>
      </w:tr>
      <w:tr w:rsidR="006954FE" w:rsidRPr="00FE58B3" w14:paraId="72C2BEFE" w14:textId="77777777" w:rsidTr="004D354A">
        <w:trPr>
          <w:cantSplit/>
        </w:trPr>
        <w:tc>
          <w:tcPr>
            <w:tcW w:w="1691" w:type="dxa"/>
            <w:vMerge/>
            <w:tcBorders>
              <w:top w:val="nil"/>
              <w:left w:val="nil"/>
              <w:bottom w:val="nil"/>
              <w:right w:val="single" w:sz="4" w:space="0" w:color="A6A6A6" w:themeColor="background1" w:themeShade="A6"/>
            </w:tcBorders>
            <w:vAlign w:val="center"/>
            <w:hideMark/>
          </w:tcPr>
          <w:p w14:paraId="1EF8C738" w14:textId="77777777" w:rsidR="006954FE" w:rsidRPr="00D007BA" w:rsidRDefault="006954FE" w:rsidP="00AD361D">
            <w:pPr>
              <w:spacing w:line="256" w:lineRule="auto"/>
              <w:rPr>
                <w:rFonts w:cs="Segoe UI"/>
                <w:b/>
                <w:sz w:val="18"/>
                <w:szCs w:val="18"/>
              </w:rPr>
            </w:pPr>
          </w:p>
        </w:tc>
        <w:tc>
          <w:tcPr>
            <w:tcW w:w="1064" w:type="dxa"/>
            <w:tcBorders>
              <w:top w:val="nil"/>
              <w:left w:val="single" w:sz="4" w:space="0" w:color="A6A6A6" w:themeColor="background1" w:themeShade="A6"/>
              <w:bottom w:val="nil"/>
              <w:right w:val="nil"/>
            </w:tcBorders>
            <w:shd w:val="clear" w:color="auto" w:fill="D9D9D9" w:themeFill="background1" w:themeFillShade="D9"/>
            <w:hideMark/>
          </w:tcPr>
          <w:p w14:paraId="48FF6AC3" w14:textId="77777777" w:rsidR="006954FE" w:rsidRPr="00D007BA" w:rsidRDefault="006954FE" w:rsidP="00AD361D">
            <w:pPr>
              <w:pStyle w:val="TableText"/>
              <w:spacing w:before="0"/>
              <w:jc w:val="center"/>
              <w:rPr>
                <w:rFonts w:cs="Segoe UI"/>
                <w:b/>
                <w:szCs w:val="18"/>
              </w:rPr>
            </w:pPr>
            <w:r w:rsidRPr="00D007BA">
              <w:rPr>
                <w:rFonts w:cs="Segoe UI"/>
                <w:b/>
                <w:szCs w:val="18"/>
              </w:rPr>
              <w:t>Number of deaths</w:t>
            </w:r>
          </w:p>
        </w:tc>
        <w:tc>
          <w:tcPr>
            <w:tcW w:w="1065" w:type="dxa"/>
            <w:tcBorders>
              <w:top w:val="nil"/>
              <w:left w:val="nil"/>
              <w:bottom w:val="nil"/>
              <w:right w:val="single" w:sz="4" w:space="0" w:color="A6A6A6" w:themeColor="background1" w:themeShade="A6"/>
            </w:tcBorders>
            <w:shd w:val="clear" w:color="auto" w:fill="D9D9D9" w:themeFill="background1" w:themeFillShade="D9"/>
            <w:hideMark/>
          </w:tcPr>
          <w:p w14:paraId="09AF9642" w14:textId="77777777" w:rsidR="006954FE" w:rsidRPr="00D007BA" w:rsidRDefault="006954FE" w:rsidP="00AD361D">
            <w:pPr>
              <w:pStyle w:val="TableText"/>
              <w:spacing w:before="0"/>
              <w:jc w:val="center"/>
              <w:rPr>
                <w:rFonts w:cs="Segoe UI"/>
                <w:b/>
                <w:szCs w:val="18"/>
              </w:rPr>
            </w:pPr>
            <w:r w:rsidRPr="00D007BA">
              <w:rPr>
                <w:rFonts w:cs="Segoe UI"/>
                <w:b/>
                <w:szCs w:val="18"/>
              </w:rPr>
              <w:t>ASR</w:t>
            </w:r>
          </w:p>
        </w:tc>
        <w:tc>
          <w:tcPr>
            <w:tcW w:w="1065" w:type="dxa"/>
            <w:tcBorders>
              <w:top w:val="nil"/>
              <w:left w:val="single" w:sz="4" w:space="0" w:color="A6A6A6" w:themeColor="background1" w:themeShade="A6"/>
              <w:bottom w:val="nil"/>
              <w:right w:val="nil"/>
            </w:tcBorders>
            <w:shd w:val="clear" w:color="auto" w:fill="D9D9D9" w:themeFill="background1" w:themeFillShade="D9"/>
            <w:hideMark/>
          </w:tcPr>
          <w:p w14:paraId="3024062B" w14:textId="77777777" w:rsidR="006954FE" w:rsidRPr="00D007BA" w:rsidRDefault="006954FE" w:rsidP="00AD361D">
            <w:pPr>
              <w:pStyle w:val="TableText"/>
              <w:spacing w:before="0"/>
              <w:jc w:val="center"/>
              <w:rPr>
                <w:rFonts w:cs="Segoe UI"/>
                <w:b/>
                <w:szCs w:val="18"/>
              </w:rPr>
            </w:pPr>
            <w:r w:rsidRPr="00D007BA">
              <w:rPr>
                <w:rFonts w:cs="Segoe UI"/>
                <w:b/>
                <w:szCs w:val="18"/>
              </w:rPr>
              <w:t>Number of deaths</w:t>
            </w:r>
          </w:p>
        </w:tc>
        <w:tc>
          <w:tcPr>
            <w:tcW w:w="1065" w:type="dxa"/>
            <w:tcBorders>
              <w:top w:val="nil"/>
              <w:left w:val="nil"/>
              <w:bottom w:val="nil"/>
              <w:right w:val="single" w:sz="4" w:space="0" w:color="A6A6A6" w:themeColor="background1" w:themeShade="A6"/>
            </w:tcBorders>
            <w:shd w:val="clear" w:color="auto" w:fill="D9D9D9" w:themeFill="background1" w:themeFillShade="D9"/>
            <w:hideMark/>
          </w:tcPr>
          <w:p w14:paraId="710D6F31" w14:textId="77777777" w:rsidR="006954FE" w:rsidRPr="00D007BA" w:rsidRDefault="006954FE" w:rsidP="00AD361D">
            <w:pPr>
              <w:pStyle w:val="TableText"/>
              <w:spacing w:before="0"/>
              <w:jc w:val="center"/>
              <w:rPr>
                <w:rFonts w:cs="Segoe UI"/>
                <w:b/>
                <w:szCs w:val="18"/>
              </w:rPr>
            </w:pPr>
            <w:r w:rsidRPr="00D007BA">
              <w:rPr>
                <w:rFonts w:cs="Segoe UI"/>
                <w:b/>
                <w:szCs w:val="18"/>
              </w:rPr>
              <w:t>ASR</w:t>
            </w:r>
          </w:p>
        </w:tc>
        <w:tc>
          <w:tcPr>
            <w:tcW w:w="1065" w:type="dxa"/>
            <w:tcBorders>
              <w:top w:val="nil"/>
              <w:left w:val="single" w:sz="4" w:space="0" w:color="A6A6A6" w:themeColor="background1" w:themeShade="A6"/>
              <w:bottom w:val="nil"/>
              <w:right w:val="nil"/>
            </w:tcBorders>
            <w:shd w:val="clear" w:color="auto" w:fill="D9D9D9" w:themeFill="background1" w:themeFillShade="D9"/>
            <w:hideMark/>
          </w:tcPr>
          <w:p w14:paraId="2B6FA742" w14:textId="77777777" w:rsidR="006954FE" w:rsidRPr="00D007BA" w:rsidRDefault="006954FE" w:rsidP="00AD361D">
            <w:pPr>
              <w:pStyle w:val="TableText"/>
              <w:spacing w:before="0"/>
              <w:jc w:val="center"/>
              <w:rPr>
                <w:rFonts w:cs="Segoe UI"/>
                <w:b/>
                <w:szCs w:val="18"/>
              </w:rPr>
            </w:pPr>
            <w:r w:rsidRPr="00D007BA">
              <w:rPr>
                <w:rFonts w:cs="Segoe UI"/>
                <w:b/>
                <w:szCs w:val="18"/>
              </w:rPr>
              <w:t>Number of deaths</w:t>
            </w:r>
          </w:p>
        </w:tc>
        <w:tc>
          <w:tcPr>
            <w:tcW w:w="1065" w:type="dxa"/>
            <w:tcBorders>
              <w:top w:val="nil"/>
              <w:left w:val="nil"/>
              <w:bottom w:val="nil"/>
              <w:right w:val="nil"/>
            </w:tcBorders>
            <w:shd w:val="clear" w:color="auto" w:fill="D9D9D9" w:themeFill="background1" w:themeFillShade="D9"/>
            <w:hideMark/>
          </w:tcPr>
          <w:p w14:paraId="75705D93" w14:textId="77777777" w:rsidR="006954FE" w:rsidRPr="00D007BA" w:rsidRDefault="006954FE" w:rsidP="00AD361D">
            <w:pPr>
              <w:pStyle w:val="TableText"/>
              <w:spacing w:before="0"/>
              <w:jc w:val="center"/>
              <w:rPr>
                <w:rFonts w:cs="Segoe UI"/>
                <w:b/>
                <w:szCs w:val="18"/>
              </w:rPr>
            </w:pPr>
            <w:r w:rsidRPr="00D007BA">
              <w:rPr>
                <w:rFonts w:cs="Segoe UI"/>
                <w:b/>
                <w:szCs w:val="18"/>
              </w:rPr>
              <w:t>ASR</w:t>
            </w:r>
          </w:p>
        </w:tc>
      </w:tr>
      <w:tr w:rsidR="006954FE" w:rsidRPr="00FE58B3" w14:paraId="54D645A9" w14:textId="77777777" w:rsidTr="004D354A">
        <w:trPr>
          <w:cantSplit/>
        </w:trPr>
        <w:tc>
          <w:tcPr>
            <w:tcW w:w="1691" w:type="dxa"/>
            <w:tcBorders>
              <w:top w:val="nil"/>
              <w:left w:val="nil"/>
              <w:bottom w:val="single" w:sz="4" w:space="0" w:color="A6A6A6" w:themeColor="background1" w:themeShade="A6"/>
              <w:right w:val="single" w:sz="4" w:space="0" w:color="A6A6A6" w:themeColor="background1" w:themeShade="A6"/>
            </w:tcBorders>
            <w:hideMark/>
          </w:tcPr>
          <w:p w14:paraId="34261A60" w14:textId="77777777" w:rsidR="006954FE" w:rsidRPr="00D007BA" w:rsidRDefault="006954FE" w:rsidP="00AD361D">
            <w:pPr>
              <w:pStyle w:val="TableText"/>
              <w:rPr>
                <w:rFonts w:cs="Segoe UI"/>
                <w:szCs w:val="18"/>
              </w:rPr>
            </w:pPr>
            <w:r w:rsidRPr="00D007BA">
              <w:rPr>
                <w:rFonts w:cs="Segoe UI"/>
                <w:szCs w:val="18"/>
              </w:rPr>
              <w:t>Māori</w:t>
            </w:r>
          </w:p>
        </w:tc>
        <w:tc>
          <w:tcPr>
            <w:tcW w:w="1064" w:type="dxa"/>
            <w:tcBorders>
              <w:top w:val="nil"/>
              <w:left w:val="single" w:sz="4" w:space="0" w:color="A6A6A6" w:themeColor="background1" w:themeShade="A6"/>
              <w:bottom w:val="single" w:sz="4" w:space="0" w:color="A6A6A6" w:themeColor="background1" w:themeShade="A6"/>
              <w:right w:val="nil"/>
            </w:tcBorders>
            <w:hideMark/>
          </w:tcPr>
          <w:p w14:paraId="34CE9158" w14:textId="77777777" w:rsidR="006954FE" w:rsidRPr="00D007BA" w:rsidRDefault="006954FE" w:rsidP="00AD361D">
            <w:pPr>
              <w:pStyle w:val="TableText"/>
              <w:tabs>
                <w:tab w:val="decimal" w:pos="582"/>
              </w:tabs>
              <w:rPr>
                <w:rFonts w:cs="Segoe UI"/>
                <w:szCs w:val="18"/>
              </w:rPr>
            </w:pPr>
            <w:r w:rsidRPr="00D007BA">
              <w:rPr>
                <w:rFonts w:cs="Segoe UI"/>
                <w:szCs w:val="18"/>
              </w:rPr>
              <w:t>66</w:t>
            </w:r>
          </w:p>
        </w:tc>
        <w:tc>
          <w:tcPr>
            <w:tcW w:w="1065" w:type="dxa"/>
            <w:tcBorders>
              <w:top w:val="nil"/>
              <w:left w:val="nil"/>
              <w:bottom w:val="single" w:sz="4" w:space="0" w:color="A6A6A6" w:themeColor="background1" w:themeShade="A6"/>
              <w:right w:val="single" w:sz="4" w:space="0" w:color="A6A6A6" w:themeColor="background1" w:themeShade="A6"/>
            </w:tcBorders>
            <w:hideMark/>
          </w:tcPr>
          <w:p w14:paraId="73AAA6D8" w14:textId="77777777" w:rsidR="006954FE" w:rsidRPr="00D007BA" w:rsidRDefault="006954FE" w:rsidP="00AD361D">
            <w:pPr>
              <w:pStyle w:val="TableText"/>
              <w:tabs>
                <w:tab w:val="decimal" w:pos="591"/>
              </w:tabs>
              <w:rPr>
                <w:rFonts w:cs="Segoe UI"/>
                <w:szCs w:val="18"/>
              </w:rPr>
            </w:pPr>
            <w:r w:rsidRPr="00D007BA">
              <w:rPr>
                <w:rFonts w:cs="Segoe UI"/>
                <w:szCs w:val="18"/>
              </w:rPr>
              <w:t>126.3</w:t>
            </w:r>
          </w:p>
        </w:tc>
        <w:tc>
          <w:tcPr>
            <w:tcW w:w="1065" w:type="dxa"/>
            <w:tcBorders>
              <w:top w:val="nil"/>
              <w:left w:val="single" w:sz="4" w:space="0" w:color="A6A6A6" w:themeColor="background1" w:themeShade="A6"/>
              <w:bottom w:val="single" w:sz="4" w:space="0" w:color="A6A6A6" w:themeColor="background1" w:themeShade="A6"/>
              <w:right w:val="nil"/>
            </w:tcBorders>
            <w:hideMark/>
          </w:tcPr>
          <w:p w14:paraId="74CFB06A" w14:textId="77777777" w:rsidR="006954FE" w:rsidRPr="00D007BA" w:rsidRDefault="006954FE" w:rsidP="00AD361D">
            <w:pPr>
              <w:pStyle w:val="TableText"/>
              <w:tabs>
                <w:tab w:val="decimal" w:pos="561"/>
              </w:tabs>
              <w:rPr>
                <w:rFonts w:cs="Segoe UI"/>
                <w:szCs w:val="18"/>
              </w:rPr>
            </w:pPr>
            <w:r w:rsidRPr="00D007BA">
              <w:rPr>
                <w:rFonts w:cs="Segoe UI"/>
                <w:szCs w:val="18"/>
              </w:rPr>
              <w:t>75</w:t>
            </w:r>
          </w:p>
        </w:tc>
        <w:tc>
          <w:tcPr>
            <w:tcW w:w="1065" w:type="dxa"/>
            <w:tcBorders>
              <w:top w:val="nil"/>
              <w:left w:val="nil"/>
              <w:bottom w:val="single" w:sz="4" w:space="0" w:color="A6A6A6" w:themeColor="background1" w:themeShade="A6"/>
              <w:right w:val="single" w:sz="4" w:space="0" w:color="A6A6A6" w:themeColor="background1" w:themeShade="A6"/>
            </w:tcBorders>
            <w:hideMark/>
          </w:tcPr>
          <w:p w14:paraId="5EAFCDC3" w14:textId="77777777" w:rsidR="006954FE" w:rsidRPr="00D007BA" w:rsidRDefault="006954FE" w:rsidP="00AD361D">
            <w:pPr>
              <w:pStyle w:val="TableText"/>
              <w:tabs>
                <w:tab w:val="decimal" w:pos="517"/>
              </w:tabs>
              <w:rPr>
                <w:rFonts w:cs="Segoe UI"/>
                <w:szCs w:val="18"/>
              </w:rPr>
            </w:pPr>
            <w:r w:rsidRPr="00D007BA">
              <w:rPr>
                <w:rFonts w:cs="Segoe UI"/>
                <w:szCs w:val="18"/>
              </w:rPr>
              <w:t>13.2</w:t>
            </w:r>
          </w:p>
        </w:tc>
        <w:tc>
          <w:tcPr>
            <w:tcW w:w="1065" w:type="dxa"/>
            <w:tcBorders>
              <w:top w:val="nil"/>
              <w:left w:val="single" w:sz="4" w:space="0" w:color="A6A6A6" w:themeColor="background1" w:themeShade="A6"/>
              <w:bottom w:val="single" w:sz="4" w:space="0" w:color="A6A6A6" w:themeColor="background1" w:themeShade="A6"/>
              <w:right w:val="nil"/>
            </w:tcBorders>
            <w:hideMark/>
          </w:tcPr>
          <w:p w14:paraId="1975AA67" w14:textId="77777777" w:rsidR="006954FE" w:rsidRPr="00D007BA" w:rsidRDefault="006954FE" w:rsidP="00AD361D">
            <w:pPr>
              <w:pStyle w:val="TableText"/>
              <w:tabs>
                <w:tab w:val="decimal" w:pos="604"/>
              </w:tabs>
              <w:rPr>
                <w:rFonts w:cs="Segoe UI"/>
                <w:szCs w:val="18"/>
              </w:rPr>
            </w:pPr>
            <w:r w:rsidRPr="00D007BA">
              <w:rPr>
                <w:rFonts w:cs="Segoe UI"/>
                <w:szCs w:val="18"/>
              </w:rPr>
              <w:t>141</w:t>
            </w:r>
          </w:p>
        </w:tc>
        <w:tc>
          <w:tcPr>
            <w:tcW w:w="1065" w:type="dxa"/>
            <w:tcBorders>
              <w:top w:val="nil"/>
              <w:left w:val="nil"/>
              <w:bottom w:val="single" w:sz="4" w:space="0" w:color="A6A6A6" w:themeColor="background1" w:themeShade="A6"/>
              <w:right w:val="nil"/>
            </w:tcBorders>
            <w:hideMark/>
          </w:tcPr>
          <w:p w14:paraId="5216EEDC" w14:textId="77777777" w:rsidR="006954FE" w:rsidRPr="00D007BA" w:rsidRDefault="006954FE" w:rsidP="00AD361D">
            <w:pPr>
              <w:pStyle w:val="TableText"/>
              <w:tabs>
                <w:tab w:val="decimal" w:pos="468"/>
              </w:tabs>
              <w:rPr>
                <w:rFonts w:cs="Segoe UI"/>
                <w:szCs w:val="18"/>
              </w:rPr>
            </w:pPr>
            <w:r w:rsidRPr="00D007BA">
              <w:rPr>
                <w:rFonts w:cs="Segoe UI"/>
                <w:szCs w:val="18"/>
              </w:rPr>
              <w:t>26.2</w:t>
            </w:r>
          </w:p>
        </w:tc>
      </w:tr>
      <w:tr w:rsidR="006954FE" w:rsidRPr="00FE58B3" w14:paraId="7E6EC404" w14:textId="77777777" w:rsidTr="004D354A">
        <w:trPr>
          <w:cantSplit/>
        </w:trPr>
        <w:tc>
          <w:tcPr>
            <w:tcW w:w="16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3B3B5922" w14:textId="77777777" w:rsidR="006954FE" w:rsidRPr="00D007BA" w:rsidRDefault="006954FE" w:rsidP="00AD361D">
            <w:pPr>
              <w:pStyle w:val="TableText"/>
              <w:rPr>
                <w:rFonts w:cs="Segoe UI"/>
                <w:szCs w:val="18"/>
              </w:rPr>
            </w:pPr>
            <w:r w:rsidRPr="00D007BA">
              <w:rPr>
                <w:rFonts w:cs="Segoe UI"/>
                <w:szCs w:val="18"/>
              </w:rPr>
              <w:t>Pacific</w:t>
            </w:r>
          </w:p>
        </w:tc>
        <w:tc>
          <w:tcPr>
            <w:tcW w:w="106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6ED7470A" w14:textId="77777777" w:rsidR="006954FE" w:rsidRPr="00D007BA" w:rsidRDefault="006954FE" w:rsidP="00AD361D">
            <w:pPr>
              <w:pStyle w:val="TableText"/>
              <w:tabs>
                <w:tab w:val="decimal" w:pos="582"/>
              </w:tabs>
              <w:rPr>
                <w:rFonts w:cs="Segoe UI"/>
                <w:szCs w:val="18"/>
              </w:rPr>
            </w:pPr>
            <w:r w:rsidRPr="00D007BA">
              <w:rPr>
                <w:rFonts w:cs="Segoe UI"/>
                <w:szCs w:val="18"/>
              </w:rPr>
              <w:t>6</w:t>
            </w:r>
          </w:p>
        </w:tc>
        <w:tc>
          <w:tcPr>
            <w:tcW w:w="10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53CD34BB" w14:textId="77777777" w:rsidR="006954FE" w:rsidRPr="00D007BA" w:rsidRDefault="006954FE" w:rsidP="00AD361D">
            <w:pPr>
              <w:pStyle w:val="TableText"/>
              <w:tabs>
                <w:tab w:val="decimal" w:pos="591"/>
              </w:tabs>
              <w:rPr>
                <w:rFonts w:cs="Segoe UI"/>
                <w:szCs w:val="18"/>
              </w:rPr>
            </w:pPr>
            <w:r w:rsidRPr="00D007BA">
              <w:rPr>
                <w:rFonts w:cs="Segoe UI"/>
                <w:szCs w:val="18"/>
              </w:rPr>
              <w:t>56.4</w:t>
            </w:r>
          </w:p>
        </w:tc>
        <w:tc>
          <w:tcPr>
            <w:tcW w:w="106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026CCB92" w14:textId="77777777" w:rsidR="006954FE" w:rsidRPr="00D007BA" w:rsidRDefault="006954FE" w:rsidP="00AD361D">
            <w:pPr>
              <w:pStyle w:val="TableText"/>
              <w:tabs>
                <w:tab w:val="decimal" w:pos="561"/>
              </w:tabs>
              <w:rPr>
                <w:rFonts w:cs="Segoe UI"/>
                <w:szCs w:val="18"/>
              </w:rPr>
            </w:pPr>
            <w:r w:rsidRPr="00D007BA">
              <w:rPr>
                <w:rFonts w:cs="Segoe UI"/>
                <w:szCs w:val="18"/>
              </w:rPr>
              <w:t>13</w:t>
            </w:r>
          </w:p>
        </w:tc>
        <w:tc>
          <w:tcPr>
            <w:tcW w:w="10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22CA4727" w14:textId="77777777" w:rsidR="006954FE" w:rsidRPr="00D007BA" w:rsidRDefault="006954FE" w:rsidP="00AD361D">
            <w:pPr>
              <w:pStyle w:val="TableText"/>
              <w:tabs>
                <w:tab w:val="decimal" w:pos="517"/>
              </w:tabs>
              <w:rPr>
                <w:rFonts w:cs="Segoe UI"/>
                <w:szCs w:val="18"/>
              </w:rPr>
            </w:pPr>
            <w:r w:rsidRPr="00D007BA">
              <w:rPr>
                <w:rFonts w:cs="Segoe UI"/>
                <w:szCs w:val="18"/>
              </w:rPr>
              <w:t>4.7</w:t>
            </w:r>
          </w:p>
        </w:tc>
        <w:tc>
          <w:tcPr>
            <w:tcW w:w="106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451875F7" w14:textId="77777777" w:rsidR="006954FE" w:rsidRPr="00D007BA" w:rsidRDefault="006954FE" w:rsidP="00AD361D">
            <w:pPr>
              <w:pStyle w:val="TableText"/>
              <w:tabs>
                <w:tab w:val="decimal" w:pos="604"/>
              </w:tabs>
              <w:rPr>
                <w:rFonts w:cs="Segoe UI"/>
                <w:szCs w:val="18"/>
              </w:rPr>
            </w:pPr>
            <w:r w:rsidRPr="00D007BA">
              <w:rPr>
                <w:rFonts w:cs="Segoe UI"/>
                <w:szCs w:val="18"/>
              </w:rPr>
              <w:t>19</w:t>
            </w:r>
          </w:p>
        </w:tc>
        <w:tc>
          <w:tcPr>
            <w:tcW w:w="1065" w:type="dxa"/>
            <w:tcBorders>
              <w:top w:val="single" w:sz="4" w:space="0" w:color="A6A6A6" w:themeColor="background1" w:themeShade="A6"/>
              <w:left w:val="nil"/>
              <w:bottom w:val="single" w:sz="4" w:space="0" w:color="A6A6A6" w:themeColor="background1" w:themeShade="A6"/>
              <w:right w:val="nil"/>
            </w:tcBorders>
            <w:hideMark/>
          </w:tcPr>
          <w:p w14:paraId="56726A8F" w14:textId="77777777" w:rsidR="006954FE" w:rsidRPr="00D007BA" w:rsidRDefault="006954FE" w:rsidP="00AD361D">
            <w:pPr>
              <w:pStyle w:val="TableText"/>
              <w:tabs>
                <w:tab w:val="decimal" w:pos="468"/>
              </w:tabs>
              <w:rPr>
                <w:rFonts w:cs="Segoe UI"/>
                <w:szCs w:val="18"/>
              </w:rPr>
            </w:pPr>
            <w:r w:rsidRPr="00D007BA">
              <w:rPr>
                <w:rFonts w:cs="Segoe UI"/>
                <w:szCs w:val="18"/>
              </w:rPr>
              <w:t>8.0</w:t>
            </w:r>
          </w:p>
        </w:tc>
      </w:tr>
      <w:tr w:rsidR="006954FE" w:rsidRPr="00FE58B3" w14:paraId="78BE0117" w14:textId="77777777" w:rsidTr="004D354A">
        <w:trPr>
          <w:cantSplit/>
        </w:trPr>
        <w:tc>
          <w:tcPr>
            <w:tcW w:w="16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7A62C602" w14:textId="77777777" w:rsidR="006954FE" w:rsidRPr="00D007BA" w:rsidRDefault="006954FE" w:rsidP="00AD361D">
            <w:pPr>
              <w:pStyle w:val="TableText"/>
              <w:rPr>
                <w:rFonts w:cs="Segoe UI"/>
                <w:szCs w:val="18"/>
              </w:rPr>
            </w:pPr>
            <w:r w:rsidRPr="00D007BA">
              <w:rPr>
                <w:rFonts w:cs="Segoe UI"/>
                <w:szCs w:val="18"/>
              </w:rPr>
              <w:t>Other</w:t>
            </w:r>
          </w:p>
        </w:tc>
        <w:tc>
          <w:tcPr>
            <w:tcW w:w="106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3A5344F8" w14:textId="77777777" w:rsidR="006954FE" w:rsidRPr="00D007BA" w:rsidRDefault="006954FE" w:rsidP="00AD361D">
            <w:pPr>
              <w:pStyle w:val="TableText"/>
              <w:tabs>
                <w:tab w:val="decimal" w:pos="582"/>
              </w:tabs>
              <w:rPr>
                <w:rFonts w:cs="Segoe UI"/>
                <w:szCs w:val="18"/>
              </w:rPr>
            </w:pPr>
            <w:r w:rsidRPr="00D007BA">
              <w:rPr>
                <w:rFonts w:cs="Segoe UI"/>
                <w:szCs w:val="18"/>
              </w:rPr>
              <w:t>154</w:t>
            </w:r>
          </w:p>
        </w:tc>
        <w:tc>
          <w:tcPr>
            <w:tcW w:w="10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2789BCE1" w14:textId="77777777" w:rsidR="006954FE" w:rsidRPr="00D007BA" w:rsidRDefault="006954FE" w:rsidP="00AD361D">
            <w:pPr>
              <w:pStyle w:val="TableText"/>
              <w:tabs>
                <w:tab w:val="decimal" w:pos="591"/>
              </w:tabs>
              <w:rPr>
                <w:rFonts w:cs="Segoe UI"/>
                <w:szCs w:val="18"/>
              </w:rPr>
            </w:pPr>
            <w:r w:rsidRPr="00D007BA">
              <w:rPr>
                <w:rFonts w:cs="Segoe UI"/>
                <w:szCs w:val="18"/>
              </w:rPr>
              <w:t>146.2</w:t>
            </w:r>
          </w:p>
        </w:tc>
        <w:tc>
          <w:tcPr>
            <w:tcW w:w="106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6A1FD4F5" w14:textId="77777777" w:rsidR="006954FE" w:rsidRPr="00D007BA" w:rsidRDefault="006954FE" w:rsidP="00AD361D">
            <w:pPr>
              <w:pStyle w:val="TableText"/>
              <w:tabs>
                <w:tab w:val="decimal" w:pos="561"/>
              </w:tabs>
              <w:rPr>
                <w:rFonts w:cs="Segoe UI"/>
                <w:szCs w:val="18"/>
              </w:rPr>
            </w:pPr>
            <w:r w:rsidRPr="00D007BA">
              <w:rPr>
                <w:rFonts w:cs="Segoe UI"/>
                <w:szCs w:val="18"/>
              </w:rPr>
              <w:t>210</w:t>
            </w:r>
          </w:p>
        </w:tc>
        <w:tc>
          <w:tcPr>
            <w:tcW w:w="10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6239B74F" w14:textId="77777777" w:rsidR="006954FE" w:rsidRPr="00D007BA" w:rsidRDefault="006954FE" w:rsidP="00AD361D">
            <w:pPr>
              <w:pStyle w:val="TableText"/>
              <w:tabs>
                <w:tab w:val="decimal" w:pos="517"/>
              </w:tabs>
              <w:rPr>
                <w:rFonts w:cs="Segoe UI"/>
                <w:szCs w:val="18"/>
              </w:rPr>
            </w:pPr>
            <w:r w:rsidRPr="00D007BA">
              <w:rPr>
                <w:rFonts w:cs="Segoe UI"/>
                <w:szCs w:val="18"/>
              </w:rPr>
              <w:t>6.2</w:t>
            </w:r>
          </w:p>
        </w:tc>
        <w:tc>
          <w:tcPr>
            <w:tcW w:w="106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5B3A38A6" w14:textId="77777777" w:rsidR="006954FE" w:rsidRPr="00D007BA" w:rsidRDefault="006954FE" w:rsidP="00AD361D">
            <w:pPr>
              <w:pStyle w:val="TableText"/>
              <w:tabs>
                <w:tab w:val="decimal" w:pos="604"/>
              </w:tabs>
              <w:rPr>
                <w:rFonts w:cs="Segoe UI"/>
                <w:szCs w:val="18"/>
              </w:rPr>
            </w:pPr>
            <w:r w:rsidRPr="00D007BA">
              <w:rPr>
                <w:rFonts w:cs="Segoe UI"/>
                <w:szCs w:val="18"/>
              </w:rPr>
              <w:t>364</w:t>
            </w:r>
          </w:p>
        </w:tc>
        <w:tc>
          <w:tcPr>
            <w:tcW w:w="1065" w:type="dxa"/>
            <w:tcBorders>
              <w:top w:val="single" w:sz="4" w:space="0" w:color="A6A6A6" w:themeColor="background1" w:themeShade="A6"/>
              <w:left w:val="nil"/>
              <w:bottom w:val="single" w:sz="4" w:space="0" w:color="A6A6A6" w:themeColor="background1" w:themeShade="A6"/>
              <w:right w:val="nil"/>
            </w:tcBorders>
            <w:hideMark/>
          </w:tcPr>
          <w:p w14:paraId="639C282C" w14:textId="77777777" w:rsidR="006954FE" w:rsidRPr="00D007BA" w:rsidRDefault="006954FE" w:rsidP="00AD361D">
            <w:pPr>
              <w:pStyle w:val="TableText"/>
              <w:tabs>
                <w:tab w:val="decimal" w:pos="468"/>
              </w:tabs>
              <w:rPr>
                <w:rFonts w:cs="Segoe UI"/>
                <w:szCs w:val="18"/>
              </w:rPr>
            </w:pPr>
            <w:r w:rsidRPr="00D007BA">
              <w:rPr>
                <w:rFonts w:cs="Segoe UI"/>
                <w:szCs w:val="18"/>
              </w:rPr>
              <w:t>10.8</w:t>
            </w:r>
          </w:p>
        </w:tc>
      </w:tr>
      <w:tr w:rsidR="006954FE" w:rsidRPr="00FE58B3" w14:paraId="47FFC500" w14:textId="77777777" w:rsidTr="004D354A">
        <w:trPr>
          <w:cantSplit/>
        </w:trPr>
        <w:tc>
          <w:tcPr>
            <w:tcW w:w="169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2C3CB8C8" w14:textId="77777777" w:rsidR="006954FE" w:rsidRPr="00D007BA" w:rsidRDefault="006954FE" w:rsidP="00AD361D">
            <w:pPr>
              <w:pStyle w:val="TableText"/>
              <w:rPr>
                <w:rFonts w:cs="Segoe UI"/>
                <w:b/>
                <w:szCs w:val="18"/>
              </w:rPr>
            </w:pPr>
            <w:r w:rsidRPr="00D007BA">
              <w:rPr>
                <w:rFonts w:cs="Segoe UI"/>
                <w:b/>
                <w:szCs w:val="18"/>
              </w:rPr>
              <w:t>Total</w:t>
            </w:r>
          </w:p>
        </w:tc>
        <w:tc>
          <w:tcPr>
            <w:tcW w:w="106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30899A03" w14:textId="77777777" w:rsidR="006954FE" w:rsidRPr="00D007BA" w:rsidRDefault="006954FE" w:rsidP="00AD361D">
            <w:pPr>
              <w:pStyle w:val="TableText"/>
              <w:tabs>
                <w:tab w:val="decimal" w:pos="582"/>
              </w:tabs>
              <w:rPr>
                <w:rFonts w:cs="Segoe UI"/>
                <w:b/>
                <w:szCs w:val="18"/>
              </w:rPr>
            </w:pPr>
            <w:r w:rsidRPr="00D007BA">
              <w:rPr>
                <w:rFonts w:cs="Segoe UI"/>
                <w:b/>
                <w:szCs w:val="18"/>
              </w:rPr>
              <w:t>226</w:t>
            </w:r>
          </w:p>
        </w:tc>
        <w:tc>
          <w:tcPr>
            <w:tcW w:w="10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29E63843" w14:textId="77777777" w:rsidR="006954FE" w:rsidRPr="00D007BA" w:rsidRDefault="006954FE" w:rsidP="00AD361D">
            <w:pPr>
              <w:pStyle w:val="TableText"/>
              <w:tabs>
                <w:tab w:val="decimal" w:pos="591"/>
              </w:tabs>
              <w:rPr>
                <w:rFonts w:cs="Segoe UI"/>
                <w:b/>
                <w:szCs w:val="18"/>
              </w:rPr>
            </w:pPr>
            <w:r w:rsidRPr="00D007BA">
              <w:rPr>
                <w:rFonts w:cs="Segoe UI"/>
                <w:b/>
                <w:szCs w:val="18"/>
              </w:rPr>
              <w:t>138.3</w:t>
            </w:r>
          </w:p>
        </w:tc>
        <w:tc>
          <w:tcPr>
            <w:tcW w:w="106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00092DA6" w14:textId="77777777" w:rsidR="006954FE" w:rsidRPr="00D007BA" w:rsidRDefault="006954FE" w:rsidP="00AD361D">
            <w:pPr>
              <w:pStyle w:val="TableText"/>
              <w:tabs>
                <w:tab w:val="decimal" w:pos="561"/>
              </w:tabs>
              <w:rPr>
                <w:rFonts w:cs="Segoe UI"/>
                <w:b/>
                <w:szCs w:val="18"/>
              </w:rPr>
            </w:pPr>
            <w:r w:rsidRPr="00D007BA">
              <w:rPr>
                <w:rFonts w:cs="Segoe UI"/>
                <w:b/>
                <w:szCs w:val="18"/>
              </w:rPr>
              <w:t>298</w:t>
            </w:r>
          </w:p>
        </w:tc>
        <w:tc>
          <w:tcPr>
            <w:tcW w:w="10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7B28DB78" w14:textId="77777777" w:rsidR="006954FE" w:rsidRPr="00D007BA" w:rsidRDefault="006954FE" w:rsidP="00AD361D">
            <w:pPr>
              <w:pStyle w:val="TableText"/>
              <w:tabs>
                <w:tab w:val="decimal" w:pos="517"/>
              </w:tabs>
              <w:rPr>
                <w:rFonts w:cs="Segoe UI"/>
                <w:b/>
                <w:szCs w:val="18"/>
              </w:rPr>
            </w:pPr>
            <w:r w:rsidRPr="00D007BA">
              <w:rPr>
                <w:rFonts w:cs="Segoe UI"/>
                <w:b/>
                <w:szCs w:val="18"/>
              </w:rPr>
              <w:t>7.3</w:t>
            </w:r>
          </w:p>
        </w:tc>
        <w:tc>
          <w:tcPr>
            <w:tcW w:w="106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69788434" w14:textId="77777777" w:rsidR="006954FE" w:rsidRPr="00D007BA" w:rsidRDefault="006954FE" w:rsidP="00AD361D">
            <w:pPr>
              <w:pStyle w:val="TableText"/>
              <w:tabs>
                <w:tab w:val="decimal" w:pos="604"/>
              </w:tabs>
              <w:rPr>
                <w:rFonts w:cs="Segoe UI"/>
                <w:b/>
                <w:szCs w:val="18"/>
              </w:rPr>
            </w:pPr>
            <w:r w:rsidRPr="00D007BA">
              <w:rPr>
                <w:rFonts w:cs="Segoe UI"/>
                <w:b/>
                <w:szCs w:val="18"/>
              </w:rPr>
              <w:t>524</w:t>
            </w:r>
          </w:p>
        </w:tc>
        <w:tc>
          <w:tcPr>
            <w:tcW w:w="1065" w:type="dxa"/>
            <w:tcBorders>
              <w:top w:val="single" w:sz="4" w:space="0" w:color="A6A6A6" w:themeColor="background1" w:themeShade="A6"/>
              <w:left w:val="nil"/>
              <w:bottom w:val="single" w:sz="4" w:space="0" w:color="A6A6A6" w:themeColor="background1" w:themeShade="A6"/>
              <w:right w:val="nil"/>
            </w:tcBorders>
            <w:hideMark/>
          </w:tcPr>
          <w:p w14:paraId="4F749EE0" w14:textId="77777777" w:rsidR="006954FE" w:rsidRPr="00D007BA" w:rsidRDefault="006954FE" w:rsidP="00AD361D">
            <w:pPr>
              <w:pStyle w:val="TableText"/>
              <w:tabs>
                <w:tab w:val="decimal" w:pos="468"/>
              </w:tabs>
              <w:rPr>
                <w:rFonts w:cs="Segoe UI"/>
                <w:b/>
                <w:szCs w:val="18"/>
              </w:rPr>
            </w:pPr>
            <w:r w:rsidRPr="00D007BA">
              <w:rPr>
                <w:rFonts w:cs="Segoe UI"/>
                <w:b/>
                <w:szCs w:val="18"/>
              </w:rPr>
              <w:t>12.3</w:t>
            </w:r>
          </w:p>
        </w:tc>
      </w:tr>
    </w:tbl>
    <w:p w14:paraId="3A3571BC" w14:textId="77777777" w:rsidR="006954FE" w:rsidRPr="006E5E36" w:rsidRDefault="006954FE" w:rsidP="00AD361D">
      <w:pPr>
        <w:pStyle w:val="Note"/>
      </w:pPr>
      <w:r w:rsidRPr="006E5E36">
        <w:t>Note: ASR = Age-</w:t>
      </w:r>
      <w:r>
        <w:t>standardised</w:t>
      </w:r>
      <w:r w:rsidRPr="006E5E36">
        <w:t xml:space="preserve"> rate.</w:t>
      </w:r>
    </w:p>
    <w:p w14:paraId="2F58FFE1" w14:textId="77777777" w:rsidR="006954FE" w:rsidRPr="006E5E36" w:rsidRDefault="006954FE" w:rsidP="00AD361D">
      <w:pPr>
        <w:pStyle w:val="Source"/>
      </w:pPr>
      <w:r w:rsidRPr="006E5E36">
        <w:t>Source: Ministry of Health mortality database data, extracted on 19 April 2021.</w:t>
      </w:r>
    </w:p>
    <w:p w14:paraId="045D38A1" w14:textId="77777777" w:rsidR="0082081A" w:rsidRDefault="0082081A" w:rsidP="00AD361D"/>
    <w:sectPr w:rsidR="0082081A" w:rsidSect="002B7BEC">
      <w:footerReference w:type="even" r:id="rId25"/>
      <w:footerReference w:type="default" r:id="rId26"/>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C9292" w14:textId="77777777" w:rsidR="00492471" w:rsidRDefault="00492471">
      <w:r>
        <w:separator/>
      </w:r>
    </w:p>
    <w:p w14:paraId="0A8F9740" w14:textId="77777777" w:rsidR="00492471" w:rsidRDefault="00492471"/>
  </w:endnote>
  <w:endnote w:type="continuationSeparator" w:id="0">
    <w:p w14:paraId="386D571F" w14:textId="77777777" w:rsidR="00492471" w:rsidRDefault="00492471">
      <w:r>
        <w:continuationSeparator/>
      </w:r>
    </w:p>
    <w:p w14:paraId="55B41082" w14:textId="77777777" w:rsidR="00492471" w:rsidRDefault="00492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01199" w14:textId="77777777" w:rsidR="00105770" w:rsidRPr="00581136" w:rsidRDefault="00105770" w:rsidP="005A79E5">
    <w:pPr>
      <w:pStyle w:val="Footer"/>
      <w:pBdr>
        <w:bottom w:val="single" w:sz="4" w:space="1" w:color="auto"/>
      </w:pBdr>
      <w:tabs>
        <w:tab w:val="right" w:pos="9639"/>
      </w:tabs>
      <w:rPr>
        <w:b/>
      </w:rPr>
    </w:pPr>
    <w:r w:rsidRPr="00581136">
      <w:rPr>
        <w:b/>
      </w:rPr>
      <w:t>Released 20</w:t>
    </w:r>
    <w:r w:rsidR="00FB0A5B">
      <w:rPr>
        <w:b/>
      </w:rPr>
      <w:t>2</w:t>
    </w:r>
    <w:r w:rsidR="008017B4">
      <w:rPr>
        <w:b/>
      </w:rPr>
      <w:t>1</w:t>
    </w:r>
    <w:r w:rsidRPr="00581136">
      <w:rPr>
        <w:b/>
      </w:rPr>
      <w:tab/>
      <w:t>health.govt.nz</w:t>
    </w:r>
  </w:p>
  <w:p w14:paraId="5B7FDFE4" w14:textId="77777777" w:rsidR="00105770" w:rsidRPr="005A79E5" w:rsidRDefault="0010577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5DBA2" w14:textId="77777777" w:rsidR="00105770" w:rsidRDefault="00105770"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BCBC4" w14:textId="77777777" w:rsidR="00105770" w:rsidRDefault="001057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105770" w14:paraId="4A05085B" w14:textId="77777777" w:rsidTr="00D662F8">
      <w:trPr>
        <w:cantSplit/>
      </w:trPr>
      <w:tc>
        <w:tcPr>
          <w:tcW w:w="709" w:type="dxa"/>
          <w:vAlign w:val="center"/>
        </w:tcPr>
        <w:p w14:paraId="384BE274" w14:textId="77777777" w:rsidR="00105770" w:rsidRPr="00931466" w:rsidRDefault="00105770"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B0A5B">
            <w:rPr>
              <w:rStyle w:val="PageNumber"/>
              <w:noProof/>
            </w:rPr>
            <w:t>vi</w:t>
          </w:r>
          <w:r w:rsidRPr="00931466">
            <w:rPr>
              <w:rStyle w:val="PageNumber"/>
            </w:rPr>
            <w:fldChar w:fldCharType="end"/>
          </w:r>
        </w:p>
      </w:tc>
      <w:tc>
        <w:tcPr>
          <w:tcW w:w="8080" w:type="dxa"/>
          <w:vAlign w:val="center"/>
        </w:tcPr>
        <w:p w14:paraId="523B5A53" w14:textId="77777777" w:rsidR="00105770" w:rsidRDefault="00245748" w:rsidP="00117F59">
          <w:pPr>
            <w:pStyle w:val="RectoFooter"/>
            <w:jc w:val="left"/>
          </w:pPr>
          <w:r>
            <w:t>[title]: [subhead]</w:t>
          </w:r>
        </w:p>
      </w:tc>
    </w:tr>
  </w:tbl>
  <w:p w14:paraId="3E1E5B9B" w14:textId="77777777" w:rsidR="00105770" w:rsidRPr="00571223" w:rsidRDefault="00105770"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05770" w14:paraId="7B94E6B6" w14:textId="77777777" w:rsidTr="006E2886">
      <w:trPr>
        <w:cantSplit/>
      </w:trPr>
      <w:tc>
        <w:tcPr>
          <w:tcW w:w="8080" w:type="dxa"/>
          <w:vAlign w:val="center"/>
        </w:tcPr>
        <w:p w14:paraId="67AE4904" w14:textId="77777777" w:rsidR="00105770" w:rsidRDefault="006954FE" w:rsidP="006954FE">
          <w:pPr>
            <w:pStyle w:val="RectoFooter"/>
          </w:pPr>
          <w:r>
            <w:t>suicide data related to mental health service users (2016)</w:t>
          </w:r>
        </w:p>
      </w:tc>
      <w:tc>
        <w:tcPr>
          <w:tcW w:w="709" w:type="dxa"/>
          <w:vAlign w:val="center"/>
        </w:tcPr>
        <w:p w14:paraId="24340AF4" w14:textId="77777777" w:rsidR="00105770" w:rsidRPr="00931466" w:rsidRDefault="0010577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5C7B04">
            <w:rPr>
              <w:rStyle w:val="PageNumber"/>
              <w:noProof/>
            </w:rPr>
            <w:t>iii</w:t>
          </w:r>
          <w:r w:rsidRPr="00931466">
            <w:rPr>
              <w:rStyle w:val="PageNumber"/>
            </w:rPr>
            <w:fldChar w:fldCharType="end"/>
          </w:r>
        </w:p>
      </w:tc>
    </w:tr>
  </w:tbl>
  <w:p w14:paraId="1A63DD8A" w14:textId="77777777" w:rsidR="00105770" w:rsidRPr="00581EB8" w:rsidRDefault="00105770"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105770" w14:paraId="6F61BE6F" w14:textId="77777777" w:rsidTr="006E2886">
      <w:trPr>
        <w:cantSplit/>
      </w:trPr>
      <w:tc>
        <w:tcPr>
          <w:tcW w:w="675" w:type="dxa"/>
          <w:vAlign w:val="center"/>
        </w:tcPr>
        <w:p w14:paraId="40FF6B8D" w14:textId="77777777" w:rsidR="00105770" w:rsidRPr="00931466" w:rsidRDefault="00105770"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5C7B04">
            <w:rPr>
              <w:rStyle w:val="PageNumber"/>
              <w:noProof/>
            </w:rPr>
            <w:t>2</w:t>
          </w:r>
          <w:r w:rsidRPr="00931466">
            <w:rPr>
              <w:rStyle w:val="PageNumber"/>
            </w:rPr>
            <w:fldChar w:fldCharType="end"/>
          </w:r>
        </w:p>
      </w:tc>
      <w:tc>
        <w:tcPr>
          <w:tcW w:w="9072" w:type="dxa"/>
          <w:vAlign w:val="center"/>
        </w:tcPr>
        <w:p w14:paraId="21CDCDED" w14:textId="77777777" w:rsidR="00105770" w:rsidRDefault="006954FE" w:rsidP="00FB0A5B">
          <w:pPr>
            <w:pStyle w:val="RectoFooter"/>
            <w:ind w:left="-108"/>
            <w:jc w:val="left"/>
          </w:pPr>
          <w:r>
            <w:t>suicide data related to mental health service users (2016)</w:t>
          </w:r>
        </w:p>
      </w:tc>
    </w:tr>
  </w:tbl>
  <w:p w14:paraId="13D39127" w14:textId="77777777" w:rsidR="00105770" w:rsidRPr="00571223" w:rsidRDefault="00105770"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05770" w14:paraId="64950AFD" w14:textId="77777777" w:rsidTr="006E2886">
      <w:trPr>
        <w:cantSplit/>
      </w:trPr>
      <w:tc>
        <w:tcPr>
          <w:tcW w:w="8080" w:type="dxa"/>
          <w:vAlign w:val="center"/>
        </w:tcPr>
        <w:p w14:paraId="245A5BDB" w14:textId="77777777" w:rsidR="00105770" w:rsidRDefault="006954FE" w:rsidP="006954FE">
          <w:pPr>
            <w:pStyle w:val="RectoFooter"/>
          </w:pPr>
          <w:r>
            <w:t>suicide data related to mental health service users (2016)</w:t>
          </w:r>
        </w:p>
      </w:tc>
      <w:tc>
        <w:tcPr>
          <w:tcW w:w="709" w:type="dxa"/>
          <w:vAlign w:val="center"/>
        </w:tcPr>
        <w:p w14:paraId="3982A8DD" w14:textId="77777777" w:rsidR="00105770" w:rsidRPr="00931466" w:rsidRDefault="0010577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5C7B04">
            <w:rPr>
              <w:rStyle w:val="PageNumber"/>
              <w:noProof/>
            </w:rPr>
            <w:t>3</w:t>
          </w:r>
          <w:r w:rsidRPr="00931466">
            <w:rPr>
              <w:rStyle w:val="PageNumber"/>
            </w:rPr>
            <w:fldChar w:fldCharType="end"/>
          </w:r>
        </w:p>
      </w:tc>
    </w:tr>
  </w:tbl>
  <w:p w14:paraId="44D36A8B" w14:textId="77777777" w:rsidR="00105770" w:rsidRPr="00581EB8" w:rsidRDefault="0010577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6BA52" w14:textId="77777777" w:rsidR="00492471" w:rsidRPr="00A26E6B" w:rsidRDefault="00492471" w:rsidP="00A26E6B"/>
  </w:footnote>
  <w:footnote w:type="continuationSeparator" w:id="0">
    <w:p w14:paraId="4096E2CF" w14:textId="77777777" w:rsidR="00492471" w:rsidRDefault="00492471">
      <w:r>
        <w:continuationSeparator/>
      </w:r>
    </w:p>
    <w:p w14:paraId="7787F883" w14:textId="77777777" w:rsidR="00492471" w:rsidRDefault="00492471"/>
  </w:footnote>
  <w:footnote w:id="1">
    <w:p w14:paraId="2639D89B" w14:textId="77777777" w:rsidR="006954FE" w:rsidRPr="00AD2935" w:rsidRDefault="006954FE" w:rsidP="000E38BA">
      <w:pPr>
        <w:pStyle w:val="FootnoteText"/>
      </w:pPr>
      <w:r w:rsidRPr="000E38BA">
        <w:rPr>
          <w:rStyle w:val="FootnoteReference"/>
        </w:rPr>
        <w:footnoteRef/>
      </w:r>
      <w:r w:rsidR="000E38BA">
        <w:tab/>
      </w:r>
      <w:r w:rsidRPr="00AD2935">
        <w:t>The Mortality Collection classifies the underlying cause of death for all deaths registered in New Zealand, and all registerable stillbirths (fetal deaths). These numbers are subject to change. The mortality database is a dynamic collection, as</w:t>
      </w:r>
      <w:r>
        <w:t xml:space="preserve"> it regularly receives</w:t>
      </w:r>
      <w:r w:rsidRPr="00AD2935">
        <w:t xml:space="preserve"> new data</w:t>
      </w:r>
      <w:r>
        <w:t>,</w:t>
      </w:r>
      <w:r w:rsidRPr="00AD2935">
        <w:t xml:space="preserve"> </w:t>
      </w:r>
      <w:r>
        <w:t>including final coroners</w:t>
      </w:r>
      <w:r w:rsidR="000E38BA">
        <w:t>’</w:t>
      </w:r>
      <w:r>
        <w:t xml:space="preserve"> findings, </w:t>
      </w:r>
      <w:r w:rsidRPr="00AD2935">
        <w:t>and updates are ongoing. Changes can be made even after the data is considered nominally final.</w:t>
      </w:r>
    </w:p>
  </w:footnote>
  <w:footnote w:id="2">
    <w:p w14:paraId="14377825" w14:textId="77777777" w:rsidR="006954FE" w:rsidRDefault="006954FE" w:rsidP="000E38BA">
      <w:pPr>
        <w:pStyle w:val="FootnoteText"/>
      </w:pPr>
      <w:r w:rsidRPr="000E38BA">
        <w:rPr>
          <w:rStyle w:val="FootnoteReference"/>
        </w:rPr>
        <w:footnoteRef/>
      </w:r>
      <w:r w:rsidR="000E38BA">
        <w:tab/>
      </w:r>
      <w:r>
        <w:t>This figure is determined from the number of people who had an inpatient activity on the day they died; PRIMHD,</w:t>
      </w:r>
      <w:r w:rsidRPr="00662038">
        <w:t xml:space="preserve"> </w:t>
      </w:r>
      <w:r>
        <w:t>the national mental health and addiction database, cannot identify the number of people who died at an inpatient unit. In addition to capturing suicide deaths that occurred in inpatient facilities, this figure may capture</w:t>
      </w:r>
      <w:r w:rsidRPr="00D20740">
        <w:rPr>
          <w:rFonts w:cstheme="majorHAnsi"/>
        </w:rPr>
        <w:t xml:space="preserve"> </w:t>
      </w:r>
      <w:r w:rsidRPr="00B52CDE">
        <w:rPr>
          <w:rFonts w:cstheme="majorHAnsi"/>
        </w:rPr>
        <w:t>people who</w:t>
      </w:r>
      <w:r>
        <w:t>:</w:t>
      </w:r>
    </w:p>
    <w:p w14:paraId="2F08E202" w14:textId="77777777" w:rsidR="006954FE" w:rsidRPr="000E38BA" w:rsidRDefault="006954FE" w:rsidP="000E38BA">
      <w:pPr>
        <w:pStyle w:val="Bullet"/>
        <w:spacing w:before="40"/>
        <w:ind w:left="568"/>
        <w:rPr>
          <w:sz w:val="17"/>
          <w:szCs w:val="17"/>
        </w:rPr>
      </w:pPr>
      <w:r w:rsidRPr="000E38BA">
        <w:rPr>
          <w:sz w:val="17"/>
          <w:szCs w:val="17"/>
        </w:rPr>
        <w:t>received care in an inpatient facility, were discharged and died by suicide in the community later that day</w:t>
      </w:r>
    </w:p>
    <w:p w14:paraId="02D333E8" w14:textId="77777777" w:rsidR="006954FE" w:rsidRPr="000E38BA" w:rsidRDefault="006954FE" w:rsidP="000E38BA">
      <w:pPr>
        <w:pStyle w:val="Bullet"/>
        <w:spacing w:before="40"/>
        <w:ind w:left="568"/>
        <w:rPr>
          <w:sz w:val="17"/>
          <w:szCs w:val="17"/>
        </w:rPr>
      </w:pPr>
      <w:r w:rsidRPr="000E38BA">
        <w:rPr>
          <w:sz w:val="17"/>
          <w:szCs w:val="17"/>
        </w:rPr>
        <w:t>attempted suicide in the community and later died in hospital</w:t>
      </w:r>
    </w:p>
    <w:p w14:paraId="7B7B0233" w14:textId="77777777" w:rsidR="006954FE" w:rsidRPr="000E38BA" w:rsidRDefault="006954FE" w:rsidP="000E38BA">
      <w:pPr>
        <w:pStyle w:val="Bullet"/>
        <w:spacing w:before="40"/>
        <w:ind w:left="568"/>
        <w:rPr>
          <w:sz w:val="17"/>
          <w:szCs w:val="17"/>
        </w:rPr>
      </w:pPr>
      <w:r w:rsidRPr="000E38BA">
        <w:rPr>
          <w:sz w:val="17"/>
          <w:szCs w:val="17"/>
        </w:rPr>
        <w:t>died by suicide in the community while on leave from an inpatient facility.</w:t>
      </w:r>
    </w:p>
    <w:p w14:paraId="39106434" w14:textId="77777777" w:rsidR="006954FE" w:rsidRPr="00FA6668" w:rsidRDefault="006954FE" w:rsidP="000E38BA">
      <w:pPr>
        <w:pStyle w:val="FootnoteText"/>
        <w:ind w:firstLine="0"/>
      </w:pPr>
      <w:r w:rsidRPr="00FA6668">
        <w:t xml:space="preserve">Note these figures should not be compared with those of previous annual reports, as the definitions for </w:t>
      </w:r>
      <w:r w:rsidR="000E38BA">
        <w:t>‘</w:t>
      </w:r>
      <w:r w:rsidRPr="00FA6668">
        <w:t>inpatient</w:t>
      </w:r>
      <w:r w:rsidR="000E38BA">
        <w:t>’</w:t>
      </w:r>
      <w:r w:rsidRPr="00FA6668">
        <w:t xml:space="preserve"> and </w:t>
      </w:r>
      <w:r w:rsidR="000E38BA">
        <w:t>‘</w:t>
      </w:r>
      <w:r w:rsidRPr="00FA6668">
        <w:t>community service user</w:t>
      </w:r>
      <w:r w:rsidR="000E38BA">
        <w:t>’</w:t>
      </w:r>
      <w:r w:rsidRPr="00FA6668">
        <w:t xml:space="preserve"> have been updated since the 2014 report published on 3</w:t>
      </w:r>
      <w:r w:rsidR="000E38BA">
        <w:t> </w:t>
      </w:r>
      <w:r w:rsidRPr="00FA6668">
        <w:t>December 2015.</w:t>
      </w:r>
    </w:p>
  </w:footnote>
  <w:footnote w:id="3">
    <w:p w14:paraId="44E0EB3E" w14:textId="77777777" w:rsidR="006954FE" w:rsidRDefault="006954FE" w:rsidP="000E38BA">
      <w:pPr>
        <w:pStyle w:val="FootnoteText"/>
      </w:pPr>
      <w:r w:rsidRPr="000E38BA">
        <w:rPr>
          <w:rStyle w:val="FootnoteReference"/>
        </w:rPr>
        <w:footnoteRef/>
      </w:r>
      <w:r w:rsidR="000E38BA">
        <w:tab/>
      </w:r>
      <w:r>
        <w:t>Excluding those who received treatment on the day of their death.</w:t>
      </w:r>
    </w:p>
  </w:footnote>
  <w:footnote w:id="4">
    <w:p w14:paraId="03AD86E3" w14:textId="77777777" w:rsidR="006954FE" w:rsidRDefault="006954FE" w:rsidP="000E38BA">
      <w:pPr>
        <w:pStyle w:val="FootnoteText"/>
      </w:pPr>
      <w:r w:rsidRPr="000E38BA">
        <w:rPr>
          <w:rStyle w:val="FootnoteReference"/>
        </w:rPr>
        <w:footnoteRef/>
      </w:r>
      <w:r w:rsidR="000E38BA">
        <w:tab/>
      </w:r>
      <w:r>
        <w:t>Excluding those who received treatment on the day of their death and those who died within a week of being discharged from an inpatient service.</w:t>
      </w:r>
    </w:p>
  </w:footnote>
  <w:footnote w:id="5">
    <w:p w14:paraId="331C7261" w14:textId="77777777" w:rsidR="006954FE" w:rsidRDefault="006954FE" w:rsidP="00F53132">
      <w:pPr>
        <w:pStyle w:val="FootnoteText"/>
      </w:pPr>
      <w:r w:rsidRPr="00F53132">
        <w:rPr>
          <w:rStyle w:val="FootnoteReference"/>
        </w:rPr>
        <w:footnoteRef/>
      </w:r>
      <w:r w:rsidR="00F53132">
        <w:tab/>
      </w:r>
      <w:r>
        <w:t>Includes deaths of undetermined intent.</w:t>
      </w:r>
    </w:p>
  </w:footnote>
  <w:footnote w:id="6">
    <w:p w14:paraId="655CCAC1" w14:textId="77777777" w:rsidR="006954FE" w:rsidRDefault="006954FE" w:rsidP="00F53132">
      <w:pPr>
        <w:pStyle w:val="FootnoteText"/>
      </w:pPr>
      <w:r w:rsidRPr="00F53132">
        <w:rPr>
          <w:rStyle w:val="FootnoteReference"/>
        </w:rPr>
        <w:footnoteRef/>
      </w:r>
      <w:r w:rsidR="00F53132">
        <w:tab/>
      </w:r>
      <w:r>
        <w:t>People could be seen by more than one team.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105770" w14:paraId="3A3C8D25" w14:textId="77777777" w:rsidTr="005A79E5">
      <w:trPr>
        <w:cantSplit/>
      </w:trPr>
      <w:tc>
        <w:tcPr>
          <w:tcW w:w="5210" w:type="dxa"/>
        </w:tcPr>
        <w:p w14:paraId="3AF87B53" w14:textId="77777777" w:rsidR="00105770" w:rsidRDefault="00105770" w:rsidP="008814E8">
          <w:pPr>
            <w:pStyle w:val="Header"/>
          </w:pPr>
          <w:r>
            <w:rPr>
              <w:noProof/>
              <w:lang w:eastAsia="en-NZ"/>
            </w:rPr>
            <w:drawing>
              <wp:inline distT="0" distB="0" distL="0" distR="0" wp14:anchorId="06204568" wp14:editId="6A9D88C6">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69A00068" w14:textId="77777777" w:rsidR="00105770" w:rsidRDefault="00105770" w:rsidP="008814E8">
          <w:pPr>
            <w:pStyle w:val="Header"/>
            <w:jc w:val="right"/>
          </w:pPr>
          <w:r>
            <w:rPr>
              <w:noProof/>
              <w:lang w:eastAsia="en-NZ"/>
            </w:rPr>
            <w:drawing>
              <wp:inline distT="0" distB="0" distL="0" distR="0" wp14:anchorId="44214BA8" wp14:editId="0215B5A9">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3FFF857B" w14:textId="77777777" w:rsidR="00105770" w:rsidRDefault="00105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FFC78" w14:textId="77777777" w:rsidR="00105770" w:rsidRDefault="00105770"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7BD" w14:textId="77777777" w:rsidR="00105770" w:rsidRDefault="00105770"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7"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1"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3"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6"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7"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8"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0"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1"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4"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5"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1"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3"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4"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0"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41"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abstractNumId w:val="40"/>
  </w:num>
  <w:num w:numId="2">
    <w:abstractNumId w:val="21"/>
  </w:num>
  <w:num w:numId="3">
    <w:abstractNumId w:val="22"/>
  </w:num>
  <w:num w:numId="4">
    <w:abstractNumId w:val="4"/>
  </w:num>
  <w:num w:numId="5">
    <w:abstractNumId w:val="1"/>
  </w:num>
  <w:num w:numId="6">
    <w:abstractNumId w:val="26"/>
  </w:num>
  <w:num w:numId="7">
    <w:abstractNumId w:val="34"/>
  </w:num>
  <w:num w:numId="8">
    <w:abstractNumId w:val="3"/>
  </w:num>
  <w:num w:numId="9">
    <w:abstractNumId w:val="35"/>
  </w:num>
  <w:num w:numId="10">
    <w:abstractNumId w:val="28"/>
  </w:num>
  <w:num w:numId="11">
    <w:abstractNumId w:val="15"/>
  </w:num>
  <w:num w:numId="12">
    <w:abstractNumId w:val="20"/>
  </w:num>
  <w:num w:numId="13">
    <w:abstractNumId w:val="0"/>
  </w:num>
  <w:num w:numId="14">
    <w:abstractNumId w:val="12"/>
  </w:num>
  <w:num w:numId="15">
    <w:abstractNumId w:val="18"/>
  </w:num>
  <w:num w:numId="16">
    <w:abstractNumId w:val="29"/>
  </w:num>
  <w:num w:numId="17">
    <w:abstractNumId w:val="8"/>
  </w:num>
  <w:num w:numId="18">
    <w:abstractNumId w:val="14"/>
  </w:num>
  <w:num w:numId="19">
    <w:abstractNumId w:val="9"/>
  </w:num>
  <w:num w:numId="20">
    <w:abstractNumId w:val="6"/>
  </w:num>
  <w:num w:numId="21">
    <w:abstractNumId w:val="38"/>
  </w:num>
  <w:num w:numId="22">
    <w:abstractNumId w:val="13"/>
  </w:num>
  <w:num w:numId="23">
    <w:abstractNumId w:val="36"/>
  </w:num>
  <w:num w:numId="24">
    <w:abstractNumId w:val="2"/>
  </w:num>
  <w:num w:numId="25">
    <w:abstractNumId w:val="7"/>
  </w:num>
  <w:num w:numId="26">
    <w:abstractNumId w:val="5"/>
  </w:num>
  <w:num w:numId="27">
    <w:abstractNumId w:val="31"/>
  </w:num>
  <w:num w:numId="28">
    <w:abstractNumId w:val="37"/>
  </w:num>
  <w:num w:numId="29">
    <w:abstractNumId w:val="17"/>
  </w:num>
  <w:num w:numId="30">
    <w:abstractNumId w:val="11"/>
  </w:num>
  <w:num w:numId="31">
    <w:abstractNumId w:val="27"/>
  </w:num>
  <w:num w:numId="32">
    <w:abstractNumId w:val="19"/>
  </w:num>
  <w:num w:numId="33">
    <w:abstractNumId w:val="41"/>
  </w:num>
  <w:num w:numId="34">
    <w:abstractNumId w:val="16"/>
  </w:num>
  <w:num w:numId="35">
    <w:abstractNumId w:val="33"/>
  </w:num>
  <w:num w:numId="36">
    <w:abstractNumId w:val="30"/>
  </w:num>
  <w:num w:numId="37">
    <w:abstractNumId w:val="39"/>
  </w:num>
  <w:num w:numId="38">
    <w:abstractNumId w:val="32"/>
  </w:num>
  <w:num w:numId="39">
    <w:abstractNumId w:val="23"/>
  </w:num>
  <w:num w:numId="40">
    <w:abstractNumId w:val="24"/>
  </w:num>
  <w:num w:numId="41">
    <w:abstractNumId w:val="10"/>
  </w:num>
  <w:num w:numId="42">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36027"/>
    <w:rsid w:val="000419A9"/>
    <w:rsid w:val="00045613"/>
    <w:rsid w:val="00047899"/>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D19F4"/>
    <w:rsid w:val="000D58DD"/>
    <w:rsid w:val="000E38BA"/>
    <w:rsid w:val="000F1F42"/>
    <w:rsid w:val="000F2AE2"/>
    <w:rsid w:val="000F2BFF"/>
    <w:rsid w:val="00102063"/>
    <w:rsid w:val="0010541C"/>
    <w:rsid w:val="00105770"/>
    <w:rsid w:val="00106F93"/>
    <w:rsid w:val="00111D50"/>
    <w:rsid w:val="00113B8E"/>
    <w:rsid w:val="00117B87"/>
    <w:rsid w:val="00117F59"/>
    <w:rsid w:val="0012053C"/>
    <w:rsid w:val="00122363"/>
    <w:rsid w:val="00125D45"/>
    <w:rsid w:val="001342C7"/>
    <w:rsid w:val="0013585C"/>
    <w:rsid w:val="00142261"/>
    <w:rsid w:val="00142954"/>
    <w:rsid w:val="001460E0"/>
    <w:rsid w:val="001472F0"/>
    <w:rsid w:val="00147F71"/>
    <w:rsid w:val="00150A6E"/>
    <w:rsid w:val="0016304B"/>
    <w:rsid w:val="0016318F"/>
    <w:rsid w:val="0016468A"/>
    <w:rsid w:val="0017070E"/>
    <w:rsid w:val="00174F02"/>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763B"/>
    <w:rsid w:val="00232E9F"/>
    <w:rsid w:val="00245748"/>
    <w:rsid w:val="00246DB1"/>
    <w:rsid w:val="002476B5"/>
    <w:rsid w:val="002520CC"/>
    <w:rsid w:val="00253ECF"/>
    <w:rsid w:val="00254044"/>
    <w:rsid w:val="002546A1"/>
    <w:rsid w:val="002575E8"/>
    <w:rsid w:val="00257EF1"/>
    <w:rsid w:val="002628F4"/>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D4B55"/>
    <w:rsid w:val="002E0B47"/>
    <w:rsid w:val="002F3A0D"/>
    <w:rsid w:val="002F4685"/>
    <w:rsid w:val="002F7213"/>
    <w:rsid w:val="0030382F"/>
    <w:rsid w:val="0030408D"/>
    <w:rsid w:val="003060E4"/>
    <w:rsid w:val="003160E7"/>
    <w:rsid w:val="0031739E"/>
    <w:rsid w:val="00317DA3"/>
    <w:rsid w:val="003212F4"/>
    <w:rsid w:val="00321381"/>
    <w:rsid w:val="003235C6"/>
    <w:rsid w:val="0032550A"/>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7264"/>
    <w:rsid w:val="003779D2"/>
    <w:rsid w:val="00385E38"/>
    <w:rsid w:val="003A26A5"/>
    <w:rsid w:val="003A3761"/>
    <w:rsid w:val="003A512D"/>
    <w:rsid w:val="003A5FEA"/>
    <w:rsid w:val="003A710B"/>
    <w:rsid w:val="003B1D10"/>
    <w:rsid w:val="003C310C"/>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171B7"/>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7366B"/>
    <w:rsid w:val="00476B21"/>
    <w:rsid w:val="004852AB"/>
    <w:rsid w:val="00487C04"/>
    <w:rsid w:val="004907E1"/>
    <w:rsid w:val="00492471"/>
    <w:rsid w:val="00494C8E"/>
    <w:rsid w:val="004A035B"/>
    <w:rsid w:val="004A2108"/>
    <w:rsid w:val="004A38D7"/>
    <w:rsid w:val="004A778C"/>
    <w:rsid w:val="004B14DD"/>
    <w:rsid w:val="004B48C7"/>
    <w:rsid w:val="004C2E6A"/>
    <w:rsid w:val="004C64B8"/>
    <w:rsid w:val="004D2A2D"/>
    <w:rsid w:val="004D479F"/>
    <w:rsid w:val="004D6689"/>
    <w:rsid w:val="004E1D1D"/>
    <w:rsid w:val="004E7AC8"/>
    <w:rsid w:val="004F05F4"/>
    <w:rsid w:val="004F0C94"/>
    <w:rsid w:val="004F4E9A"/>
    <w:rsid w:val="005019AE"/>
    <w:rsid w:val="00503749"/>
    <w:rsid w:val="00503D59"/>
    <w:rsid w:val="00504CF4"/>
    <w:rsid w:val="0050635B"/>
    <w:rsid w:val="005075B3"/>
    <w:rsid w:val="005151C2"/>
    <w:rsid w:val="005275E8"/>
    <w:rsid w:val="005300D2"/>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A27CA"/>
    <w:rsid w:val="005A2AD3"/>
    <w:rsid w:val="005A43BD"/>
    <w:rsid w:val="005A79E5"/>
    <w:rsid w:val="005C7B04"/>
    <w:rsid w:val="005D034C"/>
    <w:rsid w:val="005E226E"/>
    <w:rsid w:val="005E2636"/>
    <w:rsid w:val="006015D7"/>
    <w:rsid w:val="00601B21"/>
    <w:rsid w:val="006041F0"/>
    <w:rsid w:val="00605C6D"/>
    <w:rsid w:val="006120CA"/>
    <w:rsid w:val="0061443A"/>
    <w:rsid w:val="00624174"/>
    <w:rsid w:val="006255B2"/>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6D80"/>
    <w:rsid w:val="00694895"/>
    <w:rsid w:val="006954FE"/>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2DC7"/>
    <w:rsid w:val="006F4D9C"/>
    <w:rsid w:val="0070091D"/>
    <w:rsid w:val="00702854"/>
    <w:rsid w:val="0071741C"/>
    <w:rsid w:val="00742B90"/>
    <w:rsid w:val="0074434D"/>
    <w:rsid w:val="00746605"/>
    <w:rsid w:val="00752E53"/>
    <w:rsid w:val="007570C4"/>
    <w:rsid w:val="007605B8"/>
    <w:rsid w:val="00771B1E"/>
    <w:rsid w:val="00773C95"/>
    <w:rsid w:val="0078171E"/>
    <w:rsid w:val="0078658E"/>
    <w:rsid w:val="007920E2"/>
    <w:rsid w:val="0079566E"/>
    <w:rsid w:val="00795B34"/>
    <w:rsid w:val="007A067F"/>
    <w:rsid w:val="007B1770"/>
    <w:rsid w:val="007B4D3E"/>
    <w:rsid w:val="007B5E26"/>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17B4"/>
    <w:rsid w:val="008052E1"/>
    <w:rsid w:val="00811EEB"/>
    <w:rsid w:val="0082081A"/>
    <w:rsid w:val="00822F2C"/>
    <w:rsid w:val="00823DEE"/>
    <w:rsid w:val="008305E8"/>
    <w:rsid w:val="00836165"/>
    <w:rsid w:val="008365B2"/>
    <w:rsid w:val="0084640C"/>
    <w:rsid w:val="00856088"/>
    <w:rsid w:val="00860826"/>
    <w:rsid w:val="00860E21"/>
    <w:rsid w:val="00863117"/>
    <w:rsid w:val="0086388B"/>
    <w:rsid w:val="008642E5"/>
    <w:rsid w:val="00864488"/>
    <w:rsid w:val="00870A36"/>
    <w:rsid w:val="00872D93"/>
    <w:rsid w:val="00880470"/>
    <w:rsid w:val="00880D94"/>
    <w:rsid w:val="008814E8"/>
    <w:rsid w:val="00886F64"/>
    <w:rsid w:val="008924DE"/>
    <w:rsid w:val="008A3755"/>
    <w:rsid w:val="008B19DC"/>
    <w:rsid w:val="008B264F"/>
    <w:rsid w:val="008B6F83"/>
    <w:rsid w:val="008B7FD8"/>
    <w:rsid w:val="008C2973"/>
    <w:rsid w:val="008C6324"/>
    <w:rsid w:val="008C64C4"/>
    <w:rsid w:val="008D2CDD"/>
    <w:rsid w:val="008D74D5"/>
    <w:rsid w:val="008D7C9F"/>
    <w:rsid w:val="008E04BA"/>
    <w:rsid w:val="008E0ED1"/>
    <w:rsid w:val="008E1235"/>
    <w:rsid w:val="008E2083"/>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B0332"/>
    <w:rsid w:val="00AC101C"/>
    <w:rsid w:val="00AD361D"/>
    <w:rsid w:val="00AD4CF1"/>
    <w:rsid w:val="00AD5988"/>
    <w:rsid w:val="00AD6293"/>
    <w:rsid w:val="00AE1643"/>
    <w:rsid w:val="00AE16AF"/>
    <w:rsid w:val="00AF372E"/>
    <w:rsid w:val="00AF7800"/>
    <w:rsid w:val="00B00CF5"/>
    <w:rsid w:val="00B072E0"/>
    <w:rsid w:val="00B1007E"/>
    <w:rsid w:val="00B13D41"/>
    <w:rsid w:val="00B253F6"/>
    <w:rsid w:val="00B26675"/>
    <w:rsid w:val="00B305DB"/>
    <w:rsid w:val="00B332F8"/>
    <w:rsid w:val="00B3492B"/>
    <w:rsid w:val="00B44C1A"/>
    <w:rsid w:val="00B4646F"/>
    <w:rsid w:val="00B55C7D"/>
    <w:rsid w:val="00B63038"/>
    <w:rsid w:val="00B64BD8"/>
    <w:rsid w:val="00B701D1"/>
    <w:rsid w:val="00B73AF2"/>
    <w:rsid w:val="00B73D79"/>
    <w:rsid w:val="00B7551A"/>
    <w:rsid w:val="00B773F1"/>
    <w:rsid w:val="00B86AB1"/>
    <w:rsid w:val="00B87726"/>
    <w:rsid w:val="00B91B22"/>
    <w:rsid w:val="00BA7EBA"/>
    <w:rsid w:val="00BB2A06"/>
    <w:rsid w:val="00BB2CBB"/>
    <w:rsid w:val="00BB4198"/>
    <w:rsid w:val="00BC03EE"/>
    <w:rsid w:val="00BC59F1"/>
    <w:rsid w:val="00BD488E"/>
    <w:rsid w:val="00BF3DE1"/>
    <w:rsid w:val="00BF4843"/>
    <w:rsid w:val="00BF5205"/>
    <w:rsid w:val="00C05132"/>
    <w:rsid w:val="00C12508"/>
    <w:rsid w:val="00C23728"/>
    <w:rsid w:val="00C3026C"/>
    <w:rsid w:val="00C313A9"/>
    <w:rsid w:val="00C347C8"/>
    <w:rsid w:val="00C358E4"/>
    <w:rsid w:val="00C418EE"/>
    <w:rsid w:val="00C441CF"/>
    <w:rsid w:val="00C45AA2"/>
    <w:rsid w:val="00C4792C"/>
    <w:rsid w:val="00C55BEF"/>
    <w:rsid w:val="00C57C00"/>
    <w:rsid w:val="00C601AF"/>
    <w:rsid w:val="00C61A63"/>
    <w:rsid w:val="00C66296"/>
    <w:rsid w:val="00C7394D"/>
    <w:rsid w:val="00C756B7"/>
    <w:rsid w:val="00C77282"/>
    <w:rsid w:val="00C84DE5"/>
    <w:rsid w:val="00C86248"/>
    <w:rsid w:val="00C90B31"/>
    <w:rsid w:val="00CA0D6F"/>
    <w:rsid w:val="00CA4C33"/>
    <w:rsid w:val="00CA6F4A"/>
    <w:rsid w:val="00CB3483"/>
    <w:rsid w:val="00CB6427"/>
    <w:rsid w:val="00CC0FBE"/>
    <w:rsid w:val="00CD077C"/>
    <w:rsid w:val="00CD2119"/>
    <w:rsid w:val="00CD237A"/>
    <w:rsid w:val="00CD36AC"/>
    <w:rsid w:val="00CE13A3"/>
    <w:rsid w:val="00CE36BC"/>
    <w:rsid w:val="00CF1747"/>
    <w:rsid w:val="00CF60ED"/>
    <w:rsid w:val="00D05D74"/>
    <w:rsid w:val="00D20C59"/>
    <w:rsid w:val="00D23323"/>
    <w:rsid w:val="00D2392A"/>
    <w:rsid w:val="00D25FFE"/>
    <w:rsid w:val="00D27922"/>
    <w:rsid w:val="00D27A64"/>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C3BE1"/>
    <w:rsid w:val="00DD0BCD"/>
    <w:rsid w:val="00DD447A"/>
    <w:rsid w:val="00DE3B20"/>
    <w:rsid w:val="00DE6C94"/>
    <w:rsid w:val="00DE6FD7"/>
    <w:rsid w:val="00DF0C7C"/>
    <w:rsid w:val="00E10B18"/>
    <w:rsid w:val="00E23271"/>
    <w:rsid w:val="00E24F80"/>
    <w:rsid w:val="00E259F3"/>
    <w:rsid w:val="00E30985"/>
    <w:rsid w:val="00E33238"/>
    <w:rsid w:val="00E33934"/>
    <w:rsid w:val="00E376B7"/>
    <w:rsid w:val="00E40688"/>
    <w:rsid w:val="00E42F5D"/>
    <w:rsid w:val="00E4486C"/>
    <w:rsid w:val="00E460B6"/>
    <w:rsid w:val="00E511D5"/>
    <w:rsid w:val="00E53A9F"/>
    <w:rsid w:val="00E57349"/>
    <w:rsid w:val="00E60249"/>
    <w:rsid w:val="00E62238"/>
    <w:rsid w:val="00E65269"/>
    <w:rsid w:val="00E76D66"/>
    <w:rsid w:val="00EA796A"/>
    <w:rsid w:val="00EB1856"/>
    <w:rsid w:val="00EC50CE"/>
    <w:rsid w:val="00EC5B34"/>
    <w:rsid w:val="00ED021E"/>
    <w:rsid w:val="00ED323C"/>
    <w:rsid w:val="00EE2D5C"/>
    <w:rsid w:val="00EE4ADE"/>
    <w:rsid w:val="00EE4DE8"/>
    <w:rsid w:val="00EE5CB7"/>
    <w:rsid w:val="00F000BF"/>
    <w:rsid w:val="00F024FE"/>
    <w:rsid w:val="00F05AD4"/>
    <w:rsid w:val="00F103BE"/>
    <w:rsid w:val="00F10EB6"/>
    <w:rsid w:val="00F13F07"/>
    <w:rsid w:val="00F140B2"/>
    <w:rsid w:val="00F16595"/>
    <w:rsid w:val="00F25970"/>
    <w:rsid w:val="00F311A9"/>
    <w:rsid w:val="00F31343"/>
    <w:rsid w:val="00F37381"/>
    <w:rsid w:val="00F5180D"/>
    <w:rsid w:val="00F53132"/>
    <w:rsid w:val="00F54E74"/>
    <w:rsid w:val="00F63781"/>
    <w:rsid w:val="00F67496"/>
    <w:rsid w:val="00F7421E"/>
    <w:rsid w:val="00F801BA"/>
    <w:rsid w:val="00F807AD"/>
    <w:rsid w:val="00F9366A"/>
    <w:rsid w:val="00F946C9"/>
    <w:rsid w:val="00FA0EA5"/>
    <w:rsid w:val="00FA68C7"/>
    <w:rsid w:val="00FA74EE"/>
    <w:rsid w:val="00FB0A5B"/>
    <w:rsid w:val="00FB1B8E"/>
    <w:rsid w:val="00FC3711"/>
    <w:rsid w:val="00FC46E7"/>
    <w:rsid w:val="00FC5D25"/>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DD1A0"/>
  <w15:docId w15:val="{56817A0C-DFB0-4966-A6E9-073E5C5A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qFormat/>
    <w:rsid w:val="00DA7F9E"/>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paragraph" w:styleId="Caption">
    <w:name w:val="caption"/>
    <w:basedOn w:val="Normal"/>
    <w:next w:val="Normal"/>
    <w:unhideWhenUsed/>
    <w:qFormat/>
    <w:rsid w:val="000E38BA"/>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chart" Target="charts/chart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t.nz" TargetMode="External"/><Relationship Id="rId22" Type="http://schemas.openxmlformats.org/officeDocument/2006/relationships/chart" Target="charts/chart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Emeha\AppData\Local\Microsoft\Windows\INetCache\Content.Outlook\RVLH5BAC\Year_Summary_20210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WMNTFP\Group\Mental%20Health%20Protection%20Team\Annual%20Reports\Annual%20Report%202019\Data\Suicide%20data%20as%20of%2019.04.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933364934734329E-2"/>
          <c:y val="0.11437908496732026"/>
          <c:w val="0.91176628643300972"/>
          <c:h val="0.70836159283770506"/>
        </c:manualLayout>
      </c:layout>
      <c:lineChart>
        <c:grouping val="standard"/>
        <c:varyColors val="0"/>
        <c:ser>
          <c:idx val="0"/>
          <c:order val="0"/>
          <c:tx>
            <c:v>Service users</c:v>
          </c:tx>
          <c:spPr>
            <a:ln w="38100" cap="rnd">
              <a:solidFill>
                <a:srgbClr val="0A6AB4"/>
              </a:solidFill>
              <a:round/>
            </a:ln>
            <a:effectLst/>
          </c:spPr>
          <c:marker>
            <c:symbol val="none"/>
          </c:marker>
          <c:cat>
            <c:numLit>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numLit>
          </c:cat>
          <c:val>
            <c:numRef>
              <c:f>(Yr_Summ_Intent!$D$11,Yr_Summ_Intent!$D$15,Yr_Summ_Intent!$D$19,Yr_Summ_Intent!$D$23,Yr_Summ_Intent!$D$27,Yr_Summ_Intent!$D$31,Yr_Summ_Intent!$D$35,Yr_Summ_Intent!$D$39,Yr_Summ_Intent!$D$43,Yr_Summ_Intent!$D$47,Yr_Summ_Intent!$D$51,Yr_Summ_Intent!$D$55,Yr_Summ_Intent!$D$59,Yr_Summ_Intent!$D$63,Yr_Summ_Intent!$D$67,Yr_Summ_Intent!$D$71,Yr_Summ_Intent!$D$75)</c:f>
              <c:numCache>
                <c:formatCode>0.0</c:formatCode>
                <c:ptCount val="17"/>
                <c:pt idx="0">
                  <c:v>189.81656330606017</c:v>
                </c:pt>
                <c:pt idx="1">
                  <c:v>155.79923988595513</c:v>
                </c:pt>
                <c:pt idx="2">
                  <c:v>193.4431469320169</c:v>
                </c:pt>
                <c:pt idx="3">
                  <c:v>176.90691919578222</c:v>
                </c:pt>
                <c:pt idx="4">
                  <c:v>158.28472578465048</c:v>
                </c:pt>
                <c:pt idx="5">
                  <c:v>182.7217671363328</c:v>
                </c:pt>
                <c:pt idx="6">
                  <c:v>157.19360192021321</c:v>
                </c:pt>
                <c:pt idx="7">
                  <c:v>146.09125299770022</c:v>
                </c:pt>
                <c:pt idx="8">
                  <c:v>140.75722969998805</c:v>
                </c:pt>
                <c:pt idx="9">
                  <c:v>126.12412335736691</c:v>
                </c:pt>
                <c:pt idx="10">
                  <c:v>128.63924379748426</c:v>
                </c:pt>
                <c:pt idx="11">
                  <c:v>138.21358575247422</c:v>
                </c:pt>
                <c:pt idx="12">
                  <c:v>119.45987466162369</c:v>
                </c:pt>
                <c:pt idx="13">
                  <c:v>143.80910764113312</c:v>
                </c:pt>
                <c:pt idx="14">
                  <c:v>131.93429867888923</c:v>
                </c:pt>
                <c:pt idx="15">
                  <c:v>138.34800027372657</c:v>
                </c:pt>
                <c:pt idx="16">
                  <c:v>136.07704470787081</c:v>
                </c:pt>
              </c:numCache>
            </c:numRef>
          </c:val>
          <c:smooth val="0"/>
          <c:extLst>
            <c:ext xmlns:c16="http://schemas.microsoft.com/office/drawing/2014/chart" uri="{C3380CC4-5D6E-409C-BE32-E72D297353CC}">
              <c16:uniqueId val="{00000000-1423-4BD3-9C4A-0CA86697204E}"/>
            </c:ext>
          </c:extLst>
        </c:ser>
        <c:ser>
          <c:idx val="1"/>
          <c:order val="1"/>
          <c:tx>
            <c:v>Non-service users</c:v>
          </c:tx>
          <c:spPr>
            <a:ln w="38100" cap="rnd">
              <a:solidFill>
                <a:schemeClr val="accent6">
                  <a:lumMod val="75000"/>
                </a:schemeClr>
              </a:solidFill>
              <a:round/>
            </a:ln>
            <a:effectLst/>
          </c:spPr>
          <c:marker>
            <c:symbol val="none"/>
          </c:marker>
          <c:cat>
            <c:numLit>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numLit>
          </c:cat>
          <c:val>
            <c:numRef>
              <c:f>(Yr_Summ_Intent!$F$11,Yr_Summ_Intent!$F$15,Yr_Summ_Intent!$F$19,Yr_Summ_Intent!$F$23,Yr_Summ_Intent!$F$27,Yr_Summ_Intent!$F$31,Yr_Summ_Intent!$F$35,Yr_Summ_Intent!$F$39,Yr_Summ_Intent!$F$43,Yr_Summ_Intent!$F$47,Yr_Summ_Intent!$F$51,Yr_Summ_Intent!$F$55,Yr_Summ_Intent!$F$59,Yr_Summ_Intent!$F$63,Yr_Summ_Intent!$F$67,Yr_Summ_Intent!$F$71,Yr_Summ_Intent!$F$75)</c:f>
              <c:numCache>
                <c:formatCode>0.0</c:formatCode>
                <c:ptCount val="17"/>
                <c:pt idx="0">
                  <c:v>9.0041742627565746</c:v>
                </c:pt>
                <c:pt idx="1">
                  <c:v>8.9498299906679044</c:v>
                </c:pt>
                <c:pt idx="2">
                  <c:v>8.5107167826700181</c:v>
                </c:pt>
                <c:pt idx="3">
                  <c:v>8.4182056851607232</c:v>
                </c:pt>
                <c:pt idx="4">
                  <c:v>9.5739635081590038</c:v>
                </c:pt>
                <c:pt idx="5">
                  <c:v>8.5648943878942028</c:v>
                </c:pt>
                <c:pt idx="6">
                  <c:v>8.0326054859111764</c:v>
                </c:pt>
                <c:pt idx="7">
                  <c:v>8.5409014390858253</c:v>
                </c:pt>
                <c:pt idx="8">
                  <c:v>8.3293708562447684</c:v>
                </c:pt>
                <c:pt idx="9">
                  <c:v>8.6760516075868175</c:v>
                </c:pt>
                <c:pt idx="10">
                  <c:v>7.4098332649371876</c:v>
                </c:pt>
                <c:pt idx="11">
                  <c:v>8.2253519608013086</c:v>
                </c:pt>
                <c:pt idx="12">
                  <c:v>7.7887802230659524</c:v>
                </c:pt>
                <c:pt idx="13">
                  <c:v>6.5445419558265998</c:v>
                </c:pt>
                <c:pt idx="14">
                  <c:v>6.9617689722535987</c:v>
                </c:pt>
                <c:pt idx="15">
                  <c:v>7.2851583046881805</c:v>
                </c:pt>
                <c:pt idx="16">
                  <c:v>7.6547964711205587</c:v>
                </c:pt>
              </c:numCache>
            </c:numRef>
          </c:val>
          <c:smooth val="0"/>
          <c:extLst>
            <c:ext xmlns:c16="http://schemas.microsoft.com/office/drawing/2014/chart" uri="{C3380CC4-5D6E-409C-BE32-E72D297353CC}">
              <c16:uniqueId val="{00000001-1423-4BD3-9C4A-0CA86697204E}"/>
            </c:ext>
          </c:extLst>
        </c:ser>
        <c:dLbls>
          <c:showLegendKey val="0"/>
          <c:showVal val="0"/>
          <c:showCatName val="0"/>
          <c:showSerName val="0"/>
          <c:showPercent val="0"/>
          <c:showBubbleSize val="0"/>
        </c:dLbls>
        <c:smooth val="0"/>
        <c:axId val="235049728"/>
        <c:axId val="235052032"/>
      </c:lineChart>
      <c:catAx>
        <c:axId val="235049728"/>
        <c:scaling>
          <c:orientation val="minMax"/>
        </c:scaling>
        <c:delete val="0"/>
        <c:axPos val="b"/>
        <c:title>
          <c:tx>
            <c:rich>
              <a:bodyPr rot="0" vert="horz"/>
              <a:lstStyle/>
              <a:p>
                <a:pPr>
                  <a:defRPr sz="900"/>
                </a:pPr>
                <a:r>
                  <a:rPr lang="en-NZ" sz="900"/>
                  <a:t>Year</a:t>
                </a:r>
              </a:p>
            </c:rich>
          </c:tx>
          <c:layout>
            <c:manualLayout>
              <c:xMode val="edge"/>
              <c:yMode val="edge"/>
              <c:x val="0.49156091319299683"/>
              <c:y val="0.93328277216881628"/>
            </c:manualLayout>
          </c:layout>
          <c:overlay val="0"/>
          <c:spPr>
            <a:noFill/>
            <a:ln>
              <a:noFill/>
            </a:ln>
            <a:effectLst/>
          </c:spPr>
        </c:title>
        <c:numFmt formatCode="General" sourceLinked="1"/>
        <c:majorTickMark val="none"/>
        <c:minorTickMark val="out"/>
        <c:tickLblPos val="nextTo"/>
        <c:spPr>
          <a:noFill/>
          <a:ln w="9525" cap="flat" cmpd="sng" algn="ctr">
            <a:solidFill>
              <a:schemeClr val="tx1"/>
            </a:solidFill>
            <a:round/>
          </a:ln>
          <a:effectLst/>
        </c:spPr>
        <c:txPr>
          <a:bodyPr rot="-60000000" vert="horz"/>
          <a:lstStyle/>
          <a:p>
            <a:pPr>
              <a:defRPr sz="900"/>
            </a:pPr>
            <a:endParaRPr lang="en-US"/>
          </a:p>
        </c:txPr>
        <c:crossAx val="235052032"/>
        <c:crosses val="autoZero"/>
        <c:auto val="1"/>
        <c:lblAlgn val="ctr"/>
        <c:lblOffset val="100"/>
        <c:noMultiLvlLbl val="0"/>
      </c:catAx>
      <c:valAx>
        <c:axId val="235052032"/>
        <c:scaling>
          <c:orientation val="minMax"/>
        </c:scaling>
        <c:delete val="0"/>
        <c:axPos val="l"/>
        <c:numFmt formatCode="0" sourceLinked="0"/>
        <c:majorTickMark val="out"/>
        <c:minorTickMark val="none"/>
        <c:tickLblPos val="nextTo"/>
        <c:spPr>
          <a:noFill/>
          <a:ln>
            <a:solidFill>
              <a:schemeClr val="tx1"/>
            </a:solidFill>
          </a:ln>
          <a:effectLst/>
        </c:spPr>
        <c:txPr>
          <a:bodyPr rot="-60000000" vert="horz"/>
          <a:lstStyle/>
          <a:p>
            <a:pPr>
              <a:defRPr sz="900"/>
            </a:pPr>
            <a:endParaRPr lang="en-US"/>
          </a:p>
        </c:txPr>
        <c:crossAx val="235049728"/>
        <c:crosses val="autoZero"/>
        <c:crossBetween val="between"/>
      </c:valAx>
      <c:spPr>
        <a:noFill/>
        <a:ln>
          <a:noFill/>
        </a:ln>
        <a:effectLst/>
      </c:spPr>
    </c:plotArea>
    <c:legend>
      <c:legendPos val="tr"/>
      <c:layout>
        <c:manualLayout>
          <c:xMode val="edge"/>
          <c:yMode val="edge"/>
          <c:x val="0.7444700181708056"/>
          <c:y val="0"/>
          <c:w val="0.24625412909054722"/>
          <c:h val="0.15994835323003978"/>
        </c:manualLayout>
      </c:layout>
      <c:overlay val="0"/>
      <c:spPr>
        <a:noFill/>
        <a:ln>
          <a:noFill/>
        </a:ln>
        <a:effectLst/>
      </c:spPr>
      <c:txPr>
        <a:bodyPr rot="0" vert="horz"/>
        <a:lstStyle/>
        <a:p>
          <a:pPr>
            <a:defRPr sz="900"/>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Segoe UI" panose="020B0502040204020203" pitchFamily="34" charset="0"/>
          <a:cs typeface="Segoe UI" panose="020B0502040204020203" pitchFamily="34"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269185388523682E-2"/>
          <c:y val="0.1110049730625777"/>
          <c:w val="0.90801338823472755"/>
          <c:h val="0.73529346695104791"/>
        </c:manualLayout>
      </c:layout>
      <c:lineChart>
        <c:grouping val="standard"/>
        <c:varyColors val="0"/>
        <c:ser>
          <c:idx val="0"/>
          <c:order val="0"/>
          <c:tx>
            <c:v>Female service users</c:v>
          </c:tx>
          <c:spPr>
            <a:ln w="38100" cap="rnd">
              <a:solidFill>
                <a:schemeClr val="accent6">
                  <a:lumMod val="75000"/>
                </a:schemeClr>
              </a:solidFill>
              <a:round/>
            </a:ln>
            <a:effectLst/>
          </c:spPr>
          <c:marker>
            <c:symbol val="none"/>
          </c:marker>
          <c:cat>
            <c:strRef>
              <c:f>Yr_Summ_Age!$B$188:$B$198</c:f>
              <c:strCache>
                <c:ptCount val="11"/>
                <c:pt idx="0">
                  <c:v>10-14</c:v>
                </c:pt>
                <c:pt idx="1">
                  <c:v>15-19</c:v>
                </c:pt>
                <c:pt idx="2">
                  <c:v>20-24</c:v>
                </c:pt>
                <c:pt idx="3">
                  <c:v>25-29</c:v>
                </c:pt>
                <c:pt idx="4">
                  <c:v>30-34</c:v>
                </c:pt>
                <c:pt idx="5">
                  <c:v>35-39</c:v>
                </c:pt>
                <c:pt idx="6">
                  <c:v>40-44</c:v>
                </c:pt>
                <c:pt idx="7">
                  <c:v>45-49</c:v>
                </c:pt>
                <c:pt idx="8">
                  <c:v>50-54</c:v>
                </c:pt>
                <c:pt idx="9">
                  <c:v>55-59</c:v>
                </c:pt>
                <c:pt idx="10">
                  <c:v>60-64</c:v>
                </c:pt>
              </c:strCache>
            </c:strRef>
          </c:cat>
          <c:val>
            <c:numRef>
              <c:f>Yr_Summ_Age!$D$188:$D$198</c:f>
              <c:numCache>
                <c:formatCode>0.0</c:formatCode>
                <c:ptCount val="11"/>
                <c:pt idx="0">
                  <c:v>20.916126333403056</c:v>
                </c:pt>
                <c:pt idx="1">
                  <c:v>45.093795093795094</c:v>
                </c:pt>
                <c:pt idx="2">
                  <c:v>86.742807575538535</c:v>
                </c:pt>
                <c:pt idx="3">
                  <c:v>149.52153110047846</c:v>
                </c:pt>
                <c:pt idx="4">
                  <c:v>99.239166391002314</c:v>
                </c:pt>
                <c:pt idx="5">
                  <c:v>93.562874251497007</c:v>
                </c:pt>
                <c:pt idx="6">
                  <c:v>261.25401929260448</c:v>
                </c:pt>
                <c:pt idx="7">
                  <c:v>215.01172791243158</c:v>
                </c:pt>
                <c:pt idx="8">
                  <c:v>157.51575157515751</c:v>
                </c:pt>
                <c:pt idx="9">
                  <c:v>258.5463947141626</c:v>
                </c:pt>
                <c:pt idx="10">
                  <c:v>118.43663639952626</c:v>
                </c:pt>
              </c:numCache>
            </c:numRef>
          </c:val>
          <c:smooth val="0"/>
          <c:extLst>
            <c:ext xmlns:c16="http://schemas.microsoft.com/office/drawing/2014/chart" uri="{C3380CC4-5D6E-409C-BE32-E72D297353CC}">
              <c16:uniqueId val="{00000000-0FA2-462E-8D28-F6EE97550F6B}"/>
            </c:ext>
          </c:extLst>
        </c:ser>
        <c:ser>
          <c:idx val="1"/>
          <c:order val="1"/>
          <c:tx>
            <c:v>Male service users</c:v>
          </c:tx>
          <c:spPr>
            <a:ln w="38100" cap="rnd">
              <a:solidFill>
                <a:srgbClr val="0A6AB4"/>
              </a:solidFill>
              <a:round/>
            </a:ln>
            <a:effectLst/>
          </c:spPr>
          <c:marker>
            <c:symbol val="none"/>
          </c:marker>
          <c:cat>
            <c:strRef>
              <c:f>Yr_Summ_Age!$B$188:$B$198</c:f>
              <c:strCache>
                <c:ptCount val="11"/>
                <c:pt idx="0">
                  <c:v>10-14</c:v>
                </c:pt>
                <c:pt idx="1">
                  <c:v>15-19</c:v>
                </c:pt>
                <c:pt idx="2">
                  <c:v>20-24</c:v>
                </c:pt>
                <c:pt idx="3">
                  <c:v>25-29</c:v>
                </c:pt>
                <c:pt idx="4">
                  <c:v>30-34</c:v>
                </c:pt>
                <c:pt idx="5">
                  <c:v>35-39</c:v>
                </c:pt>
                <c:pt idx="6">
                  <c:v>40-44</c:v>
                </c:pt>
                <c:pt idx="7">
                  <c:v>45-49</c:v>
                </c:pt>
                <c:pt idx="8">
                  <c:v>50-54</c:v>
                </c:pt>
                <c:pt idx="9">
                  <c:v>55-59</c:v>
                </c:pt>
                <c:pt idx="10">
                  <c:v>60-64</c:v>
                </c:pt>
              </c:strCache>
            </c:strRef>
          </c:cat>
          <c:val>
            <c:numRef>
              <c:f>Yr_Summ_Age!$F$188:$F$198</c:f>
              <c:numCache>
                <c:formatCode>0.0</c:formatCode>
                <c:ptCount val="11"/>
                <c:pt idx="0">
                  <c:v>0</c:v>
                </c:pt>
                <c:pt idx="1">
                  <c:v>129.79989183342346</c:v>
                </c:pt>
                <c:pt idx="2">
                  <c:v>276.43400138216998</c:v>
                </c:pt>
                <c:pt idx="3">
                  <c:v>267.5422595159917</c:v>
                </c:pt>
                <c:pt idx="4">
                  <c:v>248.93835114950946</c:v>
                </c:pt>
                <c:pt idx="5">
                  <c:v>145.32536735023413</c:v>
                </c:pt>
                <c:pt idx="6">
                  <c:v>320.35880185808105</c:v>
                </c:pt>
                <c:pt idx="7">
                  <c:v>199.46808510638297</c:v>
                </c:pt>
                <c:pt idx="8">
                  <c:v>399.68025579536373</c:v>
                </c:pt>
                <c:pt idx="9">
                  <c:v>257.26781579624389</c:v>
                </c:pt>
                <c:pt idx="10">
                  <c:v>155.03875968992247</c:v>
                </c:pt>
              </c:numCache>
            </c:numRef>
          </c:val>
          <c:smooth val="0"/>
          <c:extLst>
            <c:ext xmlns:c16="http://schemas.microsoft.com/office/drawing/2014/chart" uri="{C3380CC4-5D6E-409C-BE32-E72D297353CC}">
              <c16:uniqueId val="{00000001-0FA2-462E-8D28-F6EE97550F6B}"/>
            </c:ext>
          </c:extLst>
        </c:ser>
        <c:ser>
          <c:idx val="2"/>
          <c:order val="2"/>
          <c:tx>
            <c:v>Female non-service users</c:v>
          </c:tx>
          <c:spPr>
            <a:ln w="38100" cap="rnd">
              <a:solidFill>
                <a:schemeClr val="bg1">
                  <a:lumMod val="65000"/>
                </a:schemeClr>
              </a:solidFill>
              <a:round/>
            </a:ln>
            <a:effectLst/>
          </c:spPr>
          <c:marker>
            <c:symbol val="none"/>
          </c:marker>
          <c:cat>
            <c:strRef>
              <c:f>Yr_Summ_Age!$B$188:$B$198</c:f>
              <c:strCache>
                <c:ptCount val="11"/>
                <c:pt idx="0">
                  <c:v>10-14</c:v>
                </c:pt>
                <c:pt idx="1">
                  <c:v>15-19</c:v>
                </c:pt>
                <c:pt idx="2">
                  <c:v>20-24</c:v>
                </c:pt>
                <c:pt idx="3">
                  <c:v>25-29</c:v>
                </c:pt>
                <c:pt idx="4">
                  <c:v>30-34</c:v>
                </c:pt>
                <c:pt idx="5">
                  <c:v>35-39</c:v>
                </c:pt>
                <c:pt idx="6">
                  <c:v>40-44</c:v>
                </c:pt>
                <c:pt idx="7">
                  <c:v>45-49</c:v>
                </c:pt>
                <c:pt idx="8">
                  <c:v>50-54</c:v>
                </c:pt>
                <c:pt idx="9">
                  <c:v>55-59</c:v>
                </c:pt>
                <c:pt idx="10">
                  <c:v>60-64</c:v>
                </c:pt>
              </c:strCache>
            </c:strRef>
          </c:cat>
          <c:val>
            <c:numRef>
              <c:f>Yr_Summ_Age!$H$188:$H$198</c:f>
              <c:numCache>
                <c:formatCode>0.0</c:formatCode>
                <c:ptCount val="11"/>
                <c:pt idx="0">
                  <c:v>2.158288908553299</c:v>
                </c:pt>
                <c:pt idx="1">
                  <c:v>3.4840292101008976</c:v>
                </c:pt>
                <c:pt idx="2">
                  <c:v>6.2385756084170865</c:v>
                </c:pt>
                <c:pt idx="3">
                  <c:v>4.9333382666716004</c:v>
                </c:pt>
                <c:pt idx="4">
                  <c:v>3.3703169446054706</c:v>
                </c:pt>
                <c:pt idx="5">
                  <c:v>5.0005000500050008</c:v>
                </c:pt>
                <c:pt idx="6">
                  <c:v>5.2399229731322956</c:v>
                </c:pt>
                <c:pt idx="7">
                  <c:v>5.5857600357488639</c:v>
                </c:pt>
                <c:pt idx="8">
                  <c:v>3.1370383848016767</c:v>
                </c:pt>
                <c:pt idx="9">
                  <c:v>4.6904629486930363</c:v>
                </c:pt>
                <c:pt idx="10">
                  <c:v>1.539562918087555</c:v>
                </c:pt>
              </c:numCache>
            </c:numRef>
          </c:val>
          <c:smooth val="0"/>
          <c:extLst>
            <c:ext xmlns:c16="http://schemas.microsoft.com/office/drawing/2014/chart" uri="{C3380CC4-5D6E-409C-BE32-E72D297353CC}">
              <c16:uniqueId val="{00000002-0FA2-462E-8D28-F6EE97550F6B}"/>
            </c:ext>
          </c:extLst>
        </c:ser>
        <c:ser>
          <c:idx val="3"/>
          <c:order val="3"/>
          <c:tx>
            <c:v>Male non-service users</c:v>
          </c:tx>
          <c:spPr>
            <a:ln w="38100" cap="rnd">
              <a:solidFill>
                <a:srgbClr val="23305D"/>
              </a:solidFill>
              <a:round/>
            </a:ln>
            <a:effectLst/>
          </c:spPr>
          <c:marker>
            <c:symbol val="none"/>
          </c:marker>
          <c:cat>
            <c:strRef>
              <c:f>Yr_Summ_Age!$B$188:$B$198</c:f>
              <c:strCache>
                <c:ptCount val="11"/>
                <c:pt idx="0">
                  <c:v>10-14</c:v>
                </c:pt>
                <c:pt idx="1">
                  <c:v>15-19</c:v>
                </c:pt>
                <c:pt idx="2">
                  <c:v>20-24</c:v>
                </c:pt>
                <c:pt idx="3">
                  <c:v>25-29</c:v>
                </c:pt>
                <c:pt idx="4">
                  <c:v>30-34</c:v>
                </c:pt>
                <c:pt idx="5">
                  <c:v>35-39</c:v>
                </c:pt>
                <c:pt idx="6">
                  <c:v>40-44</c:v>
                </c:pt>
                <c:pt idx="7">
                  <c:v>45-49</c:v>
                </c:pt>
                <c:pt idx="8">
                  <c:v>50-54</c:v>
                </c:pt>
                <c:pt idx="9">
                  <c:v>55-59</c:v>
                </c:pt>
                <c:pt idx="10">
                  <c:v>60-64</c:v>
                </c:pt>
              </c:strCache>
            </c:strRef>
          </c:cat>
          <c:val>
            <c:numRef>
              <c:f>Yr_Summ_Age!$J$188:$J$198</c:f>
              <c:numCache>
                <c:formatCode>0.0</c:formatCode>
                <c:ptCount val="11"/>
                <c:pt idx="0">
                  <c:v>3.4609021879823629</c:v>
                </c:pt>
                <c:pt idx="1">
                  <c:v>14.879508329289989</c:v>
                </c:pt>
                <c:pt idx="2">
                  <c:v>18.41853825875744</c:v>
                </c:pt>
                <c:pt idx="3">
                  <c:v>20.365718940735757</c:v>
                </c:pt>
                <c:pt idx="4">
                  <c:v>14.458075196449098</c:v>
                </c:pt>
                <c:pt idx="5">
                  <c:v>10.178754590226831</c:v>
                </c:pt>
                <c:pt idx="6">
                  <c:v>11.619715752703399</c:v>
                </c:pt>
                <c:pt idx="7">
                  <c:v>14.383167584449742</c:v>
                </c:pt>
                <c:pt idx="8">
                  <c:v>12.814805821968623</c:v>
                </c:pt>
                <c:pt idx="9">
                  <c:v>20.09141594253855</c:v>
                </c:pt>
                <c:pt idx="10">
                  <c:v>15.54955397332024</c:v>
                </c:pt>
              </c:numCache>
            </c:numRef>
          </c:val>
          <c:smooth val="0"/>
          <c:extLst>
            <c:ext xmlns:c16="http://schemas.microsoft.com/office/drawing/2014/chart" uri="{C3380CC4-5D6E-409C-BE32-E72D297353CC}">
              <c16:uniqueId val="{00000003-0FA2-462E-8D28-F6EE97550F6B}"/>
            </c:ext>
          </c:extLst>
        </c:ser>
        <c:dLbls>
          <c:showLegendKey val="0"/>
          <c:showVal val="0"/>
          <c:showCatName val="0"/>
          <c:showSerName val="0"/>
          <c:showPercent val="0"/>
          <c:showBubbleSize val="0"/>
        </c:dLbls>
        <c:smooth val="0"/>
        <c:axId val="252713600"/>
        <c:axId val="252858368"/>
      </c:lineChart>
      <c:catAx>
        <c:axId val="25271360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r>
                  <a:rPr lang="en-US" sz="900" b="1">
                    <a:latin typeface="Segoe UI" panose="020B0502040204020203" pitchFamily="34" charset="0"/>
                    <a:cs typeface="Segoe UI" panose="020B0502040204020203" pitchFamily="34" charset="0"/>
                  </a:rPr>
                  <a:t>Age group</a:t>
                </a:r>
              </a:p>
            </c:rich>
          </c:tx>
          <c:layout>
            <c:manualLayout>
              <c:xMode val="edge"/>
              <c:yMode val="edge"/>
              <c:x val="0.46097618531628498"/>
              <c:y val="0.93047623981212879"/>
            </c:manualLayout>
          </c:layout>
          <c:overlay val="0"/>
          <c:spPr>
            <a:noFill/>
            <a:ln>
              <a:noFill/>
            </a:ln>
            <a:effectLst/>
          </c:spPr>
        </c:title>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252858368"/>
        <c:crosses val="autoZero"/>
        <c:auto val="1"/>
        <c:lblAlgn val="ctr"/>
        <c:lblOffset val="100"/>
        <c:noMultiLvlLbl val="0"/>
      </c:catAx>
      <c:valAx>
        <c:axId val="252858368"/>
        <c:scaling>
          <c:orientation val="minMax"/>
        </c:scaling>
        <c:delete val="0"/>
        <c:axPos val="l"/>
        <c:majorGridlines>
          <c:spPr>
            <a:ln w="9525" cap="flat" cmpd="sng" algn="ctr">
              <a:noFill/>
              <a:round/>
            </a:ln>
            <a:effectLst/>
          </c:spPr>
        </c:majorGridlines>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252713600"/>
        <c:crosses val="autoZero"/>
        <c:crossBetween val="between"/>
      </c:valAx>
      <c:spPr>
        <a:noFill/>
        <a:ln>
          <a:noFill/>
        </a:ln>
        <a:effectLst/>
      </c:spPr>
    </c:plotArea>
    <c:legend>
      <c:legendPos val="tr"/>
      <c:layout>
        <c:manualLayout>
          <c:xMode val="edge"/>
          <c:yMode val="edge"/>
          <c:x val="0.66730311219550187"/>
          <c:y val="0"/>
          <c:w val="0.31800671737924274"/>
          <c:h val="0.2432192697116663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0.00876</cdr:x>
      <cdr:y>0</cdr:y>
    </cdr:from>
    <cdr:to>
      <cdr:x>0.31231</cdr:x>
      <cdr:y>0.09905</cdr:y>
    </cdr:to>
    <cdr:sp macro="" textlink="">
      <cdr:nvSpPr>
        <cdr:cNvPr id="2" name="Text Box 1"/>
        <cdr:cNvSpPr txBox="1"/>
      </cdr:nvSpPr>
      <cdr:spPr>
        <a:xfrm xmlns:a="http://schemas.openxmlformats.org/drawingml/2006/main">
          <a:off x="49876" y="0"/>
          <a:ext cx="1729047" cy="307571"/>
        </a:xfrm>
        <a:prstGeom xmlns:a="http://schemas.openxmlformats.org/drawingml/2006/main" prst="rect">
          <a:avLst/>
        </a:prstGeom>
      </cdr:spPr>
      <cdr:txBody>
        <a:bodyPr xmlns:a="http://schemas.openxmlformats.org/drawingml/2006/main" vertOverflow="clip" wrap="square" lIns="0" rtlCol="0"/>
        <a:lstStyle xmlns:a="http://schemas.openxmlformats.org/drawingml/2006/main"/>
        <a:p xmlns:a="http://schemas.openxmlformats.org/drawingml/2006/main">
          <a:r>
            <a:rPr lang="en-NZ" sz="900" b="1">
              <a:latin typeface="Segoe UI" panose="020B0502040204020203" pitchFamily="34" charset="0"/>
              <a:cs typeface="Segoe UI" panose="020B0502040204020203" pitchFamily="34" charset="0"/>
            </a:rPr>
            <a:t>Age-standardised rate</a:t>
          </a:r>
        </a:p>
      </cdr:txBody>
    </cdr:sp>
  </cdr:relSizeAnchor>
</c:userShapes>
</file>

<file path=word/drawings/drawing2.xml><?xml version="1.0" encoding="utf-8"?>
<c:userShapes xmlns:c="http://schemas.openxmlformats.org/drawingml/2006/chart">
  <cdr:relSizeAnchor xmlns:cdr="http://schemas.openxmlformats.org/drawingml/2006/chartDrawing">
    <cdr:from>
      <cdr:x>0.00961</cdr:x>
      <cdr:y>0</cdr:y>
    </cdr:from>
    <cdr:to>
      <cdr:x>0.35389</cdr:x>
      <cdr:y>0.09187</cdr:y>
    </cdr:to>
    <cdr:sp macro="" textlink="">
      <cdr:nvSpPr>
        <cdr:cNvPr id="2" name="Text Box 1"/>
        <cdr:cNvSpPr txBox="1"/>
      </cdr:nvSpPr>
      <cdr:spPr>
        <a:xfrm xmlns:a="http://schemas.openxmlformats.org/drawingml/2006/main">
          <a:off x="49876" y="0"/>
          <a:ext cx="1787236" cy="266008"/>
        </a:xfrm>
        <a:prstGeom xmlns:a="http://schemas.openxmlformats.org/drawingml/2006/main" prst="rect">
          <a:avLst/>
        </a:prstGeom>
      </cdr:spPr>
      <cdr:txBody>
        <a:bodyPr xmlns:a="http://schemas.openxmlformats.org/drawingml/2006/main" vertOverflow="clip" wrap="square" lIns="0" rtlCol="0"/>
        <a:lstStyle xmlns:a="http://schemas.openxmlformats.org/drawingml/2006/main"/>
        <a:p xmlns:a="http://schemas.openxmlformats.org/drawingml/2006/main">
          <a:r>
            <a:rPr lang="en-NZ" sz="900" b="1">
              <a:latin typeface="Segoe UI" panose="020B0502040204020203" pitchFamily="34" charset="0"/>
              <a:cs typeface="Segoe UI" panose="020B0502040204020203" pitchFamily="34" charset="0"/>
            </a:rPr>
            <a:t>Age-standardised rate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AFAFE-8918-47BD-9BA3-3866966556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AF555E-6F1A-4799-8273-A6503210CB8A}">
  <ds:schemaRefs>
    <ds:schemaRef ds:uri="http://schemas.microsoft.com/sharepoint/v3/contenttype/forms"/>
  </ds:schemaRefs>
</ds:datastoreItem>
</file>

<file path=customXml/itemProps3.xml><?xml version="1.0" encoding="utf-8"?>
<ds:datastoreItem xmlns:ds="http://schemas.openxmlformats.org/officeDocument/2006/customXml" ds:itemID="{3DB2578E-47E7-41C5-85AC-9133B49FE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92E72-3889-464A-BBD6-7D32F0EA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13</TotalTime>
  <Pages>11</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data related to mental health service users 2016</dc:title>
  <dc:creator>Ministry of Health</dc:creator>
  <cp:lastModifiedBy>Julianne Ryan</cp:lastModifiedBy>
  <cp:revision>9</cp:revision>
  <cp:lastPrinted>2021-06-22T23:16:00Z</cp:lastPrinted>
  <dcterms:created xsi:type="dcterms:W3CDTF">2021-06-22T23:04:00Z</dcterms:created>
  <dcterms:modified xsi:type="dcterms:W3CDTF">2021-06-22T23:16:00Z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