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E407" w14:textId="77777777" w:rsidR="00C86248" w:rsidRDefault="007368A7" w:rsidP="00926083">
      <w:pPr>
        <w:pStyle w:val="Title"/>
      </w:pPr>
      <w:r>
        <w:t>Implementation of Regulatory Controls on High-power Laser Pointers</w:t>
      </w:r>
    </w:p>
    <w:p w14:paraId="4BC0BE94" w14:textId="77777777" w:rsidR="00D27922" w:rsidRDefault="007368A7" w:rsidP="00D27922">
      <w:pPr>
        <w:pStyle w:val="Subhead"/>
      </w:pPr>
      <w:r>
        <w:t>Year 7</w:t>
      </w:r>
    </w:p>
    <w:p w14:paraId="3C5C0C08" w14:textId="77777777" w:rsidR="00D27922" w:rsidRPr="00D27922" w:rsidRDefault="007368A7" w:rsidP="00D27922">
      <w:pPr>
        <w:pStyle w:val="Year"/>
      </w:pPr>
      <w:r>
        <w:t>1 March 2020–28 February 2021</w:t>
      </w:r>
    </w:p>
    <w:p w14:paraId="324667B3" w14:textId="77777777" w:rsidR="00C05132" w:rsidRDefault="00C05132" w:rsidP="00A06BE4"/>
    <w:p w14:paraId="5204FADE"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2419035F"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368A7">
        <w:rPr>
          <w:rFonts w:cs="Segoe UI"/>
        </w:rPr>
        <w:t>2021</w:t>
      </w:r>
      <w:r w:rsidR="00442C1C" w:rsidRPr="00C05132">
        <w:rPr>
          <w:rFonts w:cs="Segoe UI"/>
        </w:rPr>
        <w:t xml:space="preserve">. </w:t>
      </w:r>
      <w:r w:rsidR="007368A7">
        <w:rPr>
          <w:rFonts w:cs="Segoe UI"/>
          <w:i/>
        </w:rPr>
        <w:t>Implementation of Regulatory Controls on High</w:t>
      </w:r>
      <w:r w:rsidR="007368A7">
        <w:rPr>
          <w:rFonts w:cs="Segoe UI"/>
          <w:i/>
        </w:rPr>
        <w:noBreakHyphen/>
        <w:t>power Laser Pointers: Year 7</w:t>
      </w:r>
      <w:r w:rsidR="00442C1C" w:rsidRPr="00C05132">
        <w:rPr>
          <w:rFonts w:cs="Segoe UI"/>
        </w:rPr>
        <w:t>. Wellington: Ministry of Health.</w:t>
      </w:r>
    </w:p>
    <w:p w14:paraId="6EA31C7D" w14:textId="77777777" w:rsidR="00C86248" w:rsidRDefault="00C86248">
      <w:pPr>
        <w:pStyle w:val="Imprint"/>
      </w:pPr>
      <w:r>
        <w:t xml:space="preserve">Published in </w:t>
      </w:r>
      <w:r w:rsidR="003037BB">
        <w:t>June</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0288E478" w14:textId="77777777" w:rsidR="00082CD6" w:rsidRPr="009C0F2D" w:rsidRDefault="00D863D0" w:rsidP="00082CD6">
      <w:pPr>
        <w:pStyle w:val="Imprint"/>
      </w:pPr>
      <w:r>
        <w:t>ISBN</w:t>
      </w:r>
      <w:r w:rsidR="00442C1C">
        <w:t xml:space="preserve"> </w:t>
      </w:r>
      <w:r w:rsidR="00C70752" w:rsidRPr="00C70752">
        <w:t xml:space="preserve">978-1-99-100725-4 </w:t>
      </w:r>
      <w:r>
        <w:t>(</w:t>
      </w:r>
      <w:r w:rsidR="00442C1C">
        <w:t>online</w:t>
      </w:r>
      <w:r>
        <w:t>)</w:t>
      </w:r>
      <w:r w:rsidR="00082CD6">
        <w:br/>
      </w:r>
      <w:r w:rsidR="00082CD6" w:rsidRPr="009C0F2D">
        <w:t xml:space="preserve">HP </w:t>
      </w:r>
      <w:r w:rsidR="00C70752">
        <w:t>7726</w:t>
      </w:r>
    </w:p>
    <w:p w14:paraId="58B18936" w14:textId="77777777" w:rsidR="00C86248" w:rsidRDefault="008C64C4" w:rsidP="00D27922">
      <w:pPr>
        <w:spacing w:before="360"/>
      </w:pPr>
      <w:r>
        <w:rPr>
          <w:noProof/>
          <w:lang w:eastAsia="en-NZ"/>
        </w:rPr>
        <w:drawing>
          <wp:inline distT="0" distB="0" distL="0" distR="0" wp14:anchorId="48914B06" wp14:editId="08F7F834">
            <wp:extent cx="1413163" cy="576330"/>
            <wp:effectExtent l="0" t="0" r="0" b="0"/>
            <wp:docPr id="2" name="Picture 2" descr="Ministry of Health 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bookmarkStart w:id="0" w:name="_GoBack"/>
      <w:bookmarkEnd w:id="0"/>
    </w:p>
    <w:p w14:paraId="2DE9D09C"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6E328728" w14:textId="77777777" w:rsidTr="00A63DFF">
        <w:trPr>
          <w:cantSplit/>
        </w:trPr>
        <w:tc>
          <w:tcPr>
            <w:tcW w:w="1526" w:type="dxa"/>
          </w:tcPr>
          <w:p w14:paraId="7DF4C20A"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2BF9A042" wp14:editId="2285D4C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1C503E0"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2378011E" w14:textId="77777777" w:rsidR="007E74F1" w:rsidRPr="001F45A7" w:rsidRDefault="007E74F1" w:rsidP="006E2886">
      <w:pPr>
        <w:pStyle w:val="Imprint"/>
      </w:pPr>
    </w:p>
    <w:p w14:paraId="4DCFB1D7"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33E66C0F" w14:textId="77777777" w:rsidR="00C86248" w:rsidRDefault="00C86248" w:rsidP="00025A6F">
      <w:pPr>
        <w:pStyle w:val="IntroHead"/>
      </w:pPr>
      <w:bookmarkStart w:id="1" w:name="_Toc405792991"/>
      <w:bookmarkStart w:id="2" w:name="_Toc405793224"/>
      <w:r>
        <w:lastRenderedPageBreak/>
        <w:t>Contents</w:t>
      </w:r>
      <w:bookmarkEnd w:id="1"/>
      <w:bookmarkEnd w:id="2"/>
    </w:p>
    <w:p w14:paraId="29CC44F5" w14:textId="74E6A547" w:rsidR="003037BB" w:rsidRDefault="003037BB">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75770460" w:history="1">
        <w:r w:rsidRPr="00ED0A2C">
          <w:rPr>
            <w:rStyle w:val="Hyperlink"/>
            <w:noProof/>
          </w:rPr>
          <w:t>1</w:t>
        </w:r>
        <w:r>
          <w:rPr>
            <w:rFonts w:asciiTheme="minorHAnsi" w:eastAsiaTheme="minorEastAsia" w:hAnsiTheme="minorHAnsi" w:cstheme="minorBidi"/>
            <w:noProof/>
            <w:sz w:val="22"/>
            <w:szCs w:val="22"/>
            <w:lang w:eastAsia="en-NZ"/>
          </w:rPr>
          <w:tab/>
        </w:r>
        <w:r w:rsidRPr="00ED0A2C">
          <w:rPr>
            <w:rStyle w:val="Hyperlink"/>
            <w:noProof/>
          </w:rPr>
          <w:t>Introduction</w:t>
        </w:r>
        <w:r>
          <w:rPr>
            <w:noProof/>
            <w:webHidden/>
          </w:rPr>
          <w:tab/>
        </w:r>
        <w:r>
          <w:rPr>
            <w:noProof/>
            <w:webHidden/>
          </w:rPr>
          <w:fldChar w:fldCharType="begin"/>
        </w:r>
        <w:r>
          <w:rPr>
            <w:noProof/>
            <w:webHidden/>
          </w:rPr>
          <w:instrText xml:space="preserve"> PAGEREF _Toc75770460 \h </w:instrText>
        </w:r>
        <w:r>
          <w:rPr>
            <w:noProof/>
            <w:webHidden/>
          </w:rPr>
        </w:r>
        <w:r>
          <w:rPr>
            <w:noProof/>
            <w:webHidden/>
          </w:rPr>
          <w:fldChar w:fldCharType="separate"/>
        </w:r>
        <w:r w:rsidR="00C55B55">
          <w:rPr>
            <w:noProof/>
            <w:webHidden/>
          </w:rPr>
          <w:t>1</w:t>
        </w:r>
        <w:r>
          <w:rPr>
            <w:noProof/>
            <w:webHidden/>
          </w:rPr>
          <w:fldChar w:fldCharType="end"/>
        </w:r>
      </w:hyperlink>
    </w:p>
    <w:p w14:paraId="1C7E25C0" w14:textId="3A18524C" w:rsidR="003037BB" w:rsidRDefault="003037BB">
      <w:pPr>
        <w:pStyle w:val="TOC1"/>
        <w:rPr>
          <w:rFonts w:asciiTheme="minorHAnsi" w:eastAsiaTheme="minorEastAsia" w:hAnsiTheme="minorHAnsi" w:cstheme="minorBidi"/>
          <w:noProof/>
          <w:sz w:val="22"/>
          <w:szCs w:val="22"/>
          <w:lang w:eastAsia="en-NZ"/>
        </w:rPr>
      </w:pPr>
      <w:hyperlink w:anchor="_Toc75770461" w:history="1">
        <w:r w:rsidRPr="00ED0A2C">
          <w:rPr>
            <w:rStyle w:val="Hyperlink"/>
            <w:noProof/>
          </w:rPr>
          <w:t>2</w:t>
        </w:r>
        <w:r>
          <w:rPr>
            <w:rFonts w:asciiTheme="minorHAnsi" w:eastAsiaTheme="minorEastAsia" w:hAnsiTheme="minorHAnsi" w:cstheme="minorBidi"/>
            <w:noProof/>
            <w:sz w:val="22"/>
            <w:szCs w:val="22"/>
            <w:lang w:eastAsia="en-NZ"/>
          </w:rPr>
          <w:tab/>
        </w:r>
        <w:r w:rsidRPr="00ED0A2C">
          <w:rPr>
            <w:rStyle w:val="Hyperlink"/>
            <w:noProof/>
          </w:rPr>
          <w:t>Authorisations</w:t>
        </w:r>
        <w:r>
          <w:rPr>
            <w:noProof/>
            <w:webHidden/>
          </w:rPr>
          <w:tab/>
        </w:r>
        <w:r>
          <w:rPr>
            <w:noProof/>
            <w:webHidden/>
          </w:rPr>
          <w:fldChar w:fldCharType="begin"/>
        </w:r>
        <w:r>
          <w:rPr>
            <w:noProof/>
            <w:webHidden/>
          </w:rPr>
          <w:instrText xml:space="preserve"> PAGEREF _Toc75770461 \h </w:instrText>
        </w:r>
        <w:r>
          <w:rPr>
            <w:noProof/>
            <w:webHidden/>
          </w:rPr>
        </w:r>
        <w:r>
          <w:rPr>
            <w:noProof/>
            <w:webHidden/>
          </w:rPr>
          <w:fldChar w:fldCharType="separate"/>
        </w:r>
        <w:r w:rsidR="00C55B55">
          <w:rPr>
            <w:noProof/>
            <w:webHidden/>
          </w:rPr>
          <w:t>2</w:t>
        </w:r>
        <w:r>
          <w:rPr>
            <w:noProof/>
            <w:webHidden/>
          </w:rPr>
          <w:fldChar w:fldCharType="end"/>
        </w:r>
      </w:hyperlink>
    </w:p>
    <w:p w14:paraId="2E7AF9D0" w14:textId="4846DEDC" w:rsidR="003037BB" w:rsidRDefault="003037BB">
      <w:pPr>
        <w:pStyle w:val="TOC2"/>
        <w:tabs>
          <w:tab w:val="left" w:pos="1134"/>
        </w:tabs>
        <w:rPr>
          <w:rFonts w:asciiTheme="minorHAnsi" w:eastAsiaTheme="minorEastAsia" w:hAnsiTheme="minorHAnsi" w:cstheme="minorBidi"/>
          <w:noProof/>
          <w:sz w:val="22"/>
          <w:szCs w:val="22"/>
          <w:lang w:eastAsia="en-NZ"/>
        </w:rPr>
      </w:pPr>
      <w:hyperlink w:anchor="_Toc75770462" w:history="1">
        <w:r w:rsidRPr="00ED0A2C">
          <w:rPr>
            <w:rStyle w:val="Hyperlink"/>
            <w:noProof/>
          </w:rPr>
          <w:t>2.1</w:t>
        </w:r>
        <w:r>
          <w:rPr>
            <w:rFonts w:asciiTheme="minorHAnsi" w:eastAsiaTheme="minorEastAsia" w:hAnsiTheme="minorHAnsi" w:cstheme="minorBidi"/>
            <w:noProof/>
            <w:sz w:val="22"/>
            <w:szCs w:val="22"/>
            <w:lang w:eastAsia="en-NZ"/>
          </w:rPr>
          <w:tab/>
        </w:r>
        <w:r w:rsidRPr="00ED0A2C">
          <w:rPr>
            <w:rStyle w:val="Hyperlink"/>
            <w:noProof/>
          </w:rPr>
          <w:t>Applications</w:t>
        </w:r>
        <w:r>
          <w:rPr>
            <w:noProof/>
            <w:webHidden/>
          </w:rPr>
          <w:tab/>
        </w:r>
        <w:r>
          <w:rPr>
            <w:noProof/>
            <w:webHidden/>
          </w:rPr>
          <w:fldChar w:fldCharType="begin"/>
        </w:r>
        <w:r>
          <w:rPr>
            <w:noProof/>
            <w:webHidden/>
          </w:rPr>
          <w:instrText xml:space="preserve"> PAGEREF _Toc75770462 \h </w:instrText>
        </w:r>
        <w:r>
          <w:rPr>
            <w:noProof/>
            <w:webHidden/>
          </w:rPr>
        </w:r>
        <w:r>
          <w:rPr>
            <w:noProof/>
            <w:webHidden/>
          </w:rPr>
          <w:fldChar w:fldCharType="separate"/>
        </w:r>
        <w:r w:rsidR="00C55B55">
          <w:rPr>
            <w:noProof/>
            <w:webHidden/>
          </w:rPr>
          <w:t>2</w:t>
        </w:r>
        <w:r>
          <w:rPr>
            <w:noProof/>
            <w:webHidden/>
          </w:rPr>
          <w:fldChar w:fldCharType="end"/>
        </w:r>
      </w:hyperlink>
    </w:p>
    <w:p w14:paraId="3ECE69D8" w14:textId="7AC12C9F" w:rsidR="003037BB" w:rsidRDefault="003037BB">
      <w:pPr>
        <w:pStyle w:val="TOC2"/>
        <w:tabs>
          <w:tab w:val="left" w:pos="1134"/>
        </w:tabs>
        <w:rPr>
          <w:rFonts w:asciiTheme="minorHAnsi" w:eastAsiaTheme="minorEastAsia" w:hAnsiTheme="minorHAnsi" w:cstheme="minorBidi"/>
          <w:noProof/>
          <w:sz w:val="22"/>
          <w:szCs w:val="22"/>
          <w:lang w:eastAsia="en-NZ"/>
        </w:rPr>
      </w:pPr>
      <w:hyperlink w:anchor="_Toc75770463" w:history="1">
        <w:r w:rsidRPr="00ED0A2C">
          <w:rPr>
            <w:rStyle w:val="Hyperlink"/>
            <w:noProof/>
          </w:rPr>
          <w:t>2.2</w:t>
        </w:r>
        <w:r>
          <w:rPr>
            <w:rFonts w:asciiTheme="minorHAnsi" w:eastAsiaTheme="minorEastAsia" w:hAnsiTheme="minorHAnsi" w:cstheme="minorBidi"/>
            <w:noProof/>
            <w:sz w:val="22"/>
            <w:szCs w:val="22"/>
            <w:lang w:eastAsia="en-NZ"/>
          </w:rPr>
          <w:tab/>
        </w:r>
        <w:r w:rsidRPr="00ED0A2C">
          <w:rPr>
            <w:rStyle w:val="Hyperlink"/>
            <w:noProof/>
          </w:rPr>
          <w:t>Public information</w:t>
        </w:r>
        <w:r>
          <w:rPr>
            <w:noProof/>
            <w:webHidden/>
          </w:rPr>
          <w:tab/>
        </w:r>
        <w:r>
          <w:rPr>
            <w:noProof/>
            <w:webHidden/>
          </w:rPr>
          <w:fldChar w:fldCharType="begin"/>
        </w:r>
        <w:r>
          <w:rPr>
            <w:noProof/>
            <w:webHidden/>
          </w:rPr>
          <w:instrText xml:space="preserve"> PAGEREF _Toc75770463 \h </w:instrText>
        </w:r>
        <w:r>
          <w:rPr>
            <w:noProof/>
            <w:webHidden/>
          </w:rPr>
        </w:r>
        <w:r>
          <w:rPr>
            <w:noProof/>
            <w:webHidden/>
          </w:rPr>
          <w:fldChar w:fldCharType="separate"/>
        </w:r>
        <w:r w:rsidR="00C55B55">
          <w:rPr>
            <w:noProof/>
            <w:webHidden/>
          </w:rPr>
          <w:t>3</w:t>
        </w:r>
        <w:r>
          <w:rPr>
            <w:noProof/>
            <w:webHidden/>
          </w:rPr>
          <w:fldChar w:fldCharType="end"/>
        </w:r>
      </w:hyperlink>
    </w:p>
    <w:p w14:paraId="0FBF4FAD" w14:textId="4173AF68" w:rsidR="003037BB" w:rsidRDefault="003037BB">
      <w:pPr>
        <w:pStyle w:val="TOC1"/>
        <w:rPr>
          <w:rFonts w:asciiTheme="minorHAnsi" w:eastAsiaTheme="minorEastAsia" w:hAnsiTheme="minorHAnsi" w:cstheme="minorBidi"/>
          <w:noProof/>
          <w:sz w:val="22"/>
          <w:szCs w:val="22"/>
          <w:lang w:eastAsia="en-NZ"/>
        </w:rPr>
      </w:pPr>
      <w:hyperlink w:anchor="_Toc75770464" w:history="1">
        <w:r w:rsidRPr="00ED0A2C">
          <w:rPr>
            <w:rStyle w:val="Hyperlink"/>
            <w:noProof/>
          </w:rPr>
          <w:t>3</w:t>
        </w:r>
        <w:r>
          <w:rPr>
            <w:rFonts w:asciiTheme="minorHAnsi" w:eastAsiaTheme="minorEastAsia" w:hAnsiTheme="minorHAnsi" w:cstheme="minorBidi"/>
            <w:noProof/>
            <w:sz w:val="22"/>
            <w:szCs w:val="22"/>
            <w:lang w:eastAsia="en-NZ"/>
          </w:rPr>
          <w:tab/>
        </w:r>
        <w:r w:rsidRPr="00ED0A2C">
          <w:rPr>
            <w:rStyle w:val="Hyperlink"/>
            <w:noProof/>
          </w:rPr>
          <w:t>Surveillance and compliance</w:t>
        </w:r>
        <w:r>
          <w:rPr>
            <w:noProof/>
            <w:webHidden/>
          </w:rPr>
          <w:tab/>
        </w:r>
        <w:r>
          <w:rPr>
            <w:noProof/>
            <w:webHidden/>
          </w:rPr>
          <w:fldChar w:fldCharType="begin"/>
        </w:r>
        <w:r>
          <w:rPr>
            <w:noProof/>
            <w:webHidden/>
          </w:rPr>
          <w:instrText xml:space="preserve"> PAGEREF _Toc75770464 \h </w:instrText>
        </w:r>
        <w:r>
          <w:rPr>
            <w:noProof/>
            <w:webHidden/>
          </w:rPr>
        </w:r>
        <w:r>
          <w:rPr>
            <w:noProof/>
            <w:webHidden/>
          </w:rPr>
          <w:fldChar w:fldCharType="separate"/>
        </w:r>
        <w:r w:rsidR="00C55B55">
          <w:rPr>
            <w:noProof/>
            <w:webHidden/>
          </w:rPr>
          <w:t>5</w:t>
        </w:r>
        <w:r>
          <w:rPr>
            <w:noProof/>
            <w:webHidden/>
          </w:rPr>
          <w:fldChar w:fldCharType="end"/>
        </w:r>
      </w:hyperlink>
    </w:p>
    <w:p w14:paraId="396048E9" w14:textId="0A3C7C76" w:rsidR="003037BB" w:rsidRDefault="003037BB">
      <w:pPr>
        <w:pStyle w:val="TOC2"/>
        <w:tabs>
          <w:tab w:val="left" w:pos="1134"/>
        </w:tabs>
        <w:rPr>
          <w:rFonts w:asciiTheme="minorHAnsi" w:eastAsiaTheme="minorEastAsia" w:hAnsiTheme="minorHAnsi" w:cstheme="minorBidi"/>
          <w:noProof/>
          <w:sz w:val="22"/>
          <w:szCs w:val="22"/>
          <w:lang w:eastAsia="en-NZ"/>
        </w:rPr>
      </w:pPr>
      <w:hyperlink w:anchor="_Toc75770465" w:history="1">
        <w:r w:rsidRPr="00ED0A2C">
          <w:rPr>
            <w:rStyle w:val="Hyperlink"/>
            <w:noProof/>
          </w:rPr>
          <w:t>3.1</w:t>
        </w:r>
        <w:r>
          <w:rPr>
            <w:rFonts w:asciiTheme="minorHAnsi" w:eastAsiaTheme="minorEastAsia" w:hAnsiTheme="minorHAnsi" w:cstheme="minorBidi"/>
            <w:noProof/>
            <w:sz w:val="22"/>
            <w:szCs w:val="22"/>
            <w:lang w:eastAsia="en-NZ"/>
          </w:rPr>
          <w:tab/>
        </w:r>
        <w:r w:rsidRPr="00ED0A2C">
          <w:rPr>
            <w:rStyle w:val="Hyperlink"/>
            <w:noProof/>
          </w:rPr>
          <w:t>Retailer visits</w:t>
        </w:r>
        <w:r>
          <w:rPr>
            <w:noProof/>
            <w:webHidden/>
          </w:rPr>
          <w:tab/>
        </w:r>
        <w:r>
          <w:rPr>
            <w:noProof/>
            <w:webHidden/>
          </w:rPr>
          <w:fldChar w:fldCharType="begin"/>
        </w:r>
        <w:r>
          <w:rPr>
            <w:noProof/>
            <w:webHidden/>
          </w:rPr>
          <w:instrText xml:space="preserve"> PAGEREF _Toc75770465 \h </w:instrText>
        </w:r>
        <w:r>
          <w:rPr>
            <w:noProof/>
            <w:webHidden/>
          </w:rPr>
        </w:r>
        <w:r>
          <w:rPr>
            <w:noProof/>
            <w:webHidden/>
          </w:rPr>
          <w:fldChar w:fldCharType="separate"/>
        </w:r>
        <w:r w:rsidR="00C55B55">
          <w:rPr>
            <w:noProof/>
            <w:webHidden/>
          </w:rPr>
          <w:t>5</w:t>
        </w:r>
        <w:r>
          <w:rPr>
            <w:noProof/>
            <w:webHidden/>
          </w:rPr>
          <w:fldChar w:fldCharType="end"/>
        </w:r>
      </w:hyperlink>
    </w:p>
    <w:p w14:paraId="3DD9DACD" w14:textId="2FB2B55F" w:rsidR="003037BB" w:rsidRDefault="003037BB">
      <w:pPr>
        <w:pStyle w:val="TOC2"/>
        <w:tabs>
          <w:tab w:val="left" w:pos="1134"/>
        </w:tabs>
        <w:rPr>
          <w:rFonts w:asciiTheme="minorHAnsi" w:eastAsiaTheme="minorEastAsia" w:hAnsiTheme="minorHAnsi" w:cstheme="minorBidi"/>
          <w:noProof/>
          <w:sz w:val="22"/>
          <w:szCs w:val="22"/>
          <w:lang w:eastAsia="en-NZ"/>
        </w:rPr>
      </w:pPr>
      <w:hyperlink w:anchor="_Toc75770466" w:history="1">
        <w:r w:rsidRPr="00ED0A2C">
          <w:rPr>
            <w:rStyle w:val="Hyperlink"/>
            <w:noProof/>
          </w:rPr>
          <w:t>3.2</w:t>
        </w:r>
        <w:r>
          <w:rPr>
            <w:rFonts w:asciiTheme="minorHAnsi" w:eastAsiaTheme="minorEastAsia" w:hAnsiTheme="minorHAnsi" w:cstheme="minorBidi"/>
            <w:noProof/>
            <w:sz w:val="22"/>
            <w:szCs w:val="22"/>
            <w:lang w:eastAsia="en-NZ"/>
          </w:rPr>
          <w:tab/>
        </w:r>
        <w:r w:rsidRPr="00ED0A2C">
          <w:rPr>
            <w:rStyle w:val="Hyperlink"/>
            <w:noProof/>
          </w:rPr>
          <w:t>Distributor visits</w:t>
        </w:r>
        <w:r>
          <w:rPr>
            <w:noProof/>
            <w:webHidden/>
          </w:rPr>
          <w:tab/>
        </w:r>
        <w:r>
          <w:rPr>
            <w:noProof/>
            <w:webHidden/>
          </w:rPr>
          <w:fldChar w:fldCharType="begin"/>
        </w:r>
        <w:r>
          <w:rPr>
            <w:noProof/>
            <w:webHidden/>
          </w:rPr>
          <w:instrText xml:space="preserve"> PAGEREF _Toc75770466 \h </w:instrText>
        </w:r>
        <w:r>
          <w:rPr>
            <w:noProof/>
            <w:webHidden/>
          </w:rPr>
        </w:r>
        <w:r>
          <w:rPr>
            <w:noProof/>
            <w:webHidden/>
          </w:rPr>
          <w:fldChar w:fldCharType="separate"/>
        </w:r>
        <w:r w:rsidR="00C55B55">
          <w:rPr>
            <w:noProof/>
            <w:webHidden/>
          </w:rPr>
          <w:t>5</w:t>
        </w:r>
        <w:r>
          <w:rPr>
            <w:noProof/>
            <w:webHidden/>
          </w:rPr>
          <w:fldChar w:fldCharType="end"/>
        </w:r>
      </w:hyperlink>
    </w:p>
    <w:p w14:paraId="69ABC13D" w14:textId="6466290D" w:rsidR="003037BB" w:rsidRDefault="003037BB">
      <w:pPr>
        <w:pStyle w:val="TOC2"/>
        <w:tabs>
          <w:tab w:val="left" w:pos="1134"/>
        </w:tabs>
        <w:rPr>
          <w:rFonts w:asciiTheme="minorHAnsi" w:eastAsiaTheme="minorEastAsia" w:hAnsiTheme="minorHAnsi" w:cstheme="minorBidi"/>
          <w:noProof/>
          <w:sz w:val="22"/>
          <w:szCs w:val="22"/>
          <w:lang w:eastAsia="en-NZ"/>
        </w:rPr>
      </w:pPr>
      <w:hyperlink w:anchor="_Toc75770467" w:history="1">
        <w:r w:rsidRPr="00ED0A2C">
          <w:rPr>
            <w:rStyle w:val="Hyperlink"/>
            <w:noProof/>
          </w:rPr>
          <w:t>3.3</w:t>
        </w:r>
        <w:r>
          <w:rPr>
            <w:rFonts w:asciiTheme="minorHAnsi" w:eastAsiaTheme="minorEastAsia" w:hAnsiTheme="minorHAnsi" w:cstheme="minorBidi"/>
            <w:noProof/>
            <w:sz w:val="22"/>
            <w:szCs w:val="22"/>
            <w:lang w:eastAsia="en-NZ"/>
          </w:rPr>
          <w:tab/>
        </w:r>
        <w:r w:rsidRPr="00ED0A2C">
          <w:rPr>
            <w:rStyle w:val="Hyperlink"/>
            <w:noProof/>
          </w:rPr>
          <w:t>Online surveillance</w:t>
        </w:r>
        <w:r>
          <w:rPr>
            <w:noProof/>
            <w:webHidden/>
          </w:rPr>
          <w:tab/>
        </w:r>
        <w:r>
          <w:rPr>
            <w:noProof/>
            <w:webHidden/>
          </w:rPr>
          <w:fldChar w:fldCharType="begin"/>
        </w:r>
        <w:r>
          <w:rPr>
            <w:noProof/>
            <w:webHidden/>
          </w:rPr>
          <w:instrText xml:space="preserve"> PAGEREF _Toc75770467 \h </w:instrText>
        </w:r>
        <w:r>
          <w:rPr>
            <w:noProof/>
            <w:webHidden/>
          </w:rPr>
        </w:r>
        <w:r>
          <w:rPr>
            <w:noProof/>
            <w:webHidden/>
          </w:rPr>
          <w:fldChar w:fldCharType="separate"/>
        </w:r>
        <w:r w:rsidR="00C55B55">
          <w:rPr>
            <w:noProof/>
            <w:webHidden/>
          </w:rPr>
          <w:t>5</w:t>
        </w:r>
        <w:r>
          <w:rPr>
            <w:noProof/>
            <w:webHidden/>
          </w:rPr>
          <w:fldChar w:fldCharType="end"/>
        </w:r>
      </w:hyperlink>
    </w:p>
    <w:p w14:paraId="7D212809" w14:textId="7B0BDE8C" w:rsidR="003037BB" w:rsidRDefault="003037BB">
      <w:pPr>
        <w:pStyle w:val="TOC1"/>
        <w:rPr>
          <w:rFonts w:asciiTheme="minorHAnsi" w:eastAsiaTheme="minorEastAsia" w:hAnsiTheme="minorHAnsi" w:cstheme="minorBidi"/>
          <w:noProof/>
          <w:sz w:val="22"/>
          <w:szCs w:val="22"/>
          <w:lang w:eastAsia="en-NZ"/>
        </w:rPr>
      </w:pPr>
      <w:hyperlink w:anchor="_Toc75770468" w:history="1">
        <w:r w:rsidRPr="00ED0A2C">
          <w:rPr>
            <w:rStyle w:val="Hyperlink"/>
            <w:noProof/>
          </w:rPr>
          <w:t>4</w:t>
        </w:r>
        <w:r>
          <w:rPr>
            <w:rFonts w:asciiTheme="minorHAnsi" w:eastAsiaTheme="minorEastAsia" w:hAnsiTheme="minorHAnsi" w:cstheme="minorBidi"/>
            <w:noProof/>
            <w:sz w:val="22"/>
            <w:szCs w:val="22"/>
            <w:lang w:eastAsia="en-NZ"/>
          </w:rPr>
          <w:tab/>
        </w:r>
        <w:r w:rsidRPr="00ED0A2C">
          <w:rPr>
            <w:rStyle w:val="Hyperlink"/>
            <w:noProof/>
          </w:rPr>
          <w:t>New Zealand Customs</w:t>
        </w:r>
        <w:r>
          <w:rPr>
            <w:noProof/>
            <w:webHidden/>
          </w:rPr>
          <w:tab/>
        </w:r>
        <w:r>
          <w:rPr>
            <w:noProof/>
            <w:webHidden/>
          </w:rPr>
          <w:fldChar w:fldCharType="begin"/>
        </w:r>
        <w:r>
          <w:rPr>
            <w:noProof/>
            <w:webHidden/>
          </w:rPr>
          <w:instrText xml:space="preserve"> PAGEREF _Toc75770468 \h </w:instrText>
        </w:r>
        <w:r>
          <w:rPr>
            <w:noProof/>
            <w:webHidden/>
          </w:rPr>
        </w:r>
        <w:r>
          <w:rPr>
            <w:noProof/>
            <w:webHidden/>
          </w:rPr>
          <w:fldChar w:fldCharType="separate"/>
        </w:r>
        <w:r w:rsidR="00C55B55">
          <w:rPr>
            <w:noProof/>
            <w:webHidden/>
          </w:rPr>
          <w:t>7</w:t>
        </w:r>
        <w:r>
          <w:rPr>
            <w:noProof/>
            <w:webHidden/>
          </w:rPr>
          <w:fldChar w:fldCharType="end"/>
        </w:r>
      </w:hyperlink>
    </w:p>
    <w:p w14:paraId="7C09CA2A" w14:textId="02F7B387" w:rsidR="003037BB" w:rsidRDefault="003037BB">
      <w:pPr>
        <w:pStyle w:val="TOC1"/>
        <w:rPr>
          <w:rFonts w:asciiTheme="minorHAnsi" w:eastAsiaTheme="minorEastAsia" w:hAnsiTheme="minorHAnsi" w:cstheme="minorBidi"/>
          <w:noProof/>
          <w:sz w:val="22"/>
          <w:szCs w:val="22"/>
          <w:lang w:eastAsia="en-NZ"/>
        </w:rPr>
      </w:pPr>
      <w:hyperlink w:anchor="_Toc75770469" w:history="1">
        <w:r w:rsidRPr="00ED0A2C">
          <w:rPr>
            <w:rStyle w:val="Hyperlink"/>
            <w:noProof/>
          </w:rPr>
          <w:t>5</w:t>
        </w:r>
        <w:r>
          <w:rPr>
            <w:rFonts w:asciiTheme="minorHAnsi" w:eastAsiaTheme="minorEastAsia" w:hAnsiTheme="minorHAnsi" w:cstheme="minorBidi"/>
            <w:noProof/>
            <w:sz w:val="22"/>
            <w:szCs w:val="22"/>
            <w:lang w:eastAsia="en-NZ"/>
          </w:rPr>
          <w:tab/>
        </w:r>
        <w:r w:rsidRPr="00ED0A2C">
          <w:rPr>
            <w:rStyle w:val="Hyperlink"/>
            <w:noProof/>
          </w:rPr>
          <w:t>Other agencies</w:t>
        </w:r>
        <w:r>
          <w:rPr>
            <w:noProof/>
            <w:webHidden/>
          </w:rPr>
          <w:tab/>
        </w:r>
        <w:r>
          <w:rPr>
            <w:noProof/>
            <w:webHidden/>
          </w:rPr>
          <w:fldChar w:fldCharType="begin"/>
        </w:r>
        <w:r>
          <w:rPr>
            <w:noProof/>
            <w:webHidden/>
          </w:rPr>
          <w:instrText xml:space="preserve"> PAGEREF _Toc75770469 \h </w:instrText>
        </w:r>
        <w:r>
          <w:rPr>
            <w:noProof/>
            <w:webHidden/>
          </w:rPr>
        </w:r>
        <w:r>
          <w:rPr>
            <w:noProof/>
            <w:webHidden/>
          </w:rPr>
          <w:fldChar w:fldCharType="separate"/>
        </w:r>
        <w:r w:rsidR="00C55B55">
          <w:rPr>
            <w:noProof/>
            <w:webHidden/>
          </w:rPr>
          <w:t>8</w:t>
        </w:r>
        <w:r>
          <w:rPr>
            <w:noProof/>
            <w:webHidden/>
          </w:rPr>
          <w:fldChar w:fldCharType="end"/>
        </w:r>
      </w:hyperlink>
    </w:p>
    <w:p w14:paraId="1E9DB8DA" w14:textId="1BD6CC6E" w:rsidR="003037BB" w:rsidRDefault="003037BB">
      <w:pPr>
        <w:pStyle w:val="TOC2"/>
        <w:tabs>
          <w:tab w:val="left" w:pos="1134"/>
        </w:tabs>
        <w:rPr>
          <w:rFonts w:asciiTheme="minorHAnsi" w:eastAsiaTheme="minorEastAsia" w:hAnsiTheme="minorHAnsi" w:cstheme="minorBidi"/>
          <w:noProof/>
          <w:sz w:val="22"/>
          <w:szCs w:val="22"/>
          <w:lang w:eastAsia="en-NZ"/>
        </w:rPr>
      </w:pPr>
      <w:hyperlink w:anchor="_Toc75770470" w:history="1">
        <w:r w:rsidRPr="00ED0A2C">
          <w:rPr>
            <w:rStyle w:val="Hyperlink"/>
            <w:noProof/>
          </w:rPr>
          <w:t>5.1</w:t>
        </w:r>
        <w:r>
          <w:rPr>
            <w:rFonts w:asciiTheme="minorHAnsi" w:eastAsiaTheme="minorEastAsia" w:hAnsiTheme="minorHAnsi" w:cstheme="minorBidi"/>
            <w:noProof/>
            <w:sz w:val="22"/>
            <w:szCs w:val="22"/>
            <w:lang w:eastAsia="en-NZ"/>
          </w:rPr>
          <w:tab/>
        </w:r>
        <w:r w:rsidRPr="00ED0A2C">
          <w:rPr>
            <w:rStyle w:val="Hyperlink"/>
            <w:noProof/>
          </w:rPr>
          <w:t>New Zealand Police</w:t>
        </w:r>
        <w:r>
          <w:rPr>
            <w:noProof/>
            <w:webHidden/>
          </w:rPr>
          <w:tab/>
        </w:r>
        <w:r>
          <w:rPr>
            <w:noProof/>
            <w:webHidden/>
          </w:rPr>
          <w:fldChar w:fldCharType="begin"/>
        </w:r>
        <w:r>
          <w:rPr>
            <w:noProof/>
            <w:webHidden/>
          </w:rPr>
          <w:instrText xml:space="preserve"> PAGEREF _Toc75770470 \h </w:instrText>
        </w:r>
        <w:r>
          <w:rPr>
            <w:noProof/>
            <w:webHidden/>
          </w:rPr>
        </w:r>
        <w:r>
          <w:rPr>
            <w:noProof/>
            <w:webHidden/>
          </w:rPr>
          <w:fldChar w:fldCharType="separate"/>
        </w:r>
        <w:r w:rsidR="00C55B55">
          <w:rPr>
            <w:noProof/>
            <w:webHidden/>
          </w:rPr>
          <w:t>8</w:t>
        </w:r>
        <w:r>
          <w:rPr>
            <w:noProof/>
            <w:webHidden/>
          </w:rPr>
          <w:fldChar w:fldCharType="end"/>
        </w:r>
      </w:hyperlink>
    </w:p>
    <w:p w14:paraId="23C945F5" w14:textId="70DF37BB" w:rsidR="003037BB" w:rsidRDefault="003037BB">
      <w:pPr>
        <w:pStyle w:val="TOC2"/>
        <w:tabs>
          <w:tab w:val="left" w:pos="1134"/>
        </w:tabs>
        <w:rPr>
          <w:rFonts w:asciiTheme="minorHAnsi" w:eastAsiaTheme="minorEastAsia" w:hAnsiTheme="minorHAnsi" w:cstheme="minorBidi"/>
          <w:noProof/>
          <w:sz w:val="22"/>
          <w:szCs w:val="22"/>
          <w:lang w:eastAsia="en-NZ"/>
        </w:rPr>
      </w:pPr>
      <w:hyperlink w:anchor="_Toc75770471" w:history="1">
        <w:r w:rsidRPr="00ED0A2C">
          <w:rPr>
            <w:rStyle w:val="Hyperlink"/>
            <w:noProof/>
          </w:rPr>
          <w:t>5.2</w:t>
        </w:r>
        <w:r>
          <w:rPr>
            <w:rFonts w:asciiTheme="minorHAnsi" w:eastAsiaTheme="minorEastAsia" w:hAnsiTheme="minorHAnsi" w:cstheme="minorBidi"/>
            <w:noProof/>
            <w:sz w:val="22"/>
            <w:szCs w:val="22"/>
            <w:lang w:eastAsia="en-NZ"/>
          </w:rPr>
          <w:tab/>
        </w:r>
        <w:r w:rsidRPr="00ED0A2C">
          <w:rPr>
            <w:rStyle w:val="Hyperlink"/>
            <w:noProof/>
          </w:rPr>
          <w:t>Civil Aviation Authority of New Zealand</w:t>
        </w:r>
        <w:r>
          <w:rPr>
            <w:noProof/>
            <w:webHidden/>
          </w:rPr>
          <w:tab/>
        </w:r>
        <w:r>
          <w:rPr>
            <w:noProof/>
            <w:webHidden/>
          </w:rPr>
          <w:fldChar w:fldCharType="begin"/>
        </w:r>
        <w:r>
          <w:rPr>
            <w:noProof/>
            <w:webHidden/>
          </w:rPr>
          <w:instrText xml:space="preserve"> PAGEREF _Toc75770471 \h </w:instrText>
        </w:r>
        <w:r>
          <w:rPr>
            <w:noProof/>
            <w:webHidden/>
          </w:rPr>
        </w:r>
        <w:r>
          <w:rPr>
            <w:noProof/>
            <w:webHidden/>
          </w:rPr>
          <w:fldChar w:fldCharType="separate"/>
        </w:r>
        <w:r w:rsidR="00C55B55">
          <w:rPr>
            <w:noProof/>
            <w:webHidden/>
          </w:rPr>
          <w:t>9</w:t>
        </w:r>
        <w:r>
          <w:rPr>
            <w:noProof/>
            <w:webHidden/>
          </w:rPr>
          <w:fldChar w:fldCharType="end"/>
        </w:r>
      </w:hyperlink>
    </w:p>
    <w:p w14:paraId="7B8D9BC5" w14:textId="0410A996" w:rsidR="003037BB" w:rsidRDefault="003037BB">
      <w:pPr>
        <w:pStyle w:val="TOC1"/>
        <w:rPr>
          <w:rFonts w:asciiTheme="minorHAnsi" w:eastAsiaTheme="minorEastAsia" w:hAnsiTheme="minorHAnsi" w:cstheme="minorBidi"/>
          <w:noProof/>
          <w:sz w:val="22"/>
          <w:szCs w:val="22"/>
          <w:lang w:eastAsia="en-NZ"/>
        </w:rPr>
      </w:pPr>
      <w:hyperlink w:anchor="_Toc75770472" w:history="1">
        <w:r w:rsidRPr="00ED0A2C">
          <w:rPr>
            <w:rStyle w:val="Hyperlink"/>
            <w:noProof/>
          </w:rPr>
          <w:t>6</w:t>
        </w:r>
        <w:r>
          <w:rPr>
            <w:rFonts w:asciiTheme="minorHAnsi" w:eastAsiaTheme="minorEastAsia" w:hAnsiTheme="minorHAnsi" w:cstheme="minorBidi"/>
            <w:noProof/>
            <w:sz w:val="22"/>
            <w:szCs w:val="22"/>
            <w:lang w:eastAsia="en-NZ"/>
          </w:rPr>
          <w:tab/>
        </w:r>
        <w:r w:rsidRPr="00ED0A2C">
          <w:rPr>
            <w:rStyle w:val="Hyperlink"/>
            <w:noProof/>
          </w:rPr>
          <w:t>Overseas developments</w:t>
        </w:r>
        <w:r>
          <w:rPr>
            <w:noProof/>
            <w:webHidden/>
          </w:rPr>
          <w:tab/>
        </w:r>
        <w:r>
          <w:rPr>
            <w:noProof/>
            <w:webHidden/>
          </w:rPr>
          <w:fldChar w:fldCharType="begin"/>
        </w:r>
        <w:r>
          <w:rPr>
            <w:noProof/>
            <w:webHidden/>
          </w:rPr>
          <w:instrText xml:space="preserve"> PAGEREF _Toc75770472 \h </w:instrText>
        </w:r>
        <w:r>
          <w:rPr>
            <w:noProof/>
            <w:webHidden/>
          </w:rPr>
        </w:r>
        <w:r>
          <w:rPr>
            <w:noProof/>
            <w:webHidden/>
          </w:rPr>
          <w:fldChar w:fldCharType="separate"/>
        </w:r>
        <w:r w:rsidR="00C55B55">
          <w:rPr>
            <w:noProof/>
            <w:webHidden/>
          </w:rPr>
          <w:t>10</w:t>
        </w:r>
        <w:r>
          <w:rPr>
            <w:noProof/>
            <w:webHidden/>
          </w:rPr>
          <w:fldChar w:fldCharType="end"/>
        </w:r>
      </w:hyperlink>
    </w:p>
    <w:p w14:paraId="029DD79F" w14:textId="44336942" w:rsidR="003037BB" w:rsidRDefault="003037BB">
      <w:pPr>
        <w:pStyle w:val="TOC1"/>
        <w:rPr>
          <w:rFonts w:asciiTheme="minorHAnsi" w:eastAsiaTheme="minorEastAsia" w:hAnsiTheme="minorHAnsi" w:cstheme="minorBidi"/>
          <w:noProof/>
          <w:sz w:val="22"/>
          <w:szCs w:val="22"/>
          <w:lang w:eastAsia="en-NZ"/>
        </w:rPr>
      </w:pPr>
      <w:hyperlink w:anchor="_Toc75770473" w:history="1">
        <w:r w:rsidRPr="00ED0A2C">
          <w:rPr>
            <w:rStyle w:val="Hyperlink"/>
            <w:noProof/>
          </w:rPr>
          <w:t>7</w:t>
        </w:r>
        <w:r>
          <w:rPr>
            <w:rFonts w:asciiTheme="minorHAnsi" w:eastAsiaTheme="minorEastAsia" w:hAnsiTheme="minorHAnsi" w:cstheme="minorBidi"/>
            <w:noProof/>
            <w:sz w:val="22"/>
            <w:szCs w:val="22"/>
            <w:lang w:eastAsia="en-NZ"/>
          </w:rPr>
          <w:tab/>
        </w:r>
        <w:r w:rsidRPr="00ED0A2C">
          <w:rPr>
            <w:rStyle w:val="Hyperlink"/>
            <w:noProof/>
          </w:rPr>
          <w:t>Conclusions</w:t>
        </w:r>
        <w:r>
          <w:rPr>
            <w:noProof/>
            <w:webHidden/>
          </w:rPr>
          <w:tab/>
        </w:r>
        <w:r>
          <w:rPr>
            <w:noProof/>
            <w:webHidden/>
          </w:rPr>
          <w:fldChar w:fldCharType="begin"/>
        </w:r>
        <w:r>
          <w:rPr>
            <w:noProof/>
            <w:webHidden/>
          </w:rPr>
          <w:instrText xml:space="preserve"> PAGEREF _Toc75770473 \h </w:instrText>
        </w:r>
        <w:r>
          <w:rPr>
            <w:noProof/>
            <w:webHidden/>
          </w:rPr>
        </w:r>
        <w:r>
          <w:rPr>
            <w:noProof/>
            <w:webHidden/>
          </w:rPr>
          <w:fldChar w:fldCharType="separate"/>
        </w:r>
        <w:r w:rsidR="00C55B55">
          <w:rPr>
            <w:noProof/>
            <w:webHidden/>
          </w:rPr>
          <w:t>11</w:t>
        </w:r>
        <w:r>
          <w:rPr>
            <w:noProof/>
            <w:webHidden/>
          </w:rPr>
          <w:fldChar w:fldCharType="end"/>
        </w:r>
      </w:hyperlink>
    </w:p>
    <w:p w14:paraId="7C659665" w14:textId="29BB64F9" w:rsidR="003037BB" w:rsidRDefault="003037BB">
      <w:pPr>
        <w:pStyle w:val="TOC1"/>
        <w:rPr>
          <w:rFonts w:asciiTheme="minorHAnsi" w:eastAsiaTheme="minorEastAsia" w:hAnsiTheme="minorHAnsi" w:cstheme="minorBidi"/>
          <w:noProof/>
          <w:sz w:val="22"/>
          <w:szCs w:val="22"/>
          <w:lang w:eastAsia="en-NZ"/>
        </w:rPr>
      </w:pPr>
      <w:hyperlink w:anchor="_Toc75770474" w:history="1">
        <w:r w:rsidRPr="00ED0A2C">
          <w:rPr>
            <w:rStyle w:val="Hyperlink"/>
            <w:noProof/>
          </w:rPr>
          <w:t>Appendix: Background to the legislation behind the controls</w:t>
        </w:r>
        <w:r>
          <w:rPr>
            <w:noProof/>
            <w:webHidden/>
          </w:rPr>
          <w:tab/>
        </w:r>
        <w:r>
          <w:rPr>
            <w:noProof/>
            <w:webHidden/>
          </w:rPr>
          <w:fldChar w:fldCharType="begin"/>
        </w:r>
        <w:r>
          <w:rPr>
            <w:noProof/>
            <w:webHidden/>
          </w:rPr>
          <w:instrText xml:space="preserve"> PAGEREF _Toc75770474 \h </w:instrText>
        </w:r>
        <w:r>
          <w:rPr>
            <w:noProof/>
            <w:webHidden/>
          </w:rPr>
        </w:r>
        <w:r>
          <w:rPr>
            <w:noProof/>
            <w:webHidden/>
          </w:rPr>
          <w:fldChar w:fldCharType="separate"/>
        </w:r>
        <w:r w:rsidR="00C55B55">
          <w:rPr>
            <w:noProof/>
            <w:webHidden/>
          </w:rPr>
          <w:t>12</w:t>
        </w:r>
        <w:r>
          <w:rPr>
            <w:noProof/>
            <w:webHidden/>
          </w:rPr>
          <w:fldChar w:fldCharType="end"/>
        </w:r>
      </w:hyperlink>
    </w:p>
    <w:p w14:paraId="6047A444" w14:textId="77777777" w:rsidR="00C86248" w:rsidRDefault="003037BB">
      <w:r>
        <w:rPr>
          <w:rFonts w:ascii="Segoe UI Semibold" w:hAnsi="Segoe UI Semibold"/>
          <w:b/>
          <w:sz w:val="24"/>
        </w:rPr>
        <w:fldChar w:fldCharType="end"/>
      </w:r>
    </w:p>
    <w:p w14:paraId="3775B41F" w14:textId="77777777" w:rsidR="0033448B" w:rsidRDefault="0033448B" w:rsidP="0033448B">
      <w:pPr>
        <w:pStyle w:val="TOC1"/>
        <w:keepNext/>
      </w:pPr>
      <w:r>
        <w:t>List of Figures</w:t>
      </w:r>
    </w:p>
    <w:p w14:paraId="398BE6EC" w14:textId="0850C6F0" w:rsidR="006A7DBE"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6A7DBE">
        <w:rPr>
          <w:noProof/>
        </w:rPr>
        <w:t>Figure 1:</w:t>
      </w:r>
      <w:r w:rsidR="006A7DBE">
        <w:rPr>
          <w:noProof/>
        </w:rPr>
        <w:tab/>
        <w:t>Number of applications declined, not needed and granted, 2014–2021</w:t>
      </w:r>
      <w:r w:rsidR="006A7DBE">
        <w:rPr>
          <w:noProof/>
        </w:rPr>
        <w:tab/>
      </w:r>
      <w:r w:rsidR="006A7DBE">
        <w:rPr>
          <w:noProof/>
        </w:rPr>
        <w:fldChar w:fldCharType="begin"/>
      </w:r>
      <w:r w:rsidR="006A7DBE">
        <w:rPr>
          <w:noProof/>
        </w:rPr>
        <w:instrText xml:space="preserve"> PAGEREF _Toc75682941 \h </w:instrText>
      </w:r>
      <w:r w:rsidR="006A7DBE">
        <w:rPr>
          <w:noProof/>
        </w:rPr>
      </w:r>
      <w:r w:rsidR="006A7DBE">
        <w:rPr>
          <w:noProof/>
        </w:rPr>
        <w:fldChar w:fldCharType="separate"/>
      </w:r>
      <w:r w:rsidR="00C55B55">
        <w:rPr>
          <w:noProof/>
        </w:rPr>
        <w:t>2</w:t>
      </w:r>
      <w:r w:rsidR="006A7DBE">
        <w:rPr>
          <w:noProof/>
        </w:rPr>
        <w:fldChar w:fldCharType="end"/>
      </w:r>
    </w:p>
    <w:p w14:paraId="4726C785" w14:textId="1878BCA0" w:rsidR="006A7DBE" w:rsidRDefault="006A7DBE">
      <w:pPr>
        <w:pStyle w:val="TOC3"/>
        <w:rPr>
          <w:rFonts w:asciiTheme="minorHAnsi" w:eastAsiaTheme="minorEastAsia" w:hAnsiTheme="minorHAnsi" w:cstheme="minorBidi"/>
          <w:noProof/>
          <w:sz w:val="22"/>
          <w:szCs w:val="22"/>
          <w:lang w:eastAsia="en-NZ"/>
        </w:rPr>
      </w:pPr>
      <w:r>
        <w:rPr>
          <w:noProof/>
        </w:rPr>
        <w:t>Figure 2:</w:t>
      </w:r>
      <w:r>
        <w:rPr>
          <w:noProof/>
        </w:rPr>
        <w:tab/>
        <w:t>Number of views of the Ministry’s regulations webpages, by year</w:t>
      </w:r>
      <w:r>
        <w:rPr>
          <w:noProof/>
        </w:rPr>
        <w:tab/>
      </w:r>
      <w:r>
        <w:rPr>
          <w:noProof/>
        </w:rPr>
        <w:fldChar w:fldCharType="begin"/>
      </w:r>
      <w:r>
        <w:rPr>
          <w:noProof/>
        </w:rPr>
        <w:instrText xml:space="preserve"> PAGEREF _Toc75682942 \h </w:instrText>
      </w:r>
      <w:r>
        <w:rPr>
          <w:noProof/>
        </w:rPr>
      </w:r>
      <w:r>
        <w:rPr>
          <w:noProof/>
        </w:rPr>
        <w:fldChar w:fldCharType="separate"/>
      </w:r>
      <w:r w:rsidR="00C55B55">
        <w:rPr>
          <w:noProof/>
        </w:rPr>
        <w:t>3</w:t>
      </w:r>
      <w:r>
        <w:rPr>
          <w:noProof/>
        </w:rPr>
        <w:fldChar w:fldCharType="end"/>
      </w:r>
    </w:p>
    <w:p w14:paraId="35C126B6" w14:textId="07C63EA9" w:rsidR="006A7DBE" w:rsidRDefault="006A7DBE">
      <w:pPr>
        <w:pStyle w:val="TOC3"/>
        <w:rPr>
          <w:rFonts w:asciiTheme="minorHAnsi" w:eastAsiaTheme="minorEastAsia" w:hAnsiTheme="minorHAnsi" w:cstheme="minorBidi"/>
          <w:noProof/>
          <w:sz w:val="22"/>
          <w:szCs w:val="22"/>
          <w:lang w:eastAsia="en-NZ"/>
        </w:rPr>
      </w:pPr>
      <w:r>
        <w:rPr>
          <w:noProof/>
        </w:rPr>
        <w:t>Figure 3:</w:t>
      </w:r>
      <w:r>
        <w:rPr>
          <w:noProof/>
        </w:rPr>
        <w:tab/>
        <w:t>Number of queries about the regulations received by the Ministry, 2014–2021</w:t>
      </w:r>
      <w:r>
        <w:rPr>
          <w:noProof/>
        </w:rPr>
        <w:tab/>
      </w:r>
      <w:r>
        <w:rPr>
          <w:noProof/>
        </w:rPr>
        <w:fldChar w:fldCharType="begin"/>
      </w:r>
      <w:r>
        <w:rPr>
          <w:noProof/>
        </w:rPr>
        <w:instrText xml:space="preserve"> PAGEREF _Toc75682943 \h </w:instrText>
      </w:r>
      <w:r>
        <w:rPr>
          <w:noProof/>
        </w:rPr>
      </w:r>
      <w:r>
        <w:rPr>
          <w:noProof/>
        </w:rPr>
        <w:fldChar w:fldCharType="separate"/>
      </w:r>
      <w:r w:rsidR="00C55B55">
        <w:rPr>
          <w:noProof/>
        </w:rPr>
        <w:t>4</w:t>
      </w:r>
      <w:r>
        <w:rPr>
          <w:noProof/>
        </w:rPr>
        <w:fldChar w:fldCharType="end"/>
      </w:r>
    </w:p>
    <w:p w14:paraId="4DF6F573" w14:textId="52BFB62B" w:rsidR="006A7DBE" w:rsidRDefault="006A7DBE">
      <w:pPr>
        <w:pStyle w:val="TOC3"/>
        <w:rPr>
          <w:rFonts w:asciiTheme="minorHAnsi" w:eastAsiaTheme="minorEastAsia" w:hAnsiTheme="minorHAnsi" w:cstheme="minorBidi"/>
          <w:noProof/>
          <w:sz w:val="22"/>
          <w:szCs w:val="22"/>
          <w:lang w:eastAsia="en-NZ"/>
        </w:rPr>
      </w:pPr>
      <w:r>
        <w:rPr>
          <w:noProof/>
        </w:rPr>
        <w:t>Figure 4:</w:t>
      </w:r>
      <w:r>
        <w:rPr>
          <w:noProof/>
        </w:rPr>
        <w:tab/>
        <w:t>Number of listings for high-power laser pointers on the Trade Me auction website, 2014–2021</w:t>
      </w:r>
      <w:r>
        <w:rPr>
          <w:noProof/>
        </w:rPr>
        <w:tab/>
      </w:r>
      <w:r>
        <w:rPr>
          <w:noProof/>
        </w:rPr>
        <w:fldChar w:fldCharType="begin"/>
      </w:r>
      <w:r>
        <w:rPr>
          <w:noProof/>
        </w:rPr>
        <w:instrText xml:space="preserve"> PAGEREF _Toc75682944 \h </w:instrText>
      </w:r>
      <w:r>
        <w:rPr>
          <w:noProof/>
        </w:rPr>
      </w:r>
      <w:r>
        <w:rPr>
          <w:noProof/>
        </w:rPr>
        <w:fldChar w:fldCharType="separate"/>
      </w:r>
      <w:r w:rsidR="00C55B55">
        <w:rPr>
          <w:noProof/>
        </w:rPr>
        <w:t>6</w:t>
      </w:r>
      <w:r>
        <w:rPr>
          <w:noProof/>
        </w:rPr>
        <w:fldChar w:fldCharType="end"/>
      </w:r>
    </w:p>
    <w:p w14:paraId="163314BF" w14:textId="1CE9C5BA" w:rsidR="006A7DBE" w:rsidRDefault="006A7DBE">
      <w:pPr>
        <w:pStyle w:val="TOC3"/>
        <w:rPr>
          <w:rFonts w:asciiTheme="minorHAnsi" w:eastAsiaTheme="minorEastAsia" w:hAnsiTheme="minorHAnsi" w:cstheme="minorBidi"/>
          <w:noProof/>
          <w:sz w:val="22"/>
          <w:szCs w:val="22"/>
          <w:lang w:eastAsia="en-NZ"/>
        </w:rPr>
      </w:pPr>
      <w:r>
        <w:rPr>
          <w:noProof/>
        </w:rPr>
        <w:t>Figure 5:</w:t>
      </w:r>
      <w:r>
        <w:rPr>
          <w:noProof/>
        </w:rPr>
        <w:tab/>
        <w:t>Number of proceedings against offenders for possessing high-power laser pointers in a public place, 2015–2021</w:t>
      </w:r>
      <w:r>
        <w:rPr>
          <w:noProof/>
        </w:rPr>
        <w:tab/>
      </w:r>
      <w:r>
        <w:rPr>
          <w:noProof/>
        </w:rPr>
        <w:fldChar w:fldCharType="begin"/>
      </w:r>
      <w:r>
        <w:rPr>
          <w:noProof/>
        </w:rPr>
        <w:instrText xml:space="preserve"> PAGEREF _Toc75682945 \h </w:instrText>
      </w:r>
      <w:r>
        <w:rPr>
          <w:noProof/>
        </w:rPr>
      </w:r>
      <w:r>
        <w:rPr>
          <w:noProof/>
        </w:rPr>
        <w:fldChar w:fldCharType="separate"/>
      </w:r>
      <w:r w:rsidR="00C55B55">
        <w:rPr>
          <w:noProof/>
        </w:rPr>
        <w:t>8</w:t>
      </w:r>
      <w:r>
        <w:rPr>
          <w:noProof/>
        </w:rPr>
        <w:fldChar w:fldCharType="end"/>
      </w:r>
    </w:p>
    <w:p w14:paraId="40AFA04E" w14:textId="46D68CC9" w:rsidR="006A7DBE" w:rsidRDefault="006A7DBE">
      <w:pPr>
        <w:pStyle w:val="TOC3"/>
        <w:rPr>
          <w:rFonts w:asciiTheme="minorHAnsi" w:eastAsiaTheme="minorEastAsia" w:hAnsiTheme="minorHAnsi" w:cstheme="minorBidi"/>
          <w:noProof/>
          <w:sz w:val="22"/>
          <w:szCs w:val="22"/>
          <w:lang w:eastAsia="en-NZ"/>
        </w:rPr>
      </w:pPr>
      <w:r>
        <w:rPr>
          <w:noProof/>
        </w:rPr>
        <w:t>Figure 6:</w:t>
      </w:r>
      <w:r>
        <w:rPr>
          <w:noProof/>
        </w:rPr>
        <w:tab/>
        <w:t>Number of reported laser strikes on aircraft, 2008–2020</w:t>
      </w:r>
      <w:r>
        <w:rPr>
          <w:noProof/>
        </w:rPr>
        <w:tab/>
      </w:r>
      <w:r>
        <w:rPr>
          <w:noProof/>
        </w:rPr>
        <w:fldChar w:fldCharType="begin"/>
      </w:r>
      <w:r>
        <w:rPr>
          <w:noProof/>
        </w:rPr>
        <w:instrText xml:space="preserve"> PAGEREF _Toc75682946 \h </w:instrText>
      </w:r>
      <w:r>
        <w:rPr>
          <w:noProof/>
        </w:rPr>
      </w:r>
      <w:r>
        <w:rPr>
          <w:noProof/>
        </w:rPr>
        <w:fldChar w:fldCharType="separate"/>
      </w:r>
      <w:r w:rsidR="00C55B55">
        <w:rPr>
          <w:noProof/>
        </w:rPr>
        <w:t>9</w:t>
      </w:r>
      <w:r>
        <w:rPr>
          <w:noProof/>
        </w:rPr>
        <w:fldChar w:fldCharType="end"/>
      </w:r>
    </w:p>
    <w:p w14:paraId="2CA59DAA" w14:textId="52B48A3B" w:rsidR="006A7DBE" w:rsidRDefault="006A7DBE">
      <w:pPr>
        <w:pStyle w:val="TOC3"/>
        <w:rPr>
          <w:rFonts w:asciiTheme="minorHAnsi" w:eastAsiaTheme="minorEastAsia" w:hAnsiTheme="minorHAnsi" w:cstheme="minorBidi"/>
          <w:noProof/>
          <w:sz w:val="22"/>
          <w:szCs w:val="22"/>
          <w:lang w:eastAsia="en-NZ"/>
        </w:rPr>
      </w:pPr>
      <w:r>
        <w:rPr>
          <w:noProof/>
        </w:rPr>
        <w:t>Figure 7:</w:t>
      </w:r>
      <w:r>
        <w:rPr>
          <w:noProof/>
        </w:rPr>
        <w:tab/>
        <w:t>Number of reported laser strikes on aircraft in the United States, 2004–2020</w:t>
      </w:r>
      <w:r>
        <w:rPr>
          <w:noProof/>
        </w:rPr>
        <w:tab/>
      </w:r>
      <w:r>
        <w:rPr>
          <w:noProof/>
        </w:rPr>
        <w:fldChar w:fldCharType="begin"/>
      </w:r>
      <w:r>
        <w:rPr>
          <w:noProof/>
        </w:rPr>
        <w:instrText xml:space="preserve"> PAGEREF _Toc75682947 \h </w:instrText>
      </w:r>
      <w:r>
        <w:rPr>
          <w:noProof/>
        </w:rPr>
      </w:r>
      <w:r>
        <w:rPr>
          <w:noProof/>
        </w:rPr>
        <w:fldChar w:fldCharType="separate"/>
      </w:r>
      <w:r w:rsidR="00C55B55">
        <w:rPr>
          <w:noProof/>
        </w:rPr>
        <w:t>10</w:t>
      </w:r>
      <w:r>
        <w:rPr>
          <w:noProof/>
        </w:rPr>
        <w:fldChar w:fldCharType="end"/>
      </w:r>
    </w:p>
    <w:p w14:paraId="689E479D" w14:textId="77777777" w:rsidR="0033448B" w:rsidRPr="000A0158" w:rsidRDefault="0033448B" w:rsidP="0033448B">
      <w:r>
        <w:fldChar w:fldCharType="end"/>
      </w:r>
    </w:p>
    <w:p w14:paraId="1B2E4F78" w14:textId="77777777" w:rsidR="006A7DBE" w:rsidRDefault="006A7DBE" w:rsidP="006A7DBE">
      <w:pPr>
        <w:pStyle w:val="TOC1"/>
        <w:keepNext/>
      </w:pPr>
      <w:r>
        <w:lastRenderedPageBreak/>
        <w:t>List of Tables</w:t>
      </w:r>
    </w:p>
    <w:p w14:paraId="5AAB649E" w14:textId="5B00692B" w:rsidR="006A7DBE" w:rsidRDefault="006A7DBE" w:rsidP="006A7DBE">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Pr>
          <w:noProof/>
        </w:rPr>
        <w:t>Table 1:</w:t>
      </w:r>
      <w:r>
        <w:rPr>
          <w:noProof/>
        </w:rPr>
        <w:tab/>
        <w:t>Number of high-power laser pointers seized by Customs, 2014–2021</w:t>
      </w:r>
      <w:r>
        <w:rPr>
          <w:noProof/>
        </w:rPr>
        <w:tab/>
      </w:r>
      <w:r>
        <w:rPr>
          <w:noProof/>
        </w:rPr>
        <w:fldChar w:fldCharType="begin"/>
      </w:r>
      <w:r>
        <w:rPr>
          <w:noProof/>
        </w:rPr>
        <w:instrText xml:space="preserve"> PAGEREF _Toc75682939 \h </w:instrText>
      </w:r>
      <w:r>
        <w:rPr>
          <w:noProof/>
        </w:rPr>
      </w:r>
      <w:r>
        <w:rPr>
          <w:noProof/>
        </w:rPr>
        <w:fldChar w:fldCharType="separate"/>
      </w:r>
      <w:r w:rsidR="00C55B55">
        <w:rPr>
          <w:noProof/>
        </w:rPr>
        <w:t>7</w:t>
      </w:r>
      <w:r>
        <w:rPr>
          <w:noProof/>
        </w:rPr>
        <w:fldChar w:fldCharType="end"/>
      </w:r>
    </w:p>
    <w:p w14:paraId="7C3FD9CF" w14:textId="77777777" w:rsidR="006A7DBE" w:rsidRDefault="006A7DBE" w:rsidP="006A7DBE">
      <w:r>
        <w:fldChar w:fldCharType="end"/>
      </w:r>
    </w:p>
    <w:p w14:paraId="3893E74A" w14:textId="77777777" w:rsidR="00FB0A5B" w:rsidRDefault="00FB0A5B" w:rsidP="003A5FEA"/>
    <w:p w14:paraId="1D1CDCEC"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775417CE" w14:textId="77777777" w:rsidR="008C2973" w:rsidRDefault="002B7BEC" w:rsidP="002A335A">
      <w:pPr>
        <w:pStyle w:val="Heading1"/>
      </w:pPr>
      <w:bookmarkStart w:id="3" w:name="_Toc75682906"/>
      <w:bookmarkStart w:id="4" w:name="_Toc75770460"/>
      <w:r>
        <w:lastRenderedPageBreak/>
        <w:t>Introduction</w:t>
      </w:r>
      <w:bookmarkEnd w:id="3"/>
      <w:bookmarkEnd w:id="4"/>
    </w:p>
    <w:p w14:paraId="70224460" w14:textId="77777777" w:rsidR="000778C3" w:rsidRDefault="004F5423" w:rsidP="00583E5C">
      <w:r w:rsidRPr="00003B52">
        <w:t xml:space="preserve">This report discusses the seventh year </w:t>
      </w:r>
      <w:r>
        <w:t xml:space="preserve">of the </w:t>
      </w:r>
      <w:r w:rsidRPr="00003B52">
        <w:t>Ministry of Health</w:t>
      </w:r>
      <w:r w:rsidR="000778C3">
        <w:t>’</w:t>
      </w:r>
      <w:r w:rsidRPr="00003B52">
        <w:t xml:space="preserve">s </w:t>
      </w:r>
      <w:r>
        <w:t>(the Ministry</w:t>
      </w:r>
      <w:r w:rsidR="000778C3">
        <w:t>’</w:t>
      </w:r>
      <w:r>
        <w:t xml:space="preserve">s) </w:t>
      </w:r>
      <w:r w:rsidRPr="00003B52">
        <w:t>implementation of regulatory controls on high-power laser pointers (HPLPs</w:t>
      </w:r>
      <w:r>
        <w:t>)</w:t>
      </w:r>
      <w:r w:rsidRPr="00003B52">
        <w:t>.</w:t>
      </w:r>
    </w:p>
    <w:p w14:paraId="6DA61188" w14:textId="77777777" w:rsidR="004F5423" w:rsidRDefault="004F5423" w:rsidP="00583E5C"/>
    <w:p w14:paraId="16FB7596" w14:textId="77777777" w:rsidR="004F5423" w:rsidRPr="00003B52" w:rsidRDefault="004F5423" w:rsidP="00583E5C">
      <w:r w:rsidRPr="00003B52">
        <w:t xml:space="preserve">The Government introduced the controls to manage the risks arising from the </w:t>
      </w:r>
      <w:r>
        <w:t>public</w:t>
      </w:r>
      <w:r w:rsidR="000778C3">
        <w:t>’</w:t>
      </w:r>
      <w:r>
        <w:t>s easy access</w:t>
      </w:r>
      <w:r w:rsidRPr="00003B52">
        <w:t xml:space="preserve">, at low cost, </w:t>
      </w:r>
      <w:r>
        <w:t xml:space="preserve">to </w:t>
      </w:r>
      <w:r w:rsidRPr="00003B52">
        <w:t>powerful</w:t>
      </w:r>
      <w:r>
        <w:t>,</w:t>
      </w:r>
      <w:r w:rsidRPr="00003B52">
        <w:t xml:space="preserve"> hand-held, battery-operated laser pointers by limiting supply.</w:t>
      </w:r>
    </w:p>
    <w:p w14:paraId="47DAB39D" w14:textId="77777777" w:rsidR="004F5423" w:rsidRPr="00003B52" w:rsidRDefault="004F5423" w:rsidP="00583E5C"/>
    <w:p w14:paraId="2C2969C0" w14:textId="77777777" w:rsidR="000778C3" w:rsidRDefault="004F5423" w:rsidP="00583E5C">
      <w:r w:rsidRPr="00003B52">
        <w:t xml:space="preserve">Immediately after the controls </w:t>
      </w:r>
      <w:r>
        <w:t>came into force</w:t>
      </w:r>
      <w:r w:rsidRPr="002271A3">
        <w:t xml:space="preserve"> </w:t>
      </w:r>
      <w:r>
        <w:t xml:space="preserve">on </w:t>
      </w:r>
      <w:r w:rsidRPr="00003B52">
        <w:t xml:space="preserve">1 March 2014, the availability of these devices on New Zealand-based auction websites and in shops dropped significantly, but advertising on auction </w:t>
      </w:r>
      <w:r>
        <w:t>web</w:t>
      </w:r>
      <w:r w:rsidRPr="00003B52">
        <w:t xml:space="preserve">sites has slowly increased </w:t>
      </w:r>
      <w:r>
        <w:t>over</w:t>
      </w:r>
      <w:r w:rsidRPr="00003B52">
        <w:t xml:space="preserve"> time. Reported incidents of HPLPs being shone at aircraft initially showed a small decrease and then a gradual increase. In the past year, however, the number of HPLPs advertised on auction websites and the number of aircraft strikes have both decreased, almost certainly due to COVID-19</w:t>
      </w:r>
      <w:r>
        <w:t xml:space="preserve"> restrictions on flights and people</w:t>
      </w:r>
      <w:r w:rsidR="000778C3">
        <w:t>’</w:t>
      </w:r>
      <w:r>
        <w:t>s movements</w:t>
      </w:r>
      <w:r w:rsidRPr="00003B52">
        <w:t>.</w:t>
      </w:r>
    </w:p>
    <w:p w14:paraId="4BCAAAD0" w14:textId="77777777" w:rsidR="004F5423" w:rsidRPr="00003B52" w:rsidRDefault="004F5423" w:rsidP="00583E5C"/>
    <w:p w14:paraId="3907D304" w14:textId="77777777" w:rsidR="000778C3" w:rsidRDefault="004F5423" w:rsidP="00583E5C">
      <w:r w:rsidRPr="00003B52">
        <w:t xml:space="preserve">Implementation of the controls has not created a </w:t>
      </w:r>
      <w:r>
        <w:t>significant</w:t>
      </w:r>
      <w:r w:rsidRPr="00003B52">
        <w:t xml:space="preserve"> burden for officials. In the past year, the number of applications for authorisations has increased slightly</w:t>
      </w:r>
      <w:r>
        <w:t xml:space="preserve"> from 15</w:t>
      </w:r>
      <w:r w:rsidR="00583E5C">
        <w:t> </w:t>
      </w:r>
      <w:r>
        <w:t>authorisations granted the previous year to 18 for this report year</w:t>
      </w:r>
      <w:r w:rsidRPr="00003B52">
        <w:t>. The Ministry updates information about the regulations on its website when necessary</w:t>
      </w:r>
      <w:r w:rsidR="00583E5C">
        <w:t>.</w:t>
      </w:r>
      <w:r w:rsidRPr="00583E5C">
        <w:rPr>
          <w:rStyle w:val="FootnoteReference"/>
        </w:rPr>
        <w:footnoteReference w:id="1"/>
      </w:r>
      <w:r w:rsidRPr="00003B52">
        <w:t xml:space="preserve"> In the coming year</w:t>
      </w:r>
      <w:r>
        <w:t>,</w:t>
      </w:r>
      <w:r w:rsidRPr="00003B52">
        <w:t xml:space="preserve"> the Ministry will review the conditions imposed in authorisations to check that they are effective and whether additional conditions might be needed to promote health and safety </w:t>
      </w:r>
      <w:r>
        <w:t>around</w:t>
      </w:r>
      <w:r w:rsidRPr="00003B52">
        <w:t xml:space="preserve"> using </w:t>
      </w:r>
      <w:r>
        <w:t>more powerful</w:t>
      </w:r>
      <w:r w:rsidRPr="00003B52">
        <w:t xml:space="preserve"> </w:t>
      </w:r>
      <w:r>
        <w:t>HPLPs</w:t>
      </w:r>
      <w:r w:rsidRPr="00003B52">
        <w:t>. Surveillance work planned for the coming year will again focus on online sales, alongside a review of historical authorisations issued.</w:t>
      </w:r>
    </w:p>
    <w:p w14:paraId="7C37180A" w14:textId="77777777" w:rsidR="004F5423" w:rsidRPr="00003B52" w:rsidRDefault="004F5423" w:rsidP="00583E5C"/>
    <w:p w14:paraId="68A244CC" w14:textId="77777777" w:rsidR="004F5423" w:rsidRPr="00003B52" w:rsidRDefault="004F5423" w:rsidP="00583E5C">
      <w:r w:rsidRPr="00003B52">
        <w:t>This document reports on the Ministry</w:t>
      </w:r>
      <w:r w:rsidR="000778C3">
        <w:t>’</w:t>
      </w:r>
      <w:r w:rsidRPr="00003B52">
        <w:t>s activit</w:t>
      </w:r>
      <w:r>
        <w:t>ies</w:t>
      </w:r>
      <w:r w:rsidRPr="00003B52">
        <w:t xml:space="preserve"> in terms of regulati</w:t>
      </w:r>
      <w:r>
        <w:t>ng</w:t>
      </w:r>
      <w:r w:rsidRPr="00003B52">
        <w:t xml:space="preserve"> HPLPs in the most recent implementation year. It looks at </w:t>
      </w:r>
      <w:r>
        <w:t xml:space="preserve">the </w:t>
      </w:r>
      <w:r w:rsidRPr="00003B52">
        <w:t>numbers of authorisations and the extent of public interest in the regulations for this period, then goes on to report on surveillance and compliance activity</w:t>
      </w:r>
      <w:r>
        <w:t xml:space="preserve"> by</w:t>
      </w:r>
      <w:r w:rsidRPr="00003B52">
        <w:t xml:space="preserve"> the Ministry</w:t>
      </w:r>
      <w:r>
        <w:t>,</w:t>
      </w:r>
      <w:r w:rsidRPr="00003B52">
        <w:t xml:space="preserve"> the New Zealand Customs Service</w:t>
      </w:r>
      <w:r>
        <w:t xml:space="preserve"> and</w:t>
      </w:r>
      <w:r w:rsidRPr="00003B52">
        <w:t xml:space="preserve"> the New Zealand Police</w:t>
      </w:r>
      <w:r>
        <w:t xml:space="preserve"> </w:t>
      </w:r>
      <w:r w:rsidRPr="00003B52">
        <w:t xml:space="preserve">respectively. </w:t>
      </w:r>
      <w:r>
        <w:t>A</w:t>
      </w:r>
      <w:r w:rsidRPr="00003B52">
        <w:t xml:space="preserve"> full description of the legislative background</w:t>
      </w:r>
      <w:r>
        <w:t xml:space="preserve"> is included as an appendix to this report</w:t>
      </w:r>
      <w:r w:rsidRPr="00003B52">
        <w:t>.</w:t>
      </w:r>
    </w:p>
    <w:p w14:paraId="3436280B" w14:textId="77777777" w:rsidR="004F5423" w:rsidRPr="00003B52" w:rsidRDefault="004F5423" w:rsidP="00583E5C"/>
    <w:p w14:paraId="1CAAF0FC" w14:textId="77777777" w:rsidR="004F5423" w:rsidRPr="00F5030F" w:rsidRDefault="004F5423" w:rsidP="00583E5C">
      <w:pPr>
        <w:pStyle w:val="Heading1"/>
      </w:pPr>
      <w:bookmarkStart w:id="5" w:name="_Toc9435880"/>
      <w:bookmarkStart w:id="6" w:name="_Toc69720632"/>
      <w:bookmarkStart w:id="7" w:name="_Toc75682907"/>
      <w:bookmarkStart w:id="8" w:name="_Toc75770461"/>
      <w:r w:rsidRPr="00F5030F">
        <w:lastRenderedPageBreak/>
        <w:t>Authorisations</w:t>
      </w:r>
      <w:bookmarkEnd w:id="5"/>
      <w:bookmarkEnd w:id="6"/>
      <w:bookmarkEnd w:id="7"/>
      <w:bookmarkEnd w:id="8"/>
    </w:p>
    <w:p w14:paraId="64EBB5DB" w14:textId="77777777" w:rsidR="004F5423" w:rsidRPr="00003B52" w:rsidRDefault="004F5423" w:rsidP="00583E5C">
      <w:pPr>
        <w:pStyle w:val="Heading2"/>
      </w:pPr>
      <w:bookmarkStart w:id="9" w:name="_Toc9435881"/>
      <w:bookmarkStart w:id="10" w:name="_Toc69720633"/>
      <w:bookmarkStart w:id="11" w:name="_Toc75682908"/>
      <w:bookmarkStart w:id="12" w:name="_Toc75770462"/>
      <w:r w:rsidRPr="00003B52">
        <w:t>Applications</w:t>
      </w:r>
      <w:bookmarkEnd w:id="9"/>
      <w:bookmarkEnd w:id="10"/>
      <w:bookmarkEnd w:id="11"/>
      <w:bookmarkEnd w:id="12"/>
    </w:p>
    <w:p w14:paraId="41AC893F" w14:textId="3E69C88A" w:rsidR="004F5423" w:rsidRPr="00003B52" w:rsidRDefault="00583E5C" w:rsidP="00583E5C">
      <w:r>
        <w:fldChar w:fldCharType="begin"/>
      </w:r>
      <w:r>
        <w:instrText xml:space="preserve"> REF _Ref75681827 \h </w:instrText>
      </w:r>
      <w:r>
        <w:fldChar w:fldCharType="separate"/>
      </w:r>
      <w:r w:rsidR="00C55B55">
        <w:t>Figure </w:t>
      </w:r>
      <w:r w:rsidR="00C55B55">
        <w:rPr>
          <w:noProof/>
        </w:rPr>
        <w:t>1</w:t>
      </w:r>
      <w:r>
        <w:fldChar w:fldCharType="end"/>
      </w:r>
      <w:r w:rsidR="004F5423" w:rsidRPr="00003B52">
        <w:t xml:space="preserve"> below summarises the outcomes of all applications for authorisation to import, supply or acquire HPLPs (or any combination of those activities) since the regulations came into force.</w:t>
      </w:r>
    </w:p>
    <w:p w14:paraId="131A04F0" w14:textId="77777777" w:rsidR="004F5423" w:rsidRPr="00003B52" w:rsidRDefault="004F5423" w:rsidP="00583E5C"/>
    <w:p w14:paraId="683C36DD" w14:textId="77777777" w:rsidR="004F5423" w:rsidRPr="00003B52" w:rsidRDefault="004F5423" w:rsidP="00583E5C">
      <w:r w:rsidRPr="00003B52">
        <w:t>Most recent applications have been for importing by users who already belonged to a pre-approved class of applicant. The main reason for declining applications continues to be insufficient information on the proposed use or an incomplete application.</w:t>
      </w:r>
    </w:p>
    <w:p w14:paraId="6911A7A8" w14:textId="77777777" w:rsidR="004F5423" w:rsidRPr="00003B52" w:rsidRDefault="004F5423" w:rsidP="00583E5C"/>
    <w:p w14:paraId="6559BD08" w14:textId="77777777" w:rsidR="000778C3" w:rsidRDefault="004F5423" w:rsidP="00583E5C">
      <w:r w:rsidRPr="00003B52">
        <w:t>In general, the Ministry continues to encounter few problems in its processing of applications. It requests external technical advice if there is doubt over the use proposed for the HPLP or a particular device</w:t>
      </w:r>
      <w:r w:rsidR="000778C3">
        <w:t>’</w:t>
      </w:r>
      <w:r w:rsidRPr="00003B52">
        <w:t xml:space="preserve">s output power. Where the Ministry has imposed conditions on an authorisation, these have generally been </w:t>
      </w:r>
      <w:r>
        <w:t>to</w:t>
      </w:r>
      <w:r w:rsidRPr="00003B52">
        <w:t xml:space="preserve"> limit</w:t>
      </w:r>
      <w:r>
        <w:t xml:space="preserve"> </w:t>
      </w:r>
      <w:r w:rsidRPr="00003B52">
        <w:t xml:space="preserve">the import/supply/acquisition to the types and quantities of HPLPs described in the application, for the uses described and </w:t>
      </w:r>
      <w:r>
        <w:t xml:space="preserve">to meet </w:t>
      </w:r>
      <w:r w:rsidRPr="00003B52">
        <w:t>safety measures.</w:t>
      </w:r>
    </w:p>
    <w:p w14:paraId="3EB5D66A" w14:textId="77777777" w:rsidR="004F5423" w:rsidRDefault="004F5423" w:rsidP="00583E5C"/>
    <w:p w14:paraId="60EF79AC" w14:textId="77777777" w:rsidR="000778C3" w:rsidRDefault="004F5423" w:rsidP="00583E5C">
      <w:r w:rsidRPr="00003B52">
        <w:t>The Ministry</w:t>
      </w:r>
      <w:r w:rsidR="000778C3">
        <w:t>’</w:t>
      </w:r>
      <w:r w:rsidRPr="00003B52">
        <w:t>s authorisation letters currently highlight the importance of stor</w:t>
      </w:r>
      <w:r>
        <w:t>ing</w:t>
      </w:r>
      <w:r w:rsidRPr="00003B52">
        <w:t xml:space="preserve"> HPLPs safe</w:t>
      </w:r>
      <w:r>
        <w:t>ly.</w:t>
      </w:r>
      <w:r w:rsidR="000778C3">
        <w:t xml:space="preserve"> </w:t>
      </w:r>
      <w:r w:rsidRPr="00003B52">
        <w:t xml:space="preserve">and </w:t>
      </w:r>
      <w:r>
        <w:t xml:space="preserve">reminds those issued an authorisation, under the </w:t>
      </w:r>
      <w:r w:rsidRPr="00194641">
        <w:t>Summary Offences Act 1981, it is an offence to be in possession of a high-power laser pointer in a public place without a reasonable excuse</w:t>
      </w:r>
      <w:r>
        <w:t>.</w:t>
      </w:r>
      <w:r w:rsidRPr="00003B52">
        <w:t xml:space="preserve"> Over the coming year</w:t>
      </w:r>
      <w:r>
        <w:t>,</w:t>
      </w:r>
      <w:r w:rsidRPr="00003B52">
        <w:t xml:space="preserve"> the Ministry will review the conditions imposed by authorisations to check their effectiveness and whether additional conditions might be </w:t>
      </w:r>
      <w:r>
        <w:t>needed</w:t>
      </w:r>
      <w:r w:rsidRPr="00003B52">
        <w:t xml:space="preserve"> to promote safe use of the more powerful HPLPs. Ministry officials will also carry out a review and audit of past authorisations to check on compliance.</w:t>
      </w:r>
    </w:p>
    <w:p w14:paraId="5E1B9B2B" w14:textId="77777777" w:rsidR="004F5423" w:rsidRDefault="004F5423" w:rsidP="00583E5C"/>
    <w:p w14:paraId="641C98BC" w14:textId="6680B7DB" w:rsidR="004F5423" w:rsidRPr="00F2039A" w:rsidRDefault="00583E5C" w:rsidP="00583E5C">
      <w:pPr>
        <w:pStyle w:val="Figure"/>
      </w:pPr>
      <w:bookmarkStart w:id="13" w:name="_Ref75681827"/>
      <w:bookmarkStart w:id="14" w:name="_Toc69720659"/>
      <w:bookmarkStart w:id="15" w:name="_Toc75682941"/>
      <w:r>
        <w:t>Figure </w:t>
      </w:r>
      <w:r w:rsidR="002A6BDB">
        <w:fldChar w:fldCharType="begin"/>
      </w:r>
      <w:r w:rsidR="002A6BDB">
        <w:instrText xml:space="preserve"> SEQ Figure \* ARABIC </w:instrText>
      </w:r>
      <w:r w:rsidR="002A6BDB">
        <w:fldChar w:fldCharType="separate"/>
      </w:r>
      <w:r w:rsidR="00C55B55">
        <w:rPr>
          <w:noProof/>
        </w:rPr>
        <w:t>1</w:t>
      </w:r>
      <w:r w:rsidR="002A6BDB">
        <w:rPr>
          <w:noProof/>
        </w:rPr>
        <w:fldChar w:fldCharType="end"/>
      </w:r>
      <w:bookmarkEnd w:id="13"/>
      <w:r w:rsidR="004F5423">
        <w:t>:</w:t>
      </w:r>
      <w:r w:rsidR="004F5423" w:rsidRPr="00F2039A">
        <w:t xml:space="preserve"> Number of applications declined, not needed and </w:t>
      </w:r>
      <w:r w:rsidR="004F5423">
        <w:t>granted, 2014–</w:t>
      </w:r>
      <w:bookmarkEnd w:id="14"/>
      <w:r w:rsidR="004F5423">
        <w:t>2021</w:t>
      </w:r>
      <w:bookmarkEnd w:id="15"/>
    </w:p>
    <w:p w14:paraId="381C5584" w14:textId="77777777" w:rsidR="004F5423" w:rsidRDefault="004F5423" w:rsidP="004F5423">
      <w:r>
        <w:rPr>
          <w:noProof/>
          <w:lang w:eastAsia="en-NZ"/>
        </w:rPr>
        <w:drawing>
          <wp:inline distT="0" distB="0" distL="0" distR="0" wp14:anchorId="0D5FB955" wp14:editId="2C55B132">
            <wp:extent cx="4206240" cy="2377440"/>
            <wp:effectExtent l="0" t="0" r="3810" b="3810"/>
            <wp:docPr id="1" name="Chart 1" title="Figure 1: Number of applications declined, not needed and granted, 2014–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096E0A" w14:textId="77777777" w:rsidR="004F5423" w:rsidRDefault="004F5423" w:rsidP="00583E5C">
      <w:pPr>
        <w:pStyle w:val="Note"/>
      </w:pPr>
      <w:r>
        <w:t>*</w:t>
      </w:r>
      <w:r>
        <w:tab/>
        <w:t>The figures presented in the first-year implementation report may differ slightly due to small changes in classification of outcomes.</w:t>
      </w:r>
    </w:p>
    <w:p w14:paraId="2ECF3B3E" w14:textId="77777777" w:rsidR="004F5423" w:rsidRPr="00F5030F" w:rsidRDefault="004F5423" w:rsidP="00583E5C">
      <w:pPr>
        <w:pStyle w:val="Heading2"/>
        <w:spacing w:before="720"/>
      </w:pPr>
      <w:bookmarkStart w:id="16" w:name="_Toc9435882"/>
      <w:bookmarkStart w:id="17" w:name="_Toc69720634"/>
      <w:bookmarkStart w:id="18" w:name="_Toc75682909"/>
      <w:bookmarkStart w:id="19" w:name="_Toc75770463"/>
      <w:r w:rsidRPr="00F5030F">
        <w:lastRenderedPageBreak/>
        <w:t>Public information</w:t>
      </w:r>
      <w:bookmarkEnd w:id="16"/>
      <w:bookmarkEnd w:id="17"/>
      <w:bookmarkEnd w:id="18"/>
      <w:bookmarkEnd w:id="19"/>
    </w:p>
    <w:p w14:paraId="5F20898C" w14:textId="275FD261" w:rsidR="004F5423" w:rsidRPr="00003B52" w:rsidRDefault="004F5423" w:rsidP="00583E5C">
      <w:r w:rsidRPr="00003B52">
        <w:t xml:space="preserve">Since the regulations came into force, the Ministry has maintained a webpage </w:t>
      </w:r>
      <w:r>
        <w:t>that provides</w:t>
      </w:r>
      <w:r w:rsidRPr="00003B52">
        <w:t xml:space="preserve"> an overview of the regulations and </w:t>
      </w:r>
      <w:r>
        <w:t xml:space="preserve">includes </w:t>
      </w:r>
      <w:r w:rsidRPr="00003B52">
        <w:t xml:space="preserve">a </w:t>
      </w:r>
      <w:r w:rsidR="000778C3">
        <w:t>‘</w:t>
      </w:r>
      <w:r w:rsidRPr="00003B52">
        <w:t xml:space="preserve">Questions and </w:t>
      </w:r>
      <w:r>
        <w:t>a</w:t>
      </w:r>
      <w:r w:rsidRPr="00003B52">
        <w:t>nswers</w:t>
      </w:r>
      <w:r w:rsidR="000778C3">
        <w:t>’</w:t>
      </w:r>
      <w:r w:rsidRPr="00003B52">
        <w:t xml:space="preserve"> section.</w:t>
      </w:r>
      <w:r w:rsidRPr="00583E5C">
        <w:rPr>
          <w:rStyle w:val="FootnoteReference"/>
        </w:rPr>
        <w:footnoteReference w:id="2"/>
      </w:r>
      <w:r w:rsidRPr="00003B52">
        <w:t xml:space="preserve"> </w:t>
      </w:r>
      <w:r w:rsidR="00583E5C">
        <w:fldChar w:fldCharType="begin"/>
      </w:r>
      <w:r w:rsidR="00583E5C">
        <w:instrText xml:space="preserve"> REF _Ref75681976 \h </w:instrText>
      </w:r>
      <w:r w:rsidR="00583E5C">
        <w:fldChar w:fldCharType="separate"/>
      </w:r>
      <w:r w:rsidR="00C55B55">
        <w:t>Figure </w:t>
      </w:r>
      <w:r w:rsidR="00C55B55">
        <w:rPr>
          <w:noProof/>
        </w:rPr>
        <w:t>2</w:t>
      </w:r>
      <w:r w:rsidR="00583E5C">
        <w:fldChar w:fldCharType="end"/>
      </w:r>
      <w:r w:rsidRPr="00003B52">
        <w:t xml:space="preserve"> presents </w:t>
      </w:r>
      <w:r>
        <w:t xml:space="preserve">the </w:t>
      </w:r>
      <w:r w:rsidRPr="00003B52">
        <w:t xml:space="preserve">numbers of page views </w:t>
      </w:r>
      <w:r>
        <w:t>for</w:t>
      </w:r>
      <w:r w:rsidRPr="00003B52">
        <w:t xml:space="preserve"> those two pages, not counting repeat visits.</w:t>
      </w:r>
    </w:p>
    <w:p w14:paraId="7E499965" w14:textId="77777777" w:rsidR="004F5423" w:rsidRDefault="004F5423" w:rsidP="00583E5C"/>
    <w:p w14:paraId="688EBA37" w14:textId="69A6D687" w:rsidR="004F5423" w:rsidRPr="005A5A60" w:rsidRDefault="00583E5C" w:rsidP="00583E5C">
      <w:pPr>
        <w:pStyle w:val="Figure"/>
      </w:pPr>
      <w:bookmarkStart w:id="20" w:name="_Ref75681976"/>
      <w:bookmarkStart w:id="21" w:name="_Toc69720660"/>
      <w:bookmarkStart w:id="22" w:name="_Toc75682942"/>
      <w:r>
        <w:t>Figure </w:t>
      </w:r>
      <w:r w:rsidR="002A6BDB">
        <w:fldChar w:fldCharType="begin"/>
      </w:r>
      <w:r w:rsidR="002A6BDB">
        <w:instrText xml:space="preserve"> SEQ Figure \* ARABIC </w:instrText>
      </w:r>
      <w:r w:rsidR="002A6BDB">
        <w:fldChar w:fldCharType="separate"/>
      </w:r>
      <w:r w:rsidR="00C55B55">
        <w:rPr>
          <w:noProof/>
        </w:rPr>
        <w:t>2</w:t>
      </w:r>
      <w:r w:rsidR="002A6BDB">
        <w:rPr>
          <w:noProof/>
        </w:rPr>
        <w:fldChar w:fldCharType="end"/>
      </w:r>
      <w:bookmarkEnd w:id="20"/>
      <w:r w:rsidR="004F5423" w:rsidRPr="005A5A60">
        <w:t xml:space="preserve">: </w:t>
      </w:r>
      <w:r w:rsidR="004F5423">
        <w:t xml:space="preserve">Number of </w:t>
      </w:r>
      <w:r w:rsidR="004F5423" w:rsidRPr="005A5A60">
        <w:t>views of the Ministry</w:t>
      </w:r>
      <w:r w:rsidR="000778C3">
        <w:t>’</w:t>
      </w:r>
      <w:r w:rsidR="004F5423" w:rsidRPr="005A5A60">
        <w:t xml:space="preserve">s </w:t>
      </w:r>
      <w:r w:rsidR="004F5423">
        <w:t>regulations</w:t>
      </w:r>
      <w:r w:rsidR="004F5423" w:rsidRPr="005A5A60">
        <w:t xml:space="preserve"> webpage</w:t>
      </w:r>
      <w:r w:rsidR="004F5423">
        <w:t>s</w:t>
      </w:r>
      <w:r w:rsidR="004F5423" w:rsidRPr="005A5A60">
        <w:t>, by year</w:t>
      </w:r>
      <w:bookmarkEnd w:id="21"/>
      <w:bookmarkEnd w:id="22"/>
    </w:p>
    <w:p w14:paraId="468ABA01" w14:textId="77777777" w:rsidR="004F5423" w:rsidRDefault="004F5423" w:rsidP="004F5423">
      <w:r w:rsidRPr="00F5030F">
        <w:rPr>
          <w:noProof/>
          <w:sz w:val="20"/>
          <w:lang w:eastAsia="en-NZ"/>
        </w:rPr>
        <w:drawing>
          <wp:inline distT="0" distB="0" distL="0" distR="0" wp14:anchorId="6E7B914B" wp14:editId="1581EB0D">
            <wp:extent cx="5128953" cy="3931920"/>
            <wp:effectExtent l="0" t="0" r="0" b="0"/>
            <wp:docPr id="20" name="Chart 20" title="Figure 2: Number of page views of the Ministry of Health’s web pages on the regulations, by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0E9307" w14:textId="77777777" w:rsidR="004F5423" w:rsidRDefault="004F5423" w:rsidP="00583E5C"/>
    <w:p w14:paraId="712B4523" w14:textId="4A1941F2" w:rsidR="004F5423" w:rsidRDefault="00583E5C" w:rsidP="00583E5C">
      <w:r>
        <w:fldChar w:fldCharType="begin"/>
      </w:r>
      <w:r>
        <w:instrText xml:space="preserve"> REF _Ref75682123 \h </w:instrText>
      </w:r>
      <w:r>
        <w:fldChar w:fldCharType="separate"/>
      </w:r>
      <w:r w:rsidR="00C55B55">
        <w:t>Figure </w:t>
      </w:r>
      <w:r w:rsidR="00C55B55">
        <w:rPr>
          <w:noProof/>
        </w:rPr>
        <w:t>3</w:t>
      </w:r>
      <w:r>
        <w:fldChar w:fldCharType="end"/>
      </w:r>
      <w:r w:rsidR="004F5423">
        <w:t xml:space="preserve"> summarises the queries about the regulations that the Ministry has received by phone or email since the regulations were introduced.</w:t>
      </w:r>
    </w:p>
    <w:p w14:paraId="24084880" w14:textId="77777777" w:rsidR="004F5423" w:rsidRDefault="004F5423" w:rsidP="00583E5C"/>
    <w:p w14:paraId="6CD228D8" w14:textId="4F1A7376" w:rsidR="004F5423" w:rsidRPr="005A5A60" w:rsidRDefault="00583E5C" w:rsidP="00583E5C">
      <w:pPr>
        <w:pStyle w:val="Figure"/>
      </w:pPr>
      <w:bookmarkStart w:id="23" w:name="_Ref75682123"/>
      <w:bookmarkStart w:id="24" w:name="_Toc69720661"/>
      <w:bookmarkStart w:id="25" w:name="_Toc75682943"/>
      <w:r>
        <w:lastRenderedPageBreak/>
        <w:t>Figure </w:t>
      </w:r>
      <w:r w:rsidR="002A6BDB">
        <w:fldChar w:fldCharType="begin"/>
      </w:r>
      <w:r w:rsidR="002A6BDB">
        <w:instrText xml:space="preserve"> SEQ Figure \* </w:instrText>
      </w:r>
      <w:r w:rsidR="002A6BDB">
        <w:instrText xml:space="preserve">ARABIC </w:instrText>
      </w:r>
      <w:r w:rsidR="002A6BDB">
        <w:fldChar w:fldCharType="separate"/>
      </w:r>
      <w:r w:rsidR="00C55B55">
        <w:rPr>
          <w:noProof/>
        </w:rPr>
        <w:t>3</w:t>
      </w:r>
      <w:r w:rsidR="002A6BDB">
        <w:rPr>
          <w:noProof/>
        </w:rPr>
        <w:fldChar w:fldCharType="end"/>
      </w:r>
      <w:bookmarkEnd w:id="23"/>
      <w:r w:rsidR="004F5423" w:rsidRPr="005A5A60">
        <w:t xml:space="preserve">: </w:t>
      </w:r>
      <w:r w:rsidR="004F5423" w:rsidRPr="000459D9">
        <w:t>Number of queries about the regulations received by the Ministry,</w:t>
      </w:r>
      <w:r>
        <w:br/>
      </w:r>
      <w:r w:rsidR="004F5423" w:rsidRPr="000459D9">
        <w:t>2014–20</w:t>
      </w:r>
      <w:r w:rsidR="004F5423">
        <w:t>21</w:t>
      </w:r>
      <w:bookmarkEnd w:id="24"/>
      <w:bookmarkEnd w:id="25"/>
    </w:p>
    <w:p w14:paraId="5575D835" w14:textId="77777777" w:rsidR="004F5423" w:rsidRDefault="004F5423" w:rsidP="004F5423">
      <w:r w:rsidRPr="00F5030F">
        <w:rPr>
          <w:noProof/>
          <w:sz w:val="20"/>
          <w:lang w:eastAsia="en-NZ"/>
        </w:rPr>
        <w:drawing>
          <wp:inline distT="0" distB="0" distL="0" distR="0" wp14:anchorId="34230E7E" wp14:editId="3FEFB72A">
            <wp:extent cx="5130165" cy="3324225"/>
            <wp:effectExtent l="0" t="0" r="0" b="0"/>
            <wp:docPr id="7" name="Chart 7" title="Figure 2: Number of page views of the Ministry of Health’s web pages on the regulations, by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F45F45" w14:textId="77777777" w:rsidR="004F5423" w:rsidRDefault="004F5423" w:rsidP="004F5423"/>
    <w:p w14:paraId="4DF790C3" w14:textId="77777777" w:rsidR="004F5423" w:rsidRDefault="004F5423" w:rsidP="002A335A">
      <w:pPr>
        <w:pStyle w:val="Heading1"/>
      </w:pPr>
      <w:bookmarkStart w:id="26" w:name="_Toc9435883"/>
      <w:bookmarkStart w:id="27" w:name="_Toc69720635"/>
      <w:bookmarkStart w:id="28" w:name="_Toc75682910"/>
      <w:bookmarkStart w:id="29" w:name="_Toc75770464"/>
      <w:r w:rsidRPr="00F5030F">
        <w:lastRenderedPageBreak/>
        <w:t>Surveillance</w:t>
      </w:r>
      <w:r>
        <w:t xml:space="preserve"> and compliance</w:t>
      </w:r>
      <w:bookmarkEnd w:id="26"/>
      <w:bookmarkEnd w:id="27"/>
      <w:bookmarkEnd w:id="28"/>
      <w:bookmarkEnd w:id="29"/>
    </w:p>
    <w:p w14:paraId="2D79799C" w14:textId="77777777" w:rsidR="004F5423" w:rsidRDefault="004F5423" w:rsidP="002A335A">
      <w:r w:rsidRPr="00003B52">
        <w:t>During this annual implementation period, the Ministry</w:t>
      </w:r>
      <w:r w:rsidR="000778C3">
        <w:t>’</w:t>
      </w:r>
      <w:r w:rsidRPr="00003B52">
        <w:t>s surveillance and compliance activities have concentrated on online sales rather than shop visits.</w:t>
      </w:r>
    </w:p>
    <w:p w14:paraId="283B1750" w14:textId="77777777" w:rsidR="002A335A" w:rsidRPr="00003B52" w:rsidRDefault="002A335A" w:rsidP="002A335A"/>
    <w:p w14:paraId="7DFA1008" w14:textId="77777777" w:rsidR="004F5423" w:rsidRPr="00003B52" w:rsidRDefault="004F5423" w:rsidP="002A335A">
      <w:pPr>
        <w:pStyle w:val="Heading2"/>
      </w:pPr>
      <w:bookmarkStart w:id="30" w:name="_Toc9435884"/>
      <w:bookmarkStart w:id="31" w:name="_Toc69720636"/>
      <w:bookmarkStart w:id="32" w:name="_Toc75682911"/>
      <w:bookmarkStart w:id="33" w:name="_Toc75770465"/>
      <w:r w:rsidRPr="00003B52">
        <w:t>Retailer visits</w:t>
      </w:r>
      <w:bookmarkEnd w:id="30"/>
      <w:bookmarkEnd w:id="31"/>
      <w:bookmarkEnd w:id="32"/>
      <w:bookmarkEnd w:id="33"/>
    </w:p>
    <w:p w14:paraId="7D45F70B" w14:textId="77777777" w:rsidR="000778C3" w:rsidRDefault="004F5423" w:rsidP="002A335A">
      <w:r w:rsidRPr="00003B52">
        <w:t>The Ministry made no formal retailer visits during this implementation period.</w:t>
      </w:r>
    </w:p>
    <w:p w14:paraId="00234FD2" w14:textId="77777777" w:rsidR="002A335A" w:rsidRDefault="002A335A" w:rsidP="002A335A"/>
    <w:p w14:paraId="65B9D147" w14:textId="77777777" w:rsidR="004F5423" w:rsidRPr="00003B52" w:rsidRDefault="004F5423" w:rsidP="002A335A">
      <w:pPr>
        <w:pStyle w:val="Heading2"/>
      </w:pPr>
      <w:bookmarkStart w:id="34" w:name="_Toc9435885"/>
      <w:bookmarkStart w:id="35" w:name="_Toc69720637"/>
      <w:bookmarkStart w:id="36" w:name="_Toc75682912"/>
      <w:bookmarkStart w:id="37" w:name="_Toc75770466"/>
      <w:r w:rsidRPr="00003B52">
        <w:t>Distributor visits</w:t>
      </w:r>
      <w:bookmarkEnd w:id="34"/>
      <w:bookmarkEnd w:id="35"/>
      <w:bookmarkEnd w:id="36"/>
      <w:bookmarkEnd w:id="37"/>
    </w:p>
    <w:p w14:paraId="249E6E28" w14:textId="77777777" w:rsidR="004F5423" w:rsidRDefault="004F5423" w:rsidP="002A335A">
      <w:r w:rsidRPr="00003B52">
        <w:t>The Ministry did not undertake any distributor visits during this implementation period.</w:t>
      </w:r>
    </w:p>
    <w:p w14:paraId="6CF4C2D4" w14:textId="77777777" w:rsidR="002A335A" w:rsidRPr="00003B52" w:rsidRDefault="002A335A" w:rsidP="002A335A"/>
    <w:p w14:paraId="04E3381B" w14:textId="77777777" w:rsidR="004F5423" w:rsidRPr="00003B52" w:rsidRDefault="004F5423" w:rsidP="002A335A">
      <w:pPr>
        <w:pStyle w:val="Heading2"/>
      </w:pPr>
      <w:bookmarkStart w:id="38" w:name="_Toc9435886"/>
      <w:bookmarkStart w:id="39" w:name="_Toc69720638"/>
      <w:bookmarkStart w:id="40" w:name="_Toc75682913"/>
      <w:bookmarkStart w:id="41" w:name="_Toc75770467"/>
      <w:r w:rsidRPr="00003B52">
        <w:t>Online surveillance</w:t>
      </w:r>
      <w:bookmarkEnd w:id="38"/>
      <w:bookmarkEnd w:id="39"/>
      <w:bookmarkEnd w:id="40"/>
      <w:bookmarkEnd w:id="41"/>
    </w:p>
    <w:p w14:paraId="1BEC054E" w14:textId="77777777" w:rsidR="004F5423" w:rsidRPr="00003B52" w:rsidRDefault="004F5423" w:rsidP="00566C96">
      <w:pPr>
        <w:pStyle w:val="Heading3"/>
      </w:pPr>
      <w:bookmarkStart w:id="42" w:name="_Toc9435887"/>
      <w:r w:rsidRPr="00003B52">
        <w:t>Trade Me surveillance</w:t>
      </w:r>
      <w:bookmarkEnd w:id="42"/>
    </w:p>
    <w:p w14:paraId="48943C3B" w14:textId="77777777" w:rsidR="004F5423" w:rsidRPr="00003B52" w:rsidRDefault="004F5423" w:rsidP="00566C96">
      <w:bookmarkStart w:id="43" w:name="_Hlk508792144"/>
      <w:r w:rsidRPr="00003B52">
        <w:t xml:space="preserve">Before the introduction of the regulations, HPLPs were readily available at low prices through online auction sites, </w:t>
      </w:r>
      <w:r>
        <w:t>such as</w:t>
      </w:r>
      <w:r w:rsidRPr="00003B52">
        <w:t xml:space="preserve"> Trade Me. When the regulations came into force, Trade Me placed HPLPs on their </w:t>
      </w:r>
      <w:r w:rsidR="000778C3">
        <w:t>‘</w:t>
      </w:r>
      <w:r w:rsidRPr="00003B52">
        <w:t xml:space="preserve">Banned and </w:t>
      </w:r>
      <w:r>
        <w:t>r</w:t>
      </w:r>
      <w:r w:rsidRPr="00003B52">
        <w:t>estricted</w:t>
      </w:r>
      <w:r w:rsidR="000778C3">
        <w:t>’</w:t>
      </w:r>
      <w:r w:rsidRPr="00003B52">
        <w:t xml:space="preserve"> list.</w:t>
      </w:r>
      <w:r w:rsidRPr="00566C96">
        <w:rPr>
          <w:rStyle w:val="FootnoteReference"/>
        </w:rPr>
        <w:footnoteReference w:id="3"/>
      </w:r>
      <w:r w:rsidRPr="00003B52">
        <w:t xml:space="preserve"> Initially, Trade Me did not permit international sellers to list HPLPs on Trade Me, but this restriction appears to have been relaxed.</w:t>
      </w:r>
    </w:p>
    <w:p w14:paraId="79D7746E" w14:textId="77777777" w:rsidR="004F5423" w:rsidRPr="00003B52" w:rsidRDefault="004F5423" w:rsidP="00566C96"/>
    <w:p w14:paraId="599A875C" w14:textId="34966D87" w:rsidR="004F5423" w:rsidRPr="00003B52" w:rsidRDefault="00566C96" w:rsidP="00566C96">
      <w:r>
        <w:fldChar w:fldCharType="begin"/>
      </w:r>
      <w:r>
        <w:instrText xml:space="preserve"> REF _Ref75682317 \h </w:instrText>
      </w:r>
      <w:r>
        <w:fldChar w:fldCharType="separate"/>
      </w:r>
      <w:r w:rsidR="00C55B55">
        <w:t>Figure </w:t>
      </w:r>
      <w:r w:rsidR="00C55B55">
        <w:rPr>
          <w:noProof/>
        </w:rPr>
        <w:t>4</w:t>
      </w:r>
      <w:r>
        <w:fldChar w:fldCharType="end"/>
      </w:r>
      <w:r w:rsidR="004F5423" w:rsidRPr="00003B52">
        <w:t xml:space="preserve"> shows the numbers of individual listings for HPLPs considered to fall within the scope of the regulations, obtained through weekly surveillance of Trade Me.</w:t>
      </w:r>
      <w:r w:rsidR="004F5423" w:rsidRPr="00566C96">
        <w:rPr>
          <w:rStyle w:val="FootnoteReference"/>
        </w:rPr>
        <w:footnoteReference w:id="4"/>
      </w:r>
    </w:p>
    <w:p w14:paraId="1847C7BD" w14:textId="77777777" w:rsidR="004F5423" w:rsidRPr="00003B52" w:rsidRDefault="004F5423" w:rsidP="00566C96"/>
    <w:p w14:paraId="14C6660B" w14:textId="1F8BC18E" w:rsidR="004F5423" w:rsidRPr="00AC0AAB" w:rsidRDefault="00566C96" w:rsidP="00566C96">
      <w:pPr>
        <w:pStyle w:val="Figure"/>
      </w:pPr>
      <w:bookmarkStart w:id="44" w:name="_Ref75682317"/>
      <w:bookmarkStart w:id="45" w:name="_Toc69720662"/>
      <w:bookmarkStart w:id="46" w:name="_Toc75682944"/>
      <w:r>
        <w:lastRenderedPageBreak/>
        <w:t>Figure </w:t>
      </w:r>
      <w:r w:rsidR="002A6BDB">
        <w:fldChar w:fldCharType="begin"/>
      </w:r>
      <w:r w:rsidR="002A6BDB">
        <w:instrText xml:space="preserve"> SEQ Figure \* ARABIC </w:instrText>
      </w:r>
      <w:r w:rsidR="002A6BDB">
        <w:fldChar w:fldCharType="separate"/>
      </w:r>
      <w:r w:rsidR="00C55B55">
        <w:rPr>
          <w:noProof/>
        </w:rPr>
        <w:t>4</w:t>
      </w:r>
      <w:r w:rsidR="002A6BDB">
        <w:rPr>
          <w:noProof/>
        </w:rPr>
        <w:fldChar w:fldCharType="end"/>
      </w:r>
      <w:bookmarkEnd w:id="44"/>
      <w:r w:rsidR="004F5423" w:rsidRPr="00AC0AAB">
        <w:t xml:space="preserve">: Number of listings for high-power laser pointers on </w:t>
      </w:r>
      <w:r w:rsidR="004F5423">
        <w:t xml:space="preserve">the Trade Me </w:t>
      </w:r>
      <w:r w:rsidR="004F5423" w:rsidRPr="00AC0AAB">
        <w:t>auction website,</w:t>
      </w:r>
      <w:r w:rsidR="004F5423">
        <w:t xml:space="preserve"> </w:t>
      </w:r>
      <w:r w:rsidR="004F5423" w:rsidRPr="00AC0AAB">
        <w:t>2014–20</w:t>
      </w:r>
      <w:r w:rsidR="004F5423">
        <w:t>21</w:t>
      </w:r>
      <w:bookmarkEnd w:id="45"/>
      <w:bookmarkEnd w:id="46"/>
    </w:p>
    <w:p w14:paraId="1A45794F" w14:textId="77777777" w:rsidR="004F5423" w:rsidRDefault="004F5423" w:rsidP="004F5423">
      <w:r>
        <w:rPr>
          <w:noProof/>
          <w:lang w:eastAsia="en-NZ"/>
        </w:rPr>
        <w:drawing>
          <wp:inline distT="0" distB="0" distL="0" distR="0" wp14:anchorId="6A52935B" wp14:editId="7CEC06BC">
            <wp:extent cx="5012574" cy="3135906"/>
            <wp:effectExtent l="0" t="0" r="0" b="7620"/>
            <wp:docPr id="33" name="Chart 33" title="Figure 3: Number of listings for high-power laser pointers on auction websi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4B7FD9" w14:textId="2F19EDA1" w:rsidR="000778C3" w:rsidRDefault="008F3E7E" w:rsidP="004F5423">
      <w:r>
        <w:fldChar w:fldCharType="begin"/>
      </w:r>
      <w:r>
        <w:instrText xml:space="preserve"> REF _Ref75682317 \h </w:instrText>
      </w:r>
      <w:r>
        <w:fldChar w:fldCharType="separate"/>
      </w:r>
      <w:r w:rsidR="00C55B55">
        <w:t>Figure </w:t>
      </w:r>
      <w:r w:rsidR="00C55B55">
        <w:rPr>
          <w:noProof/>
        </w:rPr>
        <w:t>4</w:t>
      </w:r>
      <w:r>
        <w:fldChar w:fldCharType="end"/>
      </w:r>
      <w:r w:rsidR="004F5423">
        <w:t xml:space="preserve"> </w:t>
      </w:r>
      <w:r w:rsidR="004F5423" w:rsidRPr="00003B52">
        <w:t xml:space="preserve">shows that, after </w:t>
      </w:r>
      <w:r w:rsidR="004F5423">
        <w:t>an</w:t>
      </w:r>
      <w:r w:rsidR="004F5423" w:rsidRPr="00003B52">
        <w:t xml:space="preserve"> initial decrease, the number of listings rose slowly and </w:t>
      </w:r>
      <w:r w:rsidR="004F5423">
        <w:t>then began to decline subtly from</w:t>
      </w:r>
      <w:r w:rsidR="004F5423" w:rsidRPr="00003B52">
        <w:t xml:space="preserve"> 2019. Listings in 2020</w:t>
      </w:r>
      <w:r>
        <w:t>–</w:t>
      </w:r>
      <w:r w:rsidR="004F5423" w:rsidRPr="00003B52">
        <w:t>21 were probably low because of COVID-19</w:t>
      </w:r>
      <w:r w:rsidR="004F5423">
        <w:t xml:space="preserve"> restrictions on air travel and people</w:t>
      </w:r>
      <w:r w:rsidR="000778C3">
        <w:t>’</w:t>
      </w:r>
      <w:r w:rsidR="004F5423">
        <w:t>s movements</w:t>
      </w:r>
      <w:r w:rsidR="004F5423" w:rsidRPr="00003B52">
        <w:t>.</w:t>
      </w:r>
    </w:p>
    <w:p w14:paraId="497491DB" w14:textId="77777777" w:rsidR="004F5423" w:rsidRDefault="004F5423" w:rsidP="008F3E7E"/>
    <w:p w14:paraId="180C594D" w14:textId="77777777" w:rsidR="004F5423" w:rsidRPr="00003B52" w:rsidRDefault="004F5423" w:rsidP="008F3E7E">
      <w:r w:rsidRPr="00003B52">
        <w:t>Because of the continued listings of HPLPs, often from new and/or overseas sellers, the Ministry</w:t>
      </w:r>
      <w:r w:rsidR="000778C3">
        <w:t>’</w:t>
      </w:r>
      <w:r w:rsidRPr="00003B52">
        <w:t>s surveillance should continue. As in previous years, the Ministry has found that a few sellers gave false descriptions, claiming untruthfully that their pointers ha</w:t>
      </w:r>
      <w:r>
        <w:t>ve</w:t>
      </w:r>
      <w:r w:rsidRPr="00003B52">
        <w:t xml:space="preserve"> an output power of less than 1</w:t>
      </w:r>
      <w:r>
        <w:t xml:space="preserve"> </w:t>
      </w:r>
      <w:r w:rsidRPr="0025082B">
        <w:t>milliwatt</w:t>
      </w:r>
      <w:r w:rsidRPr="00003B52">
        <w:t xml:space="preserve"> </w:t>
      </w:r>
      <w:r>
        <w:t>(</w:t>
      </w:r>
      <w:r w:rsidRPr="00003B52">
        <w:t>mW</w:t>
      </w:r>
      <w:r>
        <w:t>)</w:t>
      </w:r>
      <w:r w:rsidRPr="00003B52">
        <w:t>. Others do not mention the power. The Ministry occasionally purchases pointers for testing.</w:t>
      </w:r>
    </w:p>
    <w:p w14:paraId="2CCA912D" w14:textId="77777777" w:rsidR="004F5423" w:rsidRPr="00003B52" w:rsidRDefault="004F5423" w:rsidP="008F3E7E"/>
    <w:bookmarkEnd w:id="43"/>
    <w:p w14:paraId="723039A5" w14:textId="77777777" w:rsidR="000778C3" w:rsidRDefault="004F5423" w:rsidP="008F3E7E">
      <w:r w:rsidRPr="00003B52">
        <w:t>The Ministry, where necessary</w:t>
      </w:r>
      <w:r>
        <w:t>,</w:t>
      </w:r>
      <w:r w:rsidRPr="00003B52">
        <w:t xml:space="preserve"> uses its </w:t>
      </w:r>
      <w:r>
        <w:t>Trade Me c</w:t>
      </w:r>
      <w:r w:rsidRPr="00003B52">
        <w:t xml:space="preserve">ompliance </w:t>
      </w:r>
      <w:r>
        <w:t>a</w:t>
      </w:r>
      <w:r w:rsidRPr="00003B52">
        <w:t>ccount</w:t>
      </w:r>
      <w:r w:rsidRPr="008F3E7E">
        <w:rPr>
          <w:rStyle w:val="FootnoteReference"/>
        </w:rPr>
        <w:footnoteReference w:id="5"/>
      </w:r>
      <w:r w:rsidRPr="00003B52">
        <w:t xml:space="preserve"> to bring sellers</w:t>
      </w:r>
      <w:r w:rsidR="000778C3">
        <w:t>’</w:t>
      </w:r>
      <w:r w:rsidRPr="00003B52">
        <w:t xml:space="preserve"> attention to the regulations and to ask questions about devices where the output power </w:t>
      </w:r>
      <w:r>
        <w:t>is</w:t>
      </w:r>
      <w:r w:rsidRPr="00003B52">
        <w:t xml:space="preserve"> less evident. This </w:t>
      </w:r>
      <w:r>
        <w:t xml:space="preserve">account </w:t>
      </w:r>
      <w:r w:rsidRPr="00003B52">
        <w:t xml:space="preserve">was not </w:t>
      </w:r>
      <w:r>
        <w:t>used</w:t>
      </w:r>
      <w:r w:rsidRPr="00003B52">
        <w:t xml:space="preserve"> during this reporting period.</w:t>
      </w:r>
    </w:p>
    <w:p w14:paraId="3F206807" w14:textId="77777777" w:rsidR="004F5423" w:rsidRPr="00003B52" w:rsidRDefault="004F5423" w:rsidP="008F3E7E"/>
    <w:p w14:paraId="59439C66" w14:textId="77777777" w:rsidR="004F5423" w:rsidRDefault="004F5423" w:rsidP="008F3E7E">
      <w:r w:rsidRPr="00003B52">
        <w:t>The Ministry notes that Trade Me is quick to remove listings when it has reason to believe that a pointer falls within the scope of the regulations and would like to acknowledge the assistance received from Trade Me</w:t>
      </w:r>
      <w:r>
        <w:t xml:space="preserve"> to this end</w:t>
      </w:r>
      <w:r w:rsidRPr="00003B52">
        <w:t xml:space="preserve">. </w:t>
      </w:r>
      <w:r>
        <w:t>The Ministry</w:t>
      </w:r>
      <w:r w:rsidRPr="00003B52">
        <w:t xml:space="preserve"> will </w:t>
      </w:r>
      <w:r>
        <w:t>talk</w:t>
      </w:r>
      <w:r w:rsidRPr="00003B52">
        <w:t xml:space="preserve"> with Trade Me </w:t>
      </w:r>
      <w:r>
        <w:t>further about</w:t>
      </w:r>
      <w:r w:rsidRPr="00003B52">
        <w:t xml:space="preserve"> potential additional controls, especially for overseas sellers.</w:t>
      </w:r>
      <w:bookmarkStart w:id="47" w:name="_Toc9435888"/>
    </w:p>
    <w:p w14:paraId="11D3D651" w14:textId="77777777" w:rsidR="008F3E7E" w:rsidRPr="00003B52" w:rsidRDefault="008F3E7E" w:rsidP="008F3E7E"/>
    <w:p w14:paraId="06D18C10" w14:textId="77777777" w:rsidR="004F5423" w:rsidRDefault="004F5423" w:rsidP="008F3E7E">
      <w:pPr>
        <w:pStyle w:val="Heading3"/>
      </w:pPr>
      <w:r>
        <w:t>Other online sales</w:t>
      </w:r>
      <w:bookmarkEnd w:id="47"/>
    </w:p>
    <w:p w14:paraId="2FF702DA" w14:textId="77777777" w:rsidR="008F3E7E" w:rsidRDefault="004F5423" w:rsidP="008F3E7E">
      <w:r w:rsidRPr="00003B52">
        <w:t xml:space="preserve">The Ministry did not undertake surveillance of other New Zealand-based online sales outlets during this implementation period. </w:t>
      </w:r>
      <w:r>
        <w:t>The Ministry has no control over online sales in other countries.</w:t>
      </w:r>
    </w:p>
    <w:p w14:paraId="32353226" w14:textId="77777777" w:rsidR="004F5423" w:rsidRPr="00F5030F" w:rsidRDefault="004F5423" w:rsidP="00362F0D">
      <w:pPr>
        <w:pStyle w:val="Heading1"/>
      </w:pPr>
      <w:bookmarkStart w:id="48" w:name="_Toc9435889"/>
      <w:bookmarkStart w:id="49" w:name="_Toc69720639"/>
      <w:bookmarkStart w:id="50" w:name="_Toc75682914"/>
      <w:bookmarkStart w:id="51" w:name="_Toc75770468"/>
      <w:r>
        <w:lastRenderedPageBreak/>
        <w:t xml:space="preserve">New Zealand </w:t>
      </w:r>
      <w:r w:rsidRPr="00F5030F">
        <w:t>Customs</w:t>
      </w:r>
      <w:bookmarkEnd w:id="48"/>
      <w:bookmarkEnd w:id="49"/>
      <w:bookmarkEnd w:id="50"/>
      <w:bookmarkEnd w:id="51"/>
    </w:p>
    <w:p w14:paraId="3DD1A430" w14:textId="77777777" w:rsidR="000778C3" w:rsidRDefault="004F5423" w:rsidP="00362F0D">
      <w:r w:rsidRPr="00003B52">
        <w:t xml:space="preserve">The Customs Import Prohibition (High-power Laser Pointers) Order 2019 (CIPO) prohibits </w:t>
      </w:r>
      <w:r>
        <w:t xml:space="preserve">the </w:t>
      </w:r>
      <w:r w:rsidRPr="00003B52">
        <w:t>importation of HPLPs.</w:t>
      </w:r>
    </w:p>
    <w:p w14:paraId="2E948ABF" w14:textId="77777777" w:rsidR="004F5423" w:rsidRPr="00003B52" w:rsidRDefault="004F5423" w:rsidP="00362F0D"/>
    <w:p w14:paraId="139B9BE7" w14:textId="59706765" w:rsidR="004F5423" w:rsidRPr="00003B52" w:rsidRDefault="00362F0D" w:rsidP="00362F0D">
      <w:r>
        <w:fldChar w:fldCharType="begin"/>
      </w:r>
      <w:r>
        <w:instrText xml:space="preserve"> REF _Ref75682538 \h </w:instrText>
      </w:r>
      <w:r>
        <w:fldChar w:fldCharType="separate"/>
      </w:r>
      <w:r w:rsidR="00C55B55">
        <w:t>Table </w:t>
      </w:r>
      <w:r w:rsidR="00C55B55">
        <w:rPr>
          <w:noProof/>
        </w:rPr>
        <w:t>1</w:t>
      </w:r>
      <w:r>
        <w:fldChar w:fldCharType="end"/>
      </w:r>
      <w:r w:rsidR="004F5423" w:rsidRPr="00003B52">
        <w:t xml:space="preserve"> summarises HPLPs seized by New Zealand Customs</w:t>
      </w:r>
      <w:r w:rsidR="004F5423">
        <w:t xml:space="preserve"> (Customs)</w:t>
      </w:r>
      <w:r w:rsidR="004F5423" w:rsidRPr="00003B52">
        <w:t xml:space="preserve"> since 2014. (The comments </w:t>
      </w:r>
      <w:r w:rsidR="004F5423">
        <w:t xml:space="preserve">section </w:t>
      </w:r>
      <w:r w:rsidR="004F5423" w:rsidRPr="00003B52">
        <w:t xml:space="preserve">in this table </w:t>
      </w:r>
      <w:r w:rsidR="004F5423">
        <w:t>lists a range of</w:t>
      </w:r>
      <w:r w:rsidR="004F5423" w:rsidRPr="00003B52">
        <w:t xml:space="preserve"> Asian countries; the Ministry notes that HPLPs are unregulated and widely available in South</w:t>
      </w:r>
      <w:r w:rsidR="004F5423">
        <w:t xml:space="preserve"> E</w:t>
      </w:r>
      <w:r w:rsidR="004F5423" w:rsidRPr="00003B52">
        <w:t>ast Asia.)</w:t>
      </w:r>
    </w:p>
    <w:p w14:paraId="53B8B094" w14:textId="77777777" w:rsidR="004F5423" w:rsidRDefault="004F5423" w:rsidP="00362F0D"/>
    <w:p w14:paraId="6F5AF86D" w14:textId="53EFDB66" w:rsidR="004F5423" w:rsidRPr="00FA3E32" w:rsidRDefault="00362F0D" w:rsidP="00362F0D">
      <w:pPr>
        <w:pStyle w:val="Table"/>
      </w:pPr>
      <w:bookmarkStart w:id="52" w:name="_Ref75682538"/>
      <w:bookmarkStart w:id="53" w:name="_Toc69720647"/>
      <w:bookmarkStart w:id="54" w:name="_Toc75682939"/>
      <w:r>
        <w:t>Table </w:t>
      </w:r>
      <w:r w:rsidR="002A6BDB">
        <w:fldChar w:fldCharType="begin"/>
      </w:r>
      <w:r w:rsidR="002A6BDB">
        <w:instrText xml:space="preserve"> SEQ Table \* ARABIC </w:instrText>
      </w:r>
      <w:r w:rsidR="002A6BDB">
        <w:fldChar w:fldCharType="separate"/>
      </w:r>
      <w:r w:rsidR="00C55B55">
        <w:rPr>
          <w:noProof/>
        </w:rPr>
        <w:t>1</w:t>
      </w:r>
      <w:r w:rsidR="002A6BDB">
        <w:rPr>
          <w:noProof/>
        </w:rPr>
        <w:fldChar w:fldCharType="end"/>
      </w:r>
      <w:bookmarkEnd w:id="52"/>
      <w:r w:rsidR="004F5423" w:rsidRPr="00FA3E32">
        <w:t>: Number of high-power laser pointers seized by Customs, 2014–20</w:t>
      </w:r>
      <w:r w:rsidR="004F5423">
        <w:t>21</w:t>
      </w:r>
      <w:bookmarkEnd w:id="53"/>
      <w:bookmarkEnd w:id="54"/>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081"/>
        <w:gridCol w:w="1582"/>
        <w:gridCol w:w="5417"/>
      </w:tblGrid>
      <w:tr w:rsidR="004F5423" w:rsidRPr="000366B3" w14:paraId="23477C31" w14:textId="77777777" w:rsidTr="00612C51">
        <w:trPr>
          <w:cantSplit/>
        </w:trPr>
        <w:tc>
          <w:tcPr>
            <w:tcW w:w="1081" w:type="dxa"/>
            <w:tcBorders>
              <w:top w:val="nil"/>
              <w:bottom w:val="nil"/>
            </w:tcBorders>
            <w:shd w:val="clear" w:color="auto" w:fill="D9D9D9" w:themeFill="background1" w:themeFillShade="D9"/>
          </w:tcPr>
          <w:p w14:paraId="0FF96590" w14:textId="77777777" w:rsidR="004F5423" w:rsidRPr="000366B3" w:rsidRDefault="004F5423" w:rsidP="00612C51">
            <w:pPr>
              <w:pStyle w:val="TableText"/>
              <w:jc w:val="center"/>
              <w:rPr>
                <w:b/>
              </w:rPr>
            </w:pPr>
            <w:r w:rsidRPr="000366B3">
              <w:rPr>
                <w:b/>
              </w:rPr>
              <w:t>Year</w:t>
            </w:r>
          </w:p>
        </w:tc>
        <w:tc>
          <w:tcPr>
            <w:tcW w:w="1582" w:type="dxa"/>
            <w:tcBorders>
              <w:top w:val="nil"/>
              <w:bottom w:val="nil"/>
            </w:tcBorders>
            <w:shd w:val="clear" w:color="auto" w:fill="D9D9D9" w:themeFill="background1" w:themeFillShade="D9"/>
          </w:tcPr>
          <w:p w14:paraId="6DB9F171" w14:textId="77777777" w:rsidR="004F5423" w:rsidRPr="000366B3" w:rsidRDefault="004F5423" w:rsidP="00612C51">
            <w:pPr>
              <w:pStyle w:val="TableText"/>
              <w:rPr>
                <w:b/>
              </w:rPr>
            </w:pPr>
            <w:r w:rsidRPr="000366B3">
              <w:rPr>
                <w:b/>
              </w:rPr>
              <w:t xml:space="preserve">Number of items </w:t>
            </w:r>
          </w:p>
        </w:tc>
        <w:tc>
          <w:tcPr>
            <w:tcW w:w="5417" w:type="dxa"/>
            <w:tcBorders>
              <w:top w:val="nil"/>
              <w:bottom w:val="nil"/>
            </w:tcBorders>
            <w:shd w:val="clear" w:color="auto" w:fill="D9D9D9" w:themeFill="background1" w:themeFillShade="D9"/>
          </w:tcPr>
          <w:p w14:paraId="11707BBB" w14:textId="77777777" w:rsidR="004F5423" w:rsidRPr="000366B3" w:rsidRDefault="004F5423" w:rsidP="00612C51">
            <w:pPr>
              <w:pStyle w:val="TableText"/>
              <w:jc w:val="center"/>
              <w:rPr>
                <w:b/>
              </w:rPr>
            </w:pPr>
            <w:r w:rsidRPr="000366B3">
              <w:rPr>
                <w:b/>
              </w:rPr>
              <w:t>Comments</w:t>
            </w:r>
          </w:p>
        </w:tc>
      </w:tr>
      <w:tr w:rsidR="004F5423" w:rsidRPr="006356E4" w14:paraId="1820E4D7" w14:textId="77777777" w:rsidTr="00612C51">
        <w:trPr>
          <w:cantSplit/>
        </w:trPr>
        <w:tc>
          <w:tcPr>
            <w:tcW w:w="1081" w:type="dxa"/>
            <w:tcBorders>
              <w:top w:val="nil"/>
            </w:tcBorders>
          </w:tcPr>
          <w:p w14:paraId="087433AE" w14:textId="77777777" w:rsidR="004F5423" w:rsidRPr="006356E4" w:rsidRDefault="004F5423" w:rsidP="00612C51">
            <w:pPr>
              <w:pStyle w:val="TableText"/>
              <w:jc w:val="center"/>
            </w:pPr>
            <w:r w:rsidRPr="006356E4">
              <w:t>2014/15</w:t>
            </w:r>
          </w:p>
        </w:tc>
        <w:tc>
          <w:tcPr>
            <w:tcW w:w="1582" w:type="dxa"/>
            <w:tcBorders>
              <w:top w:val="nil"/>
            </w:tcBorders>
          </w:tcPr>
          <w:p w14:paraId="6CEF3F73" w14:textId="77777777" w:rsidR="004F5423" w:rsidRPr="006356E4" w:rsidRDefault="004F5423" w:rsidP="00612C51">
            <w:pPr>
              <w:pStyle w:val="TableText"/>
              <w:tabs>
                <w:tab w:val="decimal" w:pos="847"/>
              </w:tabs>
            </w:pPr>
            <w:r>
              <w:t>229</w:t>
            </w:r>
          </w:p>
        </w:tc>
        <w:tc>
          <w:tcPr>
            <w:tcW w:w="5417" w:type="dxa"/>
            <w:tcBorders>
              <w:top w:val="nil"/>
            </w:tcBorders>
          </w:tcPr>
          <w:p w14:paraId="3162032F" w14:textId="77777777" w:rsidR="004F5423" w:rsidRPr="006356E4" w:rsidRDefault="004F5423" w:rsidP="00612C51">
            <w:pPr>
              <w:pStyle w:val="TableText"/>
            </w:pPr>
            <w:r>
              <w:t>Comprised mostly small numbers in any one incident; there were three seizures of 20 or more</w:t>
            </w:r>
          </w:p>
        </w:tc>
      </w:tr>
      <w:tr w:rsidR="004F5423" w:rsidRPr="006356E4" w14:paraId="015A0117" w14:textId="77777777" w:rsidTr="00612C51">
        <w:trPr>
          <w:cantSplit/>
        </w:trPr>
        <w:tc>
          <w:tcPr>
            <w:tcW w:w="1081" w:type="dxa"/>
          </w:tcPr>
          <w:p w14:paraId="40F7B983" w14:textId="77777777" w:rsidR="004F5423" w:rsidRPr="006356E4" w:rsidRDefault="004F5423" w:rsidP="00612C51">
            <w:pPr>
              <w:pStyle w:val="TableText"/>
              <w:jc w:val="center"/>
            </w:pPr>
            <w:r w:rsidRPr="006356E4">
              <w:t>2015/16</w:t>
            </w:r>
          </w:p>
        </w:tc>
        <w:tc>
          <w:tcPr>
            <w:tcW w:w="1582" w:type="dxa"/>
          </w:tcPr>
          <w:p w14:paraId="7A94B346" w14:textId="77777777" w:rsidR="004F5423" w:rsidRPr="006356E4" w:rsidRDefault="004F5423" w:rsidP="00612C51">
            <w:pPr>
              <w:pStyle w:val="TableText"/>
              <w:tabs>
                <w:tab w:val="decimal" w:pos="847"/>
              </w:tabs>
            </w:pPr>
            <w:r>
              <w:t>699</w:t>
            </w:r>
          </w:p>
        </w:tc>
        <w:tc>
          <w:tcPr>
            <w:tcW w:w="5417" w:type="dxa"/>
          </w:tcPr>
          <w:p w14:paraId="35AE78B8" w14:textId="77777777" w:rsidR="004F5423" w:rsidRPr="006356E4" w:rsidRDefault="004F5423" w:rsidP="00612C51">
            <w:pPr>
              <w:pStyle w:val="TableText"/>
            </w:pPr>
            <w:r>
              <w:t>Included one large shipment of 600; the rest comprised small or individual numbers</w:t>
            </w:r>
          </w:p>
        </w:tc>
      </w:tr>
      <w:tr w:rsidR="004F5423" w:rsidRPr="009D1564" w14:paraId="0BA9B4D1" w14:textId="77777777" w:rsidTr="00612C51">
        <w:trPr>
          <w:cantSplit/>
        </w:trPr>
        <w:tc>
          <w:tcPr>
            <w:tcW w:w="1081" w:type="dxa"/>
          </w:tcPr>
          <w:p w14:paraId="74E88573" w14:textId="77777777" w:rsidR="004F5423" w:rsidRPr="009D1564" w:rsidRDefault="004F5423" w:rsidP="00612C51">
            <w:pPr>
              <w:pStyle w:val="TableText"/>
              <w:jc w:val="center"/>
              <w:rPr>
                <w:rFonts w:cstheme="minorHAnsi"/>
              </w:rPr>
            </w:pPr>
            <w:r w:rsidRPr="009D1564">
              <w:rPr>
                <w:rFonts w:cstheme="minorHAnsi"/>
              </w:rPr>
              <w:t>2016/17</w:t>
            </w:r>
          </w:p>
        </w:tc>
        <w:tc>
          <w:tcPr>
            <w:tcW w:w="1582" w:type="dxa"/>
          </w:tcPr>
          <w:p w14:paraId="17549287" w14:textId="77777777" w:rsidR="004F5423" w:rsidRPr="009D1564" w:rsidRDefault="00362F0D" w:rsidP="00612C51">
            <w:pPr>
              <w:pStyle w:val="TableText"/>
              <w:tabs>
                <w:tab w:val="decimal" w:pos="847"/>
              </w:tabs>
              <w:rPr>
                <w:rFonts w:cstheme="minorHAnsi"/>
              </w:rPr>
            </w:pPr>
            <w:r>
              <w:rPr>
                <w:rFonts w:cstheme="minorHAnsi"/>
              </w:rPr>
              <w:t>51</w:t>
            </w:r>
          </w:p>
        </w:tc>
        <w:tc>
          <w:tcPr>
            <w:tcW w:w="5417" w:type="dxa"/>
          </w:tcPr>
          <w:p w14:paraId="22860CE7" w14:textId="77777777" w:rsidR="004F5423" w:rsidRPr="009D1564" w:rsidRDefault="004F5423" w:rsidP="00612C51">
            <w:pPr>
              <w:pStyle w:val="TableText"/>
              <w:rPr>
                <w:rFonts w:cstheme="minorHAnsi"/>
              </w:rPr>
            </w:pPr>
            <w:r>
              <w:rPr>
                <w:rFonts w:cstheme="minorHAnsi"/>
              </w:rPr>
              <w:t>Included 40 seizures from travellers returning from Bali or Thailand</w:t>
            </w:r>
          </w:p>
        </w:tc>
      </w:tr>
      <w:tr w:rsidR="004F5423" w:rsidRPr="00242219" w14:paraId="51F1CAAF" w14:textId="77777777" w:rsidTr="00612C51">
        <w:trPr>
          <w:cantSplit/>
        </w:trPr>
        <w:tc>
          <w:tcPr>
            <w:tcW w:w="1081" w:type="dxa"/>
          </w:tcPr>
          <w:p w14:paraId="088A6090" w14:textId="77777777" w:rsidR="004F5423" w:rsidRPr="001E76CD" w:rsidRDefault="004F5423" w:rsidP="00612C51">
            <w:pPr>
              <w:pStyle w:val="TableText"/>
              <w:jc w:val="center"/>
              <w:rPr>
                <w:rFonts w:cstheme="minorHAnsi"/>
              </w:rPr>
            </w:pPr>
            <w:r w:rsidRPr="001E76CD">
              <w:rPr>
                <w:rFonts w:cstheme="minorHAnsi"/>
              </w:rPr>
              <w:t>2017/18</w:t>
            </w:r>
          </w:p>
        </w:tc>
        <w:tc>
          <w:tcPr>
            <w:tcW w:w="1582" w:type="dxa"/>
          </w:tcPr>
          <w:p w14:paraId="3FA7355A" w14:textId="77777777" w:rsidR="004F5423" w:rsidRPr="00242219" w:rsidRDefault="004F5423" w:rsidP="00612C51">
            <w:pPr>
              <w:pStyle w:val="TableText"/>
              <w:tabs>
                <w:tab w:val="decimal" w:pos="847"/>
              </w:tabs>
              <w:rPr>
                <w:rFonts w:cstheme="minorHAnsi"/>
              </w:rPr>
            </w:pPr>
            <w:r>
              <w:rPr>
                <w:rFonts w:cstheme="minorHAnsi"/>
              </w:rPr>
              <w:t>67</w:t>
            </w:r>
          </w:p>
        </w:tc>
        <w:tc>
          <w:tcPr>
            <w:tcW w:w="5417" w:type="dxa"/>
          </w:tcPr>
          <w:p w14:paraId="0CB68AA6" w14:textId="77777777" w:rsidR="004F5423" w:rsidRPr="00242219" w:rsidRDefault="004F5423" w:rsidP="00612C51">
            <w:pPr>
              <w:pStyle w:val="TableText"/>
              <w:rPr>
                <w:rFonts w:cstheme="minorHAnsi"/>
              </w:rPr>
            </w:pPr>
            <w:r>
              <w:rPr>
                <w:rFonts w:cstheme="minorHAnsi"/>
              </w:rPr>
              <w:t>Comprised 53 interceptions, mostly from travellers returning from holiday in South E</w:t>
            </w:r>
            <w:r w:rsidR="00362F0D">
              <w:rPr>
                <w:rFonts w:cstheme="minorHAnsi"/>
              </w:rPr>
              <w:t>ast Asia</w:t>
            </w:r>
          </w:p>
        </w:tc>
      </w:tr>
      <w:tr w:rsidR="004F5423" w:rsidRPr="00242219" w14:paraId="5D17E6ED" w14:textId="77777777" w:rsidTr="00612C51">
        <w:trPr>
          <w:cantSplit/>
        </w:trPr>
        <w:tc>
          <w:tcPr>
            <w:tcW w:w="1081" w:type="dxa"/>
            <w:shd w:val="clear" w:color="auto" w:fill="FFFFFF" w:themeFill="background1"/>
          </w:tcPr>
          <w:p w14:paraId="43F9873F" w14:textId="77777777" w:rsidR="004F5423" w:rsidRPr="00A37BA7" w:rsidRDefault="004F5423" w:rsidP="00612C51">
            <w:pPr>
              <w:pStyle w:val="TableText"/>
              <w:jc w:val="center"/>
              <w:rPr>
                <w:rFonts w:cstheme="minorHAnsi"/>
              </w:rPr>
            </w:pPr>
            <w:r w:rsidRPr="00A37BA7">
              <w:rPr>
                <w:rFonts w:cstheme="minorHAnsi"/>
              </w:rPr>
              <w:t>2018/19</w:t>
            </w:r>
          </w:p>
        </w:tc>
        <w:tc>
          <w:tcPr>
            <w:tcW w:w="1582" w:type="dxa"/>
            <w:shd w:val="clear" w:color="auto" w:fill="FFFFFF" w:themeFill="background1"/>
          </w:tcPr>
          <w:p w14:paraId="56C65666" w14:textId="77777777" w:rsidR="004F5423" w:rsidRPr="00551F3F" w:rsidRDefault="004F5423" w:rsidP="00612C51">
            <w:pPr>
              <w:pStyle w:val="TableText"/>
              <w:tabs>
                <w:tab w:val="decimal" w:pos="847"/>
              </w:tabs>
              <w:rPr>
                <w:rFonts w:cstheme="minorHAnsi"/>
              </w:rPr>
            </w:pPr>
            <w:r>
              <w:rPr>
                <w:rFonts w:cstheme="minorHAnsi"/>
              </w:rPr>
              <w:t>62</w:t>
            </w:r>
          </w:p>
        </w:tc>
        <w:tc>
          <w:tcPr>
            <w:tcW w:w="5417" w:type="dxa"/>
            <w:shd w:val="clear" w:color="auto" w:fill="FFFFFF" w:themeFill="background1"/>
          </w:tcPr>
          <w:p w14:paraId="11ED7115" w14:textId="77777777" w:rsidR="004F5423" w:rsidRPr="00551F3F" w:rsidRDefault="004F5423" w:rsidP="00612C51">
            <w:pPr>
              <w:pStyle w:val="TableText"/>
              <w:rPr>
                <w:rFonts w:cstheme="minorHAnsi"/>
              </w:rPr>
            </w:pPr>
            <w:r>
              <w:rPr>
                <w:rFonts w:cstheme="minorHAnsi"/>
              </w:rPr>
              <w:t>Comprised 50 interceptions; just over half were domestic mail interceptions. The passenger interceptions were from travellers returning from holiday, primarily from Thailand, with some from China</w:t>
            </w:r>
          </w:p>
        </w:tc>
      </w:tr>
      <w:tr w:rsidR="004F5423" w:rsidRPr="00242219" w14:paraId="603548CC" w14:textId="77777777" w:rsidTr="00612C51">
        <w:trPr>
          <w:cantSplit/>
        </w:trPr>
        <w:tc>
          <w:tcPr>
            <w:tcW w:w="1081" w:type="dxa"/>
            <w:shd w:val="clear" w:color="auto" w:fill="FFFFFF" w:themeFill="background1"/>
          </w:tcPr>
          <w:p w14:paraId="79030A0E" w14:textId="77777777" w:rsidR="004F5423" w:rsidRPr="00A37BA7" w:rsidRDefault="004F5423" w:rsidP="00612C51">
            <w:pPr>
              <w:pStyle w:val="TableText"/>
              <w:jc w:val="center"/>
              <w:rPr>
                <w:rFonts w:cstheme="minorHAnsi"/>
              </w:rPr>
            </w:pPr>
            <w:r>
              <w:rPr>
                <w:rFonts w:cstheme="minorHAnsi"/>
              </w:rPr>
              <w:t>2019/20</w:t>
            </w:r>
          </w:p>
        </w:tc>
        <w:tc>
          <w:tcPr>
            <w:tcW w:w="1582" w:type="dxa"/>
            <w:shd w:val="clear" w:color="auto" w:fill="FFFFFF" w:themeFill="background1"/>
          </w:tcPr>
          <w:p w14:paraId="04A5B3E0" w14:textId="77777777" w:rsidR="004F5423" w:rsidRDefault="004F5423" w:rsidP="00612C51">
            <w:pPr>
              <w:pStyle w:val="TableText"/>
              <w:tabs>
                <w:tab w:val="decimal" w:pos="847"/>
              </w:tabs>
              <w:rPr>
                <w:rFonts w:cstheme="minorHAnsi"/>
              </w:rPr>
            </w:pPr>
            <w:r>
              <w:rPr>
                <w:rFonts w:cstheme="minorHAnsi"/>
              </w:rPr>
              <w:t>89</w:t>
            </w:r>
          </w:p>
        </w:tc>
        <w:tc>
          <w:tcPr>
            <w:tcW w:w="5417" w:type="dxa"/>
            <w:shd w:val="clear" w:color="auto" w:fill="FFFFFF" w:themeFill="background1"/>
          </w:tcPr>
          <w:p w14:paraId="63F2445B" w14:textId="77777777" w:rsidR="004F5423" w:rsidRDefault="004F5423" w:rsidP="00612C51">
            <w:pPr>
              <w:pStyle w:val="TableText"/>
              <w:rPr>
                <w:rFonts w:cstheme="minorHAnsi"/>
              </w:rPr>
            </w:pPr>
            <w:r>
              <w:rPr>
                <w:rFonts w:cstheme="minorHAnsi"/>
              </w:rPr>
              <w:t>Comprised 77 interceptions</w:t>
            </w:r>
          </w:p>
        </w:tc>
      </w:tr>
      <w:tr w:rsidR="004F5423" w:rsidRPr="00242219" w14:paraId="749A232E" w14:textId="77777777" w:rsidTr="00612C51">
        <w:trPr>
          <w:cantSplit/>
        </w:trPr>
        <w:tc>
          <w:tcPr>
            <w:tcW w:w="1081" w:type="dxa"/>
            <w:shd w:val="clear" w:color="auto" w:fill="FFFFFF" w:themeFill="background1"/>
          </w:tcPr>
          <w:p w14:paraId="7736AFF8" w14:textId="77777777" w:rsidR="004F5423" w:rsidRPr="00A37BA7" w:rsidRDefault="004F5423" w:rsidP="00612C51">
            <w:pPr>
              <w:pStyle w:val="TableText"/>
              <w:jc w:val="center"/>
              <w:rPr>
                <w:rFonts w:cstheme="minorHAnsi"/>
              </w:rPr>
            </w:pPr>
            <w:r>
              <w:rPr>
                <w:rFonts w:cstheme="minorHAnsi"/>
              </w:rPr>
              <w:t>2020/21</w:t>
            </w:r>
          </w:p>
        </w:tc>
        <w:tc>
          <w:tcPr>
            <w:tcW w:w="1582" w:type="dxa"/>
            <w:shd w:val="clear" w:color="auto" w:fill="FFFFFF" w:themeFill="background1"/>
          </w:tcPr>
          <w:p w14:paraId="0809B296" w14:textId="77777777" w:rsidR="004F5423" w:rsidRDefault="004F5423" w:rsidP="00612C51">
            <w:pPr>
              <w:pStyle w:val="TableText"/>
              <w:tabs>
                <w:tab w:val="decimal" w:pos="847"/>
              </w:tabs>
              <w:rPr>
                <w:rFonts w:cstheme="minorHAnsi"/>
              </w:rPr>
            </w:pPr>
            <w:r>
              <w:rPr>
                <w:rFonts w:cstheme="minorHAnsi"/>
              </w:rPr>
              <w:t>35</w:t>
            </w:r>
          </w:p>
        </w:tc>
        <w:tc>
          <w:tcPr>
            <w:tcW w:w="5417" w:type="dxa"/>
            <w:shd w:val="clear" w:color="auto" w:fill="FFFFFF" w:themeFill="background1"/>
          </w:tcPr>
          <w:p w14:paraId="7714D0C6" w14:textId="77777777" w:rsidR="004F5423" w:rsidRDefault="004F5423" w:rsidP="00612C51">
            <w:pPr>
              <w:pStyle w:val="TableText"/>
              <w:rPr>
                <w:rFonts w:cstheme="minorHAnsi"/>
              </w:rPr>
            </w:pPr>
            <w:r>
              <w:rPr>
                <w:rFonts w:cstheme="minorHAnsi"/>
              </w:rPr>
              <w:t>Comprised 11 interceptions, with 24 pointers seized in one interception</w:t>
            </w:r>
          </w:p>
        </w:tc>
      </w:tr>
    </w:tbl>
    <w:p w14:paraId="5844813D" w14:textId="77777777" w:rsidR="004F5423" w:rsidRDefault="004F5423" w:rsidP="00362F0D"/>
    <w:p w14:paraId="571EDFCB" w14:textId="77777777" w:rsidR="004F5423" w:rsidRPr="00003B52" w:rsidRDefault="004F5423" w:rsidP="00362F0D">
      <w:r w:rsidRPr="00003B52">
        <w:t xml:space="preserve">While Customs does not specifically target HPLPs, it does look for them in the mail stream and asks passengers about them </w:t>
      </w:r>
      <w:r>
        <w:t xml:space="preserve">as the passengers arrive </w:t>
      </w:r>
      <w:r w:rsidRPr="00003B52">
        <w:t>at the border. There are no customs codes that allow HPLPs to be readily identified from import paperwork. The Ministry notifies Customs of all authorisations to import HPLPs</w:t>
      </w:r>
      <w:r>
        <w:t xml:space="preserve"> and</w:t>
      </w:r>
      <w:r w:rsidRPr="00003B52">
        <w:t xml:space="preserve"> potential non-authorised importers.</w:t>
      </w:r>
    </w:p>
    <w:p w14:paraId="567C5865" w14:textId="77777777" w:rsidR="004F5423" w:rsidRDefault="004F5423" w:rsidP="00016A22"/>
    <w:p w14:paraId="7B57F8DF" w14:textId="77777777" w:rsidR="004F5423" w:rsidRPr="00F5030F" w:rsidRDefault="004F5423" w:rsidP="002135EB">
      <w:pPr>
        <w:pStyle w:val="Heading1"/>
      </w:pPr>
      <w:bookmarkStart w:id="55" w:name="_Toc9435890"/>
      <w:bookmarkStart w:id="56" w:name="_Toc69720640"/>
      <w:bookmarkStart w:id="57" w:name="_Toc75682915"/>
      <w:bookmarkStart w:id="58" w:name="_Toc75770469"/>
      <w:r w:rsidRPr="00F5030F">
        <w:lastRenderedPageBreak/>
        <w:t>Other agencies</w:t>
      </w:r>
      <w:bookmarkEnd w:id="55"/>
      <w:bookmarkEnd w:id="56"/>
      <w:bookmarkEnd w:id="57"/>
      <w:bookmarkEnd w:id="58"/>
    </w:p>
    <w:p w14:paraId="78F38F93" w14:textId="77777777" w:rsidR="004F5423" w:rsidRPr="00F5030F" w:rsidRDefault="004F5423" w:rsidP="002135EB">
      <w:pPr>
        <w:pStyle w:val="Heading2"/>
      </w:pPr>
      <w:bookmarkStart w:id="59" w:name="_Toc9435891"/>
      <w:bookmarkStart w:id="60" w:name="_Toc69720641"/>
      <w:bookmarkStart w:id="61" w:name="_Toc75682916"/>
      <w:bookmarkStart w:id="62" w:name="_Toc75770470"/>
      <w:r>
        <w:t xml:space="preserve">New Zealand </w:t>
      </w:r>
      <w:r w:rsidRPr="00F5030F">
        <w:t>Police</w:t>
      </w:r>
      <w:bookmarkEnd w:id="59"/>
      <w:bookmarkEnd w:id="60"/>
      <w:bookmarkEnd w:id="61"/>
      <w:bookmarkEnd w:id="62"/>
    </w:p>
    <w:p w14:paraId="32D7F151" w14:textId="2DCC5F81" w:rsidR="004F5423" w:rsidRPr="00003B52" w:rsidRDefault="002135EB" w:rsidP="002135EB">
      <w:r>
        <w:fldChar w:fldCharType="begin"/>
      </w:r>
      <w:r>
        <w:instrText xml:space="preserve"> REF _Ref75682624 \h </w:instrText>
      </w:r>
      <w:r>
        <w:fldChar w:fldCharType="separate"/>
      </w:r>
      <w:r w:rsidR="00C55B55">
        <w:t>Figure </w:t>
      </w:r>
      <w:r w:rsidR="00C55B55">
        <w:rPr>
          <w:noProof/>
        </w:rPr>
        <w:t>5</w:t>
      </w:r>
      <w:r>
        <w:fldChar w:fldCharType="end"/>
      </w:r>
      <w:r w:rsidR="004F5423" w:rsidRPr="00003B52">
        <w:t xml:space="preserve"> records the New Zealand Police</w:t>
      </w:r>
      <w:r w:rsidR="000778C3">
        <w:t>’</w:t>
      </w:r>
      <w:r w:rsidR="004F5423" w:rsidRPr="00003B52">
        <w:t xml:space="preserve">s data on proceedings against offenders for breaches of the Summary Offences Act 1981 </w:t>
      </w:r>
      <w:r w:rsidR="004F5423">
        <w:t>by</w:t>
      </w:r>
      <w:r w:rsidR="004F5423" w:rsidRPr="00003B52">
        <w:t xml:space="preserve"> being in possession of a HPLP in a public place without a reasonable excuse (see </w:t>
      </w:r>
      <w:hyperlink w:anchor="_Appendix:_Background_to" w:history="1">
        <w:r w:rsidR="00634F75" w:rsidRPr="00634F75">
          <w:rPr>
            <w:rStyle w:val="Hyperlink"/>
          </w:rPr>
          <w:t>Appendix: Background to the legislation behind the controls</w:t>
        </w:r>
      </w:hyperlink>
      <w:r w:rsidR="004F5423" w:rsidRPr="00003B52">
        <w:t>).</w:t>
      </w:r>
    </w:p>
    <w:p w14:paraId="21516E18" w14:textId="77777777" w:rsidR="004F5423" w:rsidRDefault="004F5423" w:rsidP="002135EB"/>
    <w:p w14:paraId="4BF95500" w14:textId="5EFBAA38" w:rsidR="004F5423" w:rsidRPr="00271148" w:rsidRDefault="002135EB" w:rsidP="002135EB">
      <w:pPr>
        <w:pStyle w:val="Figure"/>
      </w:pPr>
      <w:bookmarkStart w:id="63" w:name="_Ref75682624"/>
      <w:bookmarkStart w:id="64" w:name="_Toc69720663"/>
      <w:bookmarkStart w:id="65" w:name="_Toc75682945"/>
      <w:r>
        <w:t>Figure </w:t>
      </w:r>
      <w:r w:rsidR="002A6BDB">
        <w:fldChar w:fldCharType="begin"/>
      </w:r>
      <w:r w:rsidR="002A6BDB">
        <w:instrText xml:space="preserve"> SEQ Figure \* ARABIC </w:instrText>
      </w:r>
      <w:r w:rsidR="002A6BDB">
        <w:fldChar w:fldCharType="separate"/>
      </w:r>
      <w:r w:rsidR="00C55B55">
        <w:rPr>
          <w:noProof/>
        </w:rPr>
        <w:t>5</w:t>
      </w:r>
      <w:r w:rsidR="002A6BDB">
        <w:rPr>
          <w:noProof/>
        </w:rPr>
        <w:fldChar w:fldCharType="end"/>
      </w:r>
      <w:bookmarkEnd w:id="63"/>
      <w:r w:rsidR="004F5423" w:rsidRPr="00271148">
        <w:t>:</w:t>
      </w:r>
      <w:r w:rsidR="004F5423">
        <w:t xml:space="preserve"> Number of proceedings against offenders for possessing high-power laser pointers in a public place, 2015–2021</w:t>
      </w:r>
      <w:bookmarkEnd w:id="64"/>
      <w:bookmarkEnd w:id="65"/>
    </w:p>
    <w:p w14:paraId="373EC960" w14:textId="77777777" w:rsidR="004F5423" w:rsidRDefault="004F5423" w:rsidP="004F5423">
      <w:r>
        <w:rPr>
          <w:noProof/>
          <w:lang w:eastAsia="en-NZ"/>
        </w:rPr>
        <w:drawing>
          <wp:inline distT="0" distB="0" distL="0" distR="0" wp14:anchorId="05CB6418" wp14:editId="66CBA1B1">
            <wp:extent cx="5212080" cy="3108960"/>
            <wp:effectExtent l="0" t="0" r="7620" b="0"/>
            <wp:docPr id="40" name="Chart 40" title="Figure 4: Number of proceedings against offenders for possession of high-power laser pointers in a public place, 2015–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C042AF" w14:textId="77777777" w:rsidR="000778C3" w:rsidRDefault="004F5423" w:rsidP="002135EB">
      <w:r>
        <w:t>Academic staff at The University of Auckland test laser pointers at an evidential standard where required for a prosecution.</w:t>
      </w:r>
    </w:p>
    <w:p w14:paraId="30CB3979" w14:textId="77777777" w:rsidR="004F5423" w:rsidRDefault="004F5423" w:rsidP="002135EB"/>
    <w:p w14:paraId="7F68A135" w14:textId="77777777" w:rsidR="004F5423" w:rsidRDefault="004F5423" w:rsidP="0070078A">
      <w:pPr>
        <w:pStyle w:val="Heading2"/>
      </w:pPr>
      <w:bookmarkStart w:id="66" w:name="_Toc69720642"/>
      <w:bookmarkStart w:id="67" w:name="_Toc75682917"/>
      <w:bookmarkStart w:id="68" w:name="_Toc75770471"/>
      <w:r>
        <w:lastRenderedPageBreak/>
        <w:t>Civil Aviation Authority</w:t>
      </w:r>
      <w:bookmarkEnd w:id="66"/>
      <w:r>
        <w:t xml:space="preserve"> of New</w:t>
      </w:r>
      <w:r w:rsidR="0070078A">
        <w:t> </w:t>
      </w:r>
      <w:r>
        <w:t>Zealand</w:t>
      </w:r>
      <w:bookmarkEnd w:id="67"/>
      <w:bookmarkEnd w:id="68"/>
    </w:p>
    <w:p w14:paraId="6BFD6EAE" w14:textId="77777777" w:rsidR="004F5423" w:rsidRPr="00003B52" w:rsidRDefault="004F5423" w:rsidP="0070078A">
      <w:pPr>
        <w:keepNext/>
      </w:pPr>
      <w:r w:rsidRPr="00003B52">
        <w:t xml:space="preserve">The Civil Aviation Authority </w:t>
      </w:r>
      <w:r>
        <w:t xml:space="preserve">of New Zealand (CAA) </w:t>
      </w:r>
      <w:r w:rsidRPr="00003B52">
        <w:t>reports the following data on laser strikes on aircraft in New Zealand since 2008.</w:t>
      </w:r>
    </w:p>
    <w:p w14:paraId="748BEFEF" w14:textId="77777777" w:rsidR="004F5423" w:rsidRPr="00003B52" w:rsidRDefault="004F5423" w:rsidP="0070078A">
      <w:pPr>
        <w:keepNext/>
      </w:pPr>
    </w:p>
    <w:p w14:paraId="3780A53A" w14:textId="05174741" w:rsidR="004F5423" w:rsidRPr="00003B52" w:rsidRDefault="0070078A" w:rsidP="0070078A">
      <w:pPr>
        <w:pStyle w:val="Figure"/>
      </w:pPr>
      <w:bookmarkStart w:id="69" w:name="_Toc69720664"/>
      <w:bookmarkStart w:id="70" w:name="_Toc75682946"/>
      <w:r>
        <w:t>Figure </w:t>
      </w:r>
      <w:r w:rsidR="002A6BDB">
        <w:fldChar w:fldCharType="begin"/>
      </w:r>
      <w:r w:rsidR="002A6BDB">
        <w:instrText xml:space="preserve"> SEQ Figure \* ARABIC </w:instrText>
      </w:r>
      <w:r w:rsidR="002A6BDB">
        <w:fldChar w:fldCharType="separate"/>
      </w:r>
      <w:r w:rsidR="00C55B55">
        <w:rPr>
          <w:noProof/>
        </w:rPr>
        <w:t>6</w:t>
      </w:r>
      <w:r w:rsidR="002A6BDB">
        <w:rPr>
          <w:noProof/>
        </w:rPr>
        <w:fldChar w:fldCharType="end"/>
      </w:r>
      <w:r w:rsidR="004F5423" w:rsidRPr="00003B52">
        <w:t>: Number of reported laser strikes on aircraft, 2008–</w:t>
      </w:r>
      <w:bookmarkEnd w:id="69"/>
      <w:r w:rsidR="004F5423" w:rsidRPr="00003B52">
        <w:t>2020</w:t>
      </w:r>
      <w:bookmarkEnd w:id="70"/>
    </w:p>
    <w:p w14:paraId="5D4F7038" w14:textId="77777777" w:rsidR="004F5423" w:rsidRDefault="004F5423" w:rsidP="004F5423">
      <w:r w:rsidRPr="00AC06D6">
        <w:rPr>
          <w:noProof/>
          <w:highlight w:val="yellow"/>
          <w:lang w:eastAsia="en-NZ"/>
        </w:rPr>
        <w:drawing>
          <wp:inline distT="0" distB="0" distL="0" distR="0" wp14:anchorId="2D06ED40" wp14:editId="7DC883F1">
            <wp:extent cx="5130165" cy="2670810"/>
            <wp:effectExtent l="0" t="0" r="0" b="0"/>
            <wp:docPr id="9" name="Chart 9" title="Figure 5: Number of reported laser strikes on aircraft, 2008–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90FF7E" w14:textId="77777777" w:rsidR="004F5423" w:rsidRDefault="004F5423" w:rsidP="0070078A"/>
    <w:p w14:paraId="14A654E0" w14:textId="77777777" w:rsidR="000778C3" w:rsidRDefault="004F5423" w:rsidP="0070078A">
      <w:r w:rsidRPr="00003B52">
        <w:t xml:space="preserve">The figure shows that the number of incidents levelled off in 2019 and decreased in 2020. The decrease in 2020 can no doubt be attributed to </w:t>
      </w:r>
      <w:r>
        <w:t>restrictions on people</w:t>
      </w:r>
      <w:r w:rsidR="000778C3">
        <w:t>’</w:t>
      </w:r>
      <w:r>
        <w:t xml:space="preserve">s movements </w:t>
      </w:r>
      <w:r w:rsidRPr="00003B52">
        <w:t xml:space="preserve">and the decreased numbers of flights due to </w:t>
      </w:r>
      <w:r>
        <w:t xml:space="preserve">the </w:t>
      </w:r>
      <w:r w:rsidRPr="00003B52">
        <w:t>COVID-19</w:t>
      </w:r>
      <w:r>
        <w:t xml:space="preserve"> lockdowns</w:t>
      </w:r>
      <w:r w:rsidRPr="00003B52">
        <w:t>.</w:t>
      </w:r>
    </w:p>
    <w:p w14:paraId="4C12CF85" w14:textId="77777777" w:rsidR="004F5423" w:rsidRDefault="004F5423" w:rsidP="0070078A"/>
    <w:p w14:paraId="08AFF95C" w14:textId="77777777" w:rsidR="004F5423" w:rsidRDefault="004F5423" w:rsidP="008C097E">
      <w:pPr>
        <w:pStyle w:val="Heading1"/>
      </w:pPr>
      <w:bookmarkStart w:id="71" w:name="_Toc9435894"/>
      <w:bookmarkStart w:id="72" w:name="_Toc69720643"/>
      <w:bookmarkStart w:id="73" w:name="_Toc75682918"/>
      <w:bookmarkStart w:id="74" w:name="_Toc75770472"/>
      <w:r>
        <w:lastRenderedPageBreak/>
        <w:t>Overseas developments</w:t>
      </w:r>
      <w:bookmarkEnd w:id="71"/>
      <w:bookmarkEnd w:id="72"/>
      <w:bookmarkEnd w:id="73"/>
      <w:bookmarkEnd w:id="74"/>
    </w:p>
    <w:p w14:paraId="61FE024E" w14:textId="77777777" w:rsidR="004F5423" w:rsidRDefault="004F5423" w:rsidP="008C097E">
      <w:r>
        <w:t>Some examples of controls introduced overseas were discussed in the previous</w:t>
      </w:r>
      <w:r w:rsidRPr="00672532">
        <w:t xml:space="preserve"> </w:t>
      </w:r>
      <w:r>
        <w:t>report on the</w:t>
      </w:r>
      <w:r w:rsidRPr="00672532">
        <w:t xml:space="preserve"> </w:t>
      </w:r>
      <w:r>
        <w:t>implementation of HPLP regulations. Health officials are not aware of further legislative controls introduced recently in other countries.</w:t>
      </w:r>
    </w:p>
    <w:p w14:paraId="68AB59E7" w14:textId="77777777" w:rsidR="004F5423" w:rsidRDefault="004F5423" w:rsidP="008C097E"/>
    <w:p w14:paraId="10A4DE85" w14:textId="77777777" w:rsidR="000778C3" w:rsidRDefault="004F5423" w:rsidP="008C097E">
      <w:r>
        <w:t>Data on aircraft laser strikes in the United States of America shows that, after a fall in the years 2017 and 2018, the number of strikes has increased again.</w:t>
      </w:r>
    </w:p>
    <w:p w14:paraId="1FF94180" w14:textId="77777777" w:rsidR="008C097E" w:rsidRDefault="008C097E" w:rsidP="008C097E"/>
    <w:p w14:paraId="38529348" w14:textId="2CE0B9A3" w:rsidR="004F5423" w:rsidRDefault="008C097E" w:rsidP="008C097E">
      <w:pPr>
        <w:pStyle w:val="Figure"/>
      </w:pPr>
      <w:bookmarkStart w:id="75" w:name="_Toc69720665"/>
      <w:bookmarkStart w:id="76" w:name="_Toc75682947"/>
      <w:r>
        <w:t>Figure </w:t>
      </w:r>
      <w:r w:rsidR="002A6BDB">
        <w:fldChar w:fldCharType="begin"/>
      </w:r>
      <w:r w:rsidR="002A6BDB">
        <w:instrText xml:space="preserve"> SEQ Figure \* ARABIC </w:instrText>
      </w:r>
      <w:r w:rsidR="002A6BDB">
        <w:fldChar w:fldCharType="separate"/>
      </w:r>
      <w:r w:rsidR="00C55B55">
        <w:rPr>
          <w:noProof/>
        </w:rPr>
        <w:t>7</w:t>
      </w:r>
      <w:r w:rsidR="002A6BDB">
        <w:rPr>
          <w:noProof/>
        </w:rPr>
        <w:fldChar w:fldCharType="end"/>
      </w:r>
      <w:r w:rsidR="004F5423">
        <w:t>: Number of reported laser strikes on aircraft in the United States, 2004–2020</w:t>
      </w:r>
      <w:bookmarkEnd w:id="75"/>
      <w:bookmarkEnd w:id="76"/>
    </w:p>
    <w:p w14:paraId="52E90B72" w14:textId="77777777" w:rsidR="004F5423" w:rsidRPr="002E6400" w:rsidRDefault="004F5423" w:rsidP="004F5423">
      <w:r w:rsidRPr="008C097E">
        <w:rPr>
          <w:noProof/>
          <w:lang w:eastAsia="en-NZ"/>
        </w:rPr>
        <w:drawing>
          <wp:inline distT="0" distB="0" distL="0" distR="0" wp14:anchorId="107AB0A3" wp14:editId="4DD708E6">
            <wp:extent cx="5120640" cy="2568633"/>
            <wp:effectExtent l="0" t="0" r="3810" b="3175"/>
            <wp:docPr id="4" name="Chart 4" title="Figure 6: Number of reported laser strikes on aircraft in the United States, 2004–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68E988" w14:textId="77777777" w:rsidR="004F5423" w:rsidRDefault="004F5423" w:rsidP="008C097E"/>
    <w:p w14:paraId="40D3ED6F" w14:textId="77777777" w:rsidR="004F5423" w:rsidRPr="00F5030F" w:rsidRDefault="004F5423" w:rsidP="008E099E">
      <w:pPr>
        <w:pStyle w:val="Heading1"/>
      </w:pPr>
      <w:bookmarkStart w:id="77" w:name="_Toc9435900"/>
      <w:bookmarkStart w:id="78" w:name="_Toc69720644"/>
      <w:bookmarkStart w:id="79" w:name="_Toc75682919"/>
      <w:bookmarkStart w:id="80" w:name="_Toc75770473"/>
      <w:r>
        <w:lastRenderedPageBreak/>
        <w:t>Conclusions</w:t>
      </w:r>
      <w:bookmarkEnd w:id="77"/>
      <w:bookmarkEnd w:id="78"/>
      <w:bookmarkEnd w:id="79"/>
      <w:bookmarkEnd w:id="80"/>
    </w:p>
    <w:p w14:paraId="1D488BCD" w14:textId="77777777" w:rsidR="004F5423" w:rsidRPr="00003B52" w:rsidRDefault="004F5423" w:rsidP="008E099E">
      <w:r w:rsidRPr="00003B52">
        <w:t>The Ministry</w:t>
      </w:r>
      <w:r w:rsidR="000778C3">
        <w:t>’</w:t>
      </w:r>
      <w:r w:rsidRPr="00003B52">
        <w:t xml:space="preserve">s implementation of the Health (High-power </w:t>
      </w:r>
      <w:r>
        <w:t>L</w:t>
      </w:r>
      <w:r w:rsidRPr="00003B52">
        <w:t xml:space="preserve">aser </w:t>
      </w:r>
      <w:r>
        <w:t>P</w:t>
      </w:r>
      <w:r w:rsidRPr="00003B52">
        <w:t>ointer</w:t>
      </w:r>
      <w:r>
        <w:t>s</w:t>
      </w:r>
      <w:r w:rsidRPr="00003B52">
        <w:t>) Regulations 2013 and the associated CIPO has continued smoothly. The work has not created a large burden for health officials and others involved.</w:t>
      </w:r>
    </w:p>
    <w:p w14:paraId="0327EE19" w14:textId="77777777" w:rsidR="004F5423" w:rsidRPr="00003B52" w:rsidRDefault="004F5423" w:rsidP="008E099E"/>
    <w:p w14:paraId="2DE5F885" w14:textId="77777777" w:rsidR="004F5423" w:rsidRPr="00003B52" w:rsidRDefault="004F5423" w:rsidP="008E099E">
      <w:r w:rsidRPr="00003B52">
        <w:t>The numbers of applications for authorisations increased over the past year. Advertising on Trade Me and the numbers of laser strikes on aircraft, however, both fell, probably as a result of COVID-19</w:t>
      </w:r>
      <w:r>
        <w:t xml:space="preserve"> restrictions</w:t>
      </w:r>
      <w:r w:rsidRPr="00003B52">
        <w:t xml:space="preserve">. Advertising HPLPs of a power greater than that </w:t>
      </w:r>
      <w:r>
        <w:t xml:space="preserve">shown </w:t>
      </w:r>
      <w:r w:rsidRPr="00003B52">
        <w:t>on the label, or with no power disclosed, continues to be a problem.</w:t>
      </w:r>
    </w:p>
    <w:p w14:paraId="6A7BCC13" w14:textId="77777777" w:rsidR="004F5423" w:rsidRPr="00003B52" w:rsidRDefault="004F5423" w:rsidP="008E099E"/>
    <w:p w14:paraId="2A50E9DE" w14:textId="77777777" w:rsidR="004F5423" w:rsidRPr="00003B52" w:rsidRDefault="004F5423" w:rsidP="008E099E">
      <w:r w:rsidRPr="00003B52">
        <w:t>In the coming year, the Ministry will continue its surveillance of Trade Me and will conduct further discussions with Trade Me on possible additional controls, especially for overseas sellers.</w:t>
      </w:r>
    </w:p>
    <w:p w14:paraId="7D28B1E0" w14:textId="77777777" w:rsidR="004F5423" w:rsidRPr="00003B52" w:rsidRDefault="004F5423" w:rsidP="008E099E"/>
    <w:p w14:paraId="1D3CE27A" w14:textId="77777777" w:rsidR="000778C3" w:rsidRDefault="004F5423" w:rsidP="008E099E">
      <w:r w:rsidRPr="00003B52">
        <w:t>The Ministry will also review conditions associated with authorisations in order to check their effectiveness and whether additional conditions might be necessary in order to promote safe use of more powerful HPLPs. Ministry officials will also carry out a review and audit of past authorisations to check on compliance.</w:t>
      </w:r>
    </w:p>
    <w:p w14:paraId="43C91ECA" w14:textId="77777777" w:rsidR="004F5423" w:rsidRPr="00003B52" w:rsidRDefault="004F5423" w:rsidP="008E099E"/>
    <w:p w14:paraId="15AEF544" w14:textId="77777777" w:rsidR="000778C3" w:rsidRDefault="004F5423" w:rsidP="008E099E">
      <w:pPr>
        <w:rPr>
          <w:lang w:eastAsia="en-NZ"/>
        </w:rPr>
      </w:pPr>
      <w:r w:rsidRPr="00003B52">
        <w:t xml:space="preserve">The Ministry </w:t>
      </w:r>
      <w:r w:rsidRPr="00003B52">
        <w:rPr>
          <w:lang w:eastAsia="en-NZ"/>
        </w:rPr>
        <w:t xml:space="preserve">will arrange to meet with other agencies, including the Ministries of Transport and Justice, the </w:t>
      </w:r>
      <w:r>
        <w:rPr>
          <w:lang w:eastAsia="en-NZ"/>
        </w:rPr>
        <w:t>CAA</w:t>
      </w:r>
      <w:r w:rsidRPr="00003B52">
        <w:rPr>
          <w:lang w:eastAsia="en-NZ"/>
        </w:rPr>
        <w:t>, New Zealand Customs and the New Zealand Police, to share and discuss this report.</w:t>
      </w:r>
    </w:p>
    <w:p w14:paraId="7403E8EC" w14:textId="77777777" w:rsidR="004F5423" w:rsidRDefault="004F5423" w:rsidP="008E099E">
      <w:pPr>
        <w:rPr>
          <w:lang w:eastAsia="en-NZ"/>
        </w:rPr>
      </w:pPr>
    </w:p>
    <w:p w14:paraId="550BA0EA" w14:textId="77777777" w:rsidR="004F5423" w:rsidRDefault="004F5423" w:rsidP="00634F75">
      <w:pPr>
        <w:pStyle w:val="Heading1"/>
        <w:numPr>
          <w:ilvl w:val="0"/>
          <w:numId w:val="0"/>
        </w:numPr>
      </w:pPr>
      <w:bookmarkStart w:id="81" w:name="_Appendix:_Background_to"/>
      <w:bookmarkStart w:id="82" w:name="_Toc9435901"/>
      <w:bookmarkStart w:id="83" w:name="_Toc69720645"/>
      <w:bookmarkStart w:id="84" w:name="_Toc75682920"/>
      <w:bookmarkStart w:id="85" w:name="_Toc75770474"/>
      <w:bookmarkEnd w:id="81"/>
      <w:r>
        <w:lastRenderedPageBreak/>
        <w:t>Appendix: Background to the legislation behind the controls</w:t>
      </w:r>
      <w:bookmarkEnd w:id="82"/>
      <w:bookmarkEnd w:id="83"/>
      <w:bookmarkEnd w:id="84"/>
      <w:bookmarkEnd w:id="85"/>
    </w:p>
    <w:p w14:paraId="3A292286" w14:textId="77777777" w:rsidR="004F5423" w:rsidRPr="0025082B" w:rsidRDefault="004F5423" w:rsidP="00634F75">
      <w:r w:rsidRPr="0025082B">
        <w:t xml:space="preserve">In December 2013, the </w:t>
      </w:r>
      <w:r>
        <w:t xml:space="preserve">New Zealand </w:t>
      </w:r>
      <w:r w:rsidRPr="0025082B">
        <w:t xml:space="preserve">Government introduced new regulations to manage the health and safety risks from </w:t>
      </w:r>
      <w:r>
        <w:t>high-power laser pointers (</w:t>
      </w:r>
      <w:r w:rsidRPr="0025082B">
        <w:t>HPLPs</w:t>
      </w:r>
      <w:r>
        <w:t>)</w:t>
      </w:r>
      <w:r w:rsidRPr="0025082B">
        <w:t>. These came into force on 1 March 2014.</w:t>
      </w:r>
    </w:p>
    <w:p w14:paraId="571E4FA3" w14:textId="77777777" w:rsidR="004F5423" w:rsidRPr="0025082B" w:rsidRDefault="004F5423" w:rsidP="00634F75">
      <w:pPr>
        <w:pStyle w:val="Bullet"/>
      </w:pPr>
      <w:r w:rsidRPr="0025082B">
        <w:t xml:space="preserve">The Customs Import Prohibition (High-power Laser Pointers) Order 2019 (CIPO) restricts the importation of HPLPs to people authorised to import them by the Director-General of Health. The CIPO is made under </w:t>
      </w:r>
      <w:r>
        <w:t xml:space="preserve">section 96 of </w:t>
      </w:r>
      <w:r w:rsidRPr="0025082B">
        <w:t>the Customs and Excise Act 2018 and administered by the New Zealand Customs Service.</w:t>
      </w:r>
    </w:p>
    <w:p w14:paraId="40E1FBB4" w14:textId="77777777" w:rsidR="004F5423" w:rsidRPr="0025082B" w:rsidRDefault="004F5423" w:rsidP="00634F75">
      <w:pPr>
        <w:pStyle w:val="Bullet"/>
      </w:pPr>
      <w:r w:rsidRPr="0025082B">
        <w:t xml:space="preserve">The Health (High-power Laser Pointers) Regulations 2013 restrict the sale/supply of HPLPs to authorised suppliers and restrict their acquisition to authorised recipients. They are made under </w:t>
      </w:r>
      <w:r>
        <w:t xml:space="preserve">sections 117(1)(a) and (z) and 119(d) of </w:t>
      </w:r>
      <w:r w:rsidRPr="0025082B">
        <w:t xml:space="preserve">the Health Act 1956 and </w:t>
      </w:r>
      <w:r>
        <w:t xml:space="preserve">are </w:t>
      </w:r>
      <w:r w:rsidRPr="0025082B">
        <w:t>administered by the Ministry of Health.</w:t>
      </w:r>
    </w:p>
    <w:p w14:paraId="3881F9EA" w14:textId="77777777" w:rsidR="004F5423" w:rsidRPr="0025082B" w:rsidRDefault="004F5423" w:rsidP="00634F75"/>
    <w:p w14:paraId="6D5D5175" w14:textId="77777777" w:rsidR="004F5423" w:rsidRPr="0025082B" w:rsidRDefault="004F5423" w:rsidP="00634F75">
      <w:r w:rsidRPr="0025082B">
        <w:t xml:space="preserve">The regulatory controls do not ban laser pointers outright. They impose controls on the supply chain and require people to justify </w:t>
      </w:r>
      <w:r>
        <w:t>their</w:t>
      </w:r>
      <w:r w:rsidRPr="0025082B">
        <w:t xml:space="preserve"> need </w:t>
      </w:r>
      <w:r>
        <w:t xml:space="preserve">for </w:t>
      </w:r>
      <w:r w:rsidRPr="0025082B">
        <w:t>a higher-power device (as opposed to a lower-power one).</w:t>
      </w:r>
    </w:p>
    <w:p w14:paraId="300AF256" w14:textId="77777777" w:rsidR="004F5423" w:rsidRPr="0025082B" w:rsidRDefault="004F5423" w:rsidP="00634F75"/>
    <w:p w14:paraId="2EFF9866" w14:textId="77777777" w:rsidR="004F5423" w:rsidRPr="0025082B" w:rsidRDefault="004F5423" w:rsidP="00634F75">
      <w:r w:rsidRPr="0025082B">
        <w:t xml:space="preserve">The controls only apply to laser pointers with an output power of greater than 1 milliwatt (mW) and </w:t>
      </w:r>
      <w:r>
        <w:t xml:space="preserve">to </w:t>
      </w:r>
      <w:r w:rsidRPr="0025082B">
        <w:t xml:space="preserve">devices </w:t>
      </w:r>
      <w:r>
        <w:t>that</w:t>
      </w:r>
      <w:r w:rsidRPr="0025082B">
        <w:t>, in the Director-General</w:t>
      </w:r>
      <w:r>
        <w:t xml:space="preserve"> of Health</w:t>
      </w:r>
      <w:r w:rsidR="000778C3">
        <w:t>’</w:t>
      </w:r>
      <w:r w:rsidRPr="0025082B">
        <w:t xml:space="preserve">s opinion, are commonly known as laser pointers. Using this discretion, the Director-General </w:t>
      </w:r>
      <w:r>
        <w:t xml:space="preserve">of Health </w:t>
      </w:r>
      <w:r w:rsidRPr="0025082B">
        <w:t xml:space="preserve">has determined that some types of device (for example, those used in surveying or those sold with fixtures for mounting on a firearm as a sighting aid) do not come within the scope of the </w:t>
      </w:r>
      <w:r>
        <w:t>r</w:t>
      </w:r>
      <w:r w:rsidRPr="0025082B">
        <w:t>egulations.</w:t>
      </w:r>
    </w:p>
    <w:p w14:paraId="1E863BA7" w14:textId="77777777" w:rsidR="004F5423" w:rsidRPr="0025082B" w:rsidRDefault="004F5423" w:rsidP="00634F75"/>
    <w:p w14:paraId="1EAB2ACB" w14:textId="77777777" w:rsidR="004F5423" w:rsidRPr="0025082B" w:rsidRDefault="004F5423" w:rsidP="00634F75">
      <w:r>
        <w:t>T</w:t>
      </w:r>
      <w:r w:rsidRPr="0025082B">
        <w:t xml:space="preserve">he </w:t>
      </w:r>
      <w:r>
        <w:t>r</w:t>
      </w:r>
      <w:r w:rsidRPr="0025082B">
        <w:t xml:space="preserve">egulations </w:t>
      </w:r>
      <w:r>
        <w:t xml:space="preserve">also </w:t>
      </w:r>
      <w:r w:rsidRPr="0025082B">
        <w:t xml:space="preserve">automatically authorise classes of people who </w:t>
      </w:r>
      <w:r>
        <w:t xml:space="preserve">want to </w:t>
      </w:r>
      <w:r w:rsidRPr="0025082B">
        <w:t>use laser pointers for certain purposes, such as members of astronomical societies and people who use laser pointers for industrial and research purposes. However, these people must still be able to provide proof that they belong to the exempt class if required; for example, when they are acquiring an HPLP. People in exempt classes must still obtain authorisation if they wish to import an HPLP.</w:t>
      </w:r>
    </w:p>
    <w:p w14:paraId="27957F45" w14:textId="77777777" w:rsidR="004F5423" w:rsidRPr="0025082B" w:rsidRDefault="004F5423" w:rsidP="00634F75"/>
    <w:p w14:paraId="2D404585" w14:textId="77777777" w:rsidR="004F5423" w:rsidRPr="0025082B" w:rsidRDefault="004F5423" w:rsidP="00634F75">
      <w:r w:rsidRPr="0025082B">
        <w:t xml:space="preserve">In July 2014, the Government amended the Summary Offences Act 1981 to make it an offence to be in possession of an HPLP in a public place without a reasonable excuse. This legislation is administered by the Ministry of Justice and enforced by the </w:t>
      </w:r>
      <w:r>
        <w:t xml:space="preserve">New Zealand </w:t>
      </w:r>
      <w:r w:rsidRPr="0025082B">
        <w:t>Police.</w:t>
      </w:r>
    </w:p>
    <w:p w14:paraId="15B7D5C9" w14:textId="77777777" w:rsidR="004F5423" w:rsidRPr="009469E2" w:rsidRDefault="004F5423" w:rsidP="00634F75"/>
    <w:sectPr w:rsidR="004F5423" w:rsidRPr="009469E2" w:rsidSect="002B7BEC">
      <w:footerReference w:type="even" r:id="rId26"/>
      <w:footerReference w:type="default" r:id="rId27"/>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BFFF" w14:textId="77777777" w:rsidR="002A6BDB" w:rsidRDefault="002A6BDB">
      <w:r>
        <w:separator/>
      </w:r>
    </w:p>
    <w:p w14:paraId="69E9684F" w14:textId="77777777" w:rsidR="002A6BDB" w:rsidRDefault="002A6BDB"/>
  </w:endnote>
  <w:endnote w:type="continuationSeparator" w:id="0">
    <w:p w14:paraId="336BA7F5" w14:textId="77777777" w:rsidR="002A6BDB" w:rsidRDefault="002A6BDB">
      <w:r>
        <w:continuationSeparator/>
      </w:r>
    </w:p>
    <w:p w14:paraId="44171EC5" w14:textId="77777777" w:rsidR="002A6BDB" w:rsidRDefault="002A6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6A28"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w:t>
    </w:r>
    <w:r w:rsidR="008017B4">
      <w:rPr>
        <w:b/>
      </w:rPr>
      <w:t>1</w:t>
    </w:r>
    <w:r w:rsidRPr="00581136">
      <w:rPr>
        <w:b/>
      </w:rPr>
      <w:tab/>
      <w:t>health.govt.nz</w:t>
    </w:r>
  </w:p>
  <w:p w14:paraId="61843ECC"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6CB3" w14:textId="77777777" w:rsidR="00105770" w:rsidRDefault="0010577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B777"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417D2E45" w14:textId="77777777" w:rsidTr="00D662F8">
      <w:trPr>
        <w:cantSplit/>
      </w:trPr>
      <w:tc>
        <w:tcPr>
          <w:tcW w:w="709" w:type="dxa"/>
          <w:vAlign w:val="center"/>
        </w:tcPr>
        <w:p w14:paraId="354C968B"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62D35">
            <w:rPr>
              <w:rStyle w:val="PageNumber"/>
              <w:noProof/>
            </w:rPr>
            <w:t>iv</w:t>
          </w:r>
          <w:r w:rsidRPr="00931466">
            <w:rPr>
              <w:rStyle w:val="PageNumber"/>
            </w:rPr>
            <w:fldChar w:fldCharType="end"/>
          </w:r>
        </w:p>
      </w:tc>
      <w:tc>
        <w:tcPr>
          <w:tcW w:w="8080" w:type="dxa"/>
          <w:vAlign w:val="center"/>
        </w:tcPr>
        <w:p w14:paraId="56381B53" w14:textId="77777777" w:rsidR="00105770" w:rsidRDefault="00925555" w:rsidP="00925555">
          <w:pPr>
            <w:pStyle w:val="RectoFooter"/>
            <w:jc w:val="left"/>
          </w:pPr>
          <w:r>
            <w:t>Implementation of Regulatory Controls on High-power Laser Pointers</w:t>
          </w:r>
        </w:p>
      </w:tc>
    </w:tr>
  </w:tbl>
  <w:p w14:paraId="7A64F537"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16E3437A" w14:textId="77777777" w:rsidTr="006E2886">
      <w:trPr>
        <w:cantSplit/>
      </w:trPr>
      <w:tc>
        <w:tcPr>
          <w:tcW w:w="8080" w:type="dxa"/>
          <w:vAlign w:val="center"/>
        </w:tcPr>
        <w:p w14:paraId="0328223A" w14:textId="77777777" w:rsidR="00105770" w:rsidRDefault="00925555" w:rsidP="00925555">
          <w:pPr>
            <w:pStyle w:val="RectoFooter"/>
          </w:pPr>
          <w:r>
            <w:t>Implementation of Regulatory Controls on High-power Laser Pointers</w:t>
          </w:r>
        </w:p>
      </w:tc>
      <w:tc>
        <w:tcPr>
          <w:tcW w:w="709" w:type="dxa"/>
          <w:vAlign w:val="center"/>
        </w:tcPr>
        <w:p w14:paraId="35B5B4BB"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62D35">
            <w:rPr>
              <w:rStyle w:val="PageNumber"/>
              <w:noProof/>
            </w:rPr>
            <w:t>iii</w:t>
          </w:r>
          <w:r w:rsidRPr="00931466">
            <w:rPr>
              <w:rStyle w:val="PageNumber"/>
            </w:rPr>
            <w:fldChar w:fldCharType="end"/>
          </w:r>
        </w:p>
      </w:tc>
    </w:tr>
  </w:tbl>
  <w:p w14:paraId="27A06C20"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105770" w14:paraId="1B6455F8" w14:textId="77777777" w:rsidTr="006E2886">
      <w:trPr>
        <w:cantSplit/>
      </w:trPr>
      <w:tc>
        <w:tcPr>
          <w:tcW w:w="675" w:type="dxa"/>
          <w:vAlign w:val="center"/>
        </w:tcPr>
        <w:p w14:paraId="2B01FA17"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62D35">
            <w:rPr>
              <w:rStyle w:val="PageNumber"/>
              <w:noProof/>
            </w:rPr>
            <w:t>6</w:t>
          </w:r>
          <w:r w:rsidRPr="00931466">
            <w:rPr>
              <w:rStyle w:val="PageNumber"/>
            </w:rPr>
            <w:fldChar w:fldCharType="end"/>
          </w:r>
        </w:p>
      </w:tc>
      <w:tc>
        <w:tcPr>
          <w:tcW w:w="9072" w:type="dxa"/>
          <w:vAlign w:val="center"/>
        </w:tcPr>
        <w:p w14:paraId="05E41E20" w14:textId="77777777" w:rsidR="00105770" w:rsidRDefault="00925555" w:rsidP="00925555">
          <w:pPr>
            <w:pStyle w:val="RectoFooter"/>
            <w:ind w:left="-108"/>
            <w:jc w:val="left"/>
          </w:pPr>
          <w:r>
            <w:t>Implementation of Regulatory Controls on High-power Laser Pointers</w:t>
          </w:r>
        </w:p>
      </w:tc>
    </w:tr>
  </w:tbl>
  <w:p w14:paraId="7342C23D"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12CE44DE" w14:textId="77777777" w:rsidTr="006E2886">
      <w:trPr>
        <w:cantSplit/>
      </w:trPr>
      <w:tc>
        <w:tcPr>
          <w:tcW w:w="8080" w:type="dxa"/>
          <w:vAlign w:val="center"/>
        </w:tcPr>
        <w:p w14:paraId="40563C39" w14:textId="77777777" w:rsidR="00105770" w:rsidRDefault="00925555" w:rsidP="00925555">
          <w:pPr>
            <w:pStyle w:val="RectoFooter"/>
          </w:pPr>
          <w:r>
            <w:t>Implementation of Regulatory Controls on High-power Laser Pointers</w:t>
          </w:r>
        </w:p>
      </w:tc>
      <w:tc>
        <w:tcPr>
          <w:tcW w:w="709" w:type="dxa"/>
          <w:vAlign w:val="center"/>
        </w:tcPr>
        <w:p w14:paraId="47513E42"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62D35">
            <w:rPr>
              <w:rStyle w:val="PageNumber"/>
              <w:noProof/>
            </w:rPr>
            <w:t>7</w:t>
          </w:r>
          <w:r w:rsidRPr="00931466">
            <w:rPr>
              <w:rStyle w:val="PageNumber"/>
            </w:rPr>
            <w:fldChar w:fldCharType="end"/>
          </w:r>
        </w:p>
      </w:tc>
    </w:tr>
  </w:tbl>
  <w:p w14:paraId="0E34B8CA"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9BB92" w14:textId="77777777" w:rsidR="002A6BDB" w:rsidRPr="00A26E6B" w:rsidRDefault="002A6BDB" w:rsidP="00A26E6B"/>
  </w:footnote>
  <w:footnote w:type="continuationSeparator" w:id="0">
    <w:p w14:paraId="354A4072" w14:textId="77777777" w:rsidR="002A6BDB" w:rsidRDefault="002A6BDB">
      <w:r>
        <w:continuationSeparator/>
      </w:r>
    </w:p>
    <w:p w14:paraId="7C972C8D" w14:textId="77777777" w:rsidR="002A6BDB" w:rsidRDefault="002A6BDB"/>
  </w:footnote>
  <w:footnote w:id="1">
    <w:p w14:paraId="02B9540A" w14:textId="77777777" w:rsidR="004F5423" w:rsidRPr="000778C3" w:rsidRDefault="004F5423" w:rsidP="00583E5C">
      <w:pPr>
        <w:pStyle w:val="FootnoteText"/>
      </w:pPr>
      <w:r w:rsidRPr="00583E5C">
        <w:rPr>
          <w:rStyle w:val="FootnoteReference"/>
        </w:rPr>
        <w:footnoteRef/>
      </w:r>
      <w:r w:rsidR="00583E5C">
        <w:tab/>
      </w:r>
      <w:r w:rsidRPr="000778C3">
        <w:t>See the Ministry of Health</w:t>
      </w:r>
      <w:r w:rsidR="000778C3" w:rsidRPr="000778C3">
        <w:t>’</w:t>
      </w:r>
      <w:r w:rsidRPr="000778C3">
        <w:t xml:space="preserve">s webpage Questions and answers: New controls on high-power laser pointers at URL: </w:t>
      </w:r>
      <w:hyperlink r:id="rId1" w:history="1">
        <w:r w:rsidR="00583E5C" w:rsidRPr="00583E5C">
          <w:rPr>
            <w:rStyle w:val="Hyperlink"/>
          </w:rPr>
          <w:t>www.health.govt.nz/our-work/environmental-health/high-power-laser-pointers/questions-and-answers-new-controls-high-power-laser-pointers</w:t>
        </w:r>
      </w:hyperlink>
    </w:p>
  </w:footnote>
  <w:footnote w:id="2">
    <w:p w14:paraId="1AD9B863" w14:textId="77777777" w:rsidR="004F5423" w:rsidRDefault="004F5423" w:rsidP="00583E5C">
      <w:pPr>
        <w:pStyle w:val="FootnoteText"/>
      </w:pPr>
      <w:r w:rsidRPr="00583E5C">
        <w:rPr>
          <w:rStyle w:val="FootnoteReference"/>
        </w:rPr>
        <w:footnoteRef/>
      </w:r>
      <w:r>
        <w:tab/>
        <w:t xml:space="preserve">Ministry of Health. 2014. High-power laser pointers. URL: </w:t>
      </w:r>
      <w:hyperlink r:id="rId2" w:history="1">
        <w:r w:rsidRPr="00B62ACB">
          <w:rPr>
            <w:rStyle w:val="Hyperlink"/>
          </w:rPr>
          <w:t>www.health.govt.nz/our-work/environmental-health/high-power-laser-pointers</w:t>
        </w:r>
      </w:hyperlink>
      <w:r>
        <w:t xml:space="preserve"> (accessed 19 April 2021).</w:t>
      </w:r>
    </w:p>
  </w:footnote>
  <w:footnote w:id="3">
    <w:p w14:paraId="2D835CA6" w14:textId="77777777" w:rsidR="004F5423" w:rsidRDefault="004F5423" w:rsidP="004F5423">
      <w:pPr>
        <w:pStyle w:val="FootnoteText"/>
      </w:pPr>
      <w:r w:rsidRPr="00566C96">
        <w:rPr>
          <w:rStyle w:val="FootnoteReference"/>
        </w:rPr>
        <w:footnoteRef/>
      </w:r>
      <w:r>
        <w:tab/>
        <w:t xml:space="preserve">See </w:t>
      </w:r>
      <w:r w:rsidRPr="00711E90">
        <w:t xml:space="preserve">Trade Me </w:t>
      </w:r>
      <w:r>
        <w:t>b</w:t>
      </w:r>
      <w:r w:rsidRPr="00711E90">
        <w:t>log</w:t>
      </w:r>
      <w:r>
        <w:t>.</w:t>
      </w:r>
      <w:r w:rsidRPr="00711E90">
        <w:t xml:space="preserve"> </w:t>
      </w:r>
      <w:r>
        <w:t xml:space="preserve">2014. </w:t>
      </w:r>
      <w:r w:rsidRPr="00286940">
        <w:t>High powered laser pointers cannot be sold on Trade Me</w:t>
      </w:r>
      <w:r>
        <w:t>. URL:</w:t>
      </w:r>
      <w:r w:rsidRPr="00286940">
        <w:t xml:space="preserve"> </w:t>
      </w:r>
      <w:hyperlink r:id="rId3" w:anchor="lasers" w:history="1">
        <w:r w:rsidR="00566C96" w:rsidRPr="00566C96">
          <w:rPr>
            <w:rStyle w:val="Hyperlink"/>
          </w:rPr>
          <w:t>https://help.trademe.co.nz/hc/en-us/articles/360010959212-Banned-and-restricted-#lasers</w:t>
        </w:r>
      </w:hyperlink>
      <w:r>
        <w:t xml:space="preserve"> (accessed 7 April 2021).</w:t>
      </w:r>
    </w:p>
  </w:footnote>
  <w:footnote w:id="4">
    <w:p w14:paraId="23861D01" w14:textId="77777777" w:rsidR="004F5423" w:rsidRDefault="004F5423" w:rsidP="00566C96">
      <w:pPr>
        <w:pStyle w:val="FootnoteText"/>
      </w:pPr>
      <w:r w:rsidRPr="00566C96">
        <w:rPr>
          <w:rStyle w:val="FootnoteReference"/>
        </w:rPr>
        <w:footnoteRef/>
      </w:r>
      <w:r>
        <w:tab/>
        <w:t>Numbers from 1 March 2014 to mid-May 2014 have been estimated, based on the number of listings for the rest of the year.</w:t>
      </w:r>
    </w:p>
  </w:footnote>
  <w:footnote w:id="5">
    <w:p w14:paraId="6B137AE4" w14:textId="77777777" w:rsidR="004F5423" w:rsidRDefault="004F5423" w:rsidP="008F3E7E">
      <w:pPr>
        <w:pStyle w:val="FootnoteText"/>
      </w:pPr>
      <w:r w:rsidRPr="008F3E7E">
        <w:rPr>
          <w:rStyle w:val="FootnoteReference"/>
        </w:rPr>
        <w:footnoteRef/>
      </w:r>
      <w:r>
        <w:tab/>
        <w:t xml:space="preserve">Ministry of Health has a Trade Me email account that can be used to send advisory messages to sellers or to enable Trade Me users to report listings through a </w:t>
      </w:r>
      <w:r w:rsidR="000778C3">
        <w:t>‘</w:t>
      </w:r>
      <w:r>
        <w:t>community watch</w:t>
      </w:r>
      <w:r w:rsidR="000778C3">
        <w:t>’</w:t>
      </w:r>
      <w:r>
        <w:t xml:space="preserve"> function.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105770" w14:paraId="2CBEE086" w14:textId="77777777" w:rsidTr="005A79E5">
      <w:trPr>
        <w:cantSplit/>
      </w:trPr>
      <w:tc>
        <w:tcPr>
          <w:tcW w:w="5210" w:type="dxa"/>
        </w:tcPr>
        <w:p w14:paraId="169E1815" w14:textId="77777777" w:rsidR="00105770" w:rsidRDefault="00105770" w:rsidP="008814E8">
          <w:pPr>
            <w:pStyle w:val="Header"/>
          </w:pPr>
          <w:r>
            <w:rPr>
              <w:noProof/>
              <w:lang w:eastAsia="en-NZ"/>
            </w:rPr>
            <w:drawing>
              <wp:inline distT="0" distB="0" distL="0" distR="0" wp14:anchorId="4F6E8A7E" wp14:editId="5EC3E22E">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4A0E96E0" w14:textId="77777777" w:rsidR="00105770" w:rsidRDefault="00105770" w:rsidP="008814E8">
          <w:pPr>
            <w:pStyle w:val="Header"/>
            <w:jc w:val="right"/>
          </w:pPr>
          <w:r>
            <w:rPr>
              <w:noProof/>
              <w:lang w:eastAsia="en-NZ"/>
            </w:rPr>
            <w:drawing>
              <wp:inline distT="0" distB="0" distL="0" distR="0" wp14:anchorId="1BC8F9D2" wp14:editId="0824B17A">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1B843A8" w14:textId="77777777" w:rsidR="00105770" w:rsidRDefault="0010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D2AE"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6C92"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4F5E2004"/>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3"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D863AA"/>
    <w:multiLevelType w:val="multilevel"/>
    <w:tmpl w:val="FC0CF186"/>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1"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2"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1"/>
  </w:num>
  <w:num w:numId="2">
    <w:abstractNumId w:val="21"/>
  </w:num>
  <w:num w:numId="3">
    <w:abstractNumId w:val="22"/>
  </w:num>
  <w:num w:numId="4">
    <w:abstractNumId w:val="4"/>
  </w:num>
  <w:num w:numId="5">
    <w:abstractNumId w:val="1"/>
  </w:num>
  <w:num w:numId="6">
    <w:abstractNumId w:val="26"/>
  </w:num>
  <w:num w:numId="7">
    <w:abstractNumId w:val="34"/>
  </w:num>
  <w:num w:numId="8">
    <w:abstractNumId w:val="3"/>
  </w:num>
  <w:num w:numId="9">
    <w:abstractNumId w:val="35"/>
  </w:num>
  <w:num w:numId="10">
    <w:abstractNumId w:val="28"/>
  </w:num>
  <w:num w:numId="11">
    <w:abstractNumId w:val="15"/>
  </w:num>
  <w:num w:numId="12">
    <w:abstractNumId w:val="20"/>
  </w:num>
  <w:num w:numId="13">
    <w:abstractNumId w:val="0"/>
  </w:num>
  <w:num w:numId="14">
    <w:abstractNumId w:val="12"/>
  </w:num>
  <w:num w:numId="15">
    <w:abstractNumId w:val="18"/>
  </w:num>
  <w:num w:numId="16">
    <w:abstractNumId w:val="29"/>
  </w:num>
  <w:num w:numId="17">
    <w:abstractNumId w:val="8"/>
  </w:num>
  <w:num w:numId="18">
    <w:abstractNumId w:val="14"/>
  </w:num>
  <w:num w:numId="19">
    <w:abstractNumId w:val="9"/>
  </w:num>
  <w:num w:numId="20">
    <w:abstractNumId w:val="6"/>
  </w:num>
  <w:num w:numId="21">
    <w:abstractNumId w:val="39"/>
  </w:num>
  <w:num w:numId="22">
    <w:abstractNumId w:val="13"/>
  </w:num>
  <w:num w:numId="23">
    <w:abstractNumId w:val="37"/>
  </w:num>
  <w:num w:numId="24">
    <w:abstractNumId w:val="2"/>
  </w:num>
  <w:num w:numId="25">
    <w:abstractNumId w:val="7"/>
  </w:num>
  <w:num w:numId="26">
    <w:abstractNumId w:val="5"/>
  </w:num>
  <w:num w:numId="27">
    <w:abstractNumId w:val="31"/>
  </w:num>
  <w:num w:numId="28">
    <w:abstractNumId w:val="38"/>
  </w:num>
  <w:num w:numId="29">
    <w:abstractNumId w:val="17"/>
  </w:num>
  <w:num w:numId="30">
    <w:abstractNumId w:val="11"/>
  </w:num>
  <w:num w:numId="31">
    <w:abstractNumId w:val="27"/>
  </w:num>
  <w:num w:numId="32">
    <w:abstractNumId w:val="19"/>
  </w:num>
  <w:num w:numId="33">
    <w:abstractNumId w:val="42"/>
  </w:num>
  <w:num w:numId="34">
    <w:abstractNumId w:val="16"/>
  </w:num>
  <w:num w:numId="35">
    <w:abstractNumId w:val="33"/>
  </w:num>
  <w:num w:numId="36">
    <w:abstractNumId w:val="30"/>
  </w:num>
  <w:num w:numId="37">
    <w:abstractNumId w:val="40"/>
  </w:num>
  <w:num w:numId="38">
    <w:abstractNumId w:val="32"/>
  </w:num>
  <w:num w:numId="39">
    <w:abstractNumId w:val="23"/>
  </w:num>
  <w:num w:numId="40">
    <w:abstractNumId w:val="24"/>
  </w:num>
  <w:num w:numId="41">
    <w:abstractNumId w:val="10"/>
  </w:num>
  <w:num w:numId="42">
    <w:abstractNumId w:val="25"/>
  </w:num>
  <w:num w:numId="43">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6A22"/>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778C3"/>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5EB"/>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335A"/>
    <w:rsid w:val="002A4DFC"/>
    <w:rsid w:val="002A6BDB"/>
    <w:rsid w:val="002B047D"/>
    <w:rsid w:val="002B732B"/>
    <w:rsid w:val="002B76A7"/>
    <w:rsid w:val="002B7BEC"/>
    <w:rsid w:val="002C2219"/>
    <w:rsid w:val="002C2552"/>
    <w:rsid w:val="002C380A"/>
    <w:rsid w:val="002D0DF2"/>
    <w:rsid w:val="002D23BD"/>
    <w:rsid w:val="002E0B47"/>
    <w:rsid w:val="002F3A0D"/>
    <w:rsid w:val="002F4685"/>
    <w:rsid w:val="002F7213"/>
    <w:rsid w:val="003037BB"/>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2F0D"/>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4F5423"/>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6C96"/>
    <w:rsid w:val="00567B58"/>
    <w:rsid w:val="00571223"/>
    <w:rsid w:val="005763E0"/>
    <w:rsid w:val="00581136"/>
    <w:rsid w:val="00581EB8"/>
    <w:rsid w:val="005839E7"/>
    <w:rsid w:val="00583E5C"/>
    <w:rsid w:val="0058437F"/>
    <w:rsid w:val="005A27CA"/>
    <w:rsid w:val="005A43BD"/>
    <w:rsid w:val="005A79E5"/>
    <w:rsid w:val="005D034C"/>
    <w:rsid w:val="005E226E"/>
    <w:rsid w:val="005E2636"/>
    <w:rsid w:val="006015D7"/>
    <w:rsid w:val="00601B21"/>
    <w:rsid w:val="006041F0"/>
    <w:rsid w:val="00605C6D"/>
    <w:rsid w:val="006120CA"/>
    <w:rsid w:val="0061443A"/>
    <w:rsid w:val="00617B35"/>
    <w:rsid w:val="00624174"/>
    <w:rsid w:val="00626CF8"/>
    <w:rsid w:val="006314AF"/>
    <w:rsid w:val="00634003"/>
    <w:rsid w:val="00634ED8"/>
    <w:rsid w:val="00634F75"/>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A7DBE"/>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78A"/>
    <w:rsid w:val="0070091D"/>
    <w:rsid w:val="00702854"/>
    <w:rsid w:val="0071741C"/>
    <w:rsid w:val="007368A7"/>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F83"/>
    <w:rsid w:val="008B7FD8"/>
    <w:rsid w:val="008C097E"/>
    <w:rsid w:val="008C2973"/>
    <w:rsid w:val="008C6324"/>
    <w:rsid w:val="008C64C4"/>
    <w:rsid w:val="008D2CDD"/>
    <w:rsid w:val="008D74D5"/>
    <w:rsid w:val="008D7C9F"/>
    <w:rsid w:val="008E04BA"/>
    <w:rsid w:val="008E099E"/>
    <w:rsid w:val="008E0ED1"/>
    <w:rsid w:val="008E2083"/>
    <w:rsid w:val="008E3A07"/>
    <w:rsid w:val="008E537B"/>
    <w:rsid w:val="008F29BE"/>
    <w:rsid w:val="008F3E7E"/>
    <w:rsid w:val="008F4AE5"/>
    <w:rsid w:val="008F51EB"/>
    <w:rsid w:val="00900197"/>
    <w:rsid w:val="00902F55"/>
    <w:rsid w:val="0090582B"/>
    <w:rsid w:val="009060C0"/>
    <w:rsid w:val="009133F5"/>
    <w:rsid w:val="0091756F"/>
    <w:rsid w:val="00920A27"/>
    <w:rsid w:val="00921216"/>
    <w:rsid w:val="009216CC"/>
    <w:rsid w:val="00922E41"/>
    <w:rsid w:val="00925555"/>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1608"/>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1B8C"/>
    <w:rsid w:val="00C12508"/>
    <w:rsid w:val="00C23728"/>
    <w:rsid w:val="00C3026C"/>
    <w:rsid w:val="00C313A9"/>
    <w:rsid w:val="00C347C8"/>
    <w:rsid w:val="00C358E4"/>
    <w:rsid w:val="00C418EE"/>
    <w:rsid w:val="00C441CF"/>
    <w:rsid w:val="00C45AA2"/>
    <w:rsid w:val="00C4792C"/>
    <w:rsid w:val="00C54DCA"/>
    <w:rsid w:val="00C55B55"/>
    <w:rsid w:val="00C55BEF"/>
    <w:rsid w:val="00C57C00"/>
    <w:rsid w:val="00C601AF"/>
    <w:rsid w:val="00C61A63"/>
    <w:rsid w:val="00C66296"/>
    <w:rsid w:val="00C70752"/>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09F"/>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2D35"/>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974E3"/>
  <w15:docId w15:val="{17E8E8BF-24BE-4B19-A9BC-E3D726A3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numPr>
        <w:numId w:val="43"/>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43"/>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43"/>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6A7DBE"/>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6A7DBE"/>
    <w:pPr>
      <w:tabs>
        <w:tab w:val="right" w:pos="8080"/>
      </w:tabs>
      <w:spacing w:before="60"/>
      <w:ind w:left="1134" w:right="567" w:hanging="567"/>
    </w:pPr>
  </w:style>
  <w:style w:type="paragraph" w:styleId="TOC3">
    <w:name w:val="toc 3"/>
    <w:basedOn w:val="Normal"/>
    <w:next w:val="Normal"/>
    <w:uiPriority w:val="39"/>
    <w:rsid w:val="006A7DBE"/>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C11B8C"/>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583E5C"/>
    <w:pPr>
      <w:spacing w:before="80"/>
      <w:ind w:left="284" w:hanging="284"/>
    </w:pPr>
    <w:rPr>
      <w:sz w:val="17"/>
    </w:rPr>
  </w:style>
  <w:style w:type="character" w:customStyle="1" w:styleId="NoteChar">
    <w:name w:val="Note Char"/>
    <w:link w:val="Note"/>
    <w:rsid w:val="00583E5C"/>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583E5C"/>
    <w:pPr>
      <w:spacing w:after="200"/>
    </w:pPr>
    <w:rPr>
      <w:b/>
      <w:bCs/>
      <w:color w:val="4F81BD" w:themeColor="accent1"/>
      <w:sz w:val="18"/>
      <w:szCs w:val="18"/>
    </w:rPr>
  </w:style>
  <w:style w:type="table" w:styleId="TableGrid">
    <w:name w:val="Table Grid"/>
    <w:basedOn w:val="TableNormal"/>
    <w:uiPriority w:val="59"/>
    <w:rsid w:val="004F5423"/>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help.trademe.co.nz/hc/en-us/articles/360010959212-Banned-and-restricted-" TargetMode="External"/><Relationship Id="rId2" Type="http://schemas.openxmlformats.org/officeDocument/2006/relationships/hyperlink" Target="http://www.health.govt.nz/our-work/environmental-health/high-power-laser-pointers" TargetMode="External"/><Relationship Id="rId1" Type="http://schemas.openxmlformats.org/officeDocument/2006/relationships/hyperlink" Target="http://www.health.govt.nz/our-work/environmental-health/high-power-laser-pointers/questions-and-answers-new-controls-high-power-laser-point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66826283420077E-2"/>
          <c:y val="0.11313216047484727"/>
          <c:w val="0.90460273365787003"/>
          <c:h val="0.70741687278744581"/>
        </c:manualLayout>
      </c:layout>
      <c:barChart>
        <c:barDir val="col"/>
        <c:grouping val="clustered"/>
        <c:varyColors val="0"/>
        <c:ser>
          <c:idx val="0"/>
          <c:order val="0"/>
          <c:tx>
            <c:strRef>
              <c:f>Sheet1!$B$1</c:f>
              <c:strCache>
                <c:ptCount val="1"/>
                <c:pt idx="0">
                  <c:v>Declined</c:v>
                </c:pt>
              </c:strCache>
            </c:strRef>
          </c:tx>
          <c:spPr>
            <a:solidFill>
              <a:srgbClr val="0A6AB4"/>
            </a:solidFill>
            <a:ln>
              <a:solidFill>
                <a:srgbClr val="0A6AB4"/>
              </a:solidFill>
            </a:ln>
            <a:effectLst/>
          </c:spPr>
          <c:invertIfNegative val="0"/>
          <c:cat>
            <c:strRef>
              <c:f>Sheet1!$A$2:$A$8</c:f>
              <c:strCache>
                <c:ptCount val="7"/>
                <c:pt idx="0">
                  <c:v>2014/15*</c:v>
                </c:pt>
                <c:pt idx="1">
                  <c:v>2015/16</c:v>
                </c:pt>
                <c:pt idx="2">
                  <c:v>2016/17</c:v>
                </c:pt>
                <c:pt idx="3">
                  <c:v>2017/18</c:v>
                </c:pt>
                <c:pt idx="4">
                  <c:v>2018/19</c:v>
                </c:pt>
                <c:pt idx="5">
                  <c:v>2019/20</c:v>
                </c:pt>
                <c:pt idx="6">
                  <c:v>2020/21</c:v>
                </c:pt>
              </c:strCache>
            </c:strRef>
          </c:cat>
          <c:val>
            <c:numRef>
              <c:f>Sheet1!$B$2:$B$8</c:f>
              <c:numCache>
                <c:formatCode>General</c:formatCode>
                <c:ptCount val="7"/>
                <c:pt idx="0">
                  <c:v>14</c:v>
                </c:pt>
                <c:pt idx="1">
                  <c:v>5</c:v>
                </c:pt>
                <c:pt idx="2">
                  <c:v>2</c:v>
                </c:pt>
                <c:pt idx="3">
                  <c:v>1</c:v>
                </c:pt>
                <c:pt idx="4">
                  <c:v>3</c:v>
                </c:pt>
                <c:pt idx="5">
                  <c:v>3</c:v>
                </c:pt>
                <c:pt idx="6">
                  <c:v>3</c:v>
                </c:pt>
              </c:numCache>
            </c:numRef>
          </c:val>
          <c:extLst>
            <c:ext xmlns:c16="http://schemas.microsoft.com/office/drawing/2014/chart" uri="{C3380CC4-5D6E-409C-BE32-E72D297353CC}">
              <c16:uniqueId val="{00000000-1D04-444A-B9D9-04512118A1E3}"/>
            </c:ext>
          </c:extLst>
        </c:ser>
        <c:ser>
          <c:idx val="1"/>
          <c:order val="1"/>
          <c:tx>
            <c:strRef>
              <c:f>Sheet1!$C$1</c:f>
              <c:strCache>
                <c:ptCount val="1"/>
                <c:pt idx="0">
                  <c:v>Not needed</c:v>
                </c:pt>
              </c:strCache>
            </c:strRef>
          </c:tx>
          <c:spPr>
            <a:solidFill>
              <a:srgbClr val="F18700"/>
            </a:solidFill>
            <a:ln>
              <a:solidFill>
                <a:srgbClr val="F18700"/>
              </a:solidFill>
            </a:ln>
            <a:effectLst/>
          </c:spPr>
          <c:invertIfNegative val="0"/>
          <c:cat>
            <c:strRef>
              <c:f>Sheet1!$A$2:$A$8</c:f>
              <c:strCache>
                <c:ptCount val="7"/>
                <c:pt idx="0">
                  <c:v>2014/15*</c:v>
                </c:pt>
                <c:pt idx="1">
                  <c:v>2015/16</c:v>
                </c:pt>
                <c:pt idx="2">
                  <c:v>2016/17</c:v>
                </c:pt>
                <c:pt idx="3">
                  <c:v>2017/18</c:v>
                </c:pt>
                <c:pt idx="4">
                  <c:v>2018/19</c:v>
                </c:pt>
                <c:pt idx="5">
                  <c:v>2019/20</c:v>
                </c:pt>
                <c:pt idx="6">
                  <c:v>2020/21</c:v>
                </c:pt>
              </c:strCache>
            </c:strRef>
          </c:cat>
          <c:val>
            <c:numRef>
              <c:f>Sheet1!$C$2:$C$8</c:f>
              <c:numCache>
                <c:formatCode>General</c:formatCode>
                <c:ptCount val="7"/>
                <c:pt idx="0">
                  <c:v>2</c:v>
                </c:pt>
                <c:pt idx="1">
                  <c:v>12</c:v>
                </c:pt>
                <c:pt idx="2">
                  <c:v>3</c:v>
                </c:pt>
                <c:pt idx="3">
                  <c:v>3</c:v>
                </c:pt>
                <c:pt idx="4">
                  <c:v>2</c:v>
                </c:pt>
                <c:pt idx="5">
                  <c:v>2</c:v>
                </c:pt>
                <c:pt idx="6">
                  <c:v>6</c:v>
                </c:pt>
              </c:numCache>
            </c:numRef>
          </c:val>
          <c:extLst>
            <c:ext xmlns:c16="http://schemas.microsoft.com/office/drawing/2014/chart" uri="{C3380CC4-5D6E-409C-BE32-E72D297353CC}">
              <c16:uniqueId val="{00000001-1D04-444A-B9D9-04512118A1E3}"/>
            </c:ext>
          </c:extLst>
        </c:ser>
        <c:ser>
          <c:idx val="2"/>
          <c:order val="2"/>
          <c:tx>
            <c:strRef>
              <c:f>Sheet1!$D$1</c:f>
              <c:strCache>
                <c:ptCount val="1"/>
                <c:pt idx="0">
                  <c:v>Granted</c:v>
                </c:pt>
              </c:strCache>
            </c:strRef>
          </c:tx>
          <c:spPr>
            <a:solidFill>
              <a:srgbClr val="84A113"/>
            </a:solidFill>
            <a:ln>
              <a:solidFill>
                <a:srgbClr val="84A113"/>
              </a:solidFill>
            </a:ln>
            <a:effectLst/>
          </c:spPr>
          <c:invertIfNegative val="0"/>
          <c:cat>
            <c:strRef>
              <c:f>Sheet1!$A$2:$A$8</c:f>
              <c:strCache>
                <c:ptCount val="7"/>
                <c:pt idx="0">
                  <c:v>2014/15*</c:v>
                </c:pt>
                <c:pt idx="1">
                  <c:v>2015/16</c:v>
                </c:pt>
                <c:pt idx="2">
                  <c:v>2016/17</c:v>
                </c:pt>
                <c:pt idx="3">
                  <c:v>2017/18</c:v>
                </c:pt>
                <c:pt idx="4">
                  <c:v>2018/19</c:v>
                </c:pt>
                <c:pt idx="5">
                  <c:v>2019/20</c:v>
                </c:pt>
                <c:pt idx="6">
                  <c:v>2020/21</c:v>
                </c:pt>
              </c:strCache>
            </c:strRef>
          </c:cat>
          <c:val>
            <c:numRef>
              <c:f>Sheet1!$D$2:$D$8</c:f>
              <c:numCache>
                <c:formatCode>General</c:formatCode>
                <c:ptCount val="7"/>
                <c:pt idx="0">
                  <c:v>21</c:v>
                </c:pt>
                <c:pt idx="1">
                  <c:v>22</c:v>
                </c:pt>
                <c:pt idx="2">
                  <c:v>19</c:v>
                </c:pt>
                <c:pt idx="3">
                  <c:v>16</c:v>
                </c:pt>
                <c:pt idx="4">
                  <c:v>15</c:v>
                </c:pt>
                <c:pt idx="5">
                  <c:v>15</c:v>
                </c:pt>
                <c:pt idx="6">
                  <c:v>18</c:v>
                </c:pt>
              </c:numCache>
            </c:numRef>
          </c:val>
          <c:extLst>
            <c:ext xmlns:c16="http://schemas.microsoft.com/office/drawing/2014/chart" uri="{C3380CC4-5D6E-409C-BE32-E72D297353CC}">
              <c16:uniqueId val="{00000002-1D04-444A-B9D9-04512118A1E3}"/>
            </c:ext>
          </c:extLst>
        </c:ser>
        <c:dLbls>
          <c:showLegendKey val="0"/>
          <c:showVal val="0"/>
          <c:showCatName val="0"/>
          <c:showSerName val="0"/>
          <c:showPercent val="0"/>
          <c:showBubbleSize val="0"/>
        </c:dLbls>
        <c:gapWidth val="50"/>
        <c:axId val="274535552"/>
        <c:axId val="274537856"/>
      </c:barChart>
      <c:catAx>
        <c:axId val="274535552"/>
        <c:scaling>
          <c:orientation val="minMax"/>
        </c:scaling>
        <c:delete val="0"/>
        <c:axPos val="b"/>
        <c:title>
          <c:tx>
            <c:rich>
              <a:bodyPr rot="0" vert="horz"/>
              <a:lstStyle/>
              <a:p>
                <a:pPr>
                  <a:defRPr sz="900" b="0"/>
                </a:pPr>
                <a:r>
                  <a:rPr lang="en-NZ" sz="900" b="0"/>
                  <a:t>Year</a:t>
                </a:r>
              </a:p>
            </c:rich>
          </c:tx>
          <c:layout>
            <c:manualLayout>
              <c:xMode val="edge"/>
              <c:yMode val="edge"/>
              <c:x val="0.48017422441578389"/>
              <c:y val="0.9270069382244027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sz="900"/>
            </a:pPr>
            <a:endParaRPr lang="en-US"/>
          </a:p>
        </c:txPr>
        <c:crossAx val="274537856"/>
        <c:crosses val="autoZero"/>
        <c:auto val="1"/>
        <c:lblAlgn val="ctr"/>
        <c:lblOffset val="100"/>
        <c:noMultiLvlLbl val="0"/>
      </c:catAx>
      <c:valAx>
        <c:axId val="274537856"/>
        <c:scaling>
          <c:orientation val="minMax"/>
        </c:scaling>
        <c:delete val="0"/>
        <c:axPos val="l"/>
        <c:numFmt formatCode="General" sourceLinked="1"/>
        <c:majorTickMark val="out"/>
        <c:minorTickMark val="none"/>
        <c:tickLblPos val="nextTo"/>
        <c:spPr>
          <a:noFill/>
          <a:ln>
            <a:solidFill>
              <a:schemeClr val="tx1"/>
            </a:solidFill>
          </a:ln>
          <a:effectLst/>
        </c:spPr>
        <c:txPr>
          <a:bodyPr rot="-60000000" vert="horz"/>
          <a:lstStyle/>
          <a:p>
            <a:pPr>
              <a:defRPr sz="900"/>
            </a:pPr>
            <a:endParaRPr lang="en-US"/>
          </a:p>
        </c:txPr>
        <c:crossAx val="274535552"/>
        <c:crosses val="autoZero"/>
        <c:crossBetween val="between"/>
      </c:valAx>
      <c:spPr>
        <a:noFill/>
        <a:ln>
          <a:noFill/>
        </a:ln>
        <a:effectLst/>
      </c:spPr>
    </c:plotArea>
    <c:legend>
      <c:legendPos val="t"/>
      <c:layout>
        <c:manualLayout>
          <c:xMode val="edge"/>
          <c:yMode val="edge"/>
          <c:x val="0.51813157931678833"/>
          <c:y val="1.7907704236461101E-2"/>
          <c:w val="0.4587187741524883"/>
          <c:h val="6.6964754405699295E-2"/>
        </c:manualLayout>
      </c:layout>
      <c:overlay val="1"/>
      <c:spPr>
        <a:noFill/>
        <a:ln>
          <a:noFill/>
        </a:ln>
        <a:effectLst/>
      </c:spPr>
      <c:txPr>
        <a:bodyPr rot="0" vert="horz"/>
        <a:lstStyle/>
        <a:p>
          <a:pPr>
            <a:defRPr sz="900"/>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151510259501297E-2"/>
          <c:y val="0.11243237930078179"/>
          <c:w val="0.89935197016080382"/>
          <c:h val="0.61407094499453663"/>
        </c:manualLayout>
      </c:layout>
      <c:barChart>
        <c:barDir val="col"/>
        <c:grouping val="clustered"/>
        <c:varyColors val="0"/>
        <c:ser>
          <c:idx val="0"/>
          <c:order val="0"/>
          <c:tx>
            <c:strRef>
              <c:f>Sheet1!$B$1</c:f>
              <c:strCache>
                <c:ptCount val="1"/>
                <c:pt idx="0">
                  <c:v>Overview page</c:v>
                </c:pt>
              </c:strCache>
            </c:strRef>
          </c:tx>
          <c:spPr>
            <a:solidFill>
              <a:srgbClr val="0A6AB4"/>
            </a:solidFill>
            <a:ln>
              <a:solidFill>
                <a:srgbClr val="0A6AB4"/>
              </a:solidFill>
            </a:ln>
          </c:spPr>
          <c:invertIfNegative val="0"/>
          <c:cat>
            <c:strRef>
              <c:f>Sheet1!$A$2:$A$8</c:f>
              <c:strCache>
                <c:ptCount val="7"/>
                <c:pt idx="0">
                  <c:v>Mar 14–Feb 15</c:v>
                </c:pt>
                <c:pt idx="1">
                  <c:v>Mar 15–Feb 16</c:v>
                </c:pt>
                <c:pt idx="2">
                  <c:v>Mar 16–Feb 17</c:v>
                </c:pt>
                <c:pt idx="3">
                  <c:v>Mar 17–Feb 18</c:v>
                </c:pt>
                <c:pt idx="4">
                  <c:v>Mar 18–Feb 19</c:v>
                </c:pt>
                <c:pt idx="5">
                  <c:v>Mar 19–Feb 20</c:v>
                </c:pt>
                <c:pt idx="6">
                  <c:v>Mar 20–Feb 21</c:v>
                </c:pt>
              </c:strCache>
            </c:strRef>
          </c:cat>
          <c:val>
            <c:numRef>
              <c:f>Sheet1!$B$2:$B$8</c:f>
              <c:numCache>
                <c:formatCode>General</c:formatCode>
                <c:ptCount val="7"/>
                <c:pt idx="0">
                  <c:v>4268</c:v>
                </c:pt>
                <c:pt idx="1">
                  <c:v>3988</c:v>
                </c:pt>
                <c:pt idx="2">
                  <c:v>3525</c:v>
                </c:pt>
                <c:pt idx="3">
                  <c:v>2298</c:v>
                </c:pt>
                <c:pt idx="4">
                  <c:v>1889</c:v>
                </c:pt>
                <c:pt idx="5">
                  <c:v>2661</c:v>
                </c:pt>
                <c:pt idx="6">
                  <c:v>1620</c:v>
                </c:pt>
              </c:numCache>
            </c:numRef>
          </c:val>
          <c:extLst>
            <c:ext xmlns:c16="http://schemas.microsoft.com/office/drawing/2014/chart" uri="{C3380CC4-5D6E-409C-BE32-E72D297353CC}">
              <c16:uniqueId val="{00000000-1D35-4459-9849-B0E8E7622DC1}"/>
            </c:ext>
          </c:extLst>
        </c:ser>
        <c:ser>
          <c:idx val="1"/>
          <c:order val="1"/>
          <c:tx>
            <c:strRef>
              <c:f>Sheet1!$C$1</c:f>
              <c:strCache>
                <c:ptCount val="1"/>
                <c:pt idx="0">
                  <c:v>Questions and answers page</c:v>
                </c:pt>
              </c:strCache>
            </c:strRef>
          </c:tx>
          <c:spPr>
            <a:solidFill>
              <a:srgbClr val="F18700"/>
            </a:solidFill>
            <a:ln>
              <a:solidFill>
                <a:srgbClr val="F18700"/>
              </a:solidFill>
            </a:ln>
          </c:spPr>
          <c:invertIfNegative val="0"/>
          <c:cat>
            <c:strRef>
              <c:f>Sheet1!$A$2:$A$8</c:f>
              <c:strCache>
                <c:ptCount val="7"/>
                <c:pt idx="0">
                  <c:v>Mar 14–Feb 15</c:v>
                </c:pt>
                <c:pt idx="1">
                  <c:v>Mar 15–Feb 16</c:v>
                </c:pt>
                <c:pt idx="2">
                  <c:v>Mar 16–Feb 17</c:v>
                </c:pt>
                <c:pt idx="3">
                  <c:v>Mar 17–Feb 18</c:v>
                </c:pt>
                <c:pt idx="4">
                  <c:v>Mar 18–Feb 19</c:v>
                </c:pt>
                <c:pt idx="5">
                  <c:v>Mar 19–Feb 20</c:v>
                </c:pt>
                <c:pt idx="6">
                  <c:v>Mar 20–Feb 21</c:v>
                </c:pt>
              </c:strCache>
            </c:strRef>
          </c:cat>
          <c:val>
            <c:numRef>
              <c:f>Sheet1!$C$2:$C$8</c:f>
              <c:numCache>
                <c:formatCode>General</c:formatCode>
                <c:ptCount val="7"/>
                <c:pt idx="0">
                  <c:v>2840</c:v>
                </c:pt>
                <c:pt idx="1">
                  <c:v>3816</c:v>
                </c:pt>
                <c:pt idx="2">
                  <c:v>2840</c:v>
                </c:pt>
                <c:pt idx="3">
                  <c:v>2805</c:v>
                </c:pt>
                <c:pt idx="4">
                  <c:v>2367</c:v>
                </c:pt>
                <c:pt idx="5">
                  <c:v>2778</c:v>
                </c:pt>
                <c:pt idx="6">
                  <c:v>2078</c:v>
                </c:pt>
              </c:numCache>
            </c:numRef>
          </c:val>
          <c:extLst>
            <c:ext xmlns:c16="http://schemas.microsoft.com/office/drawing/2014/chart" uri="{C3380CC4-5D6E-409C-BE32-E72D297353CC}">
              <c16:uniqueId val="{00000001-1D35-4459-9849-B0E8E7622DC1}"/>
            </c:ext>
          </c:extLst>
        </c:ser>
        <c:dLbls>
          <c:showLegendKey val="0"/>
          <c:showVal val="0"/>
          <c:showCatName val="0"/>
          <c:showSerName val="0"/>
          <c:showPercent val="0"/>
          <c:showBubbleSize val="0"/>
        </c:dLbls>
        <c:gapWidth val="50"/>
        <c:axId val="274738176"/>
        <c:axId val="274744832"/>
      </c:barChart>
      <c:catAx>
        <c:axId val="274738176"/>
        <c:scaling>
          <c:orientation val="minMax"/>
        </c:scaling>
        <c:delete val="0"/>
        <c:axPos val="b"/>
        <c:title>
          <c:tx>
            <c:rich>
              <a:bodyPr/>
              <a:lstStyle/>
              <a:p>
                <a:pPr>
                  <a:defRPr b="0"/>
                </a:pPr>
                <a:r>
                  <a:rPr lang="en-NZ" b="0"/>
                  <a:t>Year</a:t>
                </a:r>
              </a:p>
            </c:rich>
          </c:tx>
          <c:layout>
            <c:manualLayout>
              <c:xMode val="edge"/>
              <c:yMode val="edge"/>
              <c:x val="0.50786904391686705"/>
              <c:y val="0.94867036969216068"/>
            </c:manualLayout>
          </c:layout>
          <c:overlay val="0"/>
        </c:title>
        <c:numFmt formatCode="mm\ yyyy" sourceLinked="0"/>
        <c:majorTickMark val="none"/>
        <c:minorTickMark val="none"/>
        <c:tickLblPos val="nextTo"/>
        <c:spPr>
          <a:ln>
            <a:solidFill>
              <a:schemeClr val="tx1"/>
            </a:solidFill>
          </a:ln>
        </c:spPr>
        <c:txPr>
          <a:bodyPr rot="-5400000" vert="horz"/>
          <a:lstStyle/>
          <a:p>
            <a:pPr>
              <a:defRPr/>
            </a:pPr>
            <a:endParaRPr lang="en-US"/>
          </a:p>
        </c:txPr>
        <c:crossAx val="274744832"/>
        <c:crosses val="autoZero"/>
        <c:auto val="1"/>
        <c:lblAlgn val="ctr"/>
        <c:lblOffset val="100"/>
        <c:noMultiLvlLbl val="1"/>
      </c:catAx>
      <c:valAx>
        <c:axId val="274744832"/>
        <c:scaling>
          <c:orientation val="minMax"/>
          <c:max val="5000"/>
        </c:scaling>
        <c:delete val="0"/>
        <c:axPos val="l"/>
        <c:numFmt formatCode="#,##0" sourceLinked="0"/>
        <c:majorTickMark val="out"/>
        <c:minorTickMark val="none"/>
        <c:tickLblPos val="nextTo"/>
        <c:spPr>
          <a:ln>
            <a:solidFill>
              <a:schemeClr val="tx1"/>
            </a:solidFill>
          </a:ln>
        </c:spPr>
        <c:crossAx val="274738176"/>
        <c:crosses val="autoZero"/>
        <c:crossBetween val="between"/>
        <c:majorUnit val="1000"/>
        <c:minorUnit val="200"/>
      </c:valAx>
    </c:plotArea>
    <c:legend>
      <c:legendPos val="r"/>
      <c:layout>
        <c:manualLayout>
          <c:xMode val="edge"/>
          <c:yMode val="edge"/>
          <c:x val="0.41225216920490398"/>
          <c:y val="4.2101235339340945E-3"/>
          <c:w val="0.57325403449787904"/>
          <c:h val="0.10788190228480962"/>
        </c:manualLayout>
      </c:layout>
      <c:overlay val="1"/>
    </c:legend>
    <c:plotVisOnly val="1"/>
    <c:dispBlanksAs val="gap"/>
    <c:showDLblsOverMax val="0"/>
  </c:chart>
  <c:spPr>
    <a:ln>
      <a:noFill/>
    </a:ln>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566665470840828E-2"/>
          <c:y val="8.5696301244086254E-2"/>
          <c:w val="0.92368159698567198"/>
          <c:h val="0.57443360196758519"/>
        </c:manualLayout>
      </c:layout>
      <c:barChart>
        <c:barDir val="col"/>
        <c:grouping val="clustered"/>
        <c:varyColors val="0"/>
        <c:ser>
          <c:idx val="0"/>
          <c:order val="0"/>
          <c:tx>
            <c:strRef>
              <c:f>Sheet1!$B$1</c:f>
              <c:strCache>
                <c:ptCount val="1"/>
                <c:pt idx="0">
                  <c:v>Queries</c:v>
                </c:pt>
              </c:strCache>
            </c:strRef>
          </c:tx>
          <c:spPr>
            <a:solidFill>
              <a:srgbClr val="0A6AB4"/>
            </a:solidFill>
            <a:ln>
              <a:solidFill>
                <a:srgbClr val="0A6AB4"/>
              </a:solidFill>
            </a:ln>
          </c:spPr>
          <c:invertIfNegative val="0"/>
          <c:cat>
            <c:strRef>
              <c:f>Sheet1!$A$2:$A$8</c:f>
              <c:strCache>
                <c:ptCount val="7"/>
                <c:pt idx="0">
                  <c:v>Mar 14–Feb 15</c:v>
                </c:pt>
                <c:pt idx="1">
                  <c:v>Mar 15–Feb 16</c:v>
                </c:pt>
                <c:pt idx="2">
                  <c:v>Mar 16–Feb 17</c:v>
                </c:pt>
                <c:pt idx="3">
                  <c:v>Mar 17–Feb 18</c:v>
                </c:pt>
                <c:pt idx="4">
                  <c:v>Mar 18–Feb 19</c:v>
                </c:pt>
                <c:pt idx="5">
                  <c:v>Mar 19–Feb 20</c:v>
                </c:pt>
                <c:pt idx="6">
                  <c:v>Mar 20–Feb 21</c:v>
                </c:pt>
              </c:strCache>
            </c:strRef>
          </c:cat>
          <c:val>
            <c:numRef>
              <c:f>Sheet1!$B$2:$B$8</c:f>
              <c:numCache>
                <c:formatCode>General</c:formatCode>
                <c:ptCount val="7"/>
                <c:pt idx="0">
                  <c:v>35</c:v>
                </c:pt>
                <c:pt idx="1">
                  <c:v>51</c:v>
                </c:pt>
                <c:pt idx="2">
                  <c:v>28</c:v>
                </c:pt>
                <c:pt idx="3">
                  <c:v>17</c:v>
                </c:pt>
                <c:pt idx="4">
                  <c:v>17</c:v>
                </c:pt>
                <c:pt idx="5">
                  <c:v>11</c:v>
                </c:pt>
                <c:pt idx="6">
                  <c:v>6</c:v>
                </c:pt>
              </c:numCache>
            </c:numRef>
          </c:val>
          <c:extLst>
            <c:ext xmlns:c16="http://schemas.microsoft.com/office/drawing/2014/chart" uri="{C3380CC4-5D6E-409C-BE32-E72D297353CC}">
              <c16:uniqueId val="{00000000-8529-427D-B822-DBB53356460A}"/>
            </c:ext>
          </c:extLst>
        </c:ser>
        <c:dLbls>
          <c:showLegendKey val="0"/>
          <c:showVal val="0"/>
          <c:showCatName val="0"/>
          <c:showSerName val="0"/>
          <c:showPercent val="0"/>
          <c:showBubbleSize val="0"/>
        </c:dLbls>
        <c:gapWidth val="50"/>
        <c:axId val="278068608"/>
        <c:axId val="278203008"/>
      </c:barChart>
      <c:catAx>
        <c:axId val="278068608"/>
        <c:scaling>
          <c:orientation val="minMax"/>
        </c:scaling>
        <c:delete val="0"/>
        <c:axPos val="b"/>
        <c:title>
          <c:tx>
            <c:rich>
              <a:bodyPr/>
              <a:lstStyle/>
              <a:p>
                <a:pPr>
                  <a:defRPr b="0"/>
                </a:pPr>
                <a:r>
                  <a:rPr lang="en-NZ" b="0"/>
                  <a:t>Year</a:t>
                </a:r>
              </a:p>
            </c:rich>
          </c:tx>
          <c:layout>
            <c:manualLayout>
              <c:xMode val="edge"/>
              <c:yMode val="edge"/>
              <c:x val="0.48840133422968279"/>
              <c:y val="0.92791011438756399"/>
            </c:manualLayout>
          </c:layout>
          <c:overlay val="0"/>
        </c:title>
        <c:numFmt formatCode="mm\ yyyy" sourceLinked="0"/>
        <c:majorTickMark val="none"/>
        <c:minorTickMark val="none"/>
        <c:tickLblPos val="nextTo"/>
        <c:spPr>
          <a:ln>
            <a:solidFill>
              <a:schemeClr val="tx1"/>
            </a:solidFill>
          </a:ln>
        </c:spPr>
        <c:txPr>
          <a:bodyPr rot="-5400000" vert="horz"/>
          <a:lstStyle/>
          <a:p>
            <a:pPr>
              <a:defRPr/>
            </a:pPr>
            <a:endParaRPr lang="en-US"/>
          </a:p>
        </c:txPr>
        <c:crossAx val="278203008"/>
        <c:crosses val="autoZero"/>
        <c:auto val="1"/>
        <c:lblAlgn val="ctr"/>
        <c:lblOffset val="100"/>
        <c:noMultiLvlLbl val="1"/>
      </c:catAx>
      <c:valAx>
        <c:axId val="278203008"/>
        <c:scaling>
          <c:orientation val="minMax"/>
          <c:max val="52"/>
          <c:min val="0"/>
        </c:scaling>
        <c:delete val="0"/>
        <c:axPos val="l"/>
        <c:numFmt formatCode="#,##0" sourceLinked="0"/>
        <c:majorTickMark val="out"/>
        <c:minorTickMark val="none"/>
        <c:tickLblPos val="nextTo"/>
        <c:spPr>
          <a:ln>
            <a:solidFill>
              <a:schemeClr val="tx1"/>
            </a:solidFill>
          </a:ln>
        </c:spPr>
        <c:crossAx val="278068608"/>
        <c:crosses val="autoZero"/>
        <c:crossBetween val="between"/>
        <c:majorUnit val="10"/>
      </c:valAx>
    </c:plotArea>
    <c:plotVisOnly val="1"/>
    <c:dispBlanksAs val="gap"/>
    <c:showDLblsOverMax val="0"/>
  </c:chart>
  <c:spPr>
    <a:ln>
      <a:noFill/>
    </a:ln>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296807612939257E-2"/>
          <c:y val="0.11370984127210446"/>
          <c:w val="0.90325203965174605"/>
          <c:h val="0.49855502813744951"/>
        </c:manualLayout>
      </c:layout>
      <c:barChart>
        <c:barDir val="col"/>
        <c:grouping val="clustered"/>
        <c:varyColors val="0"/>
        <c:ser>
          <c:idx val="0"/>
          <c:order val="0"/>
          <c:tx>
            <c:strRef>
              <c:f>Sheet1!$B$1</c:f>
              <c:strCache>
                <c:ptCount val="1"/>
                <c:pt idx="0">
                  <c:v>Series 1</c:v>
                </c:pt>
              </c:strCache>
            </c:strRef>
          </c:tx>
          <c:spPr>
            <a:solidFill>
              <a:srgbClr val="0A6AB4"/>
            </a:solidFill>
            <a:ln>
              <a:solidFill>
                <a:srgbClr val="0A6AB4"/>
              </a:solidFill>
            </a:ln>
            <a:effectLst/>
          </c:spPr>
          <c:invertIfNegative val="0"/>
          <c:cat>
            <c:strRef>
              <c:f>Sheet1!$A$2:$A$8</c:f>
              <c:strCache>
                <c:ptCount val="7"/>
                <c:pt idx="0">
                  <c:v>Mar 14–Feb 15</c:v>
                </c:pt>
                <c:pt idx="1">
                  <c:v>Mar 15–Feb 16</c:v>
                </c:pt>
                <c:pt idx="2">
                  <c:v>Mar 16–Feb 17</c:v>
                </c:pt>
                <c:pt idx="3">
                  <c:v>Mar 17–Feb 18</c:v>
                </c:pt>
                <c:pt idx="4">
                  <c:v>Mar 18–Feb 19</c:v>
                </c:pt>
                <c:pt idx="5">
                  <c:v>Mar 19–Feb 20</c:v>
                </c:pt>
                <c:pt idx="6">
                  <c:v>Mar 20–Feb 21</c:v>
                </c:pt>
              </c:strCache>
            </c:strRef>
          </c:cat>
          <c:val>
            <c:numRef>
              <c:f>Sheet1!$B$2:$B$8</c:f>
              <c:numCache>
                <c:formatCode>General</c:formatCode>
                <c:ptCount val="7"/>
                <c:pt idx="0">
                  <c:v>262</c:v>
                </c:pt>
                <c:pt idx="1">
                  <c:v>48</c:v>
                </c:pt>
                <c:pt idx="2">
                  <c:v>63</c:v>
                </c:pt>
                <c:pt idx="3">
                  <c:v>75</c:v>
                </c:pt>
                <c:pt idx="4">
                  <c:v>91</c:v>
                </c:pt>
                <c:pt idx="5">
                  <c:v>84</c:v>
                </c:pt>
                <c:pt idx="6">
                  <c:v>54</c:v>
                </c:pt>
              </c:numCache>
            </c:numRef>
          </c:val>
          <c:extLst>
            <c:ext xmlns:c16="http://schemas.microsoft.com/office/drawing/2014/chart" uri="{C3380CC4-5D6E-409C-BE32-E72D297353CC}">
              <c16:uniqueId val="{00000000-79DD-4AA2-9CA4-D5CAA6A1E0EC}"/>
            </c:ext>
          </c:extLst>
        </c:ser>
        <c:dLbls>
          <c:showLegendKey val="0"/>
          <c:showVal val="0"/>
          <c:showCatName val="0"/>
          <c:showSerName val="0"/>
          <c:showPercent val="0"/>
          <c:showBubbleSize val="0"/>
        </c:dLbls>
        <c:gapWidth val="50"/>
        <c:axId val="274379904"/>
        <c:axId val="274381824"/>
      </c:barChart>
      <c:catAx>
        <c:axId val="274379904"/>
        <c:scaling>
          <c:orientation val="minMax"/>
        </c:scaling>
        <c:delete val="0"/>
        <c:axPos val="b"/>
        <c:title>
          <c:tx>
            <c:rich>
              <a:bodyPr rot="0" vert="horz"/>
              <a:lstStyle/>
              <a:p>
                <a:pPr>
                  <a:defRPr b="0"/>
                </a:pPr>
                <a:r>
                  <a:rPr lang="en-NZ" b="0"/>
                  <a:t>Year</a:t>
                </a:r>
              </a:p>
              <a:p>
                <a:pPr>
                  <a:defRPr b="0"/>
                </a:pPr>
                <a:endParaRPr lang="en-NZ" b="0"/>
              </a:p>
            </c:rich>
          </c:tx>
          <c:layout>
            <c:manualLayout>
              <c:xMode val="edge"/>
              <c:yMode val="edge"/>
              <c:x val="0.49339592181794645"/>
              <c:y val="0.8933702750841084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274381824"/>
        <c:crosses val="autoZero"/>
        <c:auto val="1"/>
        <c:lblAlgn val="ctr"/>
        <c:lblOffset val="100"/>
        <c:noMultiLvlLbl val="0"/>
      </c:catAx>
      <c:valAx>
        <c:axId val="274381824"/>
        <c:scaling>
          <c:orientation val="minMax"/>
        </c:scaling>
        <c:delete val="0"/>
        <c:axPos val="l"/>
        <c:numFmt formatCode="General" sourceLinked="1"/>
        <c:majorTickMark val="out"/>
        <c:minorTickMark val="none"/>
        <c:tickLblPos val="nextTo"/>
        <c:spPr>
          <a:noFill/>
          <a:ln>
            <a:solidFill>
              <a:schemeClr val="tx1"/>
            </a:solidFill>
          </a:ln>
          <a:effectLst/>
        </c:spPr>
        <c:txPr>
          <a:bodyPr rot="-60000000" vert="horz"/>
          <a:lstStyle/>
          <a:p>
            <a:pPr>
              <a:defRPr/>
            </a:pPr>
            <a:endParaRPr lang="en-US"/>
          </a:p>
        </c:txPr>
        <c:crossAx val="274379904"/>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535855167226904E-2"/>
          <c:y val="0.10178571428571428"/>
          <c:w val="0.92300118186981017"/>
          <c:h val="0.71218992846482421"/>
        </c:manualLayout>
      </c:layout>
      <c:barChart>
        <c:barDir val="col"/>
        <c:grouping val="stacked"/>
        <c:varyColors val="0"/>
        <c:ser>
          <c:idx val="0"/>
          <c:order val="0"/>
          <c:tx>
            <c:strRef>
              <c:f>Sheet1!$B$1</c:f>
              <c:strCache>
                <c:ptCount val="1"/>
                <c:pt idx="0">
                  <c:v>Warnings</c:v>
                </c:pt>
              </c:strCache>
            </c:strRef>
          </c:tx>
          <c:spPr>
            <a:solidFill>
              <a:srgbClr val="0A6AB4"/>
            </a:solidFill>
            <a:ln>
              <a:solidFill>
                <a:srgbClr val="0A6AB4"/>
              </a:solidFill>
            </a:ln>
            <a:effectLst/>
          </c:spPr>
          <c:invertIfNegative val="0"/>
          <c:cat>
            <c:strRef>
              <c:f>Sheet1!$A$2:$A$7</c:f>
              <c:strCache>
                <c:ptCount val="6"/>
                <c:pt idx="0">
                  <c:v>2015–16</c:v>
                </c:pt>
                <c:pt idx="1">
                  <c:v>2016–17</c:v>
                </c:pt>
                <c:pt idx="2">
                  <c:v>2017–18</c:v>
                </c:pt>
                <c:pt idx="3">
                  <c:v>2018–19</c:v>
                </c:pt>
                <c:pt idx="4">
                  <c:v>2019–20</c:v>
                </c:pt>
                <c:pt idx="5">
                  <c:v>2020–21</c:v>
                </c:pt>
              </c:strCache>
            </c:strRef>
          </c:cat>
          <c:val>
            <c:numRef>
              <c:f>Sheet1!$B$2:$B$7</c:f>
              <c:numCache>
                <c:formatCode>General</c:formatCode>
                <c:ptCount val="6"/>
                <c:pt idx="0">
                  <c:v>1</c:v>
                </c:pt>
                <c:pt idx="1">
                  <c:v>12</c:v>
                </c:pt>
                <c:pt idx="2">
                  <c:v>2</c:v>
                </c:pt>
                <c:pt idx="3">
                  <c:v>1</c:v>
                </c:pt>
                <c:pt idx="4">
                  <c:v>2</c:v>
                </c:pt>
                <c:pt idx="5">
                  <c:v>2</c:v>
                </c:pt>
              </c:numCache>
            </c:numRef>
          </c:val>
          <c:extLst>
            <c:ext xmlns:c16="http://schemas.microsoft.com/office/drawing/2014/chart" uri="{C3380CC4-5D6E-409C-BE32-E72D297353CC}">
              <c16:uniqueId val="{00000000-06B2-43E6-82E1-396582850283}"/>
            </c:ext>
          </c:extLst>
        </c:ser>
        <c:ser>
          <c:idx val="1"/>
          <c:order val="1"/>
          <c:tx>
            <c:strRef>
              <c:f>Sheet1!$C$1</c:f>
              <c:strCache>
                <c:ptCount val="1"/>
                <c:pt idx="0">
                  <c:v>Prosecutions</c:v>
                </c:pt>
              </c:strCache>
            </c:strRef>
          </c:tx>
          <c:spPr>
            <a:solidFill>
              <a:srgbClr val="F18700"/>
            </a:solidFill>
            <a:ln>
              <a:solidFill>
                <a:srgbClr val="F18700"/>
              </a:solidFill>
            </a:ln>
            <a:effectLst/>
          </c:spPr>
          <c:invertIfNegative val="0"/>
          <c:cat>
            <c:strRef>
              <c:f>Sheet1!$A$2:$A$7</c:f>
              <c:strCache>
                <c:ptCount val="6"/>
                <c:pt idx="0">
                  <c:v>2015–16</c:v>
                </c:pt>
                <c:pt idx="1">
                  <c:v>2016–17</c:v>
                </c:pt>
                <c:pt idx="2">
                  <c:v>2017–18</c:v>
                </c:pt>
                <c:pt idx="3">
                  <c:v>2018–19</c:v>
                </c:pt>
                <c:pt idx="4">
                  <c:v>2019–20</c:v>
                </c:pt>
                <c:pt idx="5">
                  <c:v>2020–21</c:v>
                </c:pt>
              </c:strCache>
            </c:strRef>
          </c:cat>
          <c:val>
            <c:numRef>
              <c:f>Sheet1!$C$2:$C$7</c:f>
              <c:numCache>
                <c:formatCode>General</c:formatCode>
                <c:ptCount val="6"/>
                <c:pt idx="0">
                  <c:v>1</c:v>
                </c:pt>
                <c:pt idx="1">
                  <c:v>1</c:v>
                </c:pt>
                <c:pt idx="2">
                  <c:v>2</c:v>
                </c:pt>
                <c:pt idx="3">
                  <c:v>0</c:v>
                </c:pt>
                <c:pt idx="4">
                  <c:v>3</c:v>
                </c:pt>
                <c:pt idx="5">
                  <c:v>3</c:v>
                </c:pt>
              </c:numCache>
            </c:numRef>
          </c:val>
          <c:extLst>
            <c:ext xmlns:c16="http://schemas.microsoft.com/office/drawing/2014/chart" uri="{C3380CC4-5D6E-409C-BE32-E72D297353CC}">
              <c16:uniqueId val="{00000001-06B2-43E6-82E1-396582850283}"/>
            </c:ext>
          </c:extLst>
        </c:ser>
        <c:dLbls>
          <c:showLegendKey val="0"/>
          <c:showVal val="0"/>
          <c:showCatName val="0"/>
          <c:showSerName val="0"/>
          <c:showPercent val="0"/>
          <c:showBubbleSize val="0"/>
        </c:dLbls>
        <c:gapWidth val="50"/>
        <c:overlap val="100"/>
        <c:axId val="274416384"/>
        <c:axId val="274418304"/>
      </c:barChart>
      <c:catAx>
        <c:axId val="274416384"/>
        <c:scaling>
          <c:orientation val="minMax"/>
        </c:scaling>
        <c:delete val="0"/>
        <c:axPos val="b"/>
        <c:title>
          <c:tx>
            <c:rich>
              <a:bodyPr rot="0" vert="horz"/>
              <a:lstStyle/>
              <a:p>
                <a:pPr>
                  <a:defRPr b="0"/>
                </a:pPr>
                <a:r>
                  <a:rPr lang="en-NZ" b="0"/>
                  <a:t>Year</a:t>
                </a:r>
              </a:p>
              <a:p>
                <a:pPr>
                  <a:defRPr b="0"/>
                </a:pPr>
                <a:endParaRPr lang="en-NZ" b="0"/>
              </a:p>
            </c:rich>
          </c:tx>
          <c:layout>
            <c:manualLayout>
              <c:xMode val="edge"/>
              <c:yMode val="edge"/>
              <c:x val="0.4898224701079032"/>
              <c:y val="0.9098872015998000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274418304"/>
        <c:crosses val="autoZero"/>
        <c:auto val="1"/>
        <c:lblAlgn val="ctr"/>
        <c:lblOffset val="100"/>
        <c:noMultiLvlLbl val="0"/>
      </c:catAx>
      <c:valAx>
        <c:axId val="274418304"/>
        <c:scaling>
          <c:orientation val="minMax"/>
          <c:max val="15"/>
        </c:scaling>
        <c:delete val="0"/>
        <c:axPos val="l"/>
        <c:numFmt formatCode="General" sourceLinked="1"/>
        <c:majorTickMark val="out"/>
        <c:minorTickMark val="none"/>
        <c:tickLblPos val="nextTo"/>
        <c:spPr>
          <a:noFill/>
          <a:ln>
            <a:solidFill>
              <a:schemeClr val="tx1"/>
            </a:solidFill>
          </a:ln>
          <a:effectLst/>
        </c:spPr>
        <c:txPr>
          <a:bodyPr rot="-60000000" vert="horz"/>
          <a:lstStyle/>
          <a:p>
            <a:pPr>
              <a:defRPr/>
            </a:pPr>
            <a:endParaRPr lang="en-US"/>
          </a:p>
        </c:txPr>
        <c:crossAx val="274416384"/>
        <c:crosses val="autoZero"/>
        <c:crossBetween val="between"/>
        <c:majorUnit val="5"/>
        <c:minorUnit val="1"/>
      </c:valAx>
      <c:spPr>
        <a:noFill/>
        <a:ln>
          <a:noFill/>
        </a:ln>
        <a:effectLst/>
      </c:spPr>
    </c:plotArea>
    <c:legend>
      <c:legendPos val="r"/>
      <c:layout>
        <c:manualLayout>
          <c:xMode val="edge"/>
          <c:yMode val="edge"/>
          <c:x val="0.79390802712160979"/>
          <c:y val="1.6368578927634044E-2"/>
          <c:w val="0.18988826917468649"/>
          <c:h val="0.13311235911687508"/>
        </c:manualLayout>
      </c:layout>
      <c:overlay val="1"/>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561145694144338E-2"/>
          <c:y val="0.11050211507066772"/>
          <c:w val="0.91354098747311241"/>
          <c:h val="0.68343390065932486"/>
        </c:manualLayout>
      </c:layout>
      <c:barChart>
        <c:barDir val="col"/>
        <c:grouping val="clustered"/>
        <c:varyColors val="0"/>
        <c:ser>
          <c:idx val="0"/>
          <c:order val="0"/>
          <c:tx>
            <c:strRef>
              <c:f>Sheet1!$B$1</c:f>
              <c:strCache>
                <c:ptCount val="1"/>
                <c:pt idx="0">
                  <c:v>Strikes</c:v>
                </c:pt>
              </c:strCache>
            </c:strRef>
          </c:tx>
          <c:spPr>
            <a:solidFill>
              <a:srgbClr val="0A6AB4"/>
            </a:solidFill>
            <a:ln>
              <a:solidFill>
                <a:srgbClr val="0A6AB4"/>
              </a:solidFill>
            </a:ln>
          </c:spPr>
          <c:invertIfNegative val="0"/>
          <c:cat>
            <c:numRef>
              <c:f>Sheet1!$A$2:$A$14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Sheet1!$B$2:$B$14</c:f>
              <c:numCache>
                <c:formatCode>General</c:formatCode>
                <c:ptCount val="13"/>
                <c:pt idx="0">
                  <c:v>52</c:v>
                </c:pt>
                <c:pt idx="1">
                  <c:v>63</c:v>
                </c:pt>
                <c:pt idx="2">
                  <c:v>87</c:v>
                </c:pt>
                <c:pt idx="3">
                  <c:v>97</c:v>
                </c:pt>
                <c:pt idx="4">
                  <c:v>99</c:v>
                </c:pt>
                <c:pt idx="5">
                  <c:v>110</c:v>
                </c:pt>
                <c:pt idx="6">
                  <c:v>102</c:v>
                </c:pt>
                <c:pt idx="7">
                  <c:v>87</c:v>
                </c:pt>
                <c:pt idx="8">
                  <c:v>133</c:v>
                </c:pt>
                <c:pt idx="9">
                  <c:v>173</c:v>
                </c:pt>
                <c:pt idx="10">
                  <c:v>238</c:v>
                </c:pt>
                <c:pt idx="11">
                  <c:v>237</c:v>
                </c:pt>
                <c:pt idx="12">
                  <c:v>142</c:v>
                </c:pt>
              </c:numCache>
            </c:numRef>
          </c:val>
          <c:extLst>
            <c:ext xmlns:c16="http://schemas.microsoft.com/office/drawing/2014/chart" uri="{C3380CC4-5D6E-409C-BE32-E72D297353CC}">
              <c16:uniqueId val="{00000000-D6C7-4D3F-A688-55F3230FEE9C}"/>
            </c:ext>
          </c:extLst>
        </c:ser>
        <c:dLbls>
          <c:showLegendKey val="0"/>
          <c:showVal val="0"/>
          <c:showCatName val="0"/>
          <c:showSerName val="0"/>
          <c:showPercent val="0"/>
          <c:showBubbleSize val="0"/>
        </c:dLbls>
        <c:gapWidth val="50"/>
        <c:axId val="274553856"/>
        <c:axId val="274556032"/>
      </c:barChart>
      <c:catAx>
        <c:axId val="274553856"/>
        <c:scaling>
          <c:orientation val="minMax"/>
        </c:scaling>
        <c:delete val="0"/>
        <c:axPos val="b"/>
        <c:title>
          <c:tx>
            <c:rich>
              <a:bodyPr/>
              <a:lstStyle/>
              <a:p>
                <a:pPr>
                  <a:defRPr b="0"/>
                </a:pPr>
                <a:r>
                  <a:rPr lang="en-NZ" b="0"/>
                  <a:t>Year</a:t>
                </a:r>
              </a:p>
            </c:rich>
          </c:tx>
          <c:layout>
            <c:manualLayout>
              <c:xMode val="edge"/>
              <c:yMode val="edge"/>
              <c:x val="0.49136753641532688"/>
              <c:y val="0.90247827438118022"/>
            </c:manualLayout>
          </c:layout>
          <c:overlay val="0"/>
        </c:title>
        <c:numFmt formatCode="General" sourceLinked="1"/>
        <c:majorTickMark val="none"/>
        <c:minorTickMark val="none"/>
        <c:tickLblPos val="nextTo"/>
        <c:spPr>
          <a:ln>
            <a:solidFill>
              <a:schemeClr val="tx1"/>
            </a:solidFill>
          </a:ln>
        </c:spPr>
        <c:crossAx val="274556032"/>
        <c:crosses val="autoZero"/>
        <c:auto val="1"/>
        <c:lblAlgn val="ctr"/>
        <c:lblOffset val="100"/>
        <c:noMultiLvlLbl val="0"/>
      </c:catAx>
      <c:valAx>
        <c:axId val="274556032"/>
        <c:scaling>
          <c:orientation val="minMax"/>
        </c:scaling>
        <c:delete val="0"/>
        <c:axPos val="l"/>
        <c:numFmt formatCode="General" sourceLinked="1"/>
        <c:majorTickMark val="out"/>
        <c:minorTickMark val="none"/>
        <c:tickLblPos val="nextTo"/>
        <c:spPr>
          <a:ln>
            <a:solidFill>
              <a:schemeClr val="tx1"/>
            </a:solidFill>
          </a:ln>
        </c:spPr>
        <c:crossAx val="274553856"/>
        <c:crosses val="autoZero"/>
        <c:crossBetween val="between"/>
        <c:minorUnit val="5"/>
      </c:valAx>
    </c:plotArea>
    <c:plotVisOnly val="1"/>
    <c:dispBlanksAs val="gap"/>
    <c:showDLblsOverMax val="0"/>
  </c:chart>
  <c:spPr>
    <a:ln>
      <a:noFill/>
    </a:ln>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68534609300714E-2"/>
          <c:y val="0.13552359991792032"/>
          <c:w val="0.90077583373864578"/>
          <c:h val="0.62416982178834568"/>
        </c:manualLayout>
      </c:layout>
      <c:barChart>
        <c:barDir val="col"/>
        <c:grouping val="clustered"/>
        <c:varyColors val="0"/>
        <c:ser>
          <c:idx val="0"/>
          <c:order val="0"/>
          <c:tx>
            <c:strRef>
              <c:f>Sheet1!$B$1</c:f>
              <c:strCache>
                <c:ptCount val="1"/>
                <c:pt idx="0">
                  <c:v>Strikes</c:v>
                </c:pt>
              </c:strCache>
            </c:strRef>
          </c:tx>
          <c:spPr>
            <a:solidFill>
              <a:srgbClr val="0A6AB4"/>
            </a:solidFill>
            <a:ln>
              <a:solidFill>
                <a:srgbClr val="0A6AB4"/>
              </a:solidFill>
            </a:ln>
          </c:spPr>
          <c:invertIfNegative val="0"/>
          <c:cat>
            <c:numRef>
              <c:f>Sheet1!$A$2:$A$18</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Sheet1!$B$2:$B$18</c:f>
              <c:numCache>
                <c:formatCode>General</c:formatCode>
                <c:ptCount val="17"/>
                <c:pt idx="0">
                  <c:v>46</c:v>
                </c:pt>
                <c:pt idx="1">
                  <c:v>283</c:v>
                </c:pt>
                <c:pt idx="2">
                  <c:v>384</c:v>
                </c:pt>
                <c:pt idx="3">
                  <c:v>639</c:v>
                </c:pt>
                <c:pt idx="4">
                  <c:v>949</c:v>
                </c:pt>
                <c:pt idx="5">
                  <c:v>1527</c:v>
                </c:pt>
                <c:pt idx="6">
                  <c:v>2836</c:v>
                </c:pt>
                <c:pt idx="7">
                  <c:v>3591</c:v>
                </c:pt>
                <c:pt idx="8">
                  <c:v>3482</c:v>
                </c:pt>
                <c:pt idx="9">
                  <c:v>3960</c:v>
                </c:pt>
                <c:pt idx="10">
                  <c:v>3894</c:v>
                </c:pt>
                <c:pt idx="11">
                  <c:v>7346</c:v>
                </c:pt>
                <c:pt idx="12">
                  <c:v>7398</c:v>
                </c:pt>
                <c:pt idx="13">
                  <c:v>6753</c:v>
                </c:pt>
                <c:pt idx="14">
                  <c:v>5663</c:v>
                </c:pt>
                <c:pt idx="15">
                  <c:v>6213</c:v>
                </c:pt>
                <c:pt idx="16">
                  <c:v>6852</c:v>
                </c:pt>
              </c:numCache>
            </c:numRef>
          </c:val>
          <c:extLst>
            <c:ext xmlns:c16="http://schemas.microsoft.com/office/drawing/2014/chart" uri="{C3380CC4-5D6E-409C-BE32-E72D297353CC}">
              <c16:uniqueId val="{00000000-2086-4ADD-B1EC-79B6A4B6F4F0}"/>
            </c:ext>
          </c:extLst>
        </c:ser>
        <c:dLbls>
          <c:showLegendKey val="0"/>
          <c:showVal val="0"/>
          <c:showCatName val="0"/>
          <c:showSerName val="0"/>
          <c:showPercent val="0"/>
          <c:showBubbleSize val="0"/>
        </c:dLbls>
        <c:gapWidth val="50"/>
        <c:axId val="274576512"/>
        <c:axId val="274578432"/>
      </c:barChart>
      <c:catAx>
        <c:axId val="274576512"/>
        <c:scaling>
          <c:orientation val="minMax"/>
        </c:scaling>
        <c:delete val="0"/>
        <c:axPos val="b"/>
        <c:title>
          <c:tx>
            <c:rich>
              <a:bodyPr/>
              <a:lstStyle/>
              <a:p>
                <a:pPr>
                  <a:defRPr b="0"/>
                </a:pPr>
                <a:r>
                  <a:rPr lang="en-NZ" b="0"/>
                  <a:t>Year</a:t>
                </a:r>
              </a:p>
            </c:rich>
          </c:tx>
          <c:layout>
            <c:manualLayout>
              <c:xMode val="edge"/>
              <c:yMode val="edge"/>
              <c:x val="0.50041440132483439"/>
              <c:y val="0.92579620996077594"/>
            </c:manualLayout>
          </c:layout>
          <c:overlay val="0"/>
        </c:title>
        <c:numFmt formatCode="General" sourceLinked="1"/>
        <c:majorTickMark val="none"/>
        <c:minorTickMark val="none"/>
        <c:tickLblPos val="nextTo"/>
        <c:spPr>
          <a:ln>
            <a:solidFill>
              <a:schemeClr val="tx1"/>
            </a:solidFill>
          </a:ln>
        </c:spPr>
        <c:txPr>
          <a:bodyPr rot="-5400000" vert="horz"/>
          <a:lstStyle/>
          <a:p>
            <a:pPr>
              <a:defRPr sz="900"/>
            </a:pPr>
            <a:endParaRPr lang="en-US"/>
          </a:p>
        </c:txPr>
        <c:crossAx val="274578432"/>
        <c:crosses val="autoZero"/>
        <c:auto val="1"/>
        <c:lblAlgn val="ctr"/>
        <c:lblOffset val="100"/>
        <c:noMultiLvlLbl val="0"/>
      </c:catAx>
      <c:valAx>
        <c:axId val="274578432"/>
        <c:scaling>
          <c:orientation val="minMax"/>
        </c:scaling>
        <c:delete val="0"/>
        <c:axPos val="l"/>
        <c:numFmt formatCode="#,##0" sourceLinked="0"/>
        <c:majorTickMark val="out"/>
        <c:minorTickMark val="none"/>
        <c:tickLblPos val="nextTo"/>
        <c:spPr>
          <a:ln>
            <a:solidFill>
              <a:schemeClr val="tx1"/>
            </a:solidFill>
          </a:ln>
        </c:spPr>
        <c:crossAx val="274576512"/>
        <c:crosses val="autoZero"/>
        <c:crossBetween val="between"/>
        <c:majorUnit val="2000"/>
        <c:minorUnit val="500"/>
      </c:valAx>
    </c:plotArea>
    <c:plotVisOnly val="1"/>
    <c:dispBlanksAs val="gap"/>
    <c:showDLblsOverMax val="0"/>
  </c:chart>
  <c:spPr>
    <a:ln>
      <a:noFill/>
    </a:ln>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0.01186</cdr:x>
      <cdr:y>0</cdr:y>
    </cdr:from>
    <cdr:to>
      <cdr:x>0.23385</cdr:x>
      <cdr:y>0.07779</cdr:y>
    </cdr:to>
    <cdr:sp macro="" textlink="">
      <cdr:nvSpPr>
        <cdr:cNvPr id="2" name="Text Box 1"/>
        <cdr:cNvSpPr txBox="1"/>
      </cdr:nvSpPr>
      <cdr:spPr>
        <a:xfrm xmlns:a="http://schemas.openxmlformats.org/drawingml/2006/main">
          <a:off x="49876" y="0"/>
          <a:ext cx="933743" cy="18494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NZ" sz="900">
              <a:latin typeface="Segoe UI" panose="020B0502040204020203" pitchFamily="34" charset="0"/>
              <a:cs typeface="Segoe UI" panose="020B0502040204020203" pitchFamily="34" charset="0"/>
            </a:rPr>
            <a:t>Number</a:t>
          </a:r>
        </a:p>
      </cdr:txBody>
    </cdr:sp>
  </cdr:relSizeAnchor>
</c:userShapes>
</file>

<file path=word/drawings/drawing2.xml><?xml version="1.0" encoding="utf-8"?>
<c:userShapes xmlns:c="http://schemas.openxmlformats.org/drawingml/2006/chart">
  <cdr:relSizeAnchor xmlns:cdr="http://schemas.openxmlformats.org/drawingml/2006/chartDrawing">
    <cdr:from>
      <cdr:x>0.00972</cdr:x>
      <cdr:y>0</cdr:y>
    </cdr:from>
    <cdr:to>
      <cdr:x>0.21551</cdr:x>
      <cdr:y>0.08755</cdr:y>
    </cdr:to>
    <cdr:sp macro="" textlink="">
      <cdr:nvSpPr>
        <cdr:cNvPr id="2" name="Text Box 1"/>
        <cdr:cNvSpPr txBox="1"/>
      </cdr:nvSpPr>
      <cdr:spPr>
        <a:xfrm xmlns:a="http://schemas.openxmlformats.org/drawingml/2006/main">
          <a:off x="49877" y="0"/>
          <a:ext cx="1055737" cy="295205"/>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900">
              <a:latin typeface="Segoe UI" panose="020B0502040204020203" pitchFamily="34" charset="0"/>
              <a:cs typeface="Segoe UI" panose="020B0502040204020203" pitchFamily="34" charset="0"/>
            </a:rPr>
            <a:t>Number</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0.20579</cdr:x>
      <cdr:y>0.08755</cdr:y>
    </cdr:to>
    <cdr:sp macro="" textlink="">
      <cdr:nvSpPr>
        <cdr:cNvPr id="2" name="Text Box 1"/>
        <cdr:cNvSpPr txBox="1"/>
      </cdr:nvSpPr>
      <cdr:spPr>
        <a:xfrm xmlns:a="http://schemas.openxmlformats.org/drawingml/2006/main">
          <a:off x="0" y="0"/>
          <a:ext cx="1055716" cy="249382"/>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900">
              <a:latin typeface="Segoe UI" panose="020B0502040204020203" pitchFamily="34" charset="0"/>
              <a:cs typeface="Segoe UI" panose="020B0502040204020203" pitchFamily="34" charset="0"/>
            </a:rPr>
            <a:t>Number</a:t>
          </a:r>
        </a:p>
      </cdr:txBody>
    </cdr:sp>
  </cdr:relSizeAnchor>
</c:userShapes>
</file>

<file path=word/drawings/drawing4.xml><?xml version="1.0" encoding="utf-8"?>
<c:userShapes xmlns:c="http://schemas.openxmlformats.org/drawingml/2006/chart">
  <cdr:relSizeAnchor xmlns:cdr="http://schemas.openxmlformats.org/drawingml/2006/chartDrawing">
    <cdr:from>
      <cdr:x>0.00972</cdr:x>
      <cdr:y>0</cdr:y>
    </cdr:from>
    <cdr:to>
      <cdr:x>0.29004</cdr:x>
      <cdr:y>0.08</cdr:y>
    </cdr:to>
    <cdr:sp macro="" textlink="">
      <cdr:nvSpPr>
        <cdr:cNvPr id="2" name="Text Box 1"/>
        <cdr:cNvSpPr txBox="1"/>
      </cdr:nvSpPr>
      <cdr:spPr>
        <a:xfrm xmlns:a="http://schemas.openxmlformats.org/drawingml/2006/main">
          <a:off x="49876" y="0"/>
          <a:ext cx="1438102" cy="224444"/>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900">
              <a:latin typeface="Segoe UI" panose="020B0502040204020203" pitchFamily="34" charset="0"/>
              <a:cs typeface="Segoe UI" panose="020B0502040204020203" pitchFamily="34" charset="0"/>
            </a:rPr>
            <a:t>Number</a:t>
          </a:r>
        </a:p>
      </cdr:txBody>
    </cdr:sp>
  </cdr:relSizeAnchor>
</c:userShapes>
</file>

<file path=word/drawings/drawing5.xml><?xml version="1.0" encoding="utf-8"?>
<c:userShapes xmlns:c="http://schemas.openxmlformats.org/drawingml/2006/chart">
  <cdr:relSizeAnchor xmlns:cdr="http://schemas.openxmlformats.org/drawingml/2006/chartDrawing">
    <cdr:from>
      <cdr:x>0.01061</cdr:x>
      <cdr:y>0</cdr:y>
    </cdr:from>
    <cdr:to>
      <cdr:x>0.31667</cdr:x>
      <cdr:y>0.06753</cdr:y>
    </cdr:to>
    <cdr:sp macro="" textlink="">
      <cdr:nvSpPr>
        <cdr:cNvPr id="2" name="Text Box 1"/>
        <cdr:cNvSpPr txBox="1"/>
      </cdr:nvSpPr>
      <cdr:spPr>
        <a:xfrm xmlns:a="http://schemas.openxmlformats.org/drawingml/2006/main">
          <a:off x="58189" y="0"/>
          <a:ext cx="1679171" cy="216131"/>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900">
              <a:latin typeface="Segoe UI" panose="020B0502040204020203" pitchFamily="34" charset="0"/>
              <a:cs typeface="Segoe UI" panose="020B0502040204020203" pitchFamily="34" charset="0"/>
            </a:rPr>
            <a:t>Number</a:t>
          </a:r>
        </a:p>
      </cdr:txBody>
    </cdr:sp>
  </cdr:relSizeAnchor>
</c:userShapes>
</file>

<file path=word/drawings/drawing6.xml><?xml version="1.0" encoding="utf-8"?>
<c:userShapes xmlns:c="http://schemas.openxmlformats.org/drawingml/2006/chart">
  <cdr:relSizeAnchor xmlns:cdr="http://schemas.openxmlformats.org/drawingml/2006/chartDrawing">
    <cdr:from>
      <cdr:x>0.00772</cdr:x>
      <cdr:y>0</cdr:y>
    </cdr:from>
    <cdr:to>
      <cdr:x>0.2654</cdr:x>
      <cdr:y>0.07798</cdr:y>
    </cdr:to>
    <cdr:sp macro="" textlink="">
      <cdr:nvSpPr>
        <cdr:cNvPr id="2" name="Text Box 1"/>
        <cdr:cNvSpPr txBox="1"/>
      </cdr:nvSpPr>
      <cdr:spPr>
        <a:xfrm xmlns:a="http://schemas.openxmlformats.org/drawingml/2006/main">
          <a:off x="41564" y="0"/>
          <a:ext cx="1388225" cy="216130"/>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900">
              <a:latin typeface="Segoe UI" panose="020B0502040204020203" pitchFamily="34" charset="0"/>
              <a:cs typeface="Segoe UI" panose="020B0502040204020203" pitchFamily="34" charset="0"/>
            </a:rPr>
            <a:t>Number</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0.24477</cdr:x>
      <cdr:y>0.09365</cdr:y>
    </cdr:to>
    <cdr:sp macro="" textlink="">
      <cdr:nvSpPr>
        <cdr:cNvPr id="2" name="Text Box 1"/>
        <cdr:cNvSpPr txBox="1"/>
      </cdr:nvSpPr>
      <cdr:spPr>
        <a:xfrm xmlns:a="http://schemas.openxmlformats.org/drawingml/2006/main">
          <a:off x="0" y="0"/>
          <a:ext cx="1253387" cy="232756"/>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900">
              <a:latin typeface="Segoe UI" panose="020B0502040204020203" pitchFamily="34" charset="0"/>
              <a:cs typeface="Segoe UI" panose="020B0502040204020203" pitchFamily="34" charset="0"/>
            </a:rPr>
            <a:t>Number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07BE-B3DB-405D-9E20-D053AAA4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39</TotalTime>
  <Pages>16</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regulatory controls on high-power laser pointers</dc:title>
  <dc:creator>Ministry of Health</dc:creator>
  <cp:lastModifiedBy>Julianne (Juli) Ryan</cp:lastModifiedBy>
  <cp:revision>4</cp:revision>
  <cp:lastPrinted>2021-06-28T02:38:00Z</cp:lastPrinted>
  <dcterms:created xsi:type="dcterms:W3CDTF">2021-06-27T22:55:00Z</dcterms:created>
  <dcterms:modified xsi:type="dcterms:W3CDTF">2021-06-28T02:38:00Z</dcterms:modified>
</cp:coreProperties>
</file>