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05167" w14:textId="77777777" w:rsidR="00C86248" w:rsidRDefault="00EF770A" w:rsidP="00926083">
      <w:pPr>
        <w:pStyle w:val="Title"/>
      </w:pPr>
      <w:r>
        <w:t>Assisted Dying Section 88 Notice</w:t>
      </w:r>
      <w:r>
        <w:br/>
        <w:t>User Guide</w:t>
      </w:r>
    </w:p>
    <w:p w14:paraId="545FB37C" w14:textId="77777777" w:rsidR="00D27922" w:rsidRDefault="00EF770A" w:rsidP="00D27922">
      <w:pPr>
        <w:pStyle w:val="Subhead"/>
      </w:pPr>
      <w:r>
        <w:t>For primary and private</w:t>
      </w:r>
      <w:r>
        <w:br/>
        <w:t>(non-DHB-funded) services</w:t>
      </w:r>
    </w:p>
    <w:p w14:paraId="7675786E" w14:textId="77777777" w:rsidR="00D27922" w:rsidRPr="00D27922" w:rsidRDefault="00EF770A" w:rsidP="00D27922">
      <w:pPr>
        <w:pStyle w:val="Year"/>
      </w:pPr>
      <w:r>
        <w:t>2021</w:t>
      </w:r>
    </w:p>
    <w:p w14:paraId="139A12BE" w14:textId="77777777" w:rsidR="00C05132" w:rsidRDefault="00C05132" w:rsidP="00A06BE4"/>
    <w:p w14:paraId="18CDC364" w14:textId="77777777" w:rsidR="00142954" w:rsidRPr="00142954" w:rsidRDefault="00142954" w:rsidP="00142954">
      <w:pPr>
        <w:sectPr w:rsidR="00142954" w:rsidRPr="00142954" w:rsidSect="00925892">
          <w:headerReference w:type="default" r:id="rId8"/>
          <w:footerReference w:type="default" r:id="rId9"/>
          <w:pgSz w:w="11907" w:h="16834" w:code="9"/>
          <w:pgMar w:top="5670" w:right="1134" w:bottom="1134" w:left="1134" w:header="567" w:footer="851" w:gutter="0"/>
          <w:pgNumType w:start="1"/>
          <w:cols w:space="720"/>
        </w:sectPr>
      </w:pPr>
    </w:p>
    <w:p w14:paraId="28CD87EE" w14:textId="77777777" w:rsidR="00A80363" w:rsidRPr="00C05132" w:rsidRDefault="00A80363" w:rsidP="00A63DFF">
      <w:pPr>
        <w:pStyle w:val="Imprint"/>
        <w:spacing w:before="1200"/>
        <w:rPr>
          <w:rFonts w:cs="Segoe UI"/>
        </w:rPr>
      </w:pPr>
      <w:r w:rsidRPr="00C05132">
        <w:rPr>
          <w:rFonts w:cs="Segoe UI"/>
        </w:rPr>
        <w:lastRenderedPageBreak/>
        <w:t xml:space="preserve">Citation: </w:t>
      </w:r>
      <w:r w:rsidR="00442C1C" w:rsidRPr="00C05132">
        <w:rPr>
          <w:rFonts w:cs="Segoe UI"/>
        </w:rPr>
        <w:t xml:space="preserve">Ministry of Health. </w:t>
      </w:r>
      <w:r w:rsidR="00EF770A">
        <w:rPr>
          <w:rFonts w:cs="Segoe UI"/>
        </w:rPr>
        <w:t>2021</w:t>
      </w:r>
      <w:r w:rsidR="00442C1C" w:rsidRPr="00C05132">
        <w:rPr>
          <w:rFonts w:cs="Segoe UI"/>
        </w:rPr>
        <w:t xml:space="preserve">. </w:t>
      </w:r>
      <w:r w:rsidR="00EF770A">
        <w:rPr>
          <w:rFonts w:cs="Segoe UI"/>
          <w:i/>
        </w:rPr>
        <w:t>Assisted Dying Section 88 Notice User Guide: For primary and private (non-DHB-funded) services</w:t>
      </w:r>
      <w:r w:rsidR="00442C1C" w:rsidRPr="00C05132">
        <w:rPr>
          <w:rFonts w:cs="Segoe UI"/>
        </w:rPr>
        <w:t>. Wellington: Ministry of Health.</w:t>
      </w:r>
    </w:p>
    <w:p w14:paraId="6FE47C91" w14:textId="77777777" w:rsidR="00C86248" w:rsidRDefault="00C86248">
      <w:pPr>
        <w:pStyle w:val="Imprint"/>
      </w:pPr>
      <w:r>
        <w:t xml:space="preserve">Published in </w:t>
      </w:r>
      <w:r w:rsidR="00EF770A">
        <w:t xml:space="preserve">October </w:t>
      </w:r>
      <w:r w:rsidR="003235C6">
        <w:t>20</w:t>
      </w:r>
      <w:r w:rsidR="008017B4">
        <w:t>21</w:t>
      </w:r>
      <w:r w:rsidR="00A63DFF">
        <w:t xml:space="preserve"> </w:t>
      </w:r>
      <w:r>
        <w:t>by the</w:t>
      </w:r>
      <w:r w:rsidR="00442C1C">
        <w:t xml:space="preserve"> </w:t>
      </w:r>
      <w:r>
        <w:t>Ministry of Health</w:t>
      </w:r>
      <w:r>
        <w:br/>
        <w:t>PO Box 5013, Wellington</w:t>
      </w:r>
      <w:r w:rsidR="00A80363">
        <w:t xml:space="preserve"> 614</w:t>
      </w:r>
      <w:r w:rsidR="006041F0">
        <w:t>0</w:t>
      </w:r>
      <w:r>
        <w:t xml:space="preserve">, </w:t>
      </w:r>
      <w:r w:rsidR="00571223">
        <w:t>New Zealand</w:t>
      </w:r>
    </w:p>
    <w:p w14:paraId="2B8BAEFA" w14:textId="43C05056" w:rsidR="00082CD6" w:rsidRPr="009C0F2D" w:rsidRDefault="00D863D0" w:rsidP="00082CD6">
      <w:pPr>
        <w:pStyle w:val="Imprint"/>
      </w:pPr>
      <w:r>
        <w:t>ISBN</w:t>
      </w:r>
      <w:r w:rsidR="00442C1C">
        <w:t xml:space="preserve"> </w:t>
      </w:r>
      <w:r w:rsidR="00306071" w:rsidRPr="00306071">
        <w:t>978-1-99-100760-5</w:t>
      </w:r>
      <w:r w:rsidR="002B7BEC">
        <w:t xml:space="preserve"> </w:t>
      </w:r>
      <w:r>
        <w:t>(</w:t>
      </w:r>
      <w:r w:rsidR="00442C1C">
        <w:t>online</w:t>
      </w:r>
      <w:r>
        <w:t>)</w:t>
      </w:r>
      <w:r w:rsidR="00082CD6">
        <w:br/>
      </w:r>
      <w:r w:rsidR="00082CD6" w:rsidRPr="009C0F2D">
        <w:t xml:space="preserve">HP </w:t>
      </w:r>
      <w:r w:rsidR="00980C6D">
        <w:t>7870</w:t>
      </w:r>
    </w:p>
    <w:p w14:paraId="28C480AB" w14:textId="77777777" w:rsidR="00C86248" w:rsidRDefault="008C64C4" w:rsidP="00D27922">
      <w:pPr>
        <w:spacing w:before="360"/>
      </w:pPr>
      <w:r>
        <w:rPr>
          <w:noProof/>
          <w:lang w:eastAsia="en-NZ"/>
        </w:rPr>
        <w:drawing>
          <wp:inline distT="0" distB="0" distL="0" distR="0" wp14:anchorId="76C27793" wp14:editId="1594BA16">
            <wp:extent cx="1413163" cy="576330"/>
            <wp:effectExtent l="0" t="0" r="0" b="0"/>
            <wp:docPr id="2" name="Picture 2" descr="Ministry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inistry of Health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017" cy="5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8DD6A" w14:textId="77777777" w:rsidR="00A63DFF" w:rsidRDefault="00A63DFF" w:rsidP="00A63DFF">
      <w:pPr>
        <w:pStyle w:val="Imprint"/>
        <w:spacing w:before="240" w:after="480"/>
      </w:pPr>
      <w:r>
        <w:t xml:space="preserve">This document is available at </w:t>
      </w:r>
      <w:hyperlink r:id="rId11" w:history="1">
        <w:r w:rsidR="00476B21" w:rsidRPr="0013096C">
          <w:rPr>
            <w:rStyle w:val="Hyperlink"/>
          </w:rPr>
          <w:t>health.govt.nz</w:t>
        </w:r>
      </w:hyperlink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061"/>
      </w:tblGrid>
      <w:tr w:rsidR="00A63DFF" w:rsidRPr="00A63DFF" w14:paraId="6A50F026" w14:textId="77777777" w:rsidTr="00A63DFF">
        <w:trPr>
          <w:cantSplit/>
        </w:trPr>
        <w:tc>
          <w:tcPr>
            <w:tcW w:w="1526" w:type="dxa"/>
          </w:tcPr>
          <w:p w14:paraId="3EA2F550" w14:textId="77777777" w:rsidR="00A63DFF" w:rsidRPr="00A63DFF" w:rsidRDefault="00A63DFF" w:rsidP="00F103BE">
            <w:pPr>
              <w:spacing w:before="240"/>
              <w:rPr>
                <w:rFonts w:cs="Segoe UI"/>
                <w:sz w:val="15"/>
                <w:szCs w:val="15"/>
              </w:rPr>
            </w:pPr>
            <w:r w:rsidRPr="00A63DFF">
              <w:rPr>
                <w:rFonts w:cs="Segoe UI"/>
                <w:b/>
                <w:noProof/>
                <w:sz w:val="15"/>
                <w:szCs w:val="15"/>
                <w:lang w:eastAsia="en-NZ"/>
              </w:rPr>
              <w:drawing>
                <wp:inline distT="0" distB="0" distL="0" distR="0" wp14:anchorId="4124C0A4" wp14:editId="39FF3BBB">
                  <wp:extent cx="809625" cy="285750"/>
                  <wp:effectExtent l="0" t="0" r="9525" b="0"/>
                  <wp:docPr id="3" name="Picture 3" descr="CC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14:paraId="0CA9D4AF" w14:textId="77777777" w:rsidR="00A63DFF" w:rsidRPr="00A63DFF" w:rsidRDefault="00A63DFF" w:rsidP="00A63DFF">
            <w:pPr>
              <w:rPr>
                <w:rFonts w:cs="Segoe UI"/>
                <w:sz w:val="15"/>
                <w:szCs w:val="15"/>
              </w:rPr>
            </w:pPr>
            <w:r w:rsidRPr="00A63DFF">
              <w:rPr>
                <w:rFonts w:cs="Segoe UI"/>
                <w:sz w:val="15"/>
                <w:szCs w:val="15"/>
              </w:rPr>
              <w:t xml:space="preserve">This work is licensed under the Creative Commons Attribution 4.0 International licence. In essence, </w:t>
            </w:r>
            <w:r w:rsidRPr="00A63DFF">
              <w:rPr>
                <w:rFonts w:cs="Segoe UI"/>
                <w:bCs/>
                <w:sz w:val="15"/>
                <w:szCs w:val="15"/>
              </w:rPr>
              <w:t xml:space="preserve">you are free to: </w:t>
            </w:r>
            <w:r w:rsidRPr="00A63DFF">
              <w:rPr>
                <w:rFonts w:cs="Segoe UI"/>
                <w:sz w:val="15"/>
                <w:szCs w:val="15"/>
              </w:rPr>
              <w:t xml:space="preserve">share </w:t>
            </w:r>
            <w:proofErr w:type="spellStart"/>
            <w:r w:rsidRPr="00A63DFF">
              <w:rPr>
                <w:rFonts w:cs="Segoe UI"/>
                <w:sz w:val="15"/>
                <w:szCs w:val="15"/>
              </w:rPr>
              <w:t>ie</w:t>
            </w:r>
            <w:proofErr w:type="spellEnd"/>
            <w:r w:rsidRPr="00A63DFF">
              <w:rPr>
                <w:rFonts w:cs="Segoe UI"/>
                <w:sz w:val="15"/>
                <w:szCs w:val="15"/>
              </w:rPr>
              <w:t xml:space="preserve">, copy and redistribute the material in any medium or format; adapt </w:t>
            </w:r>
            <w:proofErr w:type="spellStart"/>
            <w:r w:rsidRPr="00A63DFF">
              <w:rPr>
                <w:rFonts w:cs="Segoe UI"/>
                <w:sz w:val="15"/>
                <w:szCs w:val="15"/>
              </w:rPr>
              <w:t>ie</w:t>
            </w:r>
            <w:proofErr w:type="spellEnd"/>
            <w:r w:rsidRPr="00A63DFF">
              <w:rPr>
                <w:rFonts w:cs="Segoe UI"/>
                <w:sz w:val="15"/>
                <w:szCs w:val="15"/>
              </w:rPr>
              <w:t xml:space="preserve">, remix, transform and build upon the material. </w:t>
            </w:r>
            <w:r w:rsidRPr="00A63DFF">
              <w:rPr>
                <w:rFonts w:cs="Segoe UI"/>
                <w:bCs/>
                <w:sz w:val="15"/>
                <w:szCs w:val="15"/>
              </w:rPr>
              <w:t xml:space="preserve">You must give appropriate credit, provide a link to the </w:t>
            </w:r>
            <w:proofErr w:type="gramStart"/>
            <w:r w:rsidRPr="00A63DFF">
              <w:rPr>
                <w:rFonts w:cs="Segoe UI"/>
                <w:bCs/>
                <w:sz w:val="15"/>
                <w:szCs w:val="15"/>
              </w:rPr>
              <w:t>licence</w:t>
            </w:r>
            <w:proofErr w:type="gramEnd"/>
            <w:r w:rsidRPr="00A63DFF">
              <w:rPr>
                <w:rFonts w:cs="Segoe UI"/>
                <w:bCs/>
                <w:sz w:val="15"/>
                <w:szCs w:val="15"/>
              </w:rPr>
              <w:t xml:space="preserve"> and indicate if changes were made.</w:t>
            </w:r>
          </w:p>
        </w:tc>
      </w:tr>
    </w:tbl>
    <w:p w14:paraId="3E19D2F2" w14:textId="77777777" w:rsidR="007E74F1" w:rsidRPr="001F45A7" w:rsidRDefault="007E74F1" w:rsidP="006E2886">
      <w:pPr>
        <w:pStyle w:val="Imprint"/>
      </w:pPr>
    </w:p>
    <w:p w14:paraId="7FBE7264" w14:textId="77777777" w:rsidR="00C86248" w:rsidRDefault="00C86248">
      <w:pPr>
        <w:jc w:val="center"/>
        <w:sectPr w:rsidR="00C86248" w:rsidSect="00925892">
          <w:footerReference w:type="even" r:id="rId13"/>
          <w:footerReference w:type="default" r:id="rId14"/>
          <w:pgSz w:w="11907" w:h="16834" w:code="9"/>
          <w:pgMar w:top="1701" w:right="2268" w:bottom="1134" w:left="2268" w:header="0" w:footer="0" w:gutter="0"/>
          <w:cols w:space="720"/>
          <w:vAlign w:val="bottom"/>
        </w:sectPr>
      </w:pPr>
    </w:p>
    <w:p w14:paraId="4837566C" w14:textId="77777777" w:rsidR="00C86248" w:rsidRDefault="00C86248" w:rsidP="00025A6F">
      <w:pPr>
        <w:pStyle w:val="IntroHead"/>
      </w:pPr>
      <w:bookmarkStart w:id="0" w:name="_Toc405792991"/>
      <w:bookmarkStart w:id="1" w:name="_Toc405793224"/>
      <w:r>
        <w:lastRenderedPageBreak/>
        <w:t>Contents</w:t>
      </w:r>
      <w:bookmarkEnd w:id="0"/>
      <w:bookmarkEnd w:id="1"/>
    </w:p>
    <w:p w14:paraId="2252A65F" w14:textId="02EC6EFF" w:rsidR="006046D2" w:rsidRDefault="006046D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r>
        <w:rPr>
          <w:b/>
        </w:rPr>
        <w:fldChar w:fldCharType="begin"/>
      </w:r>
      <w:r>
        <w:rPr>
          <w:b/>
        </w:rPr>
        <w:instrText xml:space="preserve"> TOC \o "1-2" \h \z </w:instrText>
      </w:r>
      <w:r>
        <w:rPr>
          <w:b/>
        </w:rPr>
        <w:fldChar w:fldCharType="separate"/>
      </w:r>
      <w:hyperlink w:anchor="_Toc84425828" w:history="1">
        <w:r w:rsidRPr="00CF0B72">
          <w:rPr>
            <w:rStyle w:val="Hyperlink"/>
            <w:noProof/>
          </w:rPr>
          <w:t>Background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_Toc84425828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1DA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C54BA0" w14:textId="0234B415" w:rsidR="006046D2" w:rsidRDefault="00B11DA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84425829" w:history="1">
        <w:r w:rsidR="006046D2" w:rsidRPr="00CF0B72">
          <w:rPr>
            <w:rStyle w:val="Hyperlink"/>
            <w:noProof/>
          </w:rPr>
          <w:t>Purpose</w:t>
        </w:r>
        <w:r w:rsidR="006046D2">
          <w:rPr>
            <w:noProof/>
            <w:webHidden/>
          </w:rPr>
          <w:tab/>
        </w:r>
        <w:r w:rsidR="006046D2">
          <w:rPr>
            <w:noProof/>
            <w:webHidden/>
          </w:rPr>
          <w:fldChar w:fldCharType="begin"/>
        </w:r>
        <w:r w:rsidR="006046D2">
          <w:rPr>
            <w:noProof/>
            <w:webHidden/>
          </w:rPr>
          <w:instrText xml:space="preserve"> PAGEREF _Toc84425829 \h </w:instrText>
        </w:r>
        <w:r w:rsidR="006046D2">
          <w:rPr>
            <w:noProof/>
            <w:webHidden/>
          </w:rPr>
        </w:r>
        <w:r w:rsidR="006046D2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6046D2">
          <w:rPr>
            <w:noProof/>
            <w:webHidden/>
          </w:rPr>
          <w:fldChar w:fldCharType="end"/>
        </w:r>
      </w:hyperlink>
    </w:p>
    <w:p w14:paraId="46F30D0B" w14:textId="3C9B4BF9" w:rsidR="006046D2" w:rsidRDefault="00B11DA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84425830" w:history="1">
        <w:r w:rsidR="006046D2" w:rsidRPr="00CF0B72">
          <w:rPr>
            <w:rStyle w:val="Hyperlink"/>
            <w:noProof/>
          </w:rPr>
          <w:t>The End of Life Choice Act 2019</w:t>
        </w:r>
        <w:r w:rsidR="006046D2">
          <w:rPr>
            <w:noProof/>
            <w:webHidden/>
          </w:rPr>
          <w:tab/>
        </w:r>
        <w:r w:rsidR="006046D2">
          <w:rPr>
            <w:noProof/>
            <w:webHidden/>
          </w:rPr>
          <w:fldChar w:fldCharType="begin"/>
        </w:r>
        <w:r w:rsidR="006046D2">
          <w:rPr>
            <w:noProof/>
            <w:webHidden/>
          </w:rPr>
          <w:instrText xml:space="preserve"> PAGEREF _Toc84425830 \h </w:instrText>
        </w:r>
        <w:r w:rsidR="006046D2">
          <w:rPr>
            <w:noProof/>
            <w:webHidden/>
          </w:rPr>
        </w:r>
        <w:r w:rsidR="006046D2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6046D2">
          <w:rPr>
            <w:noProof/>
            <w:webHidden/>
          </w:rPr>
          <w:fldChar w:fldCharType="end"/>
        </w:r>
      </w:hyperlink>
    </w:p>
    <w:p w14:paraId="7548499E" w14:textId="1D5C36FE" w:rsidR="006046D2" w:rsidRDefault="00B11DA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84425831" w:history="1">
        <w:r w:rsidR="006046D2" w:rsidRPr="00CF0B72">
          <w:rPr>
            <w:rStyle w:val="Hyperlink"/>
            <w:noProof/>
          </w:rPr>
          <w:t>Section 88 notice</w:t>
        </w:r>
        <w:r w:rsidR="006046D2">
          <w:rPr>
            <w:noProof/>
            <w:webHidden/>
          </w:rPr>
          <w:tab/>
        </w:r>
        <w:r w:rsidR="006046D2">
          <w:rPr>
            <w:noProof/>
            <w:webHidden/>
          </w:rPr>
          <w:fldChar w:fldCharType="begin"/>
        </w:r>
        <w:r w:rsidR="006046D2">
          <w:rPr>
            <w:noProof/>
            <w:webHidden/>
          </w:rPr>
          <w:instrText xml:space="preserve"> PAGEREF _Toc84425831 \h </w:instrText>
        </w:r>
        <w:r w:rsidR="006046D2">
          <w:rPr>
            <w:noProof/>
            <w:webHidden/>
          </w:rPr>
        </w:r>
        <w:r w:rsidR="006046D2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6046D2">
          <w:rPr>
            <w:noProof/>
            <w:webHidden/>
          </w:rPr>
          <w:fldChar w:fldCharType="end"/>
        </w:r>
      </w:hyperlink>
    </w:p>
    <w:p w14:paraId="713D1E71" w14:textId="759F1D11" w:rsidR="006046D2" w:rsidRDefault="00B11DA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84425832" w:history="1">
        <w:r w:rsidR="006046D2" w:rsidRPr="00CF0B72">
          <w:rPr>
            <w:rStyle w:val="Hyperlink"/>
            <w:noProof/>
          </w:rPr>
          <w:t>General service definitions</w:t>
        </w:r>
        <w:r w:rsidR="006046D2">
          <w:rPr>
            <w:noProof/>
            <w:webHidden/>
          </w:rPr>
          <w:tab/>
        </w:r>
        <w:r w:rsidR="006046D2">
          <w:rPr>
            <w:noProof/>
            <w:webHidden/>
          </w:rPr>
          <w:fldChar w:fldCharType="begin"/>
        </w:r>
        <w:r w:rsidR="006046D2">
          <w:rPr>
            <w:noProof/>
            <w:webHidden/>
          </w:rPr>
          <w:instrText xml:space="preserve"> PAGEREF _Toc84425832 \h </w:instrText>
        </w:r>
        <w:r w:rsidR="006046D2">
          <w:rPr>
            <w:noProof/>
            <w:webHidden/>
          </w:rPr>
        </w:r>
        <w:r w:rsidR="006046D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046D2">
          <w:rPr>
            <w:noProof/>
            <w:webHidden/>
          </w:rPr>
          <w:fldChar w:fldCharType="end"/>
        </w:r>
      </w:hyperlink>
    </w:p>
    <w:p w14:paraId="50C5D28E" w14:textId="33F6FAF4" w:rsidR="006046D2" w:rsidRDefault="00B11DA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84425833" w:history="1">
        <w:r w:rsidR="006046D2" w:rsidRPr="00CF0B72">
          <w:rPr>
            <w:rStyle w:val="Hyperlink"/>
            <w:noProof/>
          </w:rPr>
          <w:t>Statutory bodies</w:t>
        </w:r>
        <w:r w:rsidR="006046D2">
          <w:rPr>
            <w:noProof/>
            <w:webHidden/>
          </w:rPr>
          <w:tab/>
        </w:r>
        <w:r w:rsidR="006046D2">
          <w:rPr>
            <w:noProof/>
            <w:webHidden/>
          </w:rPr>
          <w:fldChar w:fldCharType="begin"/>
        </w:r>
        <w:r w:rsidR="006046D2">
          <w:rPr>
            <w:noProof/>
            <w:webHidden/>
          </w:rPr>
          <w:instrText xml:space="preserve"> PAGEREF _Toc84425833 \h </w:instrText>
        </w:r>
        <w:r w:rsidR="006046D2">
          <w:rPr>
            <w:noProof/>
            <w:webHidden/>
          </w:rPr>
        </w:r>
        <w:r w:rsidR="006046D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046D2">
          <w:rPr>
            <w:noProof/>
            <w:webHidden/>
          </w:rPr>
          <w:fldChar w:fldCharType="end"/>
        </w:r>
      </w:hyperlink>
    </w:p>
    <w:p w14:paraId="502B7504" w14:textId="775739E0" w:rsidR="006046D2" w:rsidRDefault="00B11DA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84425834" w:history="1">
        <w:r w:rsidR="006046D2" w:rsidRPr="00CF0B72">
          <w:rPr>
            <w:rStyle w:val="Hyperlink"/>
            <w:noProof/>
          </w:rPr>
          <w:t>Assisted dying services</w:t>
        </w:r>
        <w:r w:rsidR="006046D2">
          <w:rPr>
            <w:noProof/>
            <w:webHidden/>
          </w:rPr>
          <w:tab/>
        </w:r>
        <w:r w:rsidR="006046D2">
          <w:rPr>
            <w:noProof/>
            <w:webHidden/>
          </w:rPr>
          <w:fldChar w:fldCharType="begin"/>
        </w:r>
        <w:r w:rsidR="006046D2">
          <w:rPr>
            <w:noProof/>
            <w:webHidden/>
          </w:rPr>
          <w:instrText xml:space="preserve"> PAGEREF _Toc84425834 \h </w:instrText>
        </w:r>
        <w:r w:rsidR="006046D2">
          <w:rPr>
            <w:noProof/>
            <w:webHidden/>
          </w:rPr>
        </w:r>
        <w:r w:rsidR="006046D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046D2">
          <w:rPr>
            <w:noProof/>
            <w:webHidden/>
          </w:rPr>
          <w:fldChar w:fldCharType="end"/>
        </w:r>
      </w:hyperlink>
    </w:p>
    <w:p w14:paraId="2E34F5B8" w14:textId="02FF3AB5" w:rsidR="006046D2" w:rsidRDefault="00B11DA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84425835" w:history="1">
        <w:r w:rsidR="006046D2" w:rsidRPr="00CF0B72">
          <w:rPr>
            <w:rStyle w:val="Hyperlink"/>
            <w:noProof/>
          </w:rPr>
          <w:t>Initial request</w:t>
        </w:r>
        <w:r w:rsidR="006046D2">
          <w:rPr>
            <w:noProof/>
            <w:webHidden/>
          </w:rPr>
          <w:tab/>
        </w:r>
        <w:r w:rsidR="006046D2">
          <w:rPr>
            <w:noProof/>
            <w:webHidden/>
          </w:rPr>
          <w:fldChar w:fldCharType="begin"/>
        </w:r>
        <w:r w:rsidR="006046D2">
          <w:rPr>
            <w:noProof/>
            <w:webHidden/>
          </w:rPr>
          <w:instrText xml:space="preserve"> PAGEREF _Toc84425835 \h </w:instrText>
        </w:r>
        <w:r w:rsidR="006046D2">
          <w:rPr>
            <w:noProof/>
            <w:webHidden/>
          </w:rPr>
        </w:r>
        <w:r w:rsidR="006046D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046D2">
          <w:rPr>
            <w:noProof/>
            <w:webHidden/>
          </w:rPr>
          <w:fldChar w:fldCharType="end"/>
        </w:r>
      </w:hyperlink>
    </w:p>
    <w:p w14:paraId="40C35076" w14:textId="70D0B1B3" w:rsidR="006046D2" w:rsidRDefault="00B11DA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84425836" w:history="1">
        <w:r w:rsidR="006046D2" w:rsidRPr="00CF0B72">
          <w:rPr>
            <w:rStyle w:val="Hyperlink"/>
            <w:noProof/>
          </w:rPr>
          <w:t>The assisted dying service modules</w:t>
        </w:r>
        <w:r w:rsidR="006046D2">
          <w:rPr>
            <w:noProof/>
            <w:webHidden/>
          </w:rPr>
          <w:tab/>
        </w:r>
        <w:r w:rsidR="006046D2">
          <w:rPr>
            <w:noProof/>
            <w:webHidden/>
          </w:rPr>
          <w:fldChar w:fldCharType="begin"/>
        </w:r>
        <w:r w:rsidR="006046D2">
          <w:rPr>
            <w:noProof/>
            <w:webHidden/>
          </w:rPr>
          <w:instrText xml:space="preserve"> PAGEREF _Toc84425836 \h </w:instrText>
        </w:r>
        <w:r w:rsidR="006046D2">
          <w:rPr>
            <w:noProof/>
            <w:webHidden/>
          </w:rPr>
        </w:r>
        <w:r w:rsidR="006046D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046D2">
          <w:rPr>
            <w:noProof/>
            <w:webHidden/>
          </w:rPr>
          <w:fldChar w:fldCharType="end"/>
        </w:r>
      </w:hyperlink>
    </w:p>
    <w:p w14:paraId="1FF296AF" w14:textId="1522A34F" w:rsidR="006046D2" w:rsidRDefault="00B11DA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84425837" w:history="1">
        <w:r w:rsidR="006046D2" w:rsidRPr="00CF0B72">
          <w:rPr>
            <w:rStyle w:val="Hyperlink"/>
            <w:noProof/>
          </w:rPr>
          <w:t>Payment and reporting</w:t>
        </w:r>
        <w:r w:rsidR="006046D2">
          <w:rPr>
            <w:noProof/>
            <w:webHidden/>
          </w:rPr>
          <w:tab/>
        </w:r>
        <w:r w:rsidR="006046D2">
          <w:rPr>
            <w:noProof/>
            <w:webHidden/>
          </w:rPr>
          <w:fldChar w:fldCharType="begin"/>
        </w:r>
        <w:r w:rsidR="006046D2">
          <w:rPr>
            <w:noProof/>
            <w:webHidden/>
          </w:rPr>
          <w:instrText xml:space="preserve"> PAGEREF _Toc84425837 \h </w:instrText>
        </w:r>
        <w:r w:rsidR="006046D2">
          <w:rPr>
            <w:noProof/>
            <w:webHidden/>
          </w:rPr>
        </w:r>
        <w:r w:rsidR="006046D2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6046D2">
          <w:rPr>
            <w:noProof/>
            <w:webHidden/>
          </w:rPr>
          <w:fldChar w:fldCharType="end"/>
        </w:r>
      </w:hyperlink>
    </w:p>
    <w:p w14:paraId="388B8CEB" w14:textId="5E4215AF" w:rsidR="006046D2" w:rsidRDefault="00B11DA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84425838" w:history="1">
        <w:r w:rsidR="006046D2" w:rsidRPr="00CF0B72">
          <w:rPr>
            <w:rStyle w:val="Hyperlink"/>
            <w:noProof/>
          </w:rPr>
          <w:t>Obtaining a s88 notice</w:t>
        </w:r>
        <w:r w:rsidR="006046D2">
          <w:rPr>
            <w:noProof/>
            <w:webHidden/>
          </w:rPr>
          <w:tab/>
        </w:r>
        <w:r w:rsidR="006046D2">
          <w:rPr>
            <w:noProof/>
            <w:webHidden/>
          </w:rPr>
          <w:fldChar w:fldCharType="begin"/>
        </w:r>
        <w:r w:rsidR="006046D2">
          <w:rPr>
            <w:noProof/>
            <w:webHidden/>
          </w:rPr>
          <w:instrText xml:space="preserve"> PAGEREF _Toc84425838 \h </w:instrText>
        </w:r>
        <w:r w:rsidR="006046D2">
          <w:rPr>
            <w:noProof/>
            <w:webHidden/>
          </w:rPr>
        </w:r>
        <w:r w:rsidR="006046D2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6046D2">
          <w:rPr>
            <w:noProof/>
            <w:webHidden/>
          </w:rPr>
          <w:fldChar w:fldCharType="end"/>
        </w:r>
      </w:hyperlink>
    </w:p>
    <w:p w14:paraId="5CA9E8F0" w14:textId="3C980BC4" w:rsidR="006046D2" w:rsidRDefault="00B11DA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84425839" w:history="1">
        <w:r w:rsidR="006046D2" w:rsidRPr="00CF0B72">
          <w:rPr>
            <w:rStyle w:val="Hyperlink"/>
            <w:noProof/>
          </w:rPr>
          <w:t>Eligible practitioners</w:t>
        </w:r>
        <w:r w:rsidR="006046D2">
          <w:rPr>
            <w:noProof/>
            <w:webHidden/>
          </w:rPr>
          <w:tab/>
        </w:r>
        <w:r w:rsidR="006046D2">
          <w:rPr>
            <w:noProof/>
            <w:webHidden/>
          </w:rPr>
          <w:fldChar w:fldCharType="begin"/>
        </w:r>
        <w:r w:rsidR="006046D2">
          <w:rPr>
            <w:noProof/>
            <w:webHidden/>
          </w:rPr>
          <w:instrText xml:space="preserve"> PAGEREF _Toc84425839 \h </w:instrText>
        </w:r>
        <w:r w:rsidR="006046D2">
          <w:rPr>
            <w:noProof/>
            <w:webHidden/>
          </w:rPr>
        </w:r>
        <w:r w:rsidR="006046D2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6046D2">
          <w:rPr>
            <w:noProof/>
            <w:webHidden/>
          </w:rPr>
          <w:fldChar w:fldCharType="end"/>
        </w:r>
      </w:hyperlink>
    </w:p>
    <w:p w14:paraId="7D5A29A8" w14:textId="447DA523" w:rsidR="006046D2" w:rsidRDefault="00B11DA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84425840" w:history="1">
        <w:r w:rsidR="006046D2" w:rsidRPr="00CF0B72">
          <w:rPr>
            <w:rStyle w:val="Hyperlink"/>
            <w:noProof/>
          </w:rPr>
          <w:t>Reporting</w:t>
        </w:r>
        <w:r w:rsidR="006046D2">
          <w:rPr>
            <w:noProof/>
            <w:webHidden/>
          </w:rPr>
          <w:tab/>
        </w:r>
        <w:r w:rsidR="006046D2">
          <w:rPr>
            <w:noProof/>
            <w:webHidden/>
          </w:rPr>
          <w:fldChar w:fldCharType="begin"/>
        </w:r>
        <w:r w:rsidR="006046D2">
          <w:rPr>
            <w:noProof/>
            <w:webHidden/>
          </w:rPr>
          <w:instrText xml:space="preserve"> PAGEREF _Toc84425840 \h </w:instrText>
        </w:r>
        <w:r w:rsidR="006046D2">
          <w:rPr>
            <w:noProof/>
            <w:webHidden/>
          </w:rPr>
        </w:r>
        <w:r w:rsidR="006046D2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6046D2">
          <w:rPr>
            <w:noProof/>
            <w:webHidden/>
          </w:rPr>
          <w:fldChar w:fldCharType="end"/>
        </w:r>
      </w:hyperlink>
    </w:p>
    <w:p w14:paraId="06FD1682" w14:textId="43B3EA28" w:rsidR="006046D2" w:rsidRDefault="00B11DA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84425841" w:history="1">
        <w:r w:rsidR="006046D2" w:rsidRPr="00CF0B72">
          <w:rPr>
            <w:rStyle w:val="Hyperlink"/>
            <w:noProof/>
          </w:rPr>
          <w:t>Submitting a claim</w:t>
        </w:r>
        <w:r w:rsidR="006046D2">
          <w:rPr>
            <w:noProof/>
            <w:webHidden/>
          </w:rPr>
          <w:tab/>
        </w:r>
        <w:r w:rsidR="006046D2">
          <w:rPr>
            <w:noProof/>
            <w:webHidden/>
          </w:rPr>
          <w:fldChar w:fldCharType="begin"/>
        </w:r>
        <w:r w:rsidR="006046D2">
          <w:rPr>
            <w:noProof/>
            <w:webHidden/>
          </w:rPr>
          <w:instrText xml:space="preserve"> PAGEREF _Toc84425841 \h </w:instrText>
        </w:r>
        <w:r w:rsidR="006046D2">
          <w:rPr>
            <w:noProof/>
            <w:webHidden/>
          </w:rPr>
        </w:r>
        <w:r w:rsidR="006046D2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6046D2">
          <w:rPr>
            <w:noProof/>
            <w:webHidden/>
          </w:rPr>
          <w:fldChar w:fldCharType="end"/>
        </w:r>
      </w:hyperlink>
    </w:p>
    <w:p w14:paraId="36553219" w14:textId="4E4A88B8" w:rsidR="006046D2" w:rsidRDefault="00B11DA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84425842" w:history="1">
        <w:r w:rsidR="006046D2" w:rsidRPr="00CF0B72">
          <w:rPr>
            <w:rStyle w:val="Hyperlink"/>
            <w:noProof/>
          </w:rPr>
          <w:t>Receiving payment</w:t>
        </w:r>
        <w:r w:rsidR="006046D2">
          <w:rPr>
            <w:noProof/>
            <w:webHidden/>
          </w:rPr>
          <w:tab/>
        </w:r>
        <w:r w:rsidR="006046D2">
          <w:rPr>
            <w:noProof/>
            <w:webHidden/>
          </w:rPr>
          <w:fldChar w:fldCharType="begin"/>
        </w:r>
        <w:r w:rsidR="006046D2">
          <w:rPr>
            <w:noProof/>
            <w:webHidden/>
          </w:rPr>
          <w:instrText xml:space="preserve"> PAGEREF _Toc84425842 \h </w:instrText>
        </w:r>
        <w:r w:rsidR="006046D2">
          <w:rPr>
            <w:noProof/>
            <w:webHidden/>
          </w:rPr>
        </w:r>
        <w:r w:rsidR="006046D2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6046D2">
          <w:rPr>
            <w:noProof/>
            <w:webHidden/>
          </w:rPr>
          <w:fldChar w:fldCharType="end"/>
        </w:r>
      </w:hyperlink>
    </w:p>
    <w:p w14:paraId="33D44988" w14:textId="7D6FBDBF" w:rsidR="00C86248" w:rsidRDefault="006046D2">
      <w:r>
        <w:rPr>
          <w:rFonts w:ascii="Segoe UI Semibold" w:hAnsi="Segoe UI Semibold"/>
          <w:b/>
          <w:sz w:val="24"/>
        </w:rPr>
        <w:fldChar w:fldCharType="end"/>
      </w:r>
    </w:p>
    <w:p w14:paraId="7215C171" w14:textId="77777777" w:rsidR="002B76A7" w:rsidRDefault="002B76A7" w:rsidP="002B76A7">
      <w:pPr>
        <w:pStyle w:val="TOC1"/>
        <w:keepNext/>
      </w:pPr>
      <w:r>
        <w:t>List of Tables</w:t>
      </w:r>
    </w:p>
    <w:p w14:paraId="47AB007D" w14:textId="14FE7D0F" w:rsidR="00A53901" w:rsidRDefault="002B76A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r>
        <w:rPr>
          <w:sz w:val="20"/>
        </w:rPr>
        <w:fldChar w:fldCharType="begin"/>
      </w:r>
      <w:r>
        <w:instrText xml:space="preserve"> TOC \t "Table,3" </w:instrText>
      </w:r>
      <w:r>
        <w:rPr>
          <w:sz w:val="20"/>
        </w:rPr>
        <w:fldChar w:fldCharType="separate"/>
      </w:r>
      <w:r w:rsidR="00A53901">
        <w:rPr>
          <w:noProof/>
        </w:rPr>
        <w:t>Table 1:</w:t>
      </w:r>
      <w:r w:rsidR="00A53901">
        <w:rPr>
          <w:noProof/>
        </w:rPr>
        <w:tab/>
        <w:t>Definitions</w:t>
      </w:r>
      <w:r w:rsidR="00A53901">
        <w:rPr>
          <w:noProof/>
        </w:rPr>
        <w:tab/>
      </w:r>
      <w:r w:rsidR="00A53901">
        <w:rPr>
          <w:noProof/>
        </w:rPr>
        <w:fldChar w:fldCharType="begin"/>
      </w:r>
      <w:r w:rsidR="00A53901">
        <w:rPr>
          <w:noProof/>
        </w:rPr>
        <w:instrText xml:space="preserve"> PAGEREF _Toc84412605 \h </w:instrText>
      </w:r>
      <w:r w:rsidR="00A53901">
        <w:rPr>
          <w:noProof/>
        </w:rPr>
      </w:r>
      <w:r w:rsidR="00A53901">
        <w:rPr>
          <w:noProof/>
        </w:rPr>
        <w:fldChar w:fldCharType="separate"/>
      </w:r>
      <w:r w:rsidR="00B11DA7">
        <w:rPr>
          <w:noProof/>
        </w:rPr>
        <w:t>3</w:t>
      </w:r>
      <w:r w:rsidR="00A53901">
        <w:rPr>
          <w:noProof/>
        </w:rPr>
        <w:fldChar w:fldCharType="end"/>
      </w:r>
    </w:p>
    <w:p w14:paraId="063E9FBE" w14:textId="483EC94C" w:rsidR="00A53901" w:rsidRDefault="00A5390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r>
        <w:rPr>
          <w:noProof/>
        </w:rPr>
        <w:t>Table 2:</w:t>
      </w:r>
      <w:r>
        <w:rPr>
          <w:noProof/>
        </w:rPr>
        <w:tab/>
        <w:t>Statutory bodies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_Toc84412606 \h </w:instrText>
      </w:r>
      <w:r>
        <w:rPr>
          <w:noProof/>
        </w:rPr>
      </w:r>
      <w:r>
        <w:rPr>
          <w:noProof/>
        </w:rPr>
        <w:fldChar w:fldCharType="separate"/>
      </w:r>
      <w:r w:rsidR="00B11DA7">
        <w:rPr>
          <w:noProof/>
        </w:rPr>
        <w:t>4</w:t>
      </w:r>
      <w:r>
        <w:rPr>
          <w:noProof/>
        </w:rPr>
        <w:fldChar w:fldCharType="end"/>
      </w:r>
    </w:p>
    <w:p w14:paraId="2B82F7D1" w14:textId="15384F23" w:rsidR="00A53901" w:rsidRDefault="00A5390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r>
        <w:rPr>
          <w:noProof/>
        </w:rPr>
        <w:t>Table 3:</w:t>
      </w:r>
      <w:r>
        <w:rPr>
          <w:noProof/>
        </w:rPr>
        <w:tab/>
        <w:t>Funding modules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_Toc84412607 \h </w:instrText>
      </w:r>
      <w:r>
        <w:rPr>
          <w:noProof/>
        </w:rPr>
      </w:r>
      <w:r>
        <w:rPr>
          <w:noProof/>
        </w:rPr>
        <w:fldChar w:fldCharType="separate"/>
      </w:r>
      <w:r w:rsidR="00B11DA7">
        <w:rPr>
          <w:noProof/>
        </w:rPr>
        <w:t>6</w:t>
      </w:r>
      <w:r>
        <w:rPr>
          <w:noProof/>
        </w:rPr>
        <w:fldChar w:fldCharType="end"/>
      </w:r>
    </w:p>
    <w:p w14:paraId="5A69E4D1" w14:textId="4A8EF21F" w:rsidR="00A53901" w:rsidRDefault="00A5390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r>
        <w:rPr>
          <w:noProof/>
        </w:rPr>
        <w:t>Table 4:</w:t>
      </w:r>
      <w:r>
        <w:rPr>
          <w:noProof/>
        </w:rPr>
        <w:tab/>
        <w:t>Travel allowance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_Toc84412608 \h </w:instrText>
      </w:r>
      <w:r>
        <w:rPr>
          <w:noProof/>
        </w:rPr>
      </w:r>
      <w:r>
        <w:rPr>
          <w:noProof/>
        </w:rPr>
        <w:fldChar w:fldCharType="separate"/>
      </w:r>
      <w:r w:rsidR="00B11DA7">
        <w:rPr>
          <w:noProof/>
        </w:rPr>
        <w:t>10</w:t>
      </w:r>
      <w:r>
        <w:rPr>
          <w:noProof/>
        </w:rPr>
        <w:fldChar w:fldCharType="end"/>
      </w:r>
    </w:p>
    <w:p w14:paraId="2B7C023D" w14:textId="77777777" w:rsidR="002B76A7" w:rsidRDefault="002B76A7" w:rsidP="003A5FEA">
      <w:r>
        <w:fldChar w:fldCharType="end"/>
      </w:r>
    </w:p>
    <w:p w14:paraId="4F6EAF9B" w14:textId="77777777" w:rsidR="00FB0A5B" w:rsidRDefault="00FB0A5B" w:rsidP="003A5FEA"/>
    <w:p w14:paraId="6453B828" w14:textId="77777777" w:rsidR="001D3E4E" w:rsidRDefault="001D3E4E" w:rsidP="003A5FEA">
      <w:pPr>
        <w:sectPr w:rsidR="001D3E4E" w:rsidSect="00925892">
          <w:headerReference w:type="even" r:id="rId15"/>
          <w:headerReference w:type="default" r:id="rId16"/>
          <w:footerReference w:type="even" r:id="rId17"/>
          <w:footerReference w:type="default" r:id="rId18"/>
          <w:pgSz w:w="11907" w:h="16840" w:code="9"/>
          <w:pgMar w:top="1418" w:right="1701" w:bottom="1134" w:left="1843" w:header="284" w:footer="425" w:gutter="284"/>
          <w:pgNumType w:fmt="lowerRoman"/>
          <w:cols w:space="720"/>
        </w:sectPr>
      </w:pPr>
    </w:p>
    <w:p w14:paraId="7ACCB11E" w14:textId="77777777" w:rsidR="008C2973" w:rsidRDefault="00EF770A" w:rsidP="00F54E74">
      <w:pPr>
        <w:pStyle w:val="Heading1"/>
      </w:pPr>
      <w:bookmarkStart w:id="2" w:name="_Toc84425828"/>
      <w:r>
        <w:lastRenderedPageBreak/>
        <w:t>Background</w:t>
      </w:r>
      <w:bookmarkEnd w:id="2"/>
    </w:p>
    <w:p w14:paraId="19B3BCE5" w14:textId="77777777" w:rsidR="00EF770A" w:rsidRPr="00AB362E" w:rsidRDefault="00EF770A" w:rsidP="00EF770A">
      <w:pPr>
        <w:pStyle w:val="Heading2"/>
        <w:rPr>
          <w:bCs/>
        </w:rPr>
      </w:pPr>
      <w:bookmarkStart w:id="3" w:name="_Toc81996392"/>
      <w:bookmarkStart w:id="4" w:name="_Toc84240309"/>
      <w:bookmarkStart w:id="5" w:name="_Toc84425829"/>
      <w:r>
        <w:t>P</w:t>
      </w:r>
      <w:r w:rsidRPr="00AB362E">
        <w:t>urpos</w:t>
      </w:r>
      <w:r>
        <w:t>e</w:t>
      </w:r>
      <w:bookmarkEnd w:id="3"/>
      <w:bookmarkEnd w:id="4"/>
      <w:bookmarkEnd w:id="5"/>
    </w:p>
    <w:p w14:paraId="1F624D5F" w14:textId="77777777" w:rsidR="00EF770A" w:rsidRDefault="00EF770A" w:rsidP="00AF160F">
      <w:pPr>
        <w:pStyle w:val="Number"/>
      </w:pPr>
      <w:r w:rsidRPr="00AE3DA5">
        <w:t xml:space="preserve">This user guide provides information for practitioners on </w:t>
      </w:r>
      <w:r>
        <w:t>funding</w:t>
      </w:r>
      <w:r w:rsidRPr="00AE3DA5">
        <w:t xml:space="preserve"> for assisted dying services</w:t>
      </w:r>
      <w:r>
        <w:t xml:space="preserve"> as defined in the section 88 Assisted Dying Services Notice 2021 (the s88 notice)</w:t>
      </w:r>
      <w:r w:rsidRPr="00AE3DA5">
        <w:t>.</w:t>
      </w:r>
      <w:r>
        <w:t xml:space="preserve"> It includes:</w:t>
      </w:r>
    </w:p>
    <w:p w14:paraId="193F077C" w14:textId="77777777" w:rsidR="00EF770A" w:rsidRPr="00BE4EE6" w:rsidRDefault="00EF770A" w:rsidP="00AF160F">
      <w:pPr>
        <w:pStyle w:val="Sub-number"/>
      </w:pPr>
      <w:r>
        <w:t>background and context for the s88 notice</w:t>
      </w:r>
    </w:p>
    <w:p w14:paraId="220EEEF3" w14:textId="77777777" w:rsidR="00EF770A" w:rsidRDefault="00EF770A" w:rsidP="00AF160F">
      <w:pPr>
        <w:pStyle w:val="Sub-number"/>
      </w:pPr>
      <w:r>
        <w:t xml:space="preserve">expectations for </w:t>
      </w:r>
      <w:r w:rsidRPr="00BE4EE6">
        <w:t xml:space="preserve">practitioners </w:t>
      </w:r>
      <w:r>
        <w:t>claiming funding for assisted dying services:</w:t>
      </w:r>
    </w:p>
    <w:p w14:paraId="31F19E05" w14:textId="77777777" w:rsidR="00EF770A" w:rsidRDefault="00EF770A" w:rsidP="00AF160F">
      <w:pPr>
        <w:pStyle w:val="Sub-sub-number"/>
      </w:pPr>
      <w:r>
        <w:t>services to be provided (modules) and associated funding</w:t>
      </w:r>
    </w:p>
    <w:p w14:paraId="1D47F312" w14:textId="77777777" w:rsidR="00EF770A" w:rsidRDefault="00EF770A" w:rsidP="00AF160F">
      <w:pPr>
        <w:pStyle w:val="Sub-sub-number"/>
      </w:pPr>
      <w:r>
        <w:t>additional funded components such as supervision and travel</w:t>
      </w:r>
    </w:p>
    <w:p w14:paraId="6C44B76D" w14:textId="77777777" w:rsidR="00EF770A" w:rsidRDefault="00EF770A" w:rsidP="00AF160F">
      <w:pPr>
        <w:pStyle w:val="Sub-sub-number"/>
      </w:pPr>
      <w:r>
        <w:t>eligibility to claim</w:t>
      </w:r>
    </w:p>
    <w:p w14:paraId="233DD227" w14:textId="77777777" w:rsidR="00EF770A" w:rsidRDefault="00EF770A" w:rsidP="00AF160F">
      <w:pPr>
        <w:pStyle w:val="Sub-sub-number"/>
      </w:pPr>
      <w:r w:rsidRPr="00E871AE">
        <w:t>process for</w:t>
      </w:r>
      <w:r>
        <w:t xml:space="preserve"> claiming.</w:t>
      </w:r>
    </w:p>
    <w:p w14:paraId="15B3D7E5" w14:textId="77777777" w:rsidR="00EF770A" w:rsidRDefault="00EF770A" w:rsidP="00AF160F">
      <w:pPr>
        <w:pStyle w:val="Number"/>
      </w:pPr>
      <w:r>
        <w:t>The s88 notice and user guide apply to primary and private</w:t>
      </w:r>
      <w:r w:rsidRPr="001941CE">
        <w:t xml:space="preserve"> </w:t>
      </w:r>
      <w:r>
        <w:t>services only. Private services are those not funded by a district health board (DHB).</w:t>
      </w:r>
    </w:p>
    <w:p w14:paraId="2F6E28BC" w14:textId="77777777" w:rsidR="00EF770A" w:rsidRPr="00DD7B05" w:rsidRDefault="00EF770A" w:rsidP="00AF160F">
      <w:pPr>
        <w:pStyle w:val="Number"/>
      </w:pPr>
      <w:r>
        <w:t>This document should be read in conjunction with the following authoritative documents:</w:t>
      </w:r>
    </w:p>
    <w:p w14:paraId="301D8525" w14:textId="77777777" w:rsidR="00EF770A" w:rsidRDefault="00B11DA7" w:rsidP="004F406C">
      <w:pPr>
        <w:pStyle w:val="Sub-number"/>
      </w:pPr>
      <w:hyperlink r:id="rId19" w:history="1">
        <w:r w:rsidR="00EF770A">
          <w:rPr>
            <w:rStyle w:val="Hyperlink"/>
          </w:rPr>
          <w:t>End of Life Choice Act 2019</w:t>
        </w:r>
      </w:hyperlink>
      <w:r w:rsidR="00EF770A">
        <w:rPr>
          <w:rStyle w:val="Hyperlink"/>
        </w:rPr>
        <w:t xml:space="preserve"> (the Act)</w:t>
      </w:r>
    </w:p>
    <w:p w14:paraId="7789B5E7" w14:textId="77777777" w:rsidR="00EF770A" w:rsidRDefault="00B11DA7" w:rsidP="004F406C">
      <w:pPr>
        <w:pStyle w:val="Sub-number"/>
      </w:pPr>
      <w:hyperlink r:id="rId20" w:history="1">
        <w:r w:rsidR="00EF770A">
          <w:rPr>
            <w:rStyle w:val="Hyperlink"/>
          </w:rPr>
          <w:t>section 88 Assisted Dying Services Notice 2021</w:t>
        </w:r>
      </w:hyperlink>
      <w:r w:rsidR="004F406C">
        <w:t>.</w:t>
      </w:r>
    </w:p>
    <w:p w14:paraId="79145A79" w14:textId="77777777" w:rsidR="00EF770A" w:rsidRDefault="00EF770A" w:rsidP="004F406C">
      <w:pPr>
        <w:pStyle w:val="Number"/>
      </w:pPr>
      <w:r w:rsidRPr="00DD7B05">
        <w:t xml:space="preserve">Any dispute or disagreement about </w:t>
      </w:r>
      <w:r>
        <w:t>funding for assisted dying</w:t>
      </w:r>
      <w:r w:rsidRPr="00DD7B05">
        <w:t xml:space="preserve"> services provided under the </w:t>
      </w:r>
      <w:r>
        <w:t>s88 notice</w:t>
      </w:r>
      <w:r w:rsidRPr="00DD7B05">
        <w:t xml:space="preserve"> </w:t>
      </w:r>
      <w:r>
        <w:t>will be resolved in accordance with the Act and s88 notice.</w:t>
      </w:r>
    </w:p>
    <w:p w14:paraId="1CDFC207" w14:textId="77777777" w:rsidR="00EF770A" w:rsidRPr="00DD7B05" w:rsidRDefault="00EF770A" w:rsidP="004F406C">
      <w:pPr>
        <w:pStyle w:val="Number"/>
      </w:pPr>
      <w:r>
        <w:t xml:space="preserve">Care </w:t>
      </w:r>
      <w:r w:rsidRPr="00DD7B05">
        <w:t>pathways</w:t>
      </w:r>
      <w:r>
        <w:t xml:space="preserve">, guidelines, standards and operating procedures on the </w:t>
      </w:r>
      <w:hyperlink r:id="rId21" w:history="1">
        <w:r w:rsidRPr="003975DF">
          <w:rPr>
            <w:rStyle w:val="Hyperlink"/>
          </w:rPr>
          <w:t>Ministry of Health</w:t>
        </w:r>
      </w:hyperlink>
      <w:r>
        <w:t xml:space="preserve"> website outline </w:t>
      </w:r>
      <w:r w:rsidRPr="00DD7B05">
        <w:t xml:space="preserve">the </w:t>
      </w:r>
      <w:r>
        <w:t xml:space="preserve">requirements </w:t>
      </w:r>
      <w:r w:rsidRPr="00DD7B05">
        <w:t xml:space="preserve">for providing assisted dying services. </w:t>
      </w:r>
      <w:r>
        <w:t>The documents include:</w:t>
      </w:r>
    </w:p>
    <w:p w14:paraId="4F2359F0" w14:textId="77777777" w:rsidR="00EF770A" w:rsidRDefault="00EF770A" w:rsidP="004F406C">
      <w:pPr>
        <w:pStyle w:val="Sub-number"/>
      </w:pPr>
      <w:r w:rsidRPr="003975DF">
        <w:t>Assisted Dying Care Pathways for Practitioners</w:t>
      </w:r>
    </w:p>
    <w:p w14:paraId="1A3E2C66" w14:textId="77777777" w:rsidR="00EF770A" w:rsidRPr="003975DF" w:rsidRDefault="00EF770A" w:rsidP="004F406C">
      <w:pPr>
        <w:pStyle w:val="Sub-sub-number"/>
      </w:pPr>
      <w:r w:rsidRPr="003975DF">
        <w:t>Reporting requirements</w:t>
      </w:r>
    </w:p>
    <w:p w14:paraId="5E3A0138" w14:textId="77777777" w:rsidR="00EF770A" w:rsidRPr="003975DF" w:rsidRDefault="00EF770A" w:rsidP="004F406C">
      <w:pPr>
        <w:pStyle w:val="Sub-sub-number"/>
      </w:pPr>
      <w:r w:rsidRPr="003975DF">
        <w:t>Payments process</w:t>
      </w:r>
    </w:p>
    <w:p w14:paraId="724DBC13" w14:textId="77777777" w:rsidR="00EF770A" w:rsidRPr="003975DF" w:rsidRDefault="00EF770A" w:rsidP="004F406C">
      <w:pPr>
        <w:pStyle w:val="Sub-sub-number"/>
      </w:pPr>
      <w:r w:rsidRPr="003975DF">
        <w:t>Training requirements</w:t>
      </w:r>
    </w:p>
    <w:p w14:paraId="2B3512F9" w14:textId="77777777" w:rsidR="00EF770A" w:rsidRDefault="00EF770A" w:rsidP="004F406C">
      <w:pPr>
        <w:pStyle w:val="Sub-number"/>
      </w:pPr>
      <w:r w:rsidRPr="003975DF">
        <w:t>Administering Medication for Assisted Dying Services Clinical Guideline and Standards of Care</w:t>
      </w:r>
      <w:r>
        <w:t>.</w:t>
      </w:r>
    </w:p>
    <w:p w14:paraId="2E25ADDB" w14:textId="77777777" w:rsidR="004F406C" w:rsidRPr="003975DF" w:rsidRDefault="004F406C" w:rsidP="004F406C"/>
    <w:p w14:paraId="768B6466" w14:textId="77777777" w:rsidR="00EF770A" w:rsidRDefault="00EF770A" w:rsidP="001C6666">
      <w:pPr>
        <w:pStyle w:val="Heading2"/>
      </w:pPr>
      <w:bookmarkStart w:id="6" w:name="_Toc81996393"/>
      <w:bookmarkStart w:id="7" w:name="_Toc84240310"/>
      <w:bookmarkStart w:id="8" w:name="_Toc84425830"/>
      <w:r>
        <w:lastRenderedPageBreak/>
        <w:t xml:space="preserve">The </w:t>
      </w:r>
      <w:proofErr w:type="gramStart"/>
      <w:r>
        <w:t>End of Life</w:t>
      </w:r>
      <w:proofErr w:type="gramEnd"/>
      <w:r>
        <w:t xml:space="preserve"> Choice Act 2019</w:t>
      </w:r>
      <w:bookmarkEnd w:id="6"/>
      <w:bookmarkEnd w:id="7"/>
      <w:bookmarkEnd w:id="8"/>
    </w:p>
    <w:p w14:paraId="5C97A5F2" w14:textId="77777777" w:rsidR="004F406C" w:rsidRDefault="00EF770A" w:rsidP="001C6666">
      <w:pPr>
        <w:pStyle w:val="Number"/>
        <w:keepNext/>
      </w:pPr>
      <w:r>
        <w:t>Assisted dying services are delivered under the Act.</w:t>
      </w:r>
    </w:p>
    <w:p w14:paraId="40C62FB9" w14:textId="77777777" w:rsidR="00EF770A" w:rsidRPr="00AB362E" w:rsidRDefault="00EF770A" w:rsidP="001C6666">
      <w:pPr>
        <w:pStyle w:val="Number"/>
        <w:keepNext/>
      </w:pPr>
      <w:r w:rsidRPr="00AB362E">
        <w:t xml:space="preserve">The purpose of the Act is to give a person who has a terminal illness and who meets </w:t>
      </w:r>
      <w:r>
        <w:t>defined</w:t>
      </w:r>
      <w:r w:rsidRPr="00AB362E">
        <w:t xml:space="preserve"> criteria the option of requesting medical assistance to end their life. The Act establishes a process for assisting eligible persons who </w:t>
      </w:r>
      <w:r>
        <w:t>choose this</w:t>
      </w:r>
      <w:r w:rsidRPr="00AB362E">
        <w:t>.</w:t>
      </w:r>
    </w:p>
    <w:p w14:paraId="0E219AE3" w14:textId="77777777" w:rsidR="004F406C" w:rsidRDefault="00EF770A" w:rsidP="001C6666">
      <w:pPr>
        <w:pStyle w:val="Number"/>
      </w:pPr>
      <w:r w:rsidRPr="00AB362E">
        <w:t xml:space="preserve">Eligibility </w:t>
      </w:r>
      <w:r>
        <w:t xml:space="preserve">for assisted dying services </w:t>
      </w:r>
      <w:r w:rsidRPr="00AB362E">
        <w:t xml:space="preserve">must be confirmed by two medical practitioners. This includes assessing </w:t>
      </w:r>
      <w:r>
        <w:t>whether</w:t>
      </w:r>
      <w:r w:rsidRPr="00AB362E">
        <w:t xml:space="preserve"> a person is competent to make an informed decision – competence is not presumed under the Act. If either or both medical practitioners feel the person would be eligible but have questions about the</w:t>
      </w:r>
      <w:r>
        <w:t>ir</w:t>
      </w:r>
      <w:r w:rsidRPr="00AB362E">
        <w:t xml:space="preserve"> competence to make an informed decision, a psychiatrist can be asked to provide an opinion of competence.</w:t>
      </w:r>
    </w:p>
    <w:p w14:paraId="3A3F9F4D" w14:textId="77777777" w:rsidR="004F406C" w:rsidRDefault="00EF770A" w:rsidP="001C6666">
      <w:pPr>
        <w:pStyle w:val="Number"/>
      </w:pPr>
      <w:r>
        <w:t xml:space="preserve">Read the </w:t>
      </w:r>
      <w:hyperlink r:id="rId22" w:history="1">
        <w:r w:rsidRPr="00AE3DA5">
          <w:rPr>
            <w:rStyle w:val="Hyperlink"/>
          </w:rPr>
          <w:t>End of Life Choice Act 2019</w:t>
        </w:r>
      </w:hyperlink>
      <w:r>
        <w:rPr>
          <w:rStyle w:val="Hyperlink"/>
        </w:rPr>
        <w:t xml:space="preserve"> </w:t>
      </w:r>
      <w:r w:rsidRPr="000053E7">
        <w:rPr>
          <w:bCs/>
        </w:rPr>
        <w:t>here</w:t>
      </w:r>
      <w:r>
        <w:t>.</w:t>
      </w:r>
    </w:p>
    <w:p w14:paraId="35CF2696" w14:textId="77777777" w:rsidR="001C6666" w:rsidRDefault="001C6666" w:rsidP="001C6666"/>
    <w:p w14:paraId="67082B9F" w14:textId="77777777" w:rsidR="00EF770A" w:rsidRDefault="00EF770A" w:rsidP="001C6666">
      <w:pPr>
        <w:pStyle w:val="Heading2"/>
      </w:pPr>
      <w:bookmarkStart w:id="9" w:name="_Toc81996394"/>
      <w:bookmarkStart w:id="10" w:name="_Toc84240311"/>
      <w:bookmarkStart w:id="11" w:name="_Toc84425831"/>
      <w:r>
        <w:t>Section 88 notice</w:t>
      </w:r>
      <w:bookmarkEnd w:id="9"/>
      <w:bookmarkEnd w:id="10"/>
      <w:bookmarkEnd w:id="11"/>
    </w:p>
    <w:p w14:paraId="3F7E5884" w14:textId="77777777" w:rsidR="004F406C" w:rsidRDefault="00EF770A" w:rsidP="001C6666">
      <w:pPr>
        <w:pStyle w:val="Number"/>
      </w:pPr>
      <w:r w:rsidRPr="00F33A60">
        <w:t>The</w:t>
      </w:r>
      <w:r>
        <w:t xml:space="preserve"> Ministry of Health (the Ministry) has issued a notice</w:t>
      </w:r>
      <w:r w:rsidRPr="00F33A60">
        <w:t xml:space="preserve"> </w:t>
      </w:r>
      <w:r>
        <w:t xml:space="preserve">under section 88 of the New Zealand Public Health and Disability Act 2000. The s88 notice </w:t>
      </w:r>
      <w:r w:rsidRPr="00F33A60">
        <w:t xml:space="preserve">sets out the legal and authoritative terms and conditions </w:t>
      </w:r>
      <w:r>
        <w:t>for</w:t>
      </w:r>
      <w:r w:rsidRPr="00F33A60">
        <w:t xml:space="preserve"> practitioners </w:t>
      </w:r>
      <w:r>
        <w:t>to</w:t>
      </w:r>
      <w:r w:rsidRPr="00F33A60">
        <w:t xml:space="preserve"> </w:t>
      </w:r>
      <w:r>
        <w:t>claim</w:t>
      </w:r>
      <w:r w:rsidRPr="00F33A60">
        <w:t xml:space="preserve"> funding for assisted dying services delivered in accordance with the Act.</w:t>
      </w:r>
    </w:p>
    <w:p w14:paraId="6D168D0D" w14:textId="77777777" w:rsidR="004F406C" w:rsidRDefault="00EF770A" w:rsidP="001C6666">
      <w:pPr>
        <w:pStyle w:val="Number"/>
      </w:pPr>
      <w:r>
        <w:t>The s88 notice does not cover assisted dying services provided by practitioners in their capacity as DHB employees, or pharmacists who dispense medications under the Act.</w:t>
      </w:r>
    </w:p>
    <w:p w14:paraId="152E2868" w14:textId="77777777" w:rsidR="00EF770A" w:rsidRDefault="00EF770A" w:rsidP="001C6666">
      <w:pPr>
        <w:pStyle w:val="Sub-number"/>
      </w:pPr>
      <w:r>
        <w:t>Usual DHB funding covers provision of assisted dying services by a DHB employee.</w:t>
      </w:r>
    </w:p>
    <w:p w14:paraId="26D0DADA" w14:textId="77777777" w:rsidR="004F406C" w:rsidRDefault="00EF770A" w:rsidP="001C6666">
      <w:pPr>
        <w:pStyle w:val="Sub-number"/>
      </w:pPr>
      <w:r>
        <w:t>Pharmacist services are covered under a separate arrangement.</w:t>
      </w:r>
    </w:p>
    <w:p w14:paraId="35689218" w14:textId="77777777" w:rsidR="00EF770A" w:rsidRDefault="00EF770A" w:rsidP="001C6666">
      <w:pPr>
        <w:pStyle w:val="Number"/>
      </w:pPr>
      <w:r>
        <w:t>The terms and conditions in the s88 notice are legally binding.</w:t>
      </w:r>
    </w:p>
    <w:p w14:paraId="07B985B4" w14:textId="77777777" w:rsidR="004F406C" w:rsidRDefault="00EF770A" w:rsidP="001C6666">
      <w:pPr>
        <w:pStyle w:val="Number"/>
      </w:pPr>
      <w:r>
        <w:t xml:space="preserve">Read the </w:t>
      </w:r>
      <w:hyperlink r:id="rId23" w:history="1">
        <w:r>
          <w:rPr>
            <w:rStyle w:val="Hyperlink"/>
          </w:rPr>
          <w:t>section 88 Assisted Dying Services Notice 2021</w:t>
        </w:r>
      </w:hyperlink>
      <w:r>
        <w:t xml:space="preserve"> here.</w:t>
      </w:r>
    </w:p>
    <w:p w14:paraId="734AFBD7" w14:textId="77777777" w:rsidR="001C6666" w:rsidRDefault="001C6666" w:rsidP="001C6666"/>
    <w:p w14:paraId="1EAC62D0" w14:textId="77777777" w:rsidR="00EF770A" w:rsidRPr="00AE3DA5" w:rsidRDefault="00EF770A" w:rsidP="001C6666">
      <w:pPr>
        <w:pStyle w:val="Heading2"/>
      </w:pPr>
      <w:bookmarkStart w:id="12" w:name="_Toc81996395"/>
      <w:bookmarkStart w:id="13" w:name="_Toc84240312"/>
      <w:bookmarkStart w:id="14" w:name="_Toc84425832"/>
      <w:r>
        <w:lastRenderedPageBreak/>
        <w:t>General service definitions</w:t>
      </w:r>
      <w:bookmarkEnd w:id="12"/>
      <w:bookmarkEnd w:id="13"/>
      <w:bookmarkEnd w:id="14"/>
    </w:p>
    <w:p w14:paraId="56579B34" w14:textId="43746A2D" w:rsidR="00EF770A" w:rsidRDefault="001C6666" w:rsidP="001C6666">
      <w:pPr>
        <w:pStyle w:val="Table"/>
      </w:pPr>
      <w:bookmarkStart w:id="15" w:name="_Toc81996382"/>
      <w:bookmarkStart w:id="16" w:name="_Toc82006613"/>
      <w:bookmarkStart w:id="17" w:name="_Toc82440467"/>
      <w:bookmarkStart w:id="18" w:name="_Toc84240323"/>
      <w:bookmarkStart w:id="19" w:name="_Toc84412605"/>
      <w:r>
        <w:t>Table </w:t>
      </w:r>
      <w:r w:rsidR="00B11DA7">
        <w:fldChar w:fldCharType="begin"/>
      </w:r>
      <w:r w:rsidR="00B11DA7">
        <w:instrText xml:space="preserve"> SEQ Table \* ARABIC </w:instrText>
      </w:r>
      <w:r w:rsidR="00B11DA7">
        <w:fldChar w:fldCharType="separate"/>
      </w:r>
      <w:r w:rsidR="00B11DA7">
        <w:rPr>
          <w:noProof/>
        </w:rPr>
        <w:t>1</w:t>
      </w:r>
      <w:r w:rsidR="00B11DA7">
        <w:rPr>
          <w:noProof/>
        </w:rPr>
        <w:fldChar w:fldCharType="end"/>
      </w:r>
      <w:r w:rsidR="00EF770A" w:rsidRPr="00AE3DA5">
        <w:t>: Definitions</w:t>
      </w:r>
      <w:bookmarkEnd w:id="15"/>
      <w:bookmarkEnd w:id="16"/>
      <w:bookmarkEnd w:id="17"/>
      <w:bookmarkEnd w:id="18"/>
      <w:bookmarkEnd w:id="19"/>
    </w:p>
    <w:tbl>
      <w:tblPr>
        <w:tblW w:w="0" w:type="auto"/>
        <w:tblInd w:w="57" w:type="dxa"/>
        <w:tblBorders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5812"/>
      </w:tblGrid>
      <w:tr w:rsidR="00EF770A" w:rsidRPr="001C6666" w14:paraId="779F4554" w14:textId="77777777" w:rsidTr="001C6666">
        <w:trPr>
          <w:cantSplit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9EA0B54" w14:textId="77777777" w:rsidR="00EF770A" w:rsidRPr="001C6666" w:rsidRDefault="00EF770A" w:rsidP="001C6666">
            <w:pPr>
              <w:pStyle w:val="TableText"/>
              <w:keepNext/>
              <w:ind w:right="113"/>
              <w:rPr>
                <w:b/>
              </w:rPr>
            </w:pPr>
            <w:bookmarkStart w:id="20" w:name="_Hlk84233087"/>
            <w:r w:rsidRPr="001C6666">
              <w:rPr>
                <w:b/>
              </w:rPr>
              <w:t>Term</w:t>
            </w:r>
          </w:p>
        </w:tc>
        <w:tc>
          <w:tcPr>
            <w:tcW w:w="581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2C195DF" w14:textId="77777777" w:rsidR="00EF770A" w:rsidRPr="001C6666" w:rsidRDefault="00EF770A" w:rsidP="001C6666">
            <w:pPr>
              <w:pStyle w:val="TableText"/>
              <w:rPr>
                <w:b/>
              </w:rPr>
            </w:pPr>
            <w:r w:rsidRPr="001C6666">
              <w:rPr>
                <w:b/>
              </w:rPr>
              <w:t>Definition</w:t>
            </w:r>
          </w:p>
        </w:tc>
      </w:tr>
      <w:tr w:rsidR="00EF770A" w14:paraId="472A90DB" w14:textId="77777777" w:rsidTr="001C6666">
        <w:trPr>
          <w:cantSplit/>
        </w:trPr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3433A5FF" w14:textId="77777777" w:rsidR="00EF770A" w:rsidRPr="00DF3619" w:rsidRDefault="00EF770A" w:rsidP="001C6666">
            <w:pPr>
              <w:pStyle w:val="TableText"/>
              <w:keepNext/>
              <w:ind w:right="113"/>
            </w:pPr>
            <w:r w:rsidRPr="00DF3619">
              <w:t>Administration of the medication</w:t>
            </w:r>
          </w:p>
        </w:tc>
        <w:tc>
          <w:tcPr>
            <w:tcW w:w="5812" w:type="dxa"/>
            <w:tcBorders>
              <w:top w:val="nil"/>
            </w:tcBorders>
            <w:shd w:val="clear" w:color="auto" w:fill="auto"/>
          </w:tcPr>
          <w:p w14:paraId="3C73F27E" w14:textId="77777777" w:rsidR="00EF770A" w:rsidRDefault="00EF770A" w:rsidP="001C6666">
            <w:pPr>
              <w:pStyle w:val="TableText"/>
            </w:pPr>
            <w:r>
              <w:t>T</w:t>
            </w:r>
            <w:r w:rsidRPr="00AB362E">
              <w:t>he act of providing the medication on the day of the assisted death by one of the four methods outlined in the Act</w:t>
            </w:r>
          </w:p>
        </w:tc>
      </w:tr>
      <w:tr w:rsidR="00EF770A" w14:paraId="56395780" w14:textId="77777777" w:rsidTr="001C6666">
        <w:trPr>
          <w:cantSplit/>
        </w:trPr>
        <w:tc>
          <w:tcPr>
            <w:tcW w:w="2268" w:type="dxa"/>
            <w:shd w:val="clear" w:color="auto" w:fill="auto"/>
          </w:tcPr>
          <w:p w14:paraId="47040D88" w14:textId="77777777" w:rsidR="00EF770A" w:rsidRPr="00DF3619" w:rsidRDefault="00EF770A" w:rsidP="00D70485">
            <w:pPr>
              <w:pStyle w:val="TableText"/>
              <w:keepNext/>
              <w:ind w:right="113"/>
            </w:pPr>
            <w:r w:rsidRPr="00DF3619">
              <w:t>Assisted dying</w:t>
            </w:r>
          </w:p>
        </w:tc>
        <w:tc>
          <w:tcPr>
            <w:tcW w:w="5812" w:type="dxa"/>
            <w:shd w:val="clear" w:color="auto" w:fill="auto"/>
          </w:tcPr>
          <w:p w14:paraId="0187EA6F" w14:textId="77777777" w:rsidR="00EF770A" w:rsidRDefault="00EF770A" w:rsidP="00D70485">
            <w:pPr>
              <w:pStyle w:val="TableText"/>
              <w:keepNext/>
            </w:pPr>
            <w:r>
              <w:t>T</w:t>
            </w:r>
            <w:r w:rsidRPr="00AB362E">
              <w:t xml:space="preserve">he act of a </w:t>
            </w:r>
            <w:r w:rsidRPr="006E38B9">
              <w:t>medical</w:t>
            </w:r>
            <w:r w:rsidRPr="00AB362E">
              <w:t xml:space="preserve"> practitioner or nurse practitioner giving a person medication to relieve their suffering by bringing on their death or the taking of medication by the person to relieve their suffering by bringing on their death</w:t>
            </w:r>
          </w:p>
        </w:tc>
      </w:tr>
      <w:tr w:rsidR="00EF770A" w14:paraId="4061A628" w14:textId="77777777" w:rsidTr="001C6666">
        <w:trPr>
          <w:cantSplit/>
        </w:trPr>
        <w:tc>
          <w:tcPr>
            <w:tcW w:w="2268" w:type="dxa"/>
            <w:shd w:val="clear" w:color="auto" w:fill="auto"/>
          </w:tcPr>
          <w:p w14:paraId="70DEA5A9" w14:textId="77777777" w:rsidR="00EF770A" w:rsidRPr="00DF3619" w:rsidRDefault="00EF770A" w:rsidP="001C6666">
            <w:pPr>
              <w:pStyle w:val="TableText"/>
              <w:ind w:right="113"/>
            </w:pPr>
            <w:r w:rsidRPr="00DF3619">
              <w:t>Assisted dying process</w:t>
            </w:r>
          </w:p>
        </w:tc>
        <w:tc>
          <w:tcPr>
            <w:tcW w:w="5812" w:type="dxa"/>
            <w:shd w:val="clear" w:color="auto" w:fill="auto"/>
          </w:tcPr>
          <w:p w14:paraId="288639BC" w14:textId="77777777" w:rsidR="00EF770A" w:rsidRDefault="00EF770A" w:rsidP="001C6666">
            <w:pPr>
              <w:pStyle w:val="TableText"/>
            </w:pPr>
            <w:r>
              <w:t>T</w:t>
            </w:r>
            <w:r w:rsidRPr="00AB362E">
              <w:t>he steps outlined in the Act that must occur as part of a person accessing assisted dying</w:t>
            </w:r>
          </w:p>
        </w:tc>
      </w:tr>
      <w:tr w:rsidR="00EF770A" w14:paraId="38AA8296" w14:textId="77777777" w:rsidTr="001C6666">
        <w:trPr>
          <w:cantSplit/>
        </w:trPr>
        <w:tc>
          <w:tcPr>
            <w:tcW w:w="2268" w:type="dxa"/>
            <w:shd w:val="clear" w:color="auto" w:fill="auto"/>
          </w:tcPr>
          <w:p w14:paraId="7D302398" w14:textId="77777777" w:rsidR="00EF770A" w:rsidRPr="00DF3619" w:rsidRDefault="00EF770A" w:rsidP="001C6666">
            <w:pPr>
              <w:pStyle w:val="TableText"/>
              <w:ind w:right="113"/>
            </w:pPr>
            <w:r w:rsidRPr="00DF3619">
              <w:t>Attending medical practitioner (AMP)</w:t>
            </w:r>
          </w:p>
        </w:tc>
        <w:tc>
          <w:tcPr>
            <w:tcW w:w="5812" w:type="dxa"/>
            <w:shd w:val="clear" w:color="auto" w:fill="auto"/>
          </w:tcPr>
          <w:p w14:paraId="3AD280F8" w14:textId="77777777" w:rsidR="00EF770A" w:rsidRDefault="00EF770A" w:rsidP="001C6666">
            <w:pPr>
              <w:pStyle w:val="TableText"/>
            </w:pPr>
            <w:r>
              <w:t>The</w:t>
            </w:r>
            <w:r w:rsidRPr="00AB362E">
              <w:t xml:space="preserve"> medical practitioner who provides the first eligibility assessment, delivers the opinion on eligibility</w:t>
            </w:r>
            <w:r>
              <w:t>,</w:t>
            </w:r>
            <w:r w:rsidRPr="00AB362E">
              <w:t xml:space="preserve"> and prepares and administers the medications</w:t>
            </w:r>
          </w:p>
        </w:tc>
      </w:tr>
      <w:tr w:rsidR="00EF770A" w14:paraId="5F33E39E" w14:textId="77777777" w:rsidTr="001C6666">
        <w:trPr>
          <w:cantSplit/>
        </w:trPr>
        <w:tc>
          <w:tcPr>
            <w:tcW w:w="2268" w:type="dxa"/>
            <w:shd w:val="clear" w:color="auto" w:fill="auto"/>
          </w:tcPr>
          <w:p w14:paraId="00607BD4" w14:textId="77777777" w:rsidR="00EF770A" w:rsidRPr="00DF3619" w:rsidRDefault="00EF770A" w:rsidP="001C6666">
            <w:pPr>
              <w:pStyle w:val="TableText"/>
              <w:ind w:right="113"/>
            </w:pPr>
            <w:r w:rsidRPr="00DF3619">
              <w:t>Attending nurse practitioner (ANP)</w:t>
            </w:r>
          </w:p>
        </w:tc>
        <w:tc>
          <w:tcPr>
            <w:tcW w:w="5812" w:type="dxa"/>
            <w:shd w:val="clear" w:color="auto" w:fill="auto"/>
          </w:tcPr>
          <w:p w14:paraId="107B247F" w14:textId="77777777" w:rsidR="00EF770A" w:rsidRDefault="00EF770A" w:rsidP="001C6666">
            <w:pPr>
              <w:pStyle w:val="TableText"/>
            </w:pPr>
            <w:r>
              <w:t>T</w:t>
            </w:r>
            <w:r w:rsidRPr="00AB362E">
              <w:t>he nurse practitioner who administers the medications</w:t>
            </w:r>
          </w:p>
        </w:tc>
      </w:tr>
      <w:tr w:rsidR="00EF770A" w14:paraId="30A0204F" w14:textId="77777777" w:rsidTr="001C6666">
        <w:trPr>
          <w:cantSplit/>
        </w:trPr>
        <w:tc>
          <w:tcPr>
            <w:tcW w:w="2268" w:type="dxa"/>
            <w:shd w:val="clear" w:color="auto" w:fill="auto"/>
          </w:tcPr>
          <w:p w14:paraId="64B0178B" w14:textId="77777777" w:rsidR="00EF770A" w:rsidRPr="00DF3619" w:rsidRDefault="00EF770A" w:rsidP="001C6666">
            <w:pPr>
              <w:pStyle w:val="TableText"/>
              <w:ind w:right="113"/>
            </w:pPr>
            <w:r w:rsidRPr="00DF3619">
              <w:t>Independent medical practitioner (IMP)</w:t>
            </w:r>
          </w:p>
        </w:tc>
        <w:tc>
          <w:tcPr>
            <w:tcW w:w="5812" w:type="dxa"/>
            <w:shd w:val="clear" w:color="auto" w:fill="auto"/>
          </w:tcPr>
          <w:p w14:paraId="5284182C" w14:textId="77777777" w:rsidR="00EF770A" w:rsidRDefault="00EF770A" w:rsidP="001C6666">
            <w:pPr>
              <w:pStyle w:val="TableText"/>
            </w:pPr>
            <w:r>
              <w:t>T</w:t>
            </w:r>
            <w:r w:rsidRPr="00AB362E">
              <w:t>he medical practitioner who provides the second eligibility assessment. The IMP is provided by the SCENZ Group</w:t>
            </w:r>
          </w:p>
        </w:tc>
      </w:tr>
      <w:tr w:rsidR="00EF770A" w14:paraId="24081AF9" w14:textId="77777777" w:rsidTr="001C6666">
        <w:trPr>
          <w:cantSplit/>
        </w:trPr>
        <w:tc>
          <w:tcPr>
            <w:tcW w:w="2268" w:type="dxa"/>
            <w:shd w:val="clear" w:color="auto" w:fill="auto"/>
          </w:tcPr>
          <w:p w14:paraId="0A0445C1" w14:textId="77777777" w:rsidR="00EF770A" w:rsidRPr="00DF3619" w:rsidRDefault="00EF770A" w:rsidP="001C6666">
            <w:pPr>
              <w:pStyle w:val="TableText"/>
              <w:ind w:right="113"/>
            </w:pPr>
            <w:r w:rsidRPr="00DF3619">
              <w:t>Psychiatrist</w:t>
            </w:r>
          </w:p>
        </w:tc>
        <w:tc>
          <w:tcPr>
            <w:tcW w:w="5812" w:type="dxa"/>
            <w:shd w:val="clear" w:color="auto" w:fill="auto"/>
          </w:tcPr>
          <w:p w14:paraId="60F4A26D" w14:textId="77777777" w:rsidR="00EF770A" w:rsidRPr="00AB362E" w:rsidRDefault="00EF770A" w:rsidP="001C6666">
            <w:pPr>
              <w:pStyle w:val="TableText"/>
            </w:pPr>
            <w:r>
              <w:t>The psychiatrist who advises on whether the person requesting the option of receiving assisted dying is competent to make an informed decision</w:t>
            </w:r>
          </w:p>
        </w:tc>
      </w:tr>
      <w:tr w:rsidR="00EF770A" w14:paraId="5CC63A3C" w14:textId="77777777" w:rsidTr="001C6666">
        <w:trPr>
          <w:cantSplit/>
        </w:trPr>
        <w:tc>
          <w:tcPr>
            <w:tcW w:w="2268" w:type="dxa"/>
            <w:shd w:val="clear" w:color="auto" w:fill="auto"/>
          </w:tcPr>
          <w:p w14:paraId="65FF8118" w14:textId="77777777" w:rsidR="00EF770A" w:rsidRPr="00DF3619" w:rsidRDefault="00EF770A" w:rsidP="001C6666">
            <w:pPr>
              <w:pStyle w:val="TableText"/>
              <w:ind w:right="113"/>
            </w:pPr>
            <w:r w:rsidRPr="00DF3619">
              <w:t>Replacement AMP</w:t>
            </w:r>
          </w:p>
        </w:tc>
        <w:tc>
          <w:tcPr>
            <w:tcW w:w="5812" w:type="dxa"/>
            <w:shd w:val="clear" w:color="auto" w:fill="auto"/>
          </w:tcPr>
          <w:p w14:paraId="1608703B" w14:textId="77777777" w:rsidR="00EF770A" w:rsidRDefault="00EF770A" w:rsidP="001C6666">
            <w:pPr>
              <w:pStyle w:val="TableText"/>
            </w:pPr>
            <w:r>
              <w:t>T</w:t>
            </w:r>
            <w:r w:rsidRPr="00AB362E">
              <w:t>he medical practitioner who agrees to take over responsibility for the provision of the assisted dying service if the medical practitioner to whom the request is made is not</w:t>
            </w:r>
            <w:r>
              <w:t xml:space="preserve"> willing or</w:t>
            </w:r>
            <w:r w:rsidRPr="00AB362E">
              <w:t xml:space="preserve"> able to provide/complete the service. The replacement AMP is provided by the SCENZ Group. Once the replacement AMP has started providing assisted dying care they are known as the AMP</w:t>
            </w:r>
          </w:p>
        </w:tc>
      </w:tr>
      <w:tr w:rsidR="00EF770A" w14:paraId="606E9853" w14:textId="77777777" w:rsidTr="001C6666">
        <w:trPr>
          <w:cantSplit/>
        </w:trPr>
        <w:tc>
          <w:tcPr>
            <w:tcW w:w="2268" w:type="dxa"/>
            <w:shd w:val="clear" w:color="auto" w:fill="auto"/>
          </w:tcPr>
          <w:p w14:paraId="3BB4EF7B" w14:textId="77777777" w:rsidR="00EF770A" w:rsidRPr="00DF3619" w:rsidRDefault="00EF770A" w:rsidP="001C6666">
            <w:pPr>
              <w:pStyle w:val="TableText"/>
              <w:ind w:right="113"/>
            </w:pPr>
            <w:r w:rsidRPr="00DF3619">
              <w:t>Request for assisted dying</w:t>
            </w:r>
          </w:p>
        </w:tc>
        <w:tc>
          <w:tcPr>
            <w:tcW w:w="5812" w:type="dxa"/>
            <w:shd w:val="clear" w:color="auto" w:fill="auto"/>
          </w:tcPr>
          <w:p w14:paraId="275419CD" w14:textId="77777777" w:rsidR="00EF770A" w:rsidRDefault="00EF770A" w:rsidP="001C6666">
            <w:pPr>
              <w:pStyle w:val="TableText"/>
            </w:pPr>
            <w:r>
              <w:t>T</w:t>
            </w:r>
            <w:r w:rsidRPr="00AB362E">
              <w:t>he clear request that a person would like to start the assisted dying process, noting that some conversations related to assisted dying may have taken place ahead of this request</w:t>
            </w:r>
          </w:p>
        </w:tc>
      </w:tr>
      <w:tr w:rsidR="00EF770A" w14:paraId="3E5E579C" w14:textId="77777777" w:rsidTr="001C6666">
        <w:trPr>
          <w:cantSplit/>
        </w:trPr>
        <w:tc>
          <w:tcPr>
            <w:tcW w:w="2268" w:type="dxa"/>
            <w:shd w:val="clear" w:color="auto" w:fill="auto"/>
          </w:tcPr>
          <w:p w14:paraId="0DD6939A" w14:textId="77777777" w:rsidR="00EF770A" w:rsidRPr="00DF3619" w:rsidRDefault="00EF770A" w:rsidP="001C6666">
            <w:pPr>
              <w:pStyle w:val="TableText"/>
              <w:ind w:right="113"/>
            </w:pPr>
            <w:r w:rsidRPr="00DF3619">
              <w:t xml:space="preserve">The </w:t>
            </w:r>
            <w:r>
              <w:t>P</w:t>
            </w:r>
            <w:r w:rsidRPr="00DF3619">
              <w:t>erson</w:t>
            </w:r>
          </w:p>
        </w:tc>
        <w:tc>
          <w:tcPr>
            <w:tcW w:w="5812" w:type="dxa"/>
            <w:shd w:val="clear" w:color="auto" w:fill="auto"/>
          </w:tcPr>
          <w:p w14:paraId="7BE9408D" w14:textId="77777777" w:rsidR="00EF770A" w:rsidRDefault="00EF770A" w:rsidP="001C6666">
            <w:pPr>
              <w:pStyle w:val="TableText"/>
            </w:pPr>
            <w:r>
              <w:t>T</w:t>
            </w:r>
            <w:r w:rsidRPr="00AB362E">
              <w:t>he person who has requested assisted dying</w:t>
            </w:r>
          </w:p>
        </w:tc>
      </w:tr>
    </w:tbl>
    <w:p w14:paraId="4453D536" w14:textId="77777777" w:rsidR="001C6666" w:rsidRDefault="001C6666" w:rsidP="001C6666">
      <w:bookmarkStart w:id="21" w:name="_Toc81996396"/>
      <w:bookmarkStart w:id="22" w:name="_Toc84240313"/>
      <w:bookmarkEnd w:id="20"/>
    </w:p>
    <w:p w14:paraId="5F2754C7" w14:textId="77777777" w:rsidR="004F406C" w:rsidRDefault="00EF770A" w:rsidP="001C6666">
      <w:pPr>
        <w:pStyle w:val="Heading2"/>
      </w:pPr>
      <w:bookmarkStart w:id="23" w:name="_Toc84425833"/>
      <w:r>
        <w:t>Statutory bodies</w:t>
      </w:r>
      <w:bookmarkEnd w:id="21"/>
      <w:bookmarkEnd w:id="22"/>
      <w:bookmarkEnd w:id="23"/>
    </w:p>
    <w:p w14:paraId="02EC402C" w14:textId="02D681F3" w:rsidR="004F406C" w:rsidRDefault="00EF770A" w:rsidP="001C6666">
      <w:pPr>
        <w:pStyle w:val="Number"/>
        <w:keepNext/>
      </w:pPr>
      <w:r>
        <w:t xml:space="preserve">To support the assisted dying service, the Act requires the statutory bodies set out in </w:t>
      </w:r>
      <w:r w:rsidR="001C6666">
        <w:fldChar w:fldCharType="begin"/>
      </w:r>
      <w:r w:rsidR="001C6666">
        <w:instrText xml:space="preserve"> REF _Ref84411315 \h </w:instrText>
      </w:r>
      <w:r w:rsidR="001C6666">
        <w:fldChar w:fldCharType="separate"/>
      </w:r>
      <w:r w:rsidR="00B11DA7">
        <w:t>Table </w:t>
      </w:r>
      <w:r w:rsidR="00B11DA7">
        <w:rPr>
          <w:noProof/>
        </w:rPr>
        <w:t>2</w:t>
      </w:r>
      <w:r w:rsidR="001C6666">
        <w:fldChar w:fldCharType="end"/>
      </w:r>
      <w:r>
        <w:t xml:space="preserve">. The Ministry provides service and secretariat support for the </w:t>
      </w:r>
      <w:r>
        <w:lastRenderedPageBreak/>
        <w:t xml:space="preserve">statutory bodies. Go to </w:t>
      </w:r>
      <w:hyperlink r:id="rId24" w:history="1">
        <w:r>
          <w:rPr>
            <w:rStyle w:val="Hyperlink"/>
          </w:rPr>
          <w:t>End of Life Choice Act Statutory Committees</w:t>
        </w:r>
      </w:hyperlink>
      <w:r>
        <w:t xml:space="preserve"> for more information.</w:t>
      </w:r>
    </w:p>
    <w:p w14:paraId="3C667E59" w14:textId="77777777" w:rsidR="001C6666" w:rsidRDefault="001C6666" w:rsidP="001C6666">
      <w:pPr>
        <w:keepNext/>
      </w:pPr>
    </w:p>
    <w:p w14:paraId="4309F62C" w14:textId="30E5D559" w:rsidR="00EF770A" w:rsidRPr="00AE3DA5" w:rsidRDefault="001C6666" w:rsidP="001C6666">
      <w:pPr>
        <w:pStyle w:val="Table"/>
      </w:pPr>
      <w:bookmarkStart w:id="24" w:name="_Ref84411315"/>
      <w:bookmarkStart w:id="25" w:name="_Toc81996383"/>
      <w:bookmarkStart w:id="26" w:name="_Toc82006614"/>
      <w:bookmarkStart w:id="27" w:name="_Toc82440468"/>
      <w:bookmarkStart w:id="28" w:name="_Toc84240324"/>
      <w:bookmarkStart w:id="29" w:name="_Toc84412606"/>
      <w:r>
        <w:t>Table </w:t>
      </w:r>
      <w:r w:rsidR="00B11DA7">
        <w:fldChar w:fldCharType="begin"/>
      </w:r>
      <w:r w:rsidR="00B11DA7">
        <w:instrText xml:space="preserve"> SEQ Table \* ARABIC </w:instrText>
      </w:r>
      <w:r w:rsidR="00B11DA7">
        <w:fldChar w:fldCharType="separate"/>
      </w:r>
      <w:r w:rsidR="00B11DA7">
        <w:rPr>
          <w:noProof/>
        </w:rPr>
        <w:t>2</w:t>
      </w:r>
      <w:r w:rsidR="00B11DA7">
        <w:rPr>
          <w:noProof/>
        </w:rPr>
        <w:fldChar w:fldCharType="end"/>
      </w:r>
      <w:bookmarkEnd w:id="24"/>
      <w:r w:rsidR="00EF770A" w:rsidRPr="00AE3DA5">
        <w:t xml:space="preserve">: </w:t>
      </w:r>
      <w:r w:rsidR="00EF770A">
        <w:t>Statutory bodies</w:t>
      </w:r>
      <w:bookmarkEnd w:id="25"/>
      <w:bookmarkEnd w:id="26"/>
      <w:bookmarkEnd w:id="27"/>
      <w:bookmarkEnd w:id="28"/>
      <w:bookmarkEnd w:id="29"/>
    </w:p>
    <w:tbl>
      <w:tblPr>
        <w:tblW w:w="0" w:type="auto"/>
        <w:tblInd w:w="57" w:type="dxa"/>
        <w:tblBorders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3118"/>
        <w:gridCol w:w="3544"/>
      </w:tblGrid>
      <w:tr w:rsidR="001C6666" w:rsidRPr="001C6666" w14:paraId="4D862ADE" w14:textId="77777777" w:rsidTr="001C6666">
        <w:trPr>
          <w:cantSplit/>
          <w:tblHeader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035DEA8" w14:textId="77777777" w:rsidR="00EF770A" w:rsidRPr="001C6666" w:rsidRDefault="00EF770A" w:rsidP="001C6666">
            <w:pPr>
              <w:pStyle w:val="TableText"/>
              <w:keepNext/>
              <w:ind w:right="113"/>
              <w:rPr>
                <w:b/>
              </w:rPr>
            </w:pPr>
            <w:r w:rsidRPr="001C6666">
              <w:rPr>
                <w:b/>
              </w:rPr>
              <w:t>Body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DABC9B7" w14:textId="77777777" w:rsidR="00EF770A" w:rsidRPr="001C6666" w:rsidRDefault="00EF770A" w:rsidP="001C6666">
            <w:pPr>
              <w:pStyle w:val="TableText"/>
              <w:keepNext/>
              <w:ind w:right="113"/>
              <w:rPr>
                <w:b/>
              </w:rPr>
            </w:pPr>
            <w:r w:rsidRPr="001C6666">
              <w:rPr>
                <w:b/>
              </w:rPr>
              <w:t>Membership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26666E5" w14:textId="77777777" w:rsidR="00EF770A" w:rsidRPr="001C6666" w:rsidRDefault="00EF770A" w:rsidP="001C6666">
            <w:pPr>
              <w:pStyle w:val="TableText"/>
              <w:keepNext/>
              <w:rPr>
                <w:b/>
              </w:rPr>
            </w:pPr>
            <w:r w:rsidRPr="001C6666">
              <w:rPr>
                <w:b/>
              </w:rPr>
              <w:t>Functions</w:t>
            </w:r>
          </w:p>
        </w:tc>
      </w:tr>
      <w:tr w:rsidR="001C6666" w14:paraId="4B9E0CD9" w14:textId="77777777" w:rsidTr="001C6666">
        <w:trPr>
          <w:cantSplit/>
        </w:trPr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2F277206" w14:textId="77777777" w:rsidR="00EF770A" w:rsidRDefault="00EF770A" w:rsidP="001C6666">
            <w:pPr>
              <w:pStyle w:val="TableText"/>
              <w:ind w:right="113"/>
            </w:pPr>
            <w:r>
              <w:t>Support and Consultation for End of Life in New Zealand (SCENZ) Group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174E0ED3" w14:textId="77777777" w:rsidR="00EF770A" w:rsidRDefault="00EF770A" w:rsidP="001C6666">
            <w:pPr>
              <w:pStyle w:val="TableText"/>
              <w:ind w:right="113"/>
            </w:pPr>
            <w:r>
              <w:t>Appointed by the Director-General of Health</w:t>
            </w:r>
          </w:p>
          <w:p w14:paraId="289B626F" w14:textId="77777777" w:rsidR="00EF770A" w:rsidRDefault="00EF770A" w:rsidP="001C6666">
            <w:pPr>
              <w:pStyle w:val="TableText"/>
              <w:ind w:right="113"/>
            </w:pPr>
            <w:r>
              <w:t xml:space="preserve">The </w:t>
            </w:r>
            <w:r w:rsidRPr="004E189B">
              <w:t>membership</w:t>
            </w:r>
            <w:r>
              <w:t xml:space="preserve"> is:</w:t>
            </w:r>
          </w:p>
          <w:p w14:paraId="6C1C157D" w14:textId="77777777" w:rsidR="004F406C" w:rsidRDefault="00EF770A" w:rsidP="001C6666">
            <w:pPr>
              <w:pStyle w:val="TableBullet"/>
              <w:ind w:right="113"/>
            </w:pPr>
            <w:r w:rsidRPr="00123159">
              <w:t>t</w:t>
            </w:r>
            <w:r>
              <w:t>hree</w:t>
            </w:r>
            <w:r w:rsidRPr="00123159">
              <w:t xml:space="preserve"> members with an awareness of </w:t>
            </w:r>
            <w:proofErr w:type="spellStart"/>
            <w:r>
              <w:t>t</w:t>
            </w:r>
            <w:r w:rsidRPr="00123159">
              <w:t>e</w:t>
            </w:r>
            <w:proofErr w:type="spellEnd"/>
            <w:r w:rsidRPr="00123159">
              <w:t xml:space="preserve"> </w:t>
            </w:r>
            <w:proofErr w:type="spellStart"/>
            <w:r>
              <w:t>a</w:t>
            </w:r>
            <w:r w:rsidRPr="00123159">
              <w:t>o</w:t>
            </w:r>
            <w:proofErr w:type="spellEnd"/>
            <w:r w:rsidRPr="00123159">
              <w:t xml:space="preserve"> Māori and an understanding of </w:t>
            </w:r>
            <w:r>
              <w:t>t</w:t>
            </w:r>
            <w:r w:rsidRPr="00123159">
              <w:t>ikanga Māori</w:t>
            </w:r>
          </w:p>
          <w:p w14:paraId="0C713C19" w14:textId="77777777" w:rsidR="00EF770A" w:rsidRPr="00123159" w:rsidRDefault="00EF770A" w:rsidP="001C6666">
            <w:pPr>
              <w:pStyle w:val="TableBullet"/>
              <w:ind w:right="113"/>
            </w:pPr>
            <w:r w:rsidRPr="00123159">
              <w:t>three members who are practising medical practitioners</w:t>
            </w:r>
          </w:p>
          <w:p w14:paraId="6F1B3CE8" w14:textId="77777777" w:rsidR="004F406C" w:rsidRDefault="00EF770A" w:rsidP="001C6666">
            <w:pPr>
              <w:pStyle w:val="TableBullet"/>
              <w:ind w:right="113"/>
            </w:pPr>
            <w:r w:rsidRPr="00123159">
              <w:t>one member who is a practising psychiatrist</w:t>
            </w:r>
          </w:p>
          <w:p w14:paraId="02FC8878" w14:textId="77777777" w:rsidR="00EF770A" w:rsidRPr="00123159" w:rsidRDefault="00EF770A" w:rsidP="001C6666">
            <w:pPr>
              <w:pStyle w:val="TableBullet"/>
              <w:ind w:right="113"/>
            </w:pPr>
            <w:r w:rsidRPr="00123159">
              <w:t>one member who is a practising pharmacist</w:t>
            </w:r>
          </w:p>
          <w:p w14:paraId="2D0C248F" w14:textId="77777777" w:rsidR="00EF770A" w:rsidRPr="00123159" w:rsidRDefault="00EF770A" w:rsidP="001C6666">
            <w:pPr>
              <w:pStyle w:val="TableBullet"/>
              <w:ind w:right="113"/>
            </w:pPr>
            <w:r w:rsidRPr="00123159">
              <w:t>one member who is a practising nurse practitioner</w:t>
            </w:r>
          </w:p>
          <w:p w14:paraId="45E347EF" w14:textId="77777777" w:rsidR="00EF770A" w:rsidRPr="00123159" w:rsidRDefault="00EF770A" w:rsidP="001C6666">
            <w:pPr>
              <w:pStyle w:val="TableBullet"/>
              <w:ind w:right="113"/>
            </w:pPr>
            <w:r w:rsidRPr="00123159">
              <w:t>one member with knowledge of ethics and law</w:t>
            </w:r>
          </w:p>
          <w:p w14:paraId="3B4B7F54" w14:textId="77777777" w:rsidR="00EF770A" w:rsidRPr="00123159" w:rsidRDefault="00EF770A" w:rsidP="001C6666">
            <w:pPr>
              <w:pStyle w:val="TableBullet"/>
              <w:ind w:right="113"/>
            </w:pPr>
            <w:r w:rsidRPr="00123159">
              <w:t>one member with a disability perspective</w:t>
            </w:r>
          </w:p>
          <w:p w14:paraId="5A609BBF" w14:textId="77777777" w:rsidR="00EF770A" w:rsidRDefault="00EF770A" w:rsidP="001C6666">
            <w:pPr>
              <w:pStyle w:val="TableBullet"/>
              <w:ind w:right="113"/>
            </w:pPr>
            <w:r w:rsidRPr="00123159">
              <w:t>one member who represents the views of patients, whānau and community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4743CD3F" w14:textId="77777777" w:rsidR="00EF770A" w:rsidRDefault="00EF770A" w:rsidP="001C6666">
            <w:pPr>
              <w:pStyle w:val="TableText"/>
            </w:pPr>
            <w:r>
              <w:t>Make and maintain a list of:</w:t>
            </w:r>
          </w:p>
          <w:p w14:paraId="0F25C215" w14:textId="77777777" w:rsidR="00EF770A" w:rsidRDefault="00EF770A" w:rsidP="001C6666">
            <w:pPr>
              <w:pStyle w:val="TableBullet"/>
            </w:pPr>
            <w:r>
              <w:t>medical practitioners who are willing to act as replacement medical practitioners or independent medical practitioners</w:t>
            </w:r>
          </w:p>
          <w:p w14:paraId="36934B17" w14:textId="77777777" w:rsidR="00EF770A" w:rsidRDefault="00EF770A" w:rsidP="001C6666">
            <w:pPr>
              <w:pStyle w:val="TableBullet"/>
            </w:pPr>
            <w:r>
              <w:t>qualified practitioners willing to act as psychiatrists</w:t>
            </w:r>
          </w:p>
          <w:p w14:paraId="4BB47251" w14:textId="77777777" w:rsidR="00EF770A" w:rsidRDefault="00EF770A" w:rsidP="001C6666">
            <w:pPr>
              <w:pStyle w:val="TableBullet"/>
            </w:pPr>
            <w:r>
              <w:t>pharmacists willing to dispense end-of-life medication</w:t>
            </w:r>
          </w:p>
          <w:p w14:paraId="649279C5" w14:textId="77777777" w:rsidR="00EF770A" w:rsidRDefault="00EF770A" w:rsidP="001C6666">
            <w:pPr>
              <w:pStyle w:val="TableText"/>
            </w:pPr>
            <w:r>
              <w:t>Provide a name and contact details from the lists when required under the Act</w:t>
            </w:r>
          </w:p>
          <w:p w14:paraId="62566D6E" w14:textId="77777777" w:rsidR="00EF770A" w:rsidRDefault="00EF770A" w:rsidP="001C6666">
            <w:pPr>
              <w:pStyle w:val="TableText"/>
            </w:pPr>
            <w:r>
              <w:t>In relation to the administration of medication under the Act:</w:t>
            </w:r>
          </w:p>
          <w:p w14:paraId="28B10043" w14:textId="77777777" w:rsidR="00EF770A" w:rsidRDefault="00EF770A" w:rsidP="001C6666">
            <w:pPr>
              <w:pStyle w:val="TableBullet"/>
            </w:pPr>
            <w:r>
              <w:t>prepare standards of care</w:t>
            </w:r>
          </w:p>
          <w:p w14:paraId="2963C203" w14:textId="77777777" w:rsidR="00EF770A" w:rsidRDefault="00EF770A" w:rsidP="001C6666">
            <w:pPr>
              <w:pStyle w:val="TableBullet"/>
            </w:pPr>
            <w:r>
              <w:t>advise on the required medical and legal procedures</w:t>
            </w:r>
          </w:p>
          <w:p w14:paraId="7316C55A" w14:textId="77777777" w:rsidR="00EF770A" w:rsidRPr="00DD7B05" w:rsidRDefault="00EF770A" w:rsidP="001C6666">
            <w:pPr>
              <w:pStyle w:val="TableBullet"/>
            </w:pPr>
            <w:r>
              <w:t>provide practical assistance if requested</w:t>
            </w:r>
          </w:p>
        </w:tc>
      </w:tr>
      <w:tr w:rsidR="00EF770A" w14:paraId="7D1CADD3" w14:textId="77777777" w:rsidTr="001C6666">
        <w:trPr>
          <w:cantSplit/>
        </w:trPr>
        <w:tc>
          <w:tcPr>
            <w:tcW w:w="1418" w:type="dxa"/>
            <w:shd w:val="clear" w:color="auto" w:fill="auto"/>
          </w:tcPr>
          <w:p w14:paraId="095FC41E" w14:textId="77777777" w:rsidR="00EF770A" w:rsidRDefault="00EF770A" w:rsidP="001C6666">
            <w:pPr>
              <w:pStyle w:val="TableText"/>
              <w:ind w:right="113"/>
            </w:pPr>
            <w:r w:rsidRPr="00123159">
              <w:t>Review Committee</w:t>
            </w:r>
          </w:p>
        </w:tc>
        <w:tc>
          <w:tcPr>
            <w:tcW w:w="3118" w:type="dxa"/>
            <w:shd w:val="clear" w:color="auto" w:fill="auto"/>
          </w:tcPr>
          <w:p w14:paraId="39F359DD" w14:textId="77777777" w:rsidR="00EF770A" w:rsidRDefault="00EF770A" w:rsidP="001C6666">
            <w:pPr>
              <w:pStyle w:val="TableText"/>
              <w:ind w:right="113"/>
            </w:pPr>
            <w:r>
              <w:t>Appointed by the Minister of Health</w:t>
            </w:r>
          </w:p>
          <w:p w14:paraId="47CB3825" w14:textId="77777777" w:rsidR="00EF770A" w:rsidRDefault="00EF770A" w:rsidP="001C6666">
            <w:pPr>
              <w:pStyle w:val="TableText"/>
              <w:ind w:right="113"/>
            </w:pPr>
            <w:r>
              <w:t>Membership is:</w:t>
            </w:r>
          </w:p>
          <w:p w14:paraId="5A35BA82" w14:textId="77777777" w:rsidR="00EF770A" w:rsidRDefault="00EF770A" w:rsidP="001C6666">
            <w:pPr>
              <w:pStyle w:val="TableBullet"/>
              <w:ind w:right="113"/>
            </w:pPr>
            <w:r>
              <w:t>a medical ethicist</w:t>
            </w:r>
          </w:p>
          <w:p w14:paraId="5A40E99D" w14:textId="77777777" w:rsidR="00EF770A" w:rsidRDefault="00EF770A" w:rsidP="001C6666">
            <w:pPr>
              <w:pStyle w:val="TableBullet"/>
              <w:ind w:right="113"/>
            </w:pPr>
            <w:r>
              <w:t>two health practitioners, one being a medical practitioner in the end-of-life care field</w:t>
            </w:r>
          </w:p>
        </w:tc>
        <w:tc>
          <w:tcPr>
            <w:tcW w:w="3544" w:type="dxa"/>
            <w:shd w:val="clear" w:color="auto" w:fill="auto"/>
          </w:tcPr>
          <w:p w14:paraId="074F0474" w14:textId="77777777" w:rsidR="004F406C" w:rsidRDefault="00EF770A" w:rsidP="001C6666">
            <w:pPr>
              <w:pStyle w:val="TableText"/>
            </w:pPr>
            <w:r>
              <w:t>C</w:t>
            </w:r>
            <w:r w:rsidRPr="00123159">
              <w:t>onsider the assisted death reports it receives and report back to the Registrar.</w:t>
            </w:r>
          </w:p>
          <w:p w14:paraId="7D6A9680" w14:textId="77777777" w:rsidR="00EF770A" w:rsidRDefault="00EF770A" w:rsidP="001C6666">
            <w:pPr>
              <w:pStyle w:val="TableText"/>
            </w:pPr>
            <w:r>
              <w:t>D</w:t>
            </w:r>
            <w:r w:rsidRPr="00123159">
              <w:t>irect the Registrar to follow up on any aspects of an assisted death report that do not show satisfactory compliance</w:t>
            </w:r>
            <w:r>
              <w:t xml:space="preserve"> with the </w:t>
            </w:r>
            <w:r w:rsidRPr="00DD7B05">
              <w:t>legislation/</w:t>
            </w:r>
            <w:r w:rsidR="001C6666">
              <w:t xml:space="preserve"> </w:t>
            </w:r>
            <w:r w:rsidRPr="00DD7B05">
              <w:t>standards of care</w:t>
            </w:r>
          </w:p>
        </w:tc>
      </w:tr>
      <w:tr w:rsidR="00EF770A" w14:paraId="484BB281" w14:textId="77777777" w:rsidTr="001C6666">
        <w:trPr>
          <w:cantSplit/>
        </w:trPr>
        <w:tc>
          <w:tcPr>
            <w:tcW w:w="1418" w:type="dxa"/>
            <w:shd w:val="clear" w:color="auto" w:fill="auto"/>
          </w:tcPr>
          <w:p w14:paraId="50456546" w14:textId="77777777" w:rsidR="00EF770A" w:rsidRDefault="00EF770A" w:rsidP="001C6666">
            <w:pPr>
              <w:pStyle w:val="TableText"/>
              <w:ind w:right="113"/>
            </w:pPr>
            <w:r w:rsidRPr="00123159">
              <w:t>Registrar</w:t>
            </w:r>
          </w:p>
        </w:tc>
        <w:tc>
          <w:tcPr>
            <w:tcW w:w="3118" w:type="dxa"/>
            <w:shd w:val="clear" w:color="auto" w:fill="auto"/>
          </w:tcPr>
          <w:p w14:paraId="114AFE62" w14:textId="77777777" w:rsidR="00EF770A" w:rsidRDefault="00EF770A" w:rsidP="001C6666">
            <w:pPr>
              <w:pStyle w:val="TableText"/>
              <w:ind w:right="113"/>
            </w:pPr>
            <w:r>
              <w:t>Employed by the Ministry of Health, nominated by</w:t>
            </w:r>
            <w:r w:rsidR="001C6666">
              <w:t xml:space="preserve"> the Director-General of Health</w:t>
            </w:r>
          </w:p>
        </w:tc>
        <w:tc>
          <w:tcPr>
            <w:tcW w:w="3544" w:type="dxa"/>
            <w:shd w:val="clear" w:color="auto" w:fill="auto"/>
          </w:tcPr>
          <w:p w14:paraId="050DA1D0" w14:textId="77777777" w:rsidR="00EF770A" w:rsidRPr="00824B9C" w:rsidRDefault="00EF770A" w:rsidP="001C6666">
            <w:pPr>
              <w:pStyle w:val="TableText"/>
            </w:pPr>
            <w:r w:rsidRPr="00824B9C">
              <w:t>Check that the processes required by the Act have been followed and notify the AMP of whether the process can continue</w:t>
            </w:r>
          </w:p>
          <w:p w14:paraId="7705627B" w14:textId="77777777" w:rsidR="00EF770A" w:rsidRDefault="00EF770A" w:rsidP="001C6666">
            <w:pPr>
              <w:pStyle w:val="TableText"/>
            </w:pPr>
            <w:r>
              <w:t>Establish and maintain a register of:</w:t>
            </w:r>
          </w:p>
          <w:p w14:paraId="249FF22F" w14:textId="77777777" w:rsidR="004F406C" w:rsidRDefault="00EF770A" w:rsidP="001C6666">
            <w:pPr>
              <w:pStyle w:val="TableBullet"/>
            </w:pPr>
            <w:r w:rsidRPr="00DD7B05">
              <w:t>approved forms held by the Registrar</w:t>
            </w:r>
          </w:p>
          <w:p w14:paraId="271AC553" w14:textId="77777777" w:rsidR="004F406C" w:rsidRDefault="00EF770A" w:rsidP="001C6666">
            <w:pPr>
              <w:pStyle w:val="TableBullet"/>
            </w:pPr>
            <w:r w:rsidRPr="00DD7B05">
              <w:t>the Review Committee</w:t>
            </w:r>
            <w:r w:rsidR="004F406C">
              <w:t>’</w:t>
            </w:r>
            <w:r w:rsidRPr="00DD7B05">
              <w:t>s reports to the Registrar</w:t>
            </w:r>
          </w:p>
          <w:p w14:paraId="4910C93C" w14:textId="77777777" w:rsidR="00EF770A" w:rsidRPr="00DD7B05" w:rsidRDefault="00EF770A" w:rsidP="001C6666">
            <w:pPr>
              <w:pStyle w:val="TableBullet"/>
            </w:pPr>
            <w:r w:rsidRPr="00DD7B05">
              <w:t>the Registrar</w:t>
            </w:r>
            <w:r w:rsidR="004F406C">
              <w:t>’</w:t>
            </w:r>
            <w:r w:rsidRPr="00DD7B05">
              <w:t>s reports to the Minister</w:t>
            </w:r>
          </w:p>
          <w:p w14:paraId="2404D299" w14:textId="77777777" w:rsidR="00EF770A" w:rsidRPr="00824B9C" w:rsidRDefault="00EF770A" w:rsidP="001C6666">
            <w:pPr>
              <w:pStyle w:val="TableText"/>
            </w:pPr>
            <w:r>
              <w:t xml:space="preserve">Receive and action </w:t>
            </w:r>
            <w:r w:rsidRPr="00123159">
              <w:rPr>
                <w:rFonts w:cs="Arial"/>
              </w:rPr>
              <w:t xml:space="preserve">complaints </w:t>
            </w:r>
            <w:r w:rsidRPr="00824B9C">
              <w:t>about the provision of assisted dying services, including the conduct of health practitioners, and, if necessary, refer the complaint to the Health and Disability Commissioner, the practitioner</w:t>
            </w:r>
            <w:r w:rsidR="004F406C">
              <w:t>’</w:t>
            </w:r>
            <w:r w:rsidRPr="00824B9C">
              <w:t>s responsible authority or the Police</w:t>
            </w:r>
          </w:p>
          <w:p w14:paraId="680FFC37" w14:textId="77777777" w:rsidR="00EF770A" w:rsidRDefault="00EF770A" w:rsidP="001C6666">
            <w:pPr>
              <w:pStyle w:val="TableText"/>
            </w:pPr>
            <w:r>
              <w:t>Report assisted death stat</w:t>
            </w:r>
            <w:r w:rsidR="001C6666">
              <w:t>istics to the Minister annually</w:t>
            </w:r>
          </w:p>
        </w:tc>
      </w:tr>
    </w:tbl>
    <w:p w14:paraId="1B0BE79E" w14:textId="77777777" w:rsidR="001C6666" w:rsidRDefault="001C6666" w:rsidP="001C6666">
      <w:bookmarkStart w:id="30" w:name="_Toc81996397"/>
      <w:bookmarkStart w:id="31" w:name="_Toc84240314"/>
    </w:p>
    <w:p w14:paraId="32C14954" w14:textId="77777777" w:rsidR="00EF770A" w:rsidRPr="003975DF" w:rsidRDefault="00EF770A" w:rsidP="001C6666">
      <w:pPr>
        <w:pStyle w:val="Heading1"/>
      </w:pPr>
      <w:bookmarkStart w:id="32" w:name="_Toc84425834"/>
      <w:r>
        <w:lastRenderedPageBreak/>
        <w:t>Assisted dying services</w:t>
      </w:r>
      <w:bookmarkEnd w:id="30"/>
      <w:bookmarkEnd w:id="31"/>
      <w:bookmarkEnd w:id="32"/>
    </w:p>
    <w:p w14:paraId="3C26E672" w14:textId="77777777" w:rsidR="00EF770A" w:rsidRDefault="00EF770A" w:rsidP="001C6666">
      <w:pPr>
        <w:pStyle w:val="Heading2"/>
      </w:pPr>
      <w:bookmarkStart w:id="33" w:name="_Toc81996398"/>
      <w:bookmarkStart w:id="34" w:name="_Toc84240315"/>
      <w:bookmarkStart w:id="35" w:name="_Toc84425835"/>
      <w:r>
        <w:t>Initial request</w:t>
      </w:r>
      <w:bookmarkEnd w:id="33"/>
      <w:bookmarkEnd w:id="34"/>
      <w:bookmarkEnd w:id="35"/>
    </w:p>
    <w:p w14:paraId="3B636F78" w14:textId="77777777" w:rsidR="004F406C" w:rsidRDefault="00EF770A" w:rsidP="001C6666">
      <w:pPr>
        <w:pStyle w:val="Number"/>
      </w:pPr>
      <w:r>
        <w:t xml:space="preserve">Assisted dying services allow people to </w:t>
      </w:r>
      <w:r w:rsidRPr="00AB362E">
        <w:t>exercise their right to request assisted dying</w:t>
      </w:r>
      <w:r>
        <w:t>, as outlined in the Act</w:t>
      </w:r>
      <w:hyperlink r:id="rId25" w:history="1"/>
      <w:r>
        <w:t>.</w:t>
      </w:r>
    </w:p>
    <w:p w14:paraId="70B81014" w14:textId="77777777" w:rsidR="00EF770A" w:rsidRDefault="00EF770A" w:rsidP="001C6666">
      <w:pPr>
        <w:pStyle w:val="Number"/>
      </w:pPr>
      <w:r w:rsidRPr="00AE3DA5">
        <w:t xml:space="preserve">A person who </w:t>
      </w:r>
      <w:r>
        <w:t>is</w:t>
      </w:r>
      <w:r w:rsidRPr="00AE3DA5">
        <w:t xml:space="preserve"> </w:t>
      </w:r>
      <w:r>
        <w:t>considering</w:t>
      </w:r>
      <w:r w:rsidRPr="00AE3DA5">
        <w:t xml:space="preserve"> assisted dying </w:t>
      </w:r>
      <w:r>
        <w:t>may raise this with</w:t>
      </w:r>
      <w:r w:rsidRPr="00AE3DA5">
        <w:t xml:space="preserve"> a </w:t>
      </w:r>
      <w:r>
        <w:t>health</w:t>
      </w:r>
      <w:r w:rsidRPr="00AE3DA5">
        <w:t xml:space="preserve"> practitioner. </w:t>
      </w:r>
      <w:r>
        <w:t>A health practitioner must never initiate a conversation about a</w:t>
      </w:r>
      <w:r w:rsidRPr="00AE3DA5">
        <w:t>ssisted</w:t>
      </w:r>
      <w:r>
        <w:t xml:space="preserve"> dying</w:t>
      </w:r>
      <w:r w:rsidRPr="00AE3DA5">
        <w:t>.</w:t>
      </w:r>
    </w:p>
    <w:p w14:paraId="604DC606" w14:textId="77777777" w:rsidR="004F406C" w:rsidRDefault="00EF770A" w:rsidP="001C6666">
      <w:pPr>
        <w:pStyle w:val="Number"/>
      </w:pPr>
      <w:r>
        <w:t>The</w:t>
      </w:r>
      <w:r w:rsidRPr="00AE3DA5">
        <w:t xml:space="preserve"> initial conversation about assisted dying may occur during a routine care appointment. </w:t>
      </w:r>
      <w:r>
        <w:t xml:space="preserve">This conversation is </w:t>
      </w:r>
      <w:r w:rsidRPr="0079271D">
        <w:t>not</w:t>
      </w:r>
      <w:r>
        <w:t xml:space="preserve"> part of the assisted dying funded modules.</w:t>
      </w:r>
    </w:p>
    <w:p w14:paraId="22B2D0A3" w14:textId="77777777" w:rsidR="004F406C" w:rsidRDefault="00EF770A" w:rsidP="001C6666">
      <w:pPr>
        <w:pStyle w:val="Number"/>
      </w:pPr>
      <w:r w:rsidRPr="00AE3DA5">
        <w:t>If</w:t>
      </w:r>
      <w:r>
        <w:t xml:space="preserve">, following the initial conversation, </w:t>
      </w:r>
      <w:r w:rsidRPr="00AE3DA5">
        <w:t>the person want</w:t>
      </w:r>
      <w:r>
        <w:t>s</w:t>
      </w:r>
      <w:r w:rsidRPr="00AE3DA5">
        <w:t xml:space="preserve"> to start the assisted dying process </w:t>
      </w:r>
      <w:r>
        <w:t>an appointment for the application and first opinion is made.</w:t>
      </w:r>
    </w:p>
    <w:p w14:paraId="40FACBBD" w14:textId="77777777" w:rsidR="004F406C" w:rsidRDefault="00EF770A" w:rsidP="001C6666">
      <w:pPr>
        <w:pStyle w:val="Number"/>
      </w:pPr>
      <w:r>
        <w:t xml:space="preserve">The process and requirements for receiving and actioning an assisted dying request are explained in </w:t>
      </w:r>
      <w:r w:rsidRPr="003975DF">
        <w:t xml:space="preserve">the </w:t>
      </w:r>
      <w:hyperlink r:id="rId26" w:history="1">
        <w:r w:rsidRPr="003975DF">
          <w:rPr>
            <w:rStyle w:val="Hyperlink"/>
          </w:rPr>
          <w:t>Assisted Dying Care Pathways for Practitioners</w:t>
        </w:r>
      </w:hyperlink>
      <w:r w:rsidRPr="003975DF">
        <w:t>.</w:t>
      </w:r>
    </w:p>
    <w:p w14:paraId="7066F949" w14:textId="77777777" w:rsidR="00EF770A" w:rsidRPr="001C6666" w:rsidRDefault="00EF770A" w:rsidP="001C6666">
      <w:pPr>
        <w:pStyle w:val="Number"/>
        <w:rPr>
          <w:rFonts w:cs="Arial"/>
        </w:rPr>
      </w:pPr>
      <w:r w:rsidRPr="00123159">
        <w:t xml:space="preserve">Health practitioners do not have to be involved in assisted dying services. </w:t>
      </w:r>
      <w:r>
        <w:t>If the person</w:t>
      </w:r>
      <w:r w:rsidR="004F406C">
        <w:t>’</w:t>
      </w:r>
      <w:r>
        <w:t xml:space="preserve">s usual health practitioner has not received the required training or </w:t>
      </w:r>
      <w:r w:rsidRPr="006E38B9">
        <w:t>has a con</w:t>
      </w:r>
      <w:r>
        <w:t>sci</w:t>
      </w:r>
      <w:r w:rsidRPr="006E38B9">
        <w:t>entious objection to being involved</w:t>
      </w:r>
      <w:r>
        <w:t>,</w:t>
      </w:r>
      <w:r w:rsidRPr="006E38B9">
        <w:t xml:space="preserve"> they must a</w:t>
      </w:r>
      <w:r>
        <w:t>dvise the person of their position and that they can contact the SCENZ Group for the name and contact details of an attending medical practitioner.</w:t>
      </w:r>
    </w:p>
    <w:p w14:paraId="39764760" w14:textId="77777777" w:rsidR="001C6666" w:rsidRPr="00AE3DA5" w:rsidRDefault="001C6666" w:rsidP="001C6666"/>
    <w:p w14:paraId="099D1069" w14:textId="77777777" w:rsidR="00EF770A" w:rsidRDefault="00EF770A" w:rsidP="001C6666">
      <w:pPr>
        <w:pStyle w:val="Heading2"/>
      </w:pPr>
      <w:bookmarkStart w:id="36" w:name="_Toc81996399"/>
      <w:bookmarkStart w:id="37" w:name="_Toc84240316"/>
      <w:bookmarkStart w:id="38" w:name="_Toc84425836"/>
      <w:r>
        <w:t>The assisted dying service modules</w:t>
      </w:r>
      <w:bookmarkEnd w:id="36"/>
      <w:bookmarkEnd w:id="37"/>
      <w:bookmarkEnd w:id="38"/>
    </w:p>
    <w:p w14:paraId="698B3A26" w14:textId="394C5FAF" w:rsidR="004F406C" w:rsidRDefault="00EF770A" w:rsidP="001C6666">
      <w:pPr>
        <w:pStyle w:val="Number"/>
      </w:pPr>
      <w:r>
        <w:t xml:space="preserve">Five service modules can be funded as part of the service, as shown in </w:t>
      </w:r>
      <w:r>
        <w:fldChar w:fldCharType="begin"/>
      </w:r>
      <w:r>
        <w:instrText xml:space="preserve"> REF _Ref82600560 \h </w:instrText>
      </w:r>
      <w:r>
        <w:fldChar w:fldCharType="separate"/>
      </w:r>
      <w:r w:rsidR="00B11DA7">
        <w:t>Table </w:t>
      </w:r>
      <w:r w:rsidR="00B11DA7">
        <w:rPr>
          <w:noProof/>
        </w:rPr>
        <w:t>3</w:t>
      </w:r>
      <w:r>
        <w:fldChar w:fldCharType="end"/>
      </w:r>
      <w:r>
        <w:t>.</w:t>
      </w:r>
    </w:p>
    <w:p w14:paraId="1D42B1E0" w14:textId="77777777" w:rsidR="004F406C" w:rsidRDefault="00EF770A" w:rsidP="001C6666">
      <w:pPr>
        <w:pStyle w:val="Number"/>
      </w:pPr>
      <w:r w:rsidRPr="00457158">
        <w:t xml:space="preserve">The </w:t>
      </w:r>
      <w:r>
        <w:t xml:space="preserve">s88 notice pricing schedule, which stipulates the </w:t>
      </w:r>
      <w:r w:rsidRPr="00457158">
        <w:t>amounts that can be claimed for the services</w:t>
      </w:r>
      <w:r>
        <w:t>, may be updated periodically</w:t>
      </w:r>
      <w:r w:rsidRPr="00457158">
        <w:t>.</w:t>
      </w:r>
    </w:p>
    <w:p w14:paraId="22AEB1B3" w14:textId="77777777" w:rsidR="001C6666" w:rsidRDefault="001C6666" w:rsidP="001C6666"/>
    <w:p w14:paraId="22E3D2E8" w14:textId="5BD42818" w:rsidR="00EF770A" w:rsidRDefault="001C6666" w:rsidP="008A2322">
      <w:pPr>
        <w:pStyle w:val="Table"/>
      </w:pPr>
      <w:bookmarkStart w:id="39" w:name="_Ref82600560"/>
      <w:bookmarkStart w:id="40" w:name="_Toc84240325"/>
      <w:bookmarkStart w:id="41" w:name="_Toc84412607"/>
      <w:r>
        <w:lastRenderedPageBreak/>
        <w:t>Table </w:t>
      </w:r>
      <w:r w:rsidR="00B11DA7">
        <w:fldChar w:fldCharType="begin"/>
      </w:r>
      <w:r w:rsidR="00B11DA7">
        <w:instrText xml:space="preserve"> SEQ Table \* ARABIC </w:instrText>
      </w:r>
      <w:r w:rsidR="00B11DA7">
        <w:fldChar w:fldCharType="separate"/>
      </w:r>
      <w:r w:rsidR="00B11DA7">
        <w:rPr>
          <w:noProof/>
        </w:rPr>
        <w:t>3</w:t>
      </w:r>
      <w:r w:rsidR="00B11DA7">
        <w:rPr>
          <w:noProof/>
        </w:rPr>
        <w:fldChar w:fldCharType="end"/>
      </w:r>
      <w:bookmarkEnd w:id="39"/>
      <w:r w:rsidR="00EF770A">
        <w:t>: Funding modules</w:t>
      </w:r>
      <w:bookmarkEnd w:id="40"/>
      <w:bookmarkEnd w:id="41"/>
    </w:p>
    <w:tbl>
      <w:tblPr>
        <w:tblW w:w="0" w:type="auto"/>
        <w:tblInd w:w="57" w:type="dxa"/>
        <w:tblBorders>
          <w:bottom w:val="single" w:sz="4" w:space="0" w:color="808080" w:themeColor="background1" w:themeShade="80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5812"/>
      </w:tblGrid>
      <w:tr w:rsidR="00EF770A" w:rsidRPr="001C6666" w14:paraId="4DE78B08" w14:textId="77777777" w:rsidTr="001C6666">
        <w:trPr>
          <w:cantSplit/>
        </w:trPr>
        <w:tc>
          <w:tcPr>
            <w:tcW w:w="808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91ECE93" w14:textId="77777777" w:rsidR="00EF770A" w:rsidRPr="001C6666" w:rsidRDefault="00EF770A" w:rsidP="008A2322">
            <w:pPr>
              <w:pStyle w:val="TableText"/>
              <w:keepNext/>
              <w:rPr>
                <w:b/>
              </w:rPr>
            </w:pPr>
            <w:r w:rsidRPr="001C6666">
              <w:rPr>
                <w:rFonts w:cs="Segoe UI"/>
                <w:b/>
              </w:rPr>
              <w:t xml:space="preserve">Module 1 – </w:t>
            </w:r>
            <w:r w:rsidRPr="001C6666">
              <w:rPr>
                <w:b/>
              </w:rPr>
              <w:t>Application and first opinion of eligibility</w:t>
            </w:r>
          </w:p>
        </w:tc>
      </w:tr>
      <w:tr w:rsidR="00EF770A" w:rsidRPr="00F33A60" w14:paraId="3915682E" w14:textId="77777777" w:rsidTr="001C6666">
        <w:trPr>
          <w:cantSplit/>
        </w:trPr>
        <w:tc>
          <w:tcPr>
            <w:tcW w:w="2268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14:paraId="46CDA37F" w14:textId="77777777" w:rsidR="00EF770A" w:rsidRDefault="00EF770A" w:rsidP="008A2322">
            <w:pPr>
              <w:pStyle w:val="TableText"/>
              <w:keepNext/>
              <w:ind w:right="113"/>
            </w:pPr>
            <w:r>
              <w:t>Who can claim</w:t>
            </w:r>
          </w:p>
        </w:tc>
        <w:tc>
          <w:tcPr>
            <w:tcW w:w="5812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14:paraId="5A062710" w14:textId="77777777" w:rsidR="00EF770A" w:rsidRPr="00F33A60" w:rsidRDefault="00EF770A" w:rsidP="001C6666">
            <w:pPr>
              <w:pStyle w:val="TableText"/>
            </w:pPr>
            <w:r>
              <w:t>AMP</w:t>
            </w:r>
          </w:p>
        </w:tc>
      </w:tr>
      <w:tr w:rsidR="00EF770A" w:rsidRPr="00F33A60" w14:paraId="66A2FF92" w14:textId="77777777" w:rsidTr="001C6666">
        <w:trPr>
          <w:cantSplit/>
        </w:trPr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54A7E9D" w14:textId="77777777" w:rsidR="00EF770A" w:rsidRPr="00F33A60" w:rsidRDefault="00EF770A" w:rsidP="008A2322">
            <w:pPr>
              <w:pStyle w:val="TableText"/>
              <w:keepNext/>
              <w:ind w:right="113"/>
            </w:pPr>
            <w:r>
              <w:t>Components (and Act references)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5E7EE9B" w14:textId="77777777" w:rsidR="00EF770A" w:rsidRDefault="00EF770A" w:rsidP="001C6666">
            <w:pPr>
              <w:pStyle w:val="TableText"/>
            </w:pPr>
            <w:r>
              <w:t>Providing the person with the required information and other preliminary services – section 11(2)</w:t>
            </w:r>
          </w:p>
          <w:p w14:paraId="7DB9722B" w14:textId="77777777" w:rsidR="00EF770A" w:rsidRPr="00F33A60" w:rsidRDefault="00EF770A" w:rsidP="001C6666">
            <w:pPr>
              <w:pStyle w:val="TableText"/>
            </w:pPr>
            <w:r w:rsidRPr="00F33A60">
              <w:t>Supporting the person to apply</w:t>
            </w:r>
            <w:r>
              <w:t xml:space="preserve"> – </w:t>
            </w:r>
            <w:r w:rsidRPr="002F1E12">
              <w:t>sections 12(2) and (5)</w:t>
            </w:r>
          </w:p>
          <w:p w14:paraId="4E5DCEDC" w14:textId="77777777" w:rsidR="00EF770A" w:rsidRPr="00F33A60" w:rsidRDefault="00EF770A" w:rsidP="001C6666">
            <w:pPr>
              <w:pStyle w:val="TableText"/>
            </w:pPr>
            <w:r w:rsidRPr="00F33A60">
              <w:t xml:space="preserve">Completing the first eligibility assessment and </w:t>
            </w:r>
            <w:r>
              <w:t>associated</w:t>
            </w:r>
            <w:r w:rsidRPr="00F33A60">
              <w:t xml:space="preserve"> forms to provide the first opinion</w:t>
            </w:r>
            <w:r>
              <w:t xml:space="preserve"> – </w:t>
            </w:r>
            <w:r w:rsidRPr="002F1E12">
              <w:t>sections 13(2) and (3)</w:t>
            </w:r>
          </w:p>
          <w:p w14:paraId="7FD5B5D8" w14:textId="77777777" w:rsidR="00EF770A" w:rsidRDefault="00EF770A" w:rsidP="001C6666">
            <w:pPr>
              <w:pStyle w:val="TableText"/>
            </w:pPr>
            <w:r w:rsidRPr="00F33A60">
              <w:t xml:space="preserve">Requesting an opinion from an IMP </w:t>
            </w:r>
            <w:r>
              <w:t xml:space="preserve">– </w:t>
            </w:r>
            <w:r w:rsidRPr="002F1E12">
              <w:t>section 14(2)</w:t>
            </w:r>
          </w:p>
          <w:p w14:paraId="44AE1D33" w14:textId="77777777" w:rsidR="00EF770A" w:rsidRPr="00F33A60" w:rsidRDefault="00EF770A" w:rsidP="001C6666">
            <w:pPr>
              <w:pStyle w:val="TableText"/>
            </w:pPr>
            <w:r>
              <w:t>If necessary, together with the IMP, requesting an opinion on the person</w:t>
            </w:r>
            <w:r w:rsidR="004F406C">
              <w:t>’</w:t>
            </w:r>
            <w:r>
              <w:t xml:space="preserve">s competence from a </w:t>
            </w:r>
            <w:r w:rsidRPr="00F33A60">
              <w:t xml:space="preserve">psychiatrist </w:t>
            </w:r>
            <w:r>
              <w:t>– section 15(2)</w:t>
            </w:r>
          </w:p>
        </w:tc>
      </w:tr>
      <w:tr w:rsidR="00EF770A" w:rsidRPr="005B0A07" w14:paraId="58973B59" w14:textId="77777777" w:rsidTr="001C6666">
        <w:trPr>
          <w:cantSplit/>
        </w:trPr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6338046" w14:textId="77777777" w:rsidR="00EF770A" w:rsidRDefault="00EF770A" w:rsidP="001C6666">
            <w:pPr>
              <w:pStyle w:val="TableText"/>
              <w:ind w:right="113"/>
            </w:pPr>
            <w:r>
              <w:t>Standard payment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0CCB70D" w14:textId="77777777" w:rsidR="00EF770A" w:rsidRPr="005B0A07" w:rsidRDefault="00EF770A" w:rsidP="001C6666">
            <w:pPr>
              <w:pStyle w:val="TableText"/>
            </w:pPr>
            <w:r w:rsidRPr="006867F5">
              <w:t>$724.</w:t>
            </w:r>
            <w:r w:rsidRPr="007A070D">
              <w:t>80 for up to 3 hours</w:t>
            </w:r>
          </w:p>
        </w:tc>
      </w:tr>
      <w:tr w:rsidR="00EF770A" w:rsidRPr="00F33A60" w14:paraId="6323105C" w14:textId="77777777" w:rsidTr="001C6666">
        <w:trPr>
          <w:cantSplit/>
        </w:trPr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CCCA611" w14:textId="77777777" w:rsidR="00EF770A" w:rsidRDefault="00EF770A" w:rsidP="00513E6A">
            <w:pPr>
              <w:pStyle w:val="TableText"/>
              <w:ind w:right="113"/>
            </w:pPr>
            <w:r>
              <w:t>Additional payment for complex case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20BA0C3" w14:textId="77777777" w:rsidR="00EF770A" w:rsidRPr="0008752C" w:rsidRDefault="00EF770A" w:rsidP="001C6666">
            <w:pPr>
              <w:pStyle w:val="TableText"/>
            </w:pPr>
            <w:r w:rsidRPr="006867F5">
              <w:t>$483</w:t>
            </w:r>
            <w:r w:rsidRPr="007A070D">
              <w:t>.20 may be claimed as an additional payment when the AMP spends more than 3 hours completing Module 1 services</w:t>
            </w:r>
            <w:r>
              <w:t xml:space="preserve"> due to c</w:t>
            </w:r>
            <w:r w:rsidRPr="007A070D">
              <w:t xml:space="preserve">omplexity caused by clinical, </w:t>
            </w:r>
            <w:proofErr w:type="gramStart"/>
            <w:r w:rsidRPr="007A070D">
              <w:t>social</w:t>
            </w:r>
            <w:proofErr w:type="gramEnd"/>
            <w:r w:rsidRPr="007A070D">
              <w:t xml:space="preserve"> or</w:t>
            </w:r>
            <w:r w:rsidRPr="00F33A60">
              <w:t xml:space="preserve"> cultural considerations </w:t>
            </w:r>
          </w:p>
        </w:tc>
      </w:tr>
      <w:tr w:rsidR="00EF770A" w:rsidRPr="00F33A60" w14:paraId="3CB6947F" w14:textId="77777777" w:rsidTr="001C6666">
        <w:trPr>
          <w:cantSplit/>
        </w:trPr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3378A1D" w14:textId="77777777" w:rsidR="00EF770A" w:rsidRDefault="00EF770A" w:rsidP="001C6666">
            <w:pPr>
              <w:pStyle w:val="TableText"/>
              <w:ind w:right="113"/>
            </w:pPr>
            <w:r>
              <w:t>Additional payme</w:t>
            </w:r>
            <w:r w:rsidR="00513E6A">
              <w:t>nt for obtaining clinical notes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4BA5B92" w14:textId="77777777" w:rsidR="004F406C" w:rsidRDefault="00EF770A" w:rsidP="001C6666">
            <w:pPr>
              <w:pStyle w:val="TableText"/>
            </w:pPr>
            <w:r w:rsidRPr="00F33A60">
              <w:t>$231.25</w:t>
            </w:r>
            <w:r>
              <w:t xml:space="preserve"> may be claimed as an additional payment for obtaining </w:t>
            </w:r>
            <w:r w:rsidRPr="00F33A60">
              <w:t>clinical notes</w:t>
            </w:r>
            <w:r>
              <w:t xml:space="preserve"> from the person</w:t>
            </w:r>
            <w:r w:rsidR="004F406C">
              <w:t>’</w:t>
            </w:r>
            <w:r>
              <w:t>s usual health</w:t>
            </w:r>
            <w:r w:rsidRPr="003A0E83">
              <w:t xml:space="preserve"> practitioner</w:t>
            </w:r>
          </w:p>
          <w:p w14:paraId="4C57AC22" w14:textId="77777777" w:rsidR="004F406C" w:rsidRDefault="00EF770A" w:rsidP="008A2322">
            <w:pPr>
              <w:pStyle w:val="TableBullet"/>
            </w:pPr>
            <w:r>
              <w:t>T</w:t>
            </w:r>
            <w:r w:rsidRPr="003A0E83">
              <w:t xml:space="preserve">he AMP </w:t>
            </w:r>
            <w:r>
              <w:t xml:space="preserve">makes the claim and pays it </w:t>
            </w:r>
            <w:r w:rsidRPr="003A0E83">
              <w:t xml:space="preserve">to the </w:t>
            </w:r>
            <w:r>
              <w:t>health</w:t>
            </w:r>
            <w:r w:rsidRPr="003A0E83">
              <w:t xml:space="preserve"> practitioner if the</w:t>
            </w:r>
            <w:r>
              <w:t>y</w:t>
            </w:r>
            <w:r w:rsidRPr="003A0E83">
              <w:t xml:space="preserve"> require payment for </w:t>
            </w:r>
            <w:r>
              <w:t>providing the</w:t>
            </w:r>
            <w:r w:rsidRPr="003A0E83">
              <w:t xml:space="preserve"> notes</w:t>
            </w:r>
          </w:p>
          <w:p w14:paraId="5A7361C0" w14:textId="77777777" w:rsidR="004F406C" w:rsidRDefault="00EF770A" w:rsidP="008A2322">
            <w:pPr>
              <w:pStyle w:val="TableBullet"/>
            </w:pPr>
            <w:r w:rsidRPr="003A0E83">
              <w:t xml:space="preserve">If notes are required for Modules 2 and 3 the AMP </w:t>
            </w:r>
            <w:r>
              <w:t>will</w:t>
            </w:r>
            <w:r w:rsidRPr="003A0E83">
              <w:t xml:space="preserve"> obtain the notes and </w:t>
            </w:r>
            <w:r>
              <w:t>send them</w:t>
            </w:r>
            <w:r w:rsidRPr="003A0E83">
              <w:t xml:space="preserve"> to the IMP</w:t>
            </w:r>
            <w:r>
              <w:t xml:space="preserve"> and/or psychiatrist</w:t>
            </w:r>
          </w:p>
          <w:p w14:paraId="1779F4F2" w14:textId="77777777" w:rsidR="00EF770A" w:rsidRPr="00F33A60" w:rsidRDefault="00EF770A" w:rsidP="008A2322">
            <w:pPr>
              <w:pStyle w:val="TableBullet"/>
              <w:rPr>
                <w:b/>
                <w:bCs/>
              </w:rPr>
            </w:pPr>
            <w:r>
              <w:t>I</w:t>
            </w:r>
            <w:r w:rsidRPr="00F33A60">
              <w:t>f the AMP is the person</w:t>
            </w:r>
            <w:r w:rsidR="004F406C">
              <w:t>’</w:t>
            </w:r>
            <w:r w:rsidRPr="00F33A60">
              <w:t xml:space="preserve">s </w:t>
            </w:r>
            <w:r>
              <w:t>usual health practitioner</w:t>
            </w:r>
            <w:r w:rsidRPr="00F33A60">
              <w:t xml:space="preserve"> </w:t>
            </w:r>
            <w:r w:rsidRPr="008C086F">
              <w:t>or has access to the person</w:t>
            </w:r>
            <w:r w:rsidR="004F406C">
              <w:t>’</w:t>
            </w:r>
            <w:r w:rsidRPr="008C086F">
              <w:t>s clinical records, th</w:t>
            </w:r>
            <w:r w:rsidRPr="00F33A60">
              <w:t xml:space="preserve">ey </w:t>
            </w:r>
            <w:r>
              <w:t>cannot claim this payment</w:t>
            </w:r>
          </w:p>
        </w:tc>
      </w:tr>
      <w:tr w:rsidR="00EF770A" w:rsidRPr="00F33A60" w14:paraId="432391E6" w14:textId="77777777" w:rsidTr="008A2322">
        <w:trPr>
          <w:cantSplit/>
        </w:trPr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36BA8E6" w14:textId="77777777" w:rsidR="00EF770A" w:rsidRDefault="00EF770A" w:rsidP="001C6666">
            <w:pPr>
              <w:pStyle w:val="TableText"/>
              <w:ind w:right="113"/>
            </w:pPr>
            <w:r>
              <w:t>Travel allowance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43B5474" w14:textId="0FBA90AC" w:rsidR="00EF770A" w:rsidRPr="004E0302" w:rsidRDefault="00EF770A" w:rsidP="001C6666">
            <w:pPr>
              <w:pStyle w:val="TableText"/>
            </w:pPr>
            <w:r w:rsidRPr="00F33A60">
              <w:t>Travel allowance (</w:t>
            </w:r>
            <w:r>
              <w:t>see</w:t>
            </w:r>
            <w:r w:rsidRPr="00F33A60">
              <w:t xml:space="preserve"> </w:t>
            </w:r>
            <w:r w:rsidRPr="00F33A60">
              <w:fldChar w:fldCharType="begin"/>
            </w:r>
            <w:r w:rsidRPr="00F33A60">
              <w:instrText xml:space="preserve"> REF _Ref81408149 \h  \* MERGEFORMAT </w:instrText>
            </w:r>
            <w:r w:rsidRPr="00F33A60">
              <w:fldChar w:fldCharType="separate"/>
            </w:r>
            <w:r w:rsidR="00B11DA7">
              <w:t>Table 4</w:t>
            </w:r>
            <w:r w:rsidRPr="00F33A60">
              <w:fldChar w:fldCharType="end"/>
            </w:r>
            <w:r w:rsidRPr="00F33A60">
              <w:t>)</w:t>
            </w:r>
          </w:p>
        </w:tc>
      </w:tr>
    </w:tbl>
    <w:p w14:paraId="46A10164" w14:textId="77777777" w:rsidR="008A2322" w:rsidRDefault="008A2322"/>
    <w:tbl>
      <w:tblPr>
        <w:tblW w:w="0" w:type="auto"/>
        <w:tblInd w:w="57" w:type="dxa"/>
        <w:tblBorders>
          <w:bottom w:val="single" w:sz="4" w:space="0" w:color="808080" w:themeColor="background1" w:themeShade="80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5812"/>
      </w:tblGrid>
      <w:tr w:rsidR="00EF770A" w:rsidRPr="008A2322" w14:paraId="276866CE" w14:textId="77777777" w:rsidTr="008A2322">
        <w:trPr>
          <w:cantSplit/>
        </w:trPr>
        <w:tc>
          <w:tcPr>
            <w:tcW w:w="808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9BF3531" w14:textId="77777777" w:rsidR="00EF770A" w:rsidRPr="008A2322" w:rsidRDefault="00EF770A" w:rsidP="001C6666">
            <w:pPr>
              <w:pStyle w:val="TableText"/>
              <w:ind w:right="113"/>
              <w:rPr>
                <w:b/>
              </w:rPr>
            </w:pPr>
            <w:r w:rsidRPr="008A2322">
              <w:rPr>
                <w:rFonts w:cs="Segoe UI"/>
                <w:b/>
              </w:rPr>
              <w:t xml:space="preserve">Module 2 – </w:t>
            </w:r>
            <w:r w:rsidRPr="008A2322">
              <w:rPr>
                <w:b/>
              </w:rPr>
              <w:t>Independent assessment of eligibility</w:t>
            </w:r>
          </w:p>
        </w:tc>
      </w:tr>
      <w:tr w:rsidR="00EF770A" w:rsidRPr="00F33A60" w14:paraId="58DA18D7" w14:textId="77777777" w:rsidTr="008A2322">
        <w:trPr>
          <w:cantSplit/>
        </w:trPr>
        <w:tc>
          <w:tcPr>
            <w:tcW w:w="2268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14:paraId="6B3CA3AE" w14:textId="77777777" w:rsidR="00EF770A" w:rsidRDefault="00EF770A" w:rsidP="001C6666">
            <w:pPr>
              <w:pStyle w:val="TableText"/>
              <w:ind w:right="113"/>
            </w:pPr>
            <w:r>
              <w:t>Who can claim</w:t>
            </w:r>
          </w:p>
        </w:tc>
        <w:tc>
          <w:tcPr>
            <w:tcW w:w="5812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14:paraId="106048EB" w14:textId="77777777" w:rsidR="00EF770A" w:rsidRPr="00F33A60" w:rsidRDefault="00EF770A" w:rsidP="001C6666">
            <w:pPr>
              <w:pStyle w:val="TableText"/>
            </w:pPr>
            <w:r>
              <w:t>IMP</w:t>
            </w:r>
          </w:p>
        </w:tc>
      </w:tr>
      <w:tr w:rsidR="00EF770A" w:rsidRPr="00F33A60" w14:paraId="4D89AC6A" w14:textId="77777777" w:rsidTr="001C6666">
        <w:trPr>
          <w:cantSplit/>
        </w:trPr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1F7D628" w14:textId="77777777" w:rsidR="00EF770A" w:rsidRPr="00F33A60" w:rsidRDefault="00EF770A" w:rsidP="001C6666">
            <w:pPr>
              <w:pStyle w:val="TableText"/>
              <w:ind w:right="113"/>
            </w:pPr>
            <w:r>
              <w:t>Components (and Act references)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BDFA581" w14:textId="77777777" w:rsidR="00EF770A" w:rsidRPr="00F33A60" w:rsidRDefault="00EF770A" w:rsidP="001C6666">
            <w:pPr>
              <w:pStyle w:val="TableText"/>
            </w:pPr>
            <w:r w:rsidRPr="00F33A60">
              <w:t>Reviewing clinical notes and examin</w:t>
            </w:r>
            <w:r>
              <w:t>ing the person</w:t>
            </w:r>
            <w:r w:rsidRPr="00F33A60">
              <w:t xml:space="preserve"> to assess eligibility and provide a second opinion</w:t>
            </w:r>
            <w:r w:rsidRPr="002F1E12">
              <w:t xml:space="preserve"> </w:t>
            </w:r>
            <w:r>
              <w:t xml:space="preserve">– </w:t>
            </w:r>
            <w:r w:rsidRPr="002F1E12">
              <w:t>sections 14(3) and (4)</w:t>
            </w:r>
          </w:p>
          <w:p w14:paraId="2DDD3210" w14:textId="77777777" w:rsidR="00EF770A" w:rsidRPr="00F33A60" w:rsidRDefault="00EF770A" w:rsidP="001C6666">
            <w:pPr>
              <w:pStyle w:val="TableText"/>
            </w:pPr>
            <w:r>
              <w:t>If necessary, and together with AMP, r</w:t>
            </w:r>
            <w:r w:rsidRPr="00F33A60">
              <w:t>equesting an opinion</w:t>
            </w:r>
            <w:r>
              <w:t xml:space="preserve"> on the person</w:t>
            </w:r>
            <w:r w:rsidR="004F406C">
              <w:t>’</w:t>
            </w:r>
            <w:r>
              <w:t>s competence</w:t>
            </w:r>
            <w:r w:rsidRPr="00F33A60">
              <w:t xml:space="preserve"> from a psychiatrist</w:t>
            </w:r>
            <w:r>
              <w:t xml:space="preserve"> – </w:t>
            </w:r>
            <w:r w:rsidRPr="002F1E12">
              <w:t>section 15(2)</w:t>
            </w:r>
          </w:p>
          <w:p w14:paraId="19D64E61" w14:textId="77777777" w:rsidR="00EF770A" w:rsidRPr="00F33A60" w:rsidRDefault="00EF770A" w:rsidP="001C6666">
            <w:pPr>
              <w:pStyle w:val="TableText"/>
            </w:pPr>
            <w:r w:rsidRPr="00F33A60">
              <w:t xml:space="preserve">Advising </w:t>
            </w:r>
            <w:r>
              <w:t xml:space="preserve">the person </w:t>
            </w:r>
            <w:r w:rsidRPr="00F33A60">
              <w:t>that</w:t>
            </w:r>
            <w:r>
              <w:t>, according to their assessment, they are</w:t>
            </w:r>
            <w:r w:rsidRPr="00F33A60">
              <w:t xml:space="preserve"> not eligible as appropriate</w:t>
            </w:r>
            <w:r>
              <w:t xml:space="preserve"> – section 16(4)</w:t>
            </w:r>
          </w:p>
        </w:tc>
      </w:tr>
      <w:tr w:rsidR="00EF770A" w:rsidRPr="00F33A60" w14:paraId="409086B9" w14:textId="77777777" w:rsidTr="001C6666">
        <w:trPr>
          <w:cantSplit/>
        </w:trPr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5A83BCB" w14:textId="77777777" w:rsidR="00EF770A" w:rsidRDefault="00EF770A" w:rsidP="001C6666">
            <w:pPr>
              <w:pStyle w:val="TableText"/>
              <w:ind w:right="113"/>
            </w:pPr>
            <w:r>
              <w:t>Standard payment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20ABA0F" w14:textId="77777777" w:rsidR="00EF770A" w:rsidRPr="00F33A60" w:rsidRDefault="00EF770A" w:rsidP="001C6666">
            <w:pPr>
              <w:pStyle w:val="TableText"/>
              <w:rPr>
                <w:b/>
                <w:bCs/>
              </w:rPr>
            </w:pPr>
            <w:r w:rsidRPr="00F33A60">
              <w:t>$604.00</w:t>
            </w:r>
            <w:r>
              <w:t xml:space="preserve"> for 2.5 hours</w:t>
            </w:r>
          </w:p>
        </w:tc>
      </w:tr>
      <w:tr w:rsidR="00EF770A" w:rsidRPr="004E0302" w14:paraId="7B578118" w14:textId="77777777" w:rsidTr="008A2322">
        <w:trPr>
          <w:cantSplit/>
        </w:trPr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38D46AB" w14:textId="77777777" w:rsidR="00EF770A" w:rsidRDefault="00EF770A" w:rsidP="001C6666">
            <w:pPr>
              <w:pStyle w:val="TableText"/>
              <w:ind w:right="113"/>
            </w:pPr>
            <w:r>
              <w:t>Travel allowance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DDCD155" w14:textId="0362550D" w:rsidR="00EF770A" w:rsidRPr="004E0302" w:rsidRDefault="00EF770A" w:rsidP="001C6666">
            <w:pPr>
              <w:pStyle w:val="TableText"/>
            </w:pPr>
            <w:r w:rsidRPr="00F33A60">
              <w:t>Travel allowance (</w:t>
            </w:r>
            <w:r>
              <w:t>see</w:t>
            </w:r>
            <w:r w:rsidRPr="00F33A60">
              <w:t xml:space="preserve"> </w:t>
            </w:r>
            <w:r w:rsidRPr="00F33A60">
              <w:fldChar w:fldCharType="begin"/>
            </w:r>
            <w:r w:rsidRPr="00F33A60">
              <w:instrText xml:space="preserve"> REF _Ref81408149 \h  \* MERGEFORMAT </w:instrText>
            </w:r>
            <w:r w:rsidRPr="00F33A60">
              <w:fldChar w:fldCharType="separate"/>
            </w:r>
            <w:r w:rsidR="00B11DA7">
              <w:t>Table 4</w:t>
            </w:r>
            <w:r w:rsidRPr="00F33A60">
              <w:fldChar w:fldCharType="end"/>
            </w:r>
            <w:r w:rsidRPr="00F33A60">
              <w:t>)</w:t>
            </w:r>
          </w:p>
        </w:tc>
      </w:tr>
    </w:tbl>
    <w:p w14:paraId="6700600A" w14:textId="77777777" w:rsidR="008A2322" w:rsidRDefault="008A2322"/>
    <w:tbl>
      <w:tblPr>
        <w:tblW w:w="0" w:type="auto"/>
        <w:tblInd w:w="57" w:type="dxa"/>
        <w:tblBorders>
          <w:bottom w:val="single" w:sz="4" w:space="0" w:color="808080" w:themeColor="background1" w:themeShade="80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5812"/>
      </w:tblGrid>
      <w:tr w:rsidR="00EF770A" w:rsidRPr="008A2322" w14:paraId="5B0676F7" w14:textId="77777777" w:rsidTr="008A2322">
        <w:trPr>
          <w:cantSplit/>
        </w:trPr>
        <w:tc>
          <w:tcPr>
            <w:tcW w:w="808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471563F" w14:textId="77777777" w:rsidR="00EF770A" w:rsidRPr="008A2322" w:rsidRDefault="00EF770A" w:rsidP="00513E6A">
            <w:pPr>
              <w:pStyle w:val="TableText"/>
              <w:ind w:right="113"/>
              <w:rPr>
                <w:b/>
              </w:rPr>
            </w:pPr>
            <w:r w:rsidRPr="008A2322">
              <w:rPr>
                <w:b/>
              </w:rPr>
              <w:t>Module 3 – Competency assessment by a psychiatrist</w:t>
            </w:r>
          </w:p>
        </w:tc>
      </w:tr>
      <w:tr w:rsidR="00EF770A" w:rsidRPr="00F33A60" w14:paraId="13C6F72E" w14:textId="77777777" w:rsidTr="008A2322">
        <w:trPr>
          <w:cantSplit/>
        </w:trPr>
        <w:tc>
          <w:tcPr>
            <w:tcW w:w="2268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14:paraId="220ED7E5" w14:textId="77777777" w:rsidR="00EF770A" w:rsidRDefault="00EF770A" w:rsidP="00513E6A">
            <w:pPr>
              <w:pStyle w:val="TableText"/>
              <w:ind w:right="113"/>
            </w:pPr>
            <w:r>
              <w:t>Who can claim</w:t>
            </w:r>
          </w:p>
        </w:tc>
        <w:tc>
          <w:tcPr>
            <w:tcW w:w="5812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14:paraId="2E7D30D4" w14:textId="77777777" w:rsidR="00EF770A" w:rsidRPr="00F33A60" w:rsidRDefault="00EF770A" w:rsidP="00513E6A">
            <w:pPr>
              <w:pStyle w:val="TableText"/>
            </w:pPr>
            <w:r>
              <w:t>Psychiatrist</w:t>
            </w:r>
          </w:p>
        </w:tc>
      </w:tr>
      <w:tr w:rsidR="00EF770A" w:rsidRPr="00F33A60" w14:paraId="7F27B3E2" w14:textId="77777777" w:rsidTr="001C6666">
        <w:trPr>
          <w:cantSplit/>
        </w:trPr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3056219" w14:textId="77777777" w:rsidR="00EF770A" w:rsidRPr="00F33A60" w:rsidRDefault="00EF770A" w:rsidP="00513E6A">
            <w:pPr>
              <w:pStyle w:val="TableText"/>
              <w:ind w:right="113"/>
            </w:pPr>
            <w:r>
              <w:t>Components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0913060" w14:textId="77777777" w:rsidR="00EF770A" w:rsidRPr="00F33A60" w:rsidRDefault="00EF770A" w:rsidP="00513E6A">
            <w:pPr>
              <w:pStyle w:val="TableText"/>
            </w:pPr>
            <w:r w:rsidRPr="00F33A60">
              <w:t>Reviewing clinical notes and examin</w:t>
            </w:r>
            <w:r>
              <w:t xml:space="preserve">ing the person </w:t>
            </w:r>
            <w:r w:rsidRPr="00F33A60">
              <w:t xml:space="preserve">to assess competency </w:t>
            </w:r>
            <w:r>
              <w:t xml:space="preserve">– </w:t>
            </w:r>
            <w:r w:rsidRPr="002F1E12">
              <w:t>sections 15(3) and (4)</w:t>
            </w:r>
          </w:p>
          <w:p w14:paraId="2CF99DCE" w14:textId="77777777" w:rsidR="00EF770A" w:rsidRPr="00F33A60" w:rsidRDefault="00EF770A" w:rsidP="00513E6A">
            <w:pPr>
              <w:pStyle w:val="TableText"/>
            </w:pPr>
            <w:r w:rsidRPr="00F33A60">
              <w:t xml:space="preserve">Advising </w:t>
            </w:r>
            <w:r>
              <w:t xml:space="preserve">the person </w:t>
            </w:r>
            <w:r w:rsidRPr="00F33A60">
              <w:t xml:space="preserve">that </w:t>
            </w:r>
            <w:r>
              <w:t>they are</w:t>
            </w:r>
            <w:r w:rsidRPr="00F33A60">
              <w:t xml:space="preserve"> not eligible as appropriate</w:t>
            </w:r>
            <w:r>
              <w:t xml:space="preserve"> – section 16(4)</w:t>
            </w:r>
          </w:p>
        </w:tc>
      </w:tr>
      <w:tr w:rsidR="00EF770A" w:rsidRPr="00F33A60" w14:paraId="40064669" w14:textId="77777777" w:rsidTr="008A2322">
        <w:trPr>
          <w:cantSplit/>
        </w:trPr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12CF351" w14:textId="77777777" w:rsidR="00EF770A" w:rsidRDefault="00EF770A" w:rsidP="00513E6A">
            <w:pPr>
              <w:pStyle w:val="TableText"/>
              <w:ind w:right="113"/>
            </w:pPr>
            <w:r>
              <w:t>Standard payment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47F3AFA" w14:textId="77777777" w:rsidR="00EF770A" w:rsidRPr="00F33A60" w:rsidRDefault="00EF770A" w:rsidP="00513E6A">
            <w:pPr>
              <w:pStyle w:val="TableText"/>
              <w:rPr>
                <w:b/>
                <w:bCs/>
              </w:rPr>
            </w:pPr>
            <w:r w:rsidRPr="00F33A60">
              <w:t>$1,544.16</w:t>
            </w:r>
            <w:r>
              <w:t xml:space="preserve"> for 4 hours</w:t>
            </w:r>
          </w:p>
        </w:tc>
      </w:tr>
      <w:tr w:rsidR="00EF770A" w:rsidRPr="004E0302" w14:paraId="754A1474" w14:textId="77777777" w:rsidTr="008A2322">
        <w:trPr>
          <w:cantSplit/>
        </w:trPr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BC80FD2" w14:textId="77777777" w:rsidR="00EF770A" w:rsidRDefault="00EF770A" w:rsidP="001C6666">
            <w:pPr>
              <w:pStyle w:val="TableText"/>
              <w:ind w:right="113"/>
            </w:pPr>
            <w:r>
              <w:t>Travel allowance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513D7C9" w14:textId="59B91579" w:rsidR="00EF770A" w:rsidRPr="004E0302" w:rsidRDefault="00EF770A" w:rsidP="001C6666">
            <w:pPr>
              <w:pStyle w:val="TableText"/>
            </w:pPr>
            <w:r w:rsidRPr="00F33A60">
              <w:t>Travel allowance (</w:t>
            </w:r>
            <w:r>
              <w:t>see</w:t>
            </w:r>
            <w:r w:rsidRPr="00F33A60">
              <w:t xml:space="preserve"> </w:t>
            </w:r>
            <w:r w:rsidRPr="00F33A60">
              <w:fldChar w:fldCharType="begin"/>
            </w:r>
            <w:r w:rsidRPr="00F33A60">
              <w:instrText xml:space="preserve"> REF _Ref81408149 \h  \* MERGEFORMAT </w:instrText>
            </w:r>
            <w:r w:rsidRPr="00F33A60">
              <w:fldChar w:fldCharType="separate"/>
            </w:r>
            <w:r w:rsidR="00B11DA7">
              <w:t>Table 4</w:t>
            </w:r>
            <w:r w:rsidRPr="00F33A60">
              <w:fldChar w:fldCharType="end"/>
            </w:r>
            <w:r w:rsidRPr="00F33A60">
              <w:t>)</w:t>
            </w:r>
          </w:p>
        </w:tc>
      </w:tr>
    </w:tbl>
    <w:p w14:paraId="35FFAF8F" w14:textId="77777777" w:rsidR="008A2322" w:rsidRDefault="008A2322"/>
    <w:tbl>
      <w:tblPr>
        <w:tblW w:w="0" w:type="auto"/>
        <w:tblInd w:w="57" w:type="dxa"/>
        <w:tblBorders>
          <w:bottom w:val="single" w:sz="4" w:space="0" w:color="808080" w:themeColor="background1" w:themeShade="80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5812"/>
      </w:tblGrid>
      <w:tr w:rsidR="00EF770A" w:rsidRPr="008A2322" w14:paraId="48DFC043" w14:textId="77777777" w:rsidTr="008A2322">
        <w:trPr>
          <w:cantSplit/>
        </w:trPr>
        <w:tc>
          <w:tcPr>
            <w:tcW w:w="808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CFEDFE3" w14:textId="77777777" w:rsidR="00EF770A" w:rsidRPr="008A2322" w:rsidRDefault="00EF770A" w:rsidP="00D8586E">
            <w:pPr>
              <w:pStyle w:val="TableText"/>
              <w:keepNext/>
              <w:ind w:right="113"/>
              <w:rPr>
                <w:b/>
              </w:rPr>
            </w:pPr>
            <w:r w:rsidRPr="008A2322">
              <w:rPr>
                <w:b/>
              </w:rPr>
              <w:lastRenderedPageBreak/>
              <w:t>Module 4 – Decision about eligibility or ineligibility and follow up</w:t>
            </w:r>
          </w:p>
        </w:tc>
      </w:tr>
      <w:tr w:rsidR="00EF770A" w:rsidRPr="00F33A60" w14:paraId="576568B4" w14:textId="77777777" w:rsidTr="008A2322">
        <w:trPr>
          <w:cantSplit/>
        </w:trPr>
        <w:tc>
          <w:tcPr>
            <w:tcW w:w="2268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14:paraId="4ADF980A" w14:textId="77777777" w:rsidR="00EF770A" w:rsidRDefault="00EF770A" w:rsidP="001C6666">
            <w:pPr>
              <w:pStyle w:val="TableText"/>
              <w:ind w:right="113"/>
            </w:pPr>
            <w:r>
              <w:t>Who can claim</w:t>
            </w:r>
          </w:p>
        </w:tc>
        <w:tc>
          <w:tcPr>
            <w:tcW w:w="5812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14:paraId="7ED89F54" w14:textId="77777777" w:rsidR="00EF770A" w:rsidRPr="00F33A60" w:rsidRDefault="00EF770A" w:rsidP="001C6666">
            <w:pPr>
              <w:pStyle w:val="TableText"/>
            </w:pPr>
            <w:r>
              <w:t>AMP</w:t>
            </w:r>
          </w:p>
        </w:tc>
      </w:tr>
      <w:tr w:rsidR="00EF770A" w:rsidRPr="00F33A60" w14:paraId="78F9255D" w14:textId="77777777" w:rsidTr="001C6666">
        <w:trPr>
          <w:cantSplit/>
        </w:trPr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86E9FB9" w14:textId="77777777" w:rsidR="00EF770A" w:rsidRPr="00F33A60" w:rsidRDefault="00EF770A" w:rsidP="001C6666">
            <w:pPr>
              <w:pStyle w:val="TableText"/>
              <w:ind w:right="113"/>
            </w:pPr>
            <w:r>
              <w:t>Components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6F27058" w14:textId="77777777" w:rsidR="00EF770A" w:rsidRPr="00F33A60" w:rsidRDefault="00EF770A" w:rsidP="001C6666">
            <w:pPr>
              <w:pStyle w:val="TableText"/>
            </w:pPr>
            <w:r w:rsidRPr="00F33A60">
              <w:t>Explaining the eligibility or ineligibility decision</w:t>
            </w:r>
            <w:r>
              <w:t xml:space="preserve"> to the person – sections 16(2) and (5)</w:t>
            </w:r>
          </w:p>
          <w:p w14:paraId="4DCCCEA3" w14:textId="77777777" w:rsidR="00EF770A" w:rsidRPr="00F33A60" w:rsidRDefault="00EF770A" w:rsidP="001C6666">
            <w:pPr>
              <w:pStyle w:val="TableText"/>
            </w:pPr>
            <w:r w:rsidRPr="00F33A60">
              <w:t>For an ineligible person:</w:t>
            </w:r>
          </w:p>
          <w:p w14:paraId="452027FE" w14:textId="77777777" w:rsidR="004F406C" w:rsidRDefault="00EF770A" w:rsidP="008A2322">
            <w:pPr>
              <w:pStyle w:val="TableBullet"/>
            </w:pPr>
            <w:r>
              <w:t>If the AMP is the person</w:t>
            </w:r>
            <w:r w:rsidR="004F406C">
              <w:t>’</w:t>
            </w:r>
            <w:r>
              <w:t>s usual health practitioner, arranging for any required clinical care and other relevant support services where appropriate</w:t>
            </w:r>
          </w:p>
          <w:p w14:paraId="7DAB20DF" w14:textId="77777777" w:rsidR="00EF770A" w:rsidRPr="00F33A60" w:rsidRDefault="00EF770A" w:rsidP="008A2322">
            <w:pPr>
              <w:pStyle w:val="TableBullet"/>
            </w:pPr>
            <w:r>
              <w:t>If the AMP is not the person</w:t>
            </w:r>
            <w:r w:rsidR="004F406C">
              <w:t>’</w:t>
            </w:r>
            <w:r>
              <w:t xml:space="preserve">s usual health practitioner, providing a </w:t>
            </w:r>
            <w:r w:rsidRPr="00702F9C">
              <w:t>handover to the person</w:t>
            </w:r>
            <w:r w:rsidR="004F406C">
              <w:t>’</w:t>
            </w:r>
            <w:r w:rsidRPr="00702F9C">
              <w:t>s usual health practitioner who can</w:t>
            </w:r>
            <w:r>
              <w:t xml:space="preserve"> provide or arrange for any required clinical care and other relevant support services where appropriate</w:t>
            </w:r>
          </w:p>
          <w:p w14:paraId="291916E8" w14:textId="77777777" w:rsidR="00EF770A" w:rsidRPr="00F33A60" w:rsidRDefault="00EF770A" w:rsidP="001C6666">
            <w:pPr>
              <w:pStyle w:val="TableText"/>
            </w:pPr>
            <w:r w:rsidRPr="00F33A60">
              <w:t>For an eligible person:</w:t>
            </w:r>
          </w:p>
          <w:p w14:paraId="42907A8D" w14:textId="77777777" w:rsidR="00EF770A" w:rsidRPr="00F33A60" w:rsidRDefault="00EF770A" w:rsidP="008A2322">
            <w:pPr>
              <w:pStyle w:val="TableBullet"/>
            </w:pPr>
            <w:r>
              <w:t>Explaining assisted dying and discussing</w:t>
            </w:r>
            <w:r w:rsidRPr="00F33A60">
              <w:t xml:space="preserve"> a date and time</w:t>
            </w:r>
            <w:r>
              <w:t xml:space="preserve"> for this to happen</w:t>
            </w:r>
          </w:p>
          <w:p w14:paraId="3BBA5CDF" w14:textId="77777777" w:rsidR="00EF770A" w:rsidRPr="00F33A60" w:rsidRDefault="00EF770A" w:rsidP="008A2322">
            <w:pPr>
              <w:pStyle w:val="TableBullet"/>
            </w:pPr>
            <w:r w:rsidRPr="00F33A60">
              <w:t xml:space="preserve">Making </w:t>
            </w:r>
            <w:r>
              <w:t xml:space="preserve">provisional </w:t>
            </w:r>
            <w:r w:rsidRPr="00F33A60">
              <w:t>arrangements for administ</w:t>
            </w:r>
            <w:r>
              <w:t xml:space="preserve">ering </w:t>
            </w:r>
            <w:r w:rsidRPr="00F33A60">
              <w:t xml:space="preserve">the </w:t>
            </w:r>
            <w:r>
              <w:t>medication</w:t>
            </w:r>
          </w:p>
          <w:p w14:paraId="7789B532" w14:textId="77777777" w:rsidR="00EF770A" w:rsidRPr="00F33A60" w:rsidRDefault="00EF770A" w:rsidP="001C6666">
            <w:pPr>
              <w:pStyle w:val="TableText"/>
            </w:pPr>
            <w:r>
              <w:t>C</w:t>
            </w:r>
            <w:r w:rsidRPr="00F33A60">
              <w:t>ompleting the relevant</w:t>
            </w:r>
            <w:r>
              <w:t xml:space="preserve"> </w:t>
            </w:r>
            <w:r w:rsidRPr="00F33A60">
              <w:t>form</w:t>
            </w:r>
            <w:r>
              <w:t>/s</w:t>
            </w:r>
          </w:p>
        </w:tc>
      </w:tr>
      <w:tr w:rsidR="00EF770A" w:rsidRPr="00F33A60" w14:paraId="169911F3" w14:textId="77777777" w:rsidTr="001C6666">
        <w:trPr>
          <w:cantSplit/>
        </w:trPr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91B57B3" w14:textId="77777777" w:rsidR="00EF770A" w:rsidRDefault="00EF770A" w:rsidP="001C6666">
            <w:pPr>
              <w:pStyle w:val="TableText"/>
              <w:ind w:right="113"/>
            </w:pPr>
            <w:r>
              <w:t>Standard payment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9002BB1" w14:textId="77777777" w:rsidR="00EF770A" w:rsidRPr="00F33A60" w:rsidRDefault="00EF770A" w:rsidP="001C6666">
            <w:pPr>
              <w:pStyle w:val="TableText"/>
              <w:rPr>
                <w:b/>
                <w:bCs/>
              </w:rPr>
            </w:pPr>
            <w:r w:rsidRPr="00F33A60">
              <w:t>$362.40</w:t>
            </w:r>
            <w:r>
              <w:t xml:space="preserve"> for up to 1.5 hours</w:t>
            </w:r>
          </w:p>
        </w:tc>
      </w:tr>
      <w:tr w:rsidR="00EF770A" w:rsidRPr="0008752C" w14:paraId="3C5BE197" w14:textId="77777777" w:rsidTr="001C6666">
        <w:trPr>
          <w:cantSplit/>
        </w:trPr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9525971" w14:textId="77777777" w:rsidR="00EF770A" w:rsidRDefault="00EF770A" w:rsidP="001C6666">
            <w:pPr>
              <w:pStyle w:val="TableText"/>
              <w:ind w:right="113"/>
            </w:pPr>
            <w:r>
              <w:t xml:space="preserve">Additional payment for complex case 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73E0670" w14:textId="77777777" w:rsidR="00EF770A" w:rsidRPr="00F33A60" w:rsidRDefault="00EF770A" w:rsidP="001C6666">
            <w:pPr>
              <w:pStyle w:val="TableText"/>
            </w:pPr>
            <w:r w:rsidRPr="00F33A60">
              <w:t xml:space="preserve">$483.20 may be claimed </w:t>
            </w:r>
            <w:r>
              <w:t>as an additional payment if</w:t>
            </w:r>
            <w:r w:rsidRPr="00F33A60">
              <w:t xml:space="preserve"> the AMP spends more than 1.5 hours completing Module </w:t>
            </w:r>
            <w:r>
              <w:t xml:space="preserve">4 </w:t>
            </w:r>
            <w:r w:rsidRPr="00F33A60">
              <w:t>services</w:t>
            </w:r>
            <w:r>
              <w:t xml:space="preserve"> due to c</w:t>
            </w:r>
            <w:r w:rsidRPr="00F33A60">
              <w:t>omplexity caused by social or cultural situations</w:t>
            </w:r>
            <w:r>
              <w:t xml:space="preserve"> in</w:t>
            </w:r>
            <w:r w:rsidRPr="00F33A60">
              <w:t>:</w:t>
            </w:r>
          </w:p>
          <w:p w14:paraId="6189CDFA" w14:textId="77777777" w:rsidR="004F406C" w:rsidRDefault="00EF770A" w:rsidP="008A2322">
            <w:pPr>
              <w:pStyle w:val="TableBullet"/>
            </w:pPr>
            <w:r w:rsidRPr="00F33A60">
              <w:t xml:space="preserve">planning for administration of medication with the person and their </w:t>
            </w:r>
            <w:proofErr w:type="gramStart"/>
            <w:r w:rsidRPr="00F33A60">
              <w:t>wh</w:t>
            </w:r>
            <w:r>
              <w:t>ā</w:t>
            </w:r>
            <w:r w:rsidRPr="00F33A60">
              <w:t>nau</w:t>
            </w:r>
            <w:r>
              <w:t>, if</w:t>
            </w:r>
            <w:proofErr w:type="gramEnd"/>
            <w:r>
              <w:t xml:space="preserve"> the person is eligible</w:t>
            </w:r>
          </w:p>
          <w:p w14:paraId="7EAFE11C" w14:textId="77777777" w:rsidR="00EF770A" w:rsidRPr="0008752C" w:rsidRDefault="00EF770A" w:rsidP="008A2322">
            <w:pPr>
              <w:pStyle w:val="TableBullet"/>
            </w:pPr>
            <w:r w:rsidRPr="00F33A60">
              <w:t>provid</w:t>
            </w:r>
            <w:r>
              <w:t>ing</w:t>
            </w:r>
            <w:r w:rsidRPr="00F33A60">
              <w:t xml:space="preserve"> </w:t>
            </w:r>
            <w:r>
              <w:t>support a</w:t>
            </w:r>
            <w:r w:rsidRPr="00F33A60">
              <w:t xml:space="preserve">nd </w:t>
            </w:r>
            <w:r>
              <w:t xml:space="preserve">handing over </w:t>
            </w:r>
            <w:r w:rsidRPr="00F33A60">
              <w:t>to the person</w:t>
            </w:r>
            <w:r w:rsidR="004F406C">
              <w:t>’</w:t>
            </w:r>
            <w:r w:rsidRPr="00F33A60">
              <w:t xml:space="preserve">s </w:t>
            </w:r>
            <w:r>
              <w:t>usual</w:t>
            </w:r>
            <w:r w:rsidRPr="00F33A60">
              <w:t xml:space="preserve"> </w:t>
            </w:r>
            <w:r>
              <w:t>health practitioner, if the person is not eligible</w:t>
            </w:r>
          </w:p>
        </w:tc>
      </w:tr>
      <w:tr w:rsidR="00EF770A" w:rsidRPr="004E0302" w14:paraId="3288AD0F" w14:textId="77777777" w:rsidTr="001C6666">
        <w:trPr>
          <w:cantSplit/>
        </w:trPr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BEA1F6B" w14:textId="77777777" w:rsidR="00EF770A" w:rsidRDefault="00EF770A" w:rsidP="001C6666">
            <w:pPr>
              <w:pStyle w:val="TableText"/>
              <w:ind w:right="113"/>
            </w:pPr>
            <w:r>
              <w:t>Travel allowance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FC4233D" w14:textId="0E1E90A1" w:rsidR="00EF770A" w:rsidRPr="004E0302" w:rsidRDefault="00EF770A" w:rsidP="001C6666">
            <w:pPr>
              <w:pStyle w:val="TableText"/>
            </w:pPr>
            <w:r w:rsidRPr="00F33A60">
              <w:t xml:space="preserve">Travel allowance (refer </w:t>
            </w:r>
            <w:r w:rsidRPr="00F33A60">
              <w:fldChar w:fldCharType="begin"/>
            </w:r>
            <w:r w:rsidRPr="00F33A60">
              <w:instrText xml:space="preserve"> REF _Ref81408149 \h  \* MERGEFORMAT </w:instrText>
            </w:r>
            <w:r w:rsidRPr="00F33A60">
              <w:fldChar w:fldCharType="separate"/>
            </w:r>
            <w:r w:rsidR="00B11DA7">
              <w:t>Table 4</w:t>
            </w:r>
            <w:r w:rsidRPr="00F33A60">
              <w:fldChar w:fldCharType="end"/>
            </w:r>
            <w:r w:rsidRPr="00F33A60">
              <w:t>)</w:t>
            </w:r>
          </w:p>
        </w:tc>
      </w:tr>
    </w:tbl>
    <w:p w14:paraId="4063E061" w14:textId="77777777" w:rsidR="008A2322" w:rsidRDefault="008A2322"/>
    <w:tbl>
      <w:tblPr>
        <w:tblW w:w="0" w:type="auto"/>
        <w:tblInd w:w="57" w:type="dxa"/>
        <w:tblBorders>
          <w:bottom w:val="single" w:sz="4" w:space="0" w:color="808080" w:themeColor="background1" w:themeShade="80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5812"/>
      </w:tblGrid>
      <w:tr w:rsidR="00EF770A" w:rsidRPr="008A2322" w14:paraId="71A78F1B" w14:textId="77777777" w:rsidTr="008A2322">
        <w:trPr>
          <w:cantSplit/>
        </w:trPr>
        <w:tc>
          <w:tcPr>
            <w:tcW w:w="808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2A3D176" w14:textId="77777777" w:rsidR="00EF770A" w:rsidRPr="008A2322" w:rsidRDefault="00EF770A" w:rsidP="008A2322">
            <w:pPr>
              <w:pStyle w:val="TableText"/>
              <w:keepNext/>
              <w:ind w:right="113"/>
              <w:rPr>
                <w:b/>
              </w:rPr>
            </w:pPr>
            <w:r w:rsidRPr="008A2322">
              <w:rPr>
                <w:rFonts w:cs="Segoe UI"/>
                <w:b/>
              </w:rPr>
              <w:lastRenderedPageBreak/>
              <w:t xml:space="preserve">Module 5 – </w:t>
            </w:r>
            <w:r w:rsidRPr="008A2322">
              <w:rPr>
                <w:b/>
              </w:rPr>
              <w:t>Prescribing and administration of medicines (complete)</w:t>
            </w:r>
          </w:p>
        </w:tc>
      </w:tr>
      <w:tr w:rsidR="00EF770A" w:rsidRPr="00F33A60" w14:paraId="40A804BE" w14:textId="77777777" w:rsidTr="008A2322">
        <w:trPr>
          <w:cantSplit/>
        </w:trPr>
        <w:tc>
          <w:tcPr>
            <w:tcW w:w="2268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14:paraId="4429E696" w14:textId="77777777" w:rsidR="00EF770A" w:rsidRDefault="00EF770A" w:rsidP="008A2322">
            <w:pPr>
              <w:pStyle w:val="TableText"/>
              <w:keepNext/>
              <w:ind w:right="113"/>
            </w:pPr>
            <w:r>
              <w:t>Who can claim</w:t>
            </w:r>
          </w:p>
        </w:tc>
        <w:tc>
          <w:tcPr>
            <w:tcW w:w="5812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14:paraId="167FD200" w14:textId="77777777" w:rsidR="00EF770A" w:rsidRPr="00F33A60" w:rsidRDefault="00EF770A" w:rsidP="008A2322">
            <w:pPr>
              <w:pStyle w:val="TableText"/>
              <w:keepNext/>
            </w:pPr>
            <w:r>
              <w:t xml:space="preserve">AMP, </w:t>
            </w:r>
            <w:r w:rsidRPr="00991636">
              <w:t>ANP</w:t>
            </w:r>
            <w:r w:rsidRPr="008A2322">
              <w:rPr>
                <w:rStyle w:val="FootnoteReference"/>
              </w:rPr>
              <w:footnoteReference w:id="1"/>
            </w:r>
          </w:p>
        </w:tc>
      </w:tr>
      <w:tr w:rsidR="00EF770A" w:rsidRPr="00F33A60" w14:paraId="48B290E0" w14:textId="77777777" w:rsidTr="001C6666">
        <w:trPr>
          <w:cantSplit/>
        </w:trPr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8CAD674" w14:textId="77777777" w:rsidR="00EF770A" w:rsidRPr="00F33A60" w:rsidRDefault="00EF770A" w:rsidP="00513E6A">
            <w:pPr>
              <w:pStyle w:val="TableText"/>
              <w:keepNext/>
              <w:ind w:right="113"/>
            </w:pPr>
            <w:r>
              <w:t>Components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891C30E" w14:textId="77777777" w:rsidR="00EF770A" w:rsidRDefault="00EF770A" w:rsidP="00513E6A">
            <w:pPr>
              <w:pStyle w:val="TableText"/>
              <w:keepNext/>
            </w:pPr>
            <w:r>
              <w:t>Confirming arrangements for administering medication, advising the Registrar, and w</w:t>
            </w:r>
            <w:r w:rsidRPr="00F33A60">
              <w:t>riting the prescription</w:t>
            </w:r>
            <w:r w:rsidRPr="008A2322">
              <w:rPr>
                <w:rStyle w:val="FootnoteReference"/>
              </w:rPr>
              <w:footnoteReference w:id="2"/>
            </w:r>
            <w:r>
              <w:t xml:space="preserve"> – section 19(3)</w:t>
            </w:r>
          </w:p>
          <w:p w14:paraId="3AF4E2A7" w14:textId="77777777" w:rsidR="00EF770A" w:rsidRDefault="00EF770A" w:rsidP="00513E6A">
            <w:pPr>
              <w:pStyle w:val="TableText"/>
              <w:keepNext/>
            </w:pPr>
            <w:r w:rsidRPr="00F33A60">
              <w:t xml:space="preserve">Administering the </w:t>
            </w:r>
            <w:r>
              <w:t>medication</w:t>
            </w:r>
            <w:r w:rsidRPr="002F1E12">
              <w:t xml:space="preserve"> </w:t>
            </w:r>
            <w:r>
              <w:t xml:space="preserve">– </w:t>
            </w:r>
            <w:r w:rsidRPr="002F1E12">
              <w:t>sections 20(2) to (5)</w:t>
            </w:r>
          </w:p>
          <w:p w14:paraId="5FA7F017" w14:textId="77777777" w:rsidR="00EF770A" w:rsidRPr="00F33A60" w:rsidRDefault="00EF770A" w:rsidP="00513E6A">
            <w:pPr>
              <w:pStyle w:val="TableText"/>
              <w:keepNext/>
            </w:pPr>
            <w:r>
              <w:t xml:space="preserve">Reporting the death to the Registrar and completing documents certifying death – </w:t>
            </w:r>
            <w:r w:rsidRPr="002F1E12">
              <w:t>section 21(1)</w:t>
            </w:r>
          </w:p>
        </w:tc>
      </w:tr>
      <w:tr w:rsidR="00EF770A" w:rsidRPr="00F33A60" w14:paraId="762D308A" w14:textId="77777777" w:rsidTr="001C6666">
        <w:trPr>
          <w:cantSplit/>
        </w:trPr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56CB825" w14:textId="77777777" w:rsidR="00EF770A" w:rsidRDefault="00EF770A" w:rsidP="00513E6A">
            <w:pPr>
              <w:pStyle w:val="TableText"/>
              <w:keepNext/>
              <w:ind w:right="113"/>
            </w:pPr>
            <w:r>
              <w:t>Standard payment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6E123F5" w14:textId="77777777" w:rsidR="00EF770A" w:rsidRPr="00F33A60" w:rsidRDefault="00EF770A" w:rsidP="00513E6A">
            <w:pPr>
              <w:pStyle w:val="TableText"/>
              <w:keepNext/>
              <w:rPr>
                <w:b/>
                <w:bCs/>
              </w:rPr>
            </w:pPr>
            <w:r w:rsidRPr="00F33A60">
              <w:t>$1</w:t>
            </w:r>
            <w:r>
              <w:t>,</w:t>
            </w:r>
            <w:r w:rsidRPr="00F33A60">
              <w:t>087.20</w:t>
            </w:r>
            <w:r>
              <w:t xml:space="preserve"> for 4.5 hours</w:t>
            </w:r>
          </w:p>
        </w:tc>
      </w:tr>
      <w:tr w:rsidR="00EF770A" w:rsidRPr="0008752C" w14:paraId="5A85D3A1" w14:textId="77777777" w:rsidTr="001C6666">
        <w:trPr>
          <w:cantSplit/>
        </w:trPr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EAC035D" w14:textId="77777777" w:rsidR="00EF770A" w:rsidRDefault="00EF770A" w:rsidP="00513E6A">
            <w:pPr>
              <w:pStyle w:val="TableText"/>
              <w:keepNext/>
              <w:ind w:right="113"/>
            </w:pPr>
            <w:r>
              <w:t>Supervisor fee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809C98B" w14:textId="77777777" w:rsidR="00EF770A" w:rsidRPr="0008752C" w:rsidRDefault="00EF770A" w:rsidP="00513E6A">
            <w:pPr>
              <w:pStyle w:val="TableText"/>
              <w:keepNext/>
            </w:pPr>
            <w:r w:rsidRPr="00F33A60">
              <w:t>$543.60 which may be claimed by an AMP if an ANP completes Module</w:t>
            </w:r>
            <w:r>
              <w:t> 5</w:t>
            </w:r>
          </w:p>
        </w:tc>
      </w:tr>
      <w:tr w:rsidR="00EF770A" w:rsidRPr="0008752C" w14:paraId="7974C872" w14:textId="77777777" w:rsidTr="001C6666">
        <w:trPr>
          <w:cantSplit/>
        </w:trPr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B14A42C" w14:textId="77777777" w:rsidR="00EF770A" w:rsidRDefault="00EF770A" w:rsidP="00513E6A">
            <w:pPr>
              <w:pStyle w:val="TableText"/>
              <w:keepNext/>
              <w:ind w:right="113"/>
            </w:pPr>
            <w:r>
              <w:t>Supporting practitioner fee</w:t>
            </w:r>
            <w:r w:rsidRPr="008A2322">
              <w:rPr>
                <w:rStyle w:val="FootnoteReference"/>
              </w:rPr>
              <w:footnoteReference w:id="3"/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1EB2046" w14:textId="77777777" w:rsidR="004F406C" w:rsidRDefault="00EF770A" w:rsidP="00513E6A">
            <w:pPr>
              <w:pStyle w:val="TableText"/>
              <w:keepNext/>
            </w:pPr>
            <w:r w:rsidRPr="00F33A60">
              <w:t xml:space="preserve">$543.60 which </w:t>
            </w:r>
            <w:r>
              <w:t xml:space="preserve">is </w:t>
            </w:r>
            <w:r w:rsidRPr="00F33A60">
              <w:t xml:space="preserve">a single payment for a colleague to be with an AMP the first time they provide Module </w:t>
            </w:r>
            <w:r>
              <w:t>5</w:t>
            </w:r>
            <w:r w:rsidRPr="00F33A60">
              <w:t xml:space="preserve"> assisted dying services</w:t>
            </w:r>
            <w:r>
              <w:t>,</w:t>
            </w:r>
            <w:r w:rsidRPr="00F33A60">
              <w:t xml:space="preserve"> </w:t>
            </w:r>
            <w:r>
              <w:t>for</w:t>
            </w:r>
            <w:r w:rsidRPr="00F33A60">
              <w:t xml:space="preserve"> emotional support</w:t>
            </w:r>
            <w:r>
              <w:t>:</w:t>
            </w:r>
          </w:p>
          <w:p w14:paraId="7441F3AB" w14:textId="77777777" w:rsidR="004F406C" w:rsidRDefault="00EF770A" w:rsidP="00513E6A">
            <w:pPr>
              <w:pStyle w:val="TableBullet"/>
              <w:keepNext/>
            </w:pPr>
            <w:r w:rsidRPr="00F33A60">
              <w:t xml:space="preserve">May be claimed by </w:t>
            </w:r>
            <w:r>
              <w:t>the</w:t>
            </w:r>
            <w:r w:rsidRPr="00F33A60">
              <w:t xml:space="preserve"> supporting health practitioner or an AMP on </w:t>
            </w:r>
            <w:r>
              <w:t xml:space="preserve">their </w:t>
            </w:r>
            <w:r w:rsidRPr="00F33A60">
              <w:t>behalf</w:t>
            </w:r>
          </w:p>
          <w:p w14:paraId="212DE9F3" w14:textId="77777777" w:rsidR="00EF770A" w:rsidRPr="0008752C" w:rsidRDefault="00EF770A" w:rsidP="00513E6A">
            <w:pPr>
              <w:pStyle w:val="TableBullet"/>
              <w:keepNext/>
            </w:pPr>
            <w:r w:rsidRPr="00F33A60">
              <w:t>Cannot be claimed alongside a supervisory payment, as the supervising AMP would be providing any required support</w:t>
            </w:r>
          </w:p>
        </w:tc>
      </w:tr>
      <w:tr w:rsidR="00EF770A" w:rsidRPr="004E0302" w14:paraId="795C6085" w14:textId="77777777" w:rsidTr="001C6666">
        <w:trPr>
          <w:cantSplit/>
        </w:trPr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03AADF6" w14:textId="77777777" w:rsidR="00EF770A" w:rsidRDefault="00EF770A" w:rsidP="001C6666">
            <w:pPr>
              <w:pStyle w:val="TableText"/>
              <w:ind w:right="113"/>
            </w:pPr>
            <w:r>
              <w:t>Travel allowance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6306340" w14:textId="0901306B" w:rsidR="00EF770A" w:rsidRPr="004E0302" w:rsidRDefault="00EF770A" w:rsidP="001C6666">
            <w:pPr>
              <w:pStyle w:val="TableText"/>
            </w:pPr>
            <w:r w:rsidRPr="00F33A60">
              <w:t>Travel allowance (</w:t>
            </w:r>
            <w:r>
              <w:t>see</w:t>
            </w:r>
            <w:r w:rsidRPr="00F33A60">
              <w:t xml:space="preserve"> </w:t>
            </w:r>
            <w:r w:rsidRPr="00F33A60">
              <w:fldChar w:fldCharType="begin"/>
            </w:r>
            <w:r w:rsidRPr="00F33A60">
              <w:instrText xml:space="preserve"> REF _Ref81408149 \h  \* MERGEFORMAT </w:instrText>
            </w:r>
            <w:r w:rsidRPr="00F33A60">
              <w:fldChar w:fldCharType="separate"/>
            </w:r>
            <w:r w:rsidR="00B11DA7">
              <w:t>Table 4</w:t>
            </w:r>
            <w:r w:rsidRPr="00F33A60">
              <w:fldChar w:fldCharType="end"/>
            </w:r>
            <w:r w:rsidRPr="00F33A60">
              <w:t>)</w:t>
            </w:r>
          </w:p>
        </w:tc>
      </w:tr>
    </w:tbl>
    <w:p w14:paraId="67EFB916" w14:textId="77777777" w:rsidR="008A2322" w:rsidRDefault="008A2322"/>
    <w:tbl>
      <w:tblPr>
        <w:tblW w:w="0" w:type="auto"/>
        <w:tblInd w:w="57" w:type="dxa"/>
        <w:tblBorders>
          <w:bottom w:val="single" w:sz="4" w:space="0" w:color="808080" w:themeColor="background1" w:themeShade="80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5812"/>
      </w:tblGrid>
      <w:tr w:rsidR="00EF770A" w:rsidRPr="008A2322" w14:paraId="78297770" w14:textId="77777777" w:rsidTr="008A2322">
        <w:trPr>
          <w:cantSplit/>
        </w:trPr>
        <w:tc>
          <w:tcPr>
            <w:tcW w:w="808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29C7B0C" w14:textId="77777777" w:rsidR="00EF770A" w:rsidRPr="008A2322" w:rsidRDefault="00EF770A" w:rsidP="001C6666">
            <w:pPr>
              <w:pStyle w:val="TableText"/>
              <w:ind w:right="113"/>
              <w:rPr>
                <w:b/>
              </w:rPr>
            </w:pPr>
            <w:r w:rsidRPr="008A2322">
              <w:rPr>
                <w:rFonts w:cs="Segoe UI"/>
                <w:b/>
              </w:rPr>
              <w:t xml:space="preserve">Module 5 – </w:t>
            </w:r>
            <w:r w:rsidRPr="008A2322">
              <w:rPr>
                <w:b/>
              </w:rPr>
              <w:t>Prescribing and administration of medicines (partial)</w:t>
            </w:r>
          </w:p>
        </w:tc>
      </w:tr>
      <w:tr w:rsidR="00EF770A" w:rsidRPr="00F33A60" w14:paraId="79D2CA21" w14:textId="77777777" w:rsidTr="008A2322">
        <w:trPr>
          <w:cantSplit/>
        </w:trPr>
        <w:tc>
          <w:tcPr>
            <w:tcW w:w="2268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14:paraId="69D7FC18" w14:textId="77777777" w:rsidR="00EF770A" w:rsidRDefault="00EF770A" w:rsidP="001C6666">
            <w:pPr>
              <w:pStyle w:val="TableText"/>
              <w:ind w:right="113"/>
            </w:pPr>
            <w:r>
              <w:t>Who can claim</w:t>
            </w:r>
          </w:p>
        </w:tc>
        <w:tc>
          <w:tcPr>
            <w:tcW w:w="5812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14:paraId="1DEF2107" w14:textId="77777777" w:rsidR="00EF770A" w:rsidRPr="00F33A60" w:rsidRDefault="00EF770A" w:rsidP="001C6666">
            <w:pPr>
              <w:pStyle w:val="TableText"/>
            </w:pPr>
            <w:r>
              <w:t xml:space="preserve">AMP, </w:t>
            </w:r>
            <w:r w:rsidRPr="00991636">
              <w:t>ANP</w:t>
            </w:r>
          </w:p>
        </w:tc>
      </w:tr>
      <w:tr w:rsidR="00EF770A" w:rsidRPr="00F33A60" w14:paraId="70C7463E" w14:textId="77777777" w:rsidTr="001C6666">
        <w:trPr>
          <w:cantSplit/>
        </w:trPr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6A143DC" w14:textId="77777777" w:rsidR="00EF770A" w:rsidRPr="00F33A60" w:rsidRDefault="00EF770A" w:rsidP="001C6666">
            <w:pPr>
              <w:pStyle w:val="TableText"/>
              <w:ind w:right="113"/>
            </w:pPr>
            <w:r>
              <w:t>Components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3B509BE" w14:textId="77777777" w:rsidR="00EF770A" w:rsidRDefault="00EF770A" w:rsidP="001C6666">
            <w:pPr>
              <w:pStyle w:val="TableText"/>
            </w:pPr>
            <w:r>
              <w:t>Confirming arrangements for administering medication, advising the Registrar, and w</w:t>
            </w:r>
            <w:r w:rsidRPr="00F33A60">
              <w:t>riting the prescription</w:t>
            </w:r>
            <w:r>
              <w:t xml:space="preserve"> – section 19(3)</w:t>
            </w:r>
          </w:p>
          <w:p w14:paraId="2343880E" w14:textId="77777777" w:rsidR="00EF770A" w:rsidRPr="00F33A60" w:rsidRDefault="00EF770A" w:rsidP="001C6666">
            <w:pPr>
              <w:pStyle w:val="TableText"/>
            </w:pPr>
            <w:r>
              <w:t>Advising the outcome an</w:t>
            </w:r>
            <w:r w:rsidR="008A2322">
              <w:t>d completing the relevant forms</w:t>
            </w:r>
          </w:p>
        </w:tc>
      </w:tr>
      <w:tr w:rsidR="00EF770A" w:rsidRPr="00F33A60" w14:paraId="2BEF8720" w14:textId="77777777" w:rsidTr="001C6666">
        <w:trPr>
          <w:cantSplit/>
        </w:trPr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7DEAB77" w14:textId="77777777" w:rsidR="00EF770A" w:rsidRDefault="00EF770A" w:rsidP="001C6666">
            <w:pPr>
              <w:pStyle w:val="TableText"/>
              <w:ind w:right="113"/>
            </w:pPr>
            <w:r>
              <w:t>Standard payment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464C049" w14:textId="77777777" w:rsidR="00EF770A" w:rsidRDefault="00EF770A" w:rsidP="001C6666">
            <w:pPr>
              <w:pStyle w:val="TableText"/>
            </w:pPr>
            <w:r w:rsidRPr="00F33A60">
              <w:t xml:space="preserve">$217.44 </w:t>
            </w:r>
            <w:r>
              <w:t>which is 20% of the usual fee i</w:t>
            </w:r>
            <w:r w:rsidRPr="00F33A60">
              <w:t xml:space="preserve">f </w:t>
            </w:r>
            <w:r>
              <w:t xml:space="preserve">the assisted dying is cancelled </w:t>
            </w:r>
            <w:r w:rsidRPr="00F33A60">
              <w:t xml:space="preserve">within </w:t>
            </w:r>
            <w:r>
              <w:t>three</w:t>
            </w:r>
            <w:r w:rsidRPr="00F33A60">
              <w:t xml:space="preserve"> working days </w:t>
            </w:r>
            <w:r>
              <w:t>before</w:t>
            </w:r>
            <w:r w:rsidRPr="00F33A60">
              <w:t xml:space="preserve"> the chosen date</w:t>
            </w:r>
          </w:p>
          <w:p w14:paraId="48317202" w14:textId="77777777" w:rsidR="00EF770A" w:rsidRPr="007F3ADB" w:rsidRDefault="00EF770A" w:rsidP="001C6666">
            <w:pPr>
              <w:pStyle w:val="TableText"/>
            </w:pPr>
            <w:r w:rsidRPr="00F33A60">
              <w:t xml:space="preserve">$543.60 which is 50% of the </w:t>
            </w:r>
            <w:r>
              <w:t xml:space="preserve">usual </w:t>
            </w:r>
            <w:r w:rsidRPr="00F33A60">
              <w:t xml:space="preserve">fee </w:t>
            </w:r>
            <w:r>
              <w:t>if</w:t>
            </w:r>
            <w:r w:rsidRPr="00F33A60">
              <w:t xml:space="preserve"> </w:t>
            </w:r>
            <w:r>
              <w:t>the assisted dying is cancelled on the chosen date</w:t>
            </w:r>
          </w:p>
        </w:tc>
      </w:tr>
      <w:tr w:rsidR="00EF770A" w:rsidRPr="0008752C" w14:paraId="1189AB96" w14:textId="77777777" w:rsidTr="001C6666">
        <w:trPr>
          <w:cantSplit/>
        </w:trPr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F1FACA5" w14:textId="77777777" w:rsidR="00EF770A" w:rsidRDefault="00EF770A" w:rsidP="001C6666">
            <w:pPr>
              <w:pStyle w:val="TableText"/>
              <w:ind w:right="113"/>
            </w:pPr>
            <w:r>
              <w:t>Supervisor fee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D2EFD80" w14:textId="77777777" w:rsidR="00EF770A" w:rsidRPr="00F33A60" w:rsidRDefault="00EF770A" w:rsidP="001C6666">
            <w:pPr>
              <w:pStyle w:val="TableText"/>
            </w:pPr>
            <w:r w:rsidRPr="00F33A60">
              <w:t xml:space="preserve">$108.72 which is 20% of the </w:t>
            </w:r>
            <w:r>
              <w:t>usual fee i</w:t>
            </w:r>
            <w:r w:rsidRPr="00F33A60">
              <w:t xml:space="preserve">f </w:t>
            </w:r>
            <w:r>
              <w:t>the assisted dying is cancelled</w:t>
            </w:r>
            <w:r w:rsidRPr="00F33A60" w:rsidDel="00D73128">
              <w:t xml:space="preserve"> </w:t>
            </w:r>
            <w:r w:rsidRPr="00F33A60">
              <w:t xml:space="preserve">within </w:t>
            </w:r>
            <w:r>
              <w:t>three</w:t>
            </w:r>
            <w:r w:rsidRPr="00F33A60">
              <w:t xml:space="preserve"> working days </w:t>
            </w:r>
            <w:r>
              <w:t>before</w:t>
            </w:r>
            <w:r w:rsidRPr="00F33A60">
              <w:t xml:space="preserve"> the chosen date</w:t>
            </w:r>
          </w:p>
          <w:p w14:paraId="2EBFDCE3" w14:textId="77777777" w:rsidR="00EF770A" w:rsidRPr="0008752C" w:rsidRDefault="00EF770A" w:rsidP="001C6666">
            <w:pPr>
              <w:pStyle w:val="TableText"/>
            </w:pPr>
            <w:r w:rsidRPr="00F33A60">
              <w:t xml:space="preserve">$271.80 which is 50% of the </w:t>
            </w:r>
            <w:r>
              <w:t xml:space="preserve">usual </w:t>
            </w:r>
            <w:r w:rsidRPr="00F33A60">
              <w:t xml:space="preserve">fee </w:t>
            </w:r>
            <w:r>
              <w:t>if</w:t>
            </w:r>
            <w:r w:rsidRPr="00F33A60">
              <w:t xml:space="preserve"> </w:t>
            </w:r>
            <w:r>
              <w:t>the assisted dying is cancelled on the chosen date</w:t>
            </w:r>
          </w:p>
        </w:tc>
      </w:tr>
      <w:tr w:rsidR="00EF770A" w:rsidRPr="0008752C" w14:paraId="055EED18" w14:textId="77777777" w:rsidTr="001C6666">
        <w:trPr>
          <w:cantSplit/>
        </w:trPr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9885907" w14:textId="77777777" w:rsidR="00EF770A" w:rsidRDefault="00EF770A" w:rsidP="001C6666">
            <w:pPr>
              <w:pStyle w:val="TableText"/>
              <w:ind w:right="113"/>
            </w:pPr>
            <w:r>
              <w:t>Supporting practitioner fee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ECC62F2" w14:textId="77777777" w:rsidR="00EF770A" w:rsidRPr="00F33A60" w:rsidRDefault="00EF770A" w:rsidP="001C6666">
            <w:pPr>
              <w:pStyle w:val="TableText"/>
            </w:pPr>
            <w:r w:rsidRPr="00F33A60">
              <w:t xml:space="preserve">$108.72 which is 20% of the </w:t>
            </w:r>
            <w:r>
              <w:t>usual fee i</w:t>
            </w:r>
            <w:r w:rsidRPr="00F33A60">
              <w:t xml:space="preserve">f </w:t>
            </w:r>
            <w:r>
              <w:t>the assisted dying is cancelled</w:t>
            </w:r>
            <w:r w:rsidRPr="00F33A60">
              <w:t xml:space="preserve"> within </w:t>
            </w:r>
            <w:r>
              <w:t>three</w:t>
            </w:r>
            <w:r w:rsidRPr="00F33A60">
              <w:t xml:space="preserve"> working days </w:t>
            </w:r>
            <w:r>
              <w:t>before</w:t>
            </w:r>
            <w:r w:rsidRPr="00F33A60">
              <w:t xml:space="preserve"> the chosen date</w:t>
            </w:r>
          </w:p>
          <w:p w14:paraId="71FCABFD" w14:textId="77777777" w:rsidR="00EF770A" w:rsidRPr="0008752C" w:rsidRDefault="00EF770A" w:rsidP="001C6666">
            <w:pPr>
              <w:pStyle w:val="TableText"/>
            </w:pPr>
            <w:r w:rsidRPr="00F33A60">
              <w:t xml:space="preserve">$271.80 which is 50% of the </w:t>
            </w:r>
            <w:r>
              <w:t xml:space="preserve">usual </w:t>
            </w:r>
            <w:r w:rsidRPr="00F33A60">
              <w:t xml:space="preserve">fee </w:t>
            </w:r>
            <w:r>
              <w:t>if</w:t>
            </w:r>
            <w:r w:rsidRPr="00F33A60">
              <w:t xml:space="preserve"> </w:t>
            </w:r>
            <w:r>
              <w:t>the assisted dying is cancelled on the chosen date</w:t>
            </w:r>
          </w:p>
        </w:tc>
      </w:tr>
      <w:tr w:rsidR="00EF770A" w:rsidRPr="004E0302" w14:paraId="2BD74F39" w14:textId="77777777" w:rsidTr="001C6666">
        <w:trPr>
          <w:cantSplit/>
        </w:trPr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5BA5FA7" w14:textId="77777777" w:rsidR="00EF770A" w:rsidRDefault="00EF770A" w:rsidP="001C6666">
            <w:pPr>
              <w:pStyle w:val="TableText"/>
              <w:ind w:right="113"/>
            </w:pPr>
            <w:r>
              <w:t>Travel allowance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9F44A67" w14:textId="444CA040" w:rsidR="00EF770A" w:rsidRPr="004E0302" w:rsidRDefault="00EF770A" w:rsidP="001C6666">
            <w:pPr>
              <w:pStyle w:val="TableText"/>
            </w:pPr>
            <w:r w:rsidRPr="00F33A60">
              <w:t>Travel allowance (</w:t>
            </w:r>
            <w:r>
              <w:t>see</w:t>
            </w:r>
            <w:r w:rsidRPr="00F33A60">
              <w:t xml:space="preserve"> </w:t>
            </w:r>
            <w:r w:rsidRPr="00F33A60">
              <w:fldChar w:fldCharType="begin"/>
            </w:r>
            <w:r w:rsidRPr="00F33A60">
              <w:instrText xml:space="preserve"> REF _Ref81408149 \h  \* MERGEFORMAT </w:instrText>
            </w:r>
            <w:r w:rsidRPr="00F33A60">
              <w:fldChar w:fldCharType="separate"/>
            </w:r>
            <w:r w:rsidR="00B11DA7">
              <w:t>Table 4</w:t>
            </w:r>
            <w:r w:rsidRPr="00F33A60">
              <w:fldChar w:fldCharType="end"/>
            </w:r>
            <w:r w:rsidRPr="00F33A60">
              <w:t>)</w:t>
            </w:r>
          </w:p>
        </w:tc>
      </w:tr>
    </w:tbl>
    <w:p w14:paraId="7E0716A5" w14:textId="77777777" w:rsidR="008A2322" w:rsidRDefault="008A2322" w:rsidP="008A2322"/>
    <w:p w14:paraId="70FCA915" w14:textId="77777777" w:rsidR="00EF770A" w:rsidRDefault="00EF770A" w:rsidP="008A2322">
      <w:pPr>
        <w:pStyle w:val="Heading3"/>
      </w:pPr>
      <w:r>
        <w:lastRenderedPageBreak/>
        <w:t>Delivering only part of Modules 1 to 4</w:t>
      </w:r>
    </w:p>
    <w:p w14:paraId="27EF6F42" w14:textId="77777777" w:rsidR="00EF770A" w:rsidRDefault="00EF770A" w:rsidP="008A2322">
      <w:pPr>
        <w:pStyle w:val="Number"/>
      </w:pPr>
      <w:r>
        <w:t>Modules 1 to 4 will be funded in full even if:</w:t>
      </w:r>
    </w:p>
    <w:p w14:paraId="278C0EB8" w14:textId="77777777" w:rsidR="00EF770A" w:rsidRPr="00F33A60" w:rsidRDefault="00EF770A" w:rsidP="008A2322">
      <w:pPr>
        <w:pStyle w:val="Sub-number"/>
        <w:rPr>
          <w:rFonts w:eastAsiaTheme="minorHAnsi"/>
        </w:rPr>
      </w:pPr>
      <w:r w:rsidRPr="00F33A60">
        <w:rPr>
          <w:rFonts w:eastAsiaTheme="minorHAnsi"/>
        </w:rPr>
        <w:t>an opinion is reached in accordance with the Act that the person is not eligible for assisted dying</w:t>
      </w:r>
    </w:p>
    <w:p w14:paraId="431D7738" w14:textId="77777777" w:rsidR="00EF770A" w:rsidRPr="00F33A60" w:rsidRDefault="00EF770A" w:rsidP="008A2322">
      <w:pPr>
        <w:pStyle w:val="Sub-number"/>
        <w:rPr>
          <w:rFonts w:eastAsiaTheme="minorHAnsi"/>
        </w:rPr>
      </w:pPr>
      <w:r w:rsidRPr="00F33A60">
        <w:rPr>
          <w:rFonts w:eastAsiaTheme="minorHAnsi"/>
        </w:rPr>
        <w:t>the person decides not to receive any further assisted dying services</w:t>
      </w:r>
    </w:p>
    <w:p w14:paraId="5C737908" w14:textId="77777777" w:rsidR="00EF770A" w:rsidRPr="00F33A60" w:rsidRDefault="00EF770A" w:rsidP="008A2322">
      <w:pPr>
        <w:pStyle w:val="Sub-number"/>
        <w:rPr>
          <w:rFonts w:eastAsiaTheme="minorHAnsi"/>
        </w:rPr>
      </w:pPr>
      <w:r w:rsidRPr="00F33A60">
        <w:rPr>
          <w:rFonts w:eastAsiaTheme="minorHAnsi"/>
        </w:rPr>
        <w:t>the person dies before the medication</w:t>
      </w:r>
      <w:r>
        <w:rPr>
          <w:rFonts w:eastAsiaTheme="minorHAnsi"/>
        </w:rPr>
        <w:t xml:space="preserve"> is administered</w:t>
      </w:r>
    </w:p>
    <w:p w14:paraId="54F71201" w14:textId="77777777" w:rsidR="004F406C" w:rsidRDefault="00EF770A" w:rsidP="008A2322">
      <w:pPr>
        <w:pStyle w:val="Sub-number"/>
        <w:rPr>
          <w:rFonts w:eastAsiaTheme="minorHAnsi"/>
        </w:rPr>
      </w:pPr>
      <w:r>
        <w:rPr>
          <w:rFonts w:eastAsiaTheme="minorHAnsi"/>
        </w:rPr>
        <w:t>any of the</w:t>
      </w:r>
      <w:r w:rsidRPr="00F33A60">
        <w:rPr>
          <w:rFonts w:eastAsiaTheme="minorHAnsi"/>
        </w:rPr>
        <w:t xml:space="preserve"> practitioner</w:t>
      </w:r>
      <w:r>
        <w:rPr>
          <w:rFonts w:eastAsiaTheme="minorHAnsi"/>
        </w:rPr>
        <w:t>s involved</w:t>
      </w:r>
      <w:r w:rsidRPr="00F33A60">
        <w:rPr>
          <w:rFonts w:eastAsiaTheme="minorHAnsi"/>
        </w:rPr>
        <w:t xml:space="preserve"> suspect on reasonable grounds that </w:t>
      </w:r>
      <w:r>
        <w:rPr>
          <w:rFonts w:eastAsiaTheme="minorHAnsi"/>
        </w:rPr>
        <w:t>the</w:t>
      </w:r>
      <w:r w:rsidRPr="00F33A60">
        <w:rPr>
          <w:rFonts w:eastAsiaTheme="minorHAnsi"/>
        </w:rPr>
        <w:t xml:space="preserve"> person</w:t>
      </w:r>
      <w:r>
        <w:rPr>
          <w:rFonts w:eastAsiaTheme="minorHAnsi"/>
        </w:rPr>
        <w:t xml:space="preserve"> may have been subject to</w:t>
      </w:r>
      <w:r w:rsidRPr="00F33A60">
        <w:rPr>
          <w:rFonts w:eastAsiaTheme="minorHAnsi"/>
        </w:rPr>
        <w:t xml:space="preserve"> pressure </w:t>
      </w:r>
      <w:r>
        <w:rPr>
          <w:rFonts w:eastAsiaTheme="minorHAnsi"/>
        </w:rPr>
        <w:t>or coercion from someone else</w:t>
      </w:r>
    </w:p>
    <w:p w14:paraId="257A91FF" w14:textId="77777777" w:rsidR="00EF770A" w:rsidRDefault="00EF770A" w:rsidP="008A2322">
      <w:pPr>
        <w:pStyle w:val="Sub-number"/>
        <w:rPr>
          <w:rFonts w:eastAsiaTheme="minorHAnsi"/>
        </w:rPr>
      </w:pPr>
      <w:r w:rsidRPr="00F33A60">
        <w:rPr>
          <w:rFonts w:eastAsiaTheme="minorHAnsi"/>
        </w:rPr>
        <w:t xml:space="preserve">the practitioner is no longer able to deliver assisted dying services due to incapacity, </w:t>
      </w:r>
      <w:proofErr w:type="gramStart"/>
      <w:r w:rsidRPr="00F33A60">
        <w:rPr>
          <w:rFonts w:eastAsiaTheme="minorHAnsi"/>
        </w:rPr>
        <w:t>illness</w:t>
      </w:r>
      <w:proofErr w:type="gramEnd"/>
      <w:r w:rsidRPr="00F33A60">
        <w:rPr>
          <w:rFonts w:eastAsiaTheme="minorHAnsi"/>
        </w:rPr>
        <w:t xml:space="preserve"> or injury.</w:t>
      </w:r>
    </w:p>
    <w:p w14:paraId="6A3FB11C" w14:textId="77777777" w:rsidR="008A2322" w:rsidRPr="00F33A60" w:rsidRDefault="008A2322" w:rsidP="008A2322">
      <w:pPr>
        <w:rPr>
          <w:rFonts w:eastAsiaTheme="minorHAnsi"/>
        </w:rPr>
      </w:pPr>
    </w:p>
    <w:p w14:paraId="287A7855" w14:textId="77777777" w:rsidR="00EF770A" w:rsidRDefault="00EF770A" w:rsidP="008A2322">
      <w:pPr>
        <w:pStyle w:val="Heading3"/>
      </w:pPr>
      <w:r>
        <w:t>Delivering only part of Module 5</w:t>
      </w:r>
    </w:p>
    <w:p w14:paraId="7D6723B3" w14:textId="77777777" w:rsidR="004F406C" w:rsidRDefault="00EF770A" w:rsidP="008A2322">
      <w:pPr>
        <w:pStyle w:val="Number"/>
      </w:pPr>
      <w:r>
        <w:t>Module 5 may be partially funded if the medication is not administered.</w:t>
      </w:r>
    </w:p>
    <w:p w14:paraId="78D18D86" w14:textId="77777777" w:rsidR="004F406C" w:rsidRDefault="00EF770A" w:rsidP="008A2322">
      <w:pPr>
        <w:pStyle w:val="Number"/>
      </w:pPr>
      <w:r>
        <w:t>A practitioner can claim partial funding for Module 5.</w:t>
      </w:r>
    </w:p>
    <w:p w14:paraId="1A2F457E" w14:textId="77777777" w:rsidR="00EF770A" w:rsidRDefault="00EF770A" w:rsidP="008A2322">
      <w:pPr>
        <w:pStyle w:val="Sub-number"/>
      </w:pPr>
      <w:r>
        <w:t>If the assisted dying is cancelled within three working days before the chosen date, 20</w:t>
      </w:r>
      <w:r w:rsidRPr="00D73128">
        <w:t xml:space="preserve"> </w:t>
      </w:r>
      <w:r>
        <w:t>percent of the standard fee can be</w:t>
      </w:r>
      <w:r w:rsidDel="00D73128">
        <w:t xml:space="preserve"> </w:t>
      </w:r>
      <w:r>
        <w:t>claimed.</w:t>
      </w:r>
    </w:p>
    <w:p w14:paraId="2289B756" w14:textId="77777777" w:rsidR="004F406C" w:rsidRDefault="00EF770A" w:rsidP="008A2322">
      <w:pPr>
        <w:pStyle w:val="Sub-number"/>
      </w:pPr>
      <w:r>
        <w:t>If the assisted dying is cancelled on the chosen date, 50 percent of the standard fee can be claimed.</w:t>
      </w:r>
    </w:p>
    <w:p w14:paraId="184B1970" w14:textId="77777777" w:rsidR="008A2322" w:rsidRDefault="008A2322" w:rsidP="008A2322"/>
    <w:p w14:paraId="141BA433" w14:textId="77777777" w:rsidR="00EF770A" w:rsidRDefault="00EF770A" w:rsidP="008A2322">
      <w:pPr>
        <w:pStyle w:val="Heading3"/>
      </w:pPr>
      <w:r>
        <w:t>Repeating a module</w:t>
      </w:r>
    </w:p>
    <w:p w14:paraId="0376E916" w14:textId="77777777" w:rsidR="004F406C" w:rsidRDefault="00EF770A" w:rsidP="008A2322">
      <w:pPr>
        <w:pStyle w:val="Number"/>
      </w:pPr>
      <w:r>
        <w:t xml:space="preserve">Modules may be repeated and funded more than once for a person, in some circumstances, as defined in the </w:t>
      </w:r>
      <w:hyperlink r:id="rId27" w:history="1">
        <w:r>
          <w:rPr>
            <w:rStyle w:val="Hyperlink"/>
          </w:rPr>
          <w:t>section 88 Assisted Dying Services Notice 2021</w:t>
        </w:r>
      </w:hyperlink>
      <w:r>
        <w:t>.</w:t>
      </w:r>
    </w:p>
    <w:p w14:paraId="03D89915" w14:textId="77777777" w:rsidR="004F406C" w:rsidRDefault="00EF770A" w:rsidP="008A2322">
      <w:pPr>
        <w:pStyle w:val="Sub-number"/>
      </w:pPr>
      <w:r>
        <w:t>If an AMP is unable to continue providing the service and another AMP takes over, the replacement AMP must repeat Module 1 to provide their opinion.</w:t>
      </w:r>
    </w:p>
    <w:p w14:paraId="277574ED" w14:textId="77777777" w:rsidR="004F406C" w:rsidRDefault="00EF770A" w:rsidP="008A2322">
      <w:pPr>
        <w:pStyle w:val="Sub-sub-number"/>
      </w:pPr>
      <w:r>
        <w:t>In this circumstance Modules 2 and 3 would not normally need to be repeated. However, if the replacement AMP considers the original decisions from Modules 2 and 3 may have changed due to time elapsed or a change in clinical status, the replacement AMP may request that these modules are also repeated.</w:t>
      </w:r>
    </w:p>
    <w:p w14:paraId="601367B6" w14:textId="77777777" w:rsidR="004F406C" w:rsidRDefault="00EF770A" w:rsidP="008A2322">
      <w:pPr>
        <w:pStyle w:val="Sub-number"/>
      </w:pPr>
      <w:r>
        <w:t>If a person had previously applied and been found ineligible but wished to reapply because of a change in their circumstances, modules may be repeated.</w:t>
      </w:r>
    </w:p>
    <w:p w14:paraId="637E931F" w14:textId="77777777" w:rsidR="004F406C" w:rsidRDefault="00EF770A" w:rsidP="008A2322">
      <w:pPr>
        <w:pStyle w:val="Sub-number"/>
      </w:pPr>
      <w:r w:rsidRPr="00F33A60">
        <w:t xml:space="preserve">Module </w:t>
      </w:r>
      <w:r>
        <w:t>5</w:t>
      </w:r>
      <w:r w:rsidRPr="00F33A60">
        <w:t xml:space="preserve"> may be completed in part, then suspended</w:t>
      </w:r>
      <w:r>
        <w:t>, and partial funding claimed</w:t>
      </w:r>
      <w:r w:rsidRPr="00F33A60">
        <w:t xml:space="preserve">. Module </w:t>
      </w:r>
      <w:r>
        <w:t>5</w:t>
      </w:r>
      <w:r w:rsidRPr="00F33A60">
        <w:t xml:space="preserve"> </w:t>
      </w:r>
      <w:r>
        <w:t>can</w:t>
      </w:r>
      <w:r w:rsidRPr="00F33A60">
        <w:t xml:space="preserve"> be repeated</w:t>
      </w:r>
      <w:r>
        <w:t xml:space="preserve"> and funded</w:t>
      </w:r>
      <w:r w:rsidRPr="00F33A60">
        <w:t xml:space="preserve"> later.</w:t>
      </w:r>
    </w:p>
    <w:p w14:paraId="09DEFC95" w14:textId="77777777" w:rsidR="007A3521" w:rsidRDefault="007A3521" w:rsidP="007A3521"/>
    <w:p w14:paraId="4A8C9E52" w14:textId="77777777" w:rsidR="00EF770A" w:rsidRDefault="00EF770A" w:rsidP="007A3521">
      <w:pPr>
        <w:pStyle w:val="Heading3"/>
      </w:pPr>
      <w:bookmarkStart w:id="42" w:name="_Toc81996400"/>
      <w:bookmarkStart w:id="43" w:name="_Ref81383836"/>
      <w:r>
        <w:lastRenderedPageBreak/>
        <w:t>Travel costs</w:t>
      </w:r>
      <w:bookmarkEnd w:id="42"/>
    </w:p>
    <w:p w14:paraId="0FA2807D" w14:textId="2D1D2873" w:rsidR="004F406C" w:rsidRDefault="00EF770A" w:rsidP="007A3521">
      <w:pPr>
        <w:pStyle w:val="Number"/>
      </w:pPr>
      <w:r>
        <w:t xml:space="preserve">Travel costs may be claimed as set out in </w:t>
      </w:r>
      <w:r>
        <w:fldChar w:fldCharType="begin"/>
      </w:r>
      <w:r>
        <w:instrText xml:space="preserve"> REF _Ref81408149 \h </w:instrText>
      </w:r>
      <w:r>
        <w:fldChar w:fldCharType="separate"/>
      </w:r>
      <w:r w:rsidR="00B11DA7">
        <w:t>Table </w:t>
      </w:r>
      <w:r w:rsidR="00B11DA7">
        <w:rPr>
          <w:noProof/>
        </w:rPr>
        <w:t>4</w:t>
      </w:r>
      <w:r>
        <w:fldChar w:fldCharType="end"/>
      </w:r>
      <w:r>
        <w:t>.</w:t>
      </w:r>
    </w:p>
    <w:p w14:paraId="682806F0" w14:textId="77777777" w:rsidR="007A3521" w:rsidRDefault="007A3521" w:rsidP="007A3521"/>
    <w:p w14:paraId="629F029F" w14:textId="53A11C7C" w:rsidR="00EF770A" w:rsidRPr="00DF3619" w:rsidRDefault="007A3521" w:rsidP="007A3521">
      <w:pPr>
        <w:pStyle w:val="Table"/>
      </w:pPr>
      <w:bookmarkStart w:id="44" w:name="_Ref81408149"/>
      <w:bookmarkStart w:id="45" w:name="_Toc81996385"/>
      <w:bookmarkStart w:id="46" w:name="_Toc82006616"/>
      <w:bookmarkStart w:id="47" w:name="_Toc82440470"/>
      <w:bookmarkStart w:id="48" w:name="_Toc84240326"/>
      <w:bookmarkStart w:id="49" w:name="_Toc84412608"/>
      <w:r>
        <w:t>Table </w:t>
      </w:r>
      <w:r w:rsidR="00B11DA7">
        <w:fldChar w:fldCharType="begin"/>
      </w:r>
      <w:r w:rsidR="00B11DA7">
        <w:instrText xml:space="preserve"> SEQ Table \* ARABIC </w:instrText>
      </w:r>
      <w:r w:rsidR="00B11DA7">
        <w:fldChar w:fldCharType="separate"/>
      </w:r>
      <w:r w:rsidR="00B11DA7">
        <w:rPr>
          <w:noProof/>
        </w:rPr>
        <w:t>4</w:t>
      </w:r>
      <w:r w:rsidR="00B11DA7">
        <w:rPr>
          <w:noProof/>
        </w:rPr>
        <w:fldChar w:fldCharType="end"/>
      </w:r>
      <w:bookmarkEnd w:id="43"/>
      <w:bookmarkEnd w:id="44"/>
      <w:r w:rsidR="00EF770A" w:rsidRPr="00DF3619">
        <w:t>: Travel allowance</w:t>
      </w:r>
      <w:bookmarkEnd w:id="45"/>
      <w:bookmarkEnd w:id="46"/>
      <w:bookmarkEnd w:id="47"/>
      <w:bookmarkEnd w:id="48"/>
      <w:bookmarkEnd w:id="49"/>
    </w:p>
    <w:tbl>
      <w:tblPr>
        <w:tblW w:w="8080" w:type="dxa"/>
        <w:tblInd w:w="57" w:type="dxa"/>
        <w:tblBorders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4"/>
        <w:gridCol w:w="1563"/>
        <w:gridCol w:w="1418"/>
        <w:gridCol w:w="992"/>
        <w:gridCol w:w="2693"/>
      </w:tblGrid>
      <w:tr w:rsidR="007A3521" w:rsidRPr="007A3521" w14:paraId="2316A758" w14:textId="77777777" w:rsidTr="007A3521">
        <w:trPr>
          <w:cantSplit/>
        </w:trPr>
        <w:tc>
          <w:tcPr>
            <w:tcW w:w="141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9347B03" w14:textId="77777777" w:rsidR="00EF770A" w:rsidRPr="007A3521" w:rsidRDefault="00EF770A" w:rsidP="007A3521">
            <w:pPr>
              <w:pStyle w:val="TableText"/>
              <w:ind w:right="113"/>
              <w:rPr>
                <w:b/>
              </w:rPr>
            </w:pPr>
            <w:r w:rsidRPr="007A3521">
              <w:rPr>
                <w:b/>
              </w:rPr>
              <w:t>Component</w:t>
            </w:r>
          </w:p>
        </w:tc>
        <w:tc>
          <w:tcPr>
            <w:tcW w:w="15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D5FCF1F" w14:textId="77777777" w:rsidR="00EF770A" w:rsidRPr="007A3521" w:rsidRDefault="00EF770A" w:rsidP="007A3521">
            <w:pPr>
              <w:pStyle w:val="TableText"/>
              <w:ind w:right="113"/>
              <w:rPr>
                <w:b/>
              </w:rPr>
            </w:pPr>
            <w:r w:rsidRPr="007A3521">
              <w:rPr>
                <w:b/>
              </w:rPr>
              <w:t>Total distance travelled¹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F99B879" w14:textId="77777777" w:rsidR="00EF770A" w:rsidRPr="007A3521" w:rsidRDefault="00EF770A" w:rsidP="007A3521">
            <w:pPr>
              <w:pStyle w:val="TableText"/>
              <w:ind w:right="113"/>
              <w:rPr>
                <w:b/>
              </w:rPr>
            </w:pPr>
            <w:r w:rsidRPr="007A3521">
              <w:rPr>
                <w:b/>
              </w:rPr>
              <w:t>Able to claim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746B61F" w14:textId="77777777" w:rsidR="00EF770A" w:rsidRPr="007A3521" w:rsidRDefault="00EF770A" w:rsidP="007A3521">
            <w:pPr>
              <w:pStyle w:val="TableText"/>
              <w:ind w:right="113"/>
              <w:rPr>
                <w:b/>
              </w:rPr>
            </w:pPr>
            <w:r w:rsidRPr="007A3521">
              <w:rPr>
                <w:b/>
              </w:rPr>
              <w:t>Amount per hour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EC5BDFF" w14:textId="77777777" w:rsidR="00EF770A" w:rsidRPr="007A3521" w:rsidRDefault="00EF770A" w:rsidP="007A3521">
            <w:pPr>
              <w:pStyle w:val="TableText"/>
              <w:rPr>
                <w:b/>
              </w:rPr>
            </w:pPr>
            <w:r w:rsidRPr="007A3521">
              <w:rPr>
                <w:b/>
              </w:rPr>
              <w:t>Notes</w:t>
            </w:r>
          </w:p>
        </w:tc>
      </w:tr>
      <w:tr w:rsidR="007A3521" w14:paraId="4A829FC8" w14:textId="77777777" w:rsidTr="007A3521">
        <w:trPr>
          <w:cantSplit/>
        </w:trPr>
        <w:tc>
          <w:tcPr>
            <w:tcW w:w="1414" w:type="dxa"/>
            <w:vMerge w:val="restart"/>
            <w:tcBorders>
              <w:top w:val="nil"/>
            </w:tcBorders>
          </w:tcPr>
          <w:p w14:paraId="371EAE4A" w14:textId="77777777" w:rsidR="007A3521" w:rsidRPr="00F33A60" w:rsidRDefault="007A3521" w:rsidP="007A3521">
            <w:pPr>
              <w:pStyle w:val="TableText"/>
              <w:ind w:right="113"/>
            </w:pPr>
            <w:r w:rsidRPr="00F33A60">
              <w:t>Private motor vehicle</w:t>
            </w:r>
          </w:p>
        </w:tc>
        <w:tc>
          <w:tcPr>
            <w:tcW w:w="1563" w:type="dxa"/>
            <w:tcBorders>
              <w:top w:val="nil"/>
            </w:tcBorders>
          </w:tcPr>
          <w:p w14:paraId="2F112620" w14:textId="77777777" w:rsidR="007A3521" w:rsidRPr="00F33A60" w:rsidRDefault="007A3521" w:rsidP="007A3521">
            <w:pPr>
              <w:pStyle w:val="TableText"/>
              <w:ind w:right="113"/>
            </w:pPr>
            <w:r>
              <w:t>&lt; 20 km</w:t>
            </w:r>
          </w:p>
        </w:tc>
        <w:tc>
          <w:tcPr>
            <w:tcW w:w="1418" w:type="dxa"/>
            <w:tcBorders>
              <w:top w:val="nil"/>
            </w:tcBorders>
          </w:tcPr>
          <w:p w14:paraId="3FF059EA" w14:textId="77777777" w:rsidR="007A3521" w:rsidRPr="00F33A60" w:rsidRDefault="007A3521" w:rsidP="007A3521">
            <w:pPr>
              <w:pStyle w:val="TableText"/>
              <w:ind w:right="113"/>
            </w:pPr>
          </w:p>
        </w:tc>
        <w:tc>
          <w:tcPr>
            <w:tcW w:w="992" w:type="dxa"/>
            <w:tcBorders>
              <w:top w:val="nil"/>
            </w:tcBorders>
          </w:tcPr>
          <w:p w14:paraId="02B63A02" w14:textId="77777777" w:rsidR="007A3521" w:rsidRPr="00F33A60" w:rsidRDefault="007A3521" w:rsidP="007A3521">
            <w:pPr>
              <w:pStyle w:val="TableText"/>
              <w:ind w:right="113"/>
            </w:pPr>
          </w:p>
        </w:tc>
        <w:tc>
          <w:tcPr>
            <w:tcW w:w="2693" w:type="dxa"/>
            <w:tcBorders>
              <w:top w:val="nil"/>
            </w:tcBorders>
          </w:tcPr>
          <w:p w14:paraId="23DC0398" w14:textId="77777777" w:rsidR="007A3521" w:rsidRPr="00F33A60" w:rsidRDefault="007A3521" w:rsidP="007A3521">
            <w:pPr>
              <w:pStyle w:val="TableText"/>
            </w:pPr>
            <w:r w:rsidRPr="00F33A60">
              <w:t>Not funded</w:t>
            </w:r>
          </w:p>
        </w:tc>
      </w:tr>
      <w:tr w:rsidR="007A3521" w14:paraId="484D3BF2" w14:textId="77777777" w:rsidTr="007A3521">
        <w:trPr>
          <w:cantSplit/>
        </w:trPr>
        <w:tc>
          <w:tcPr>
            <w:tcW w:w="1414" w:type="dxa"/>
            <w:vMerge/>
          </w:tcPr>
          <w:p w14:paraId="1038AA07" w14:textId="77777777" w:rsidR="007A3521" w:rsidRPr="00F33A60" w:rsidRDefault="007A3521" w:rsidP="007A3521">
            <w:pPr>
              <w:pStyle w:val="TableText"/>
              <w:ind w:right="113"/>
            </w:pPr>
          </w:p>
        </w:tc>
        <w:tc>
          <w:tcPr>
            <w:tcW w:w="1563" w:type="dxa"/>
          </w:tcPr>
          <w:p w14:paraId="68DF975F" w14:textId="77777777" w:rsidR="007A3521" w:rsidRPr="00F33A60" w:rsidRDefault="007A3521" w:rsidP="007A3521">
            <w:pPr>
              <w:pStyle w:val="TableText"/>
              <w:ind w:right="113"/>
            </w:pPr>
            <w:r w:rsidRPr="00F33A60">
              <w:t>&gt; 20</w:t>
            </w:r>
            <w:r>
              <w:t xml:space="preserve"> </w:t>
            </w:r>
            <w:r w:rsidRPr="00F33A60">
              <w:t>km</w:t>
            </w:r>
          </w:p>
        </w:tc>
        <w:tc>
          <w:tcPr>
            <w:tcW w:w="1418" w:type="dxa"/>
          </w:tcPr>
          <w:p w14:paraId="64BF06A1" w14:textId="77777777" w:rsidR="007A3521" w:rsidRPr="00F33A60" w:rsidRDefault="007A3521" w:rsidP="007A3521">
            <w:pPr>
              <w:pStyle w:val="TableText"/>
              <w:ind w:right="113"/>
            </w:pPr>
            <w:r>
              <w:t>All</w:t>
            </w:r>
          </w:p>
        </w:tc>
        <w:tc>
          <w:tcPr>
            <w:tcW w:w="992" w:type="dxa"/>
          </w:tcPr>
          <w:p w14:paraId="0F6E36A4" w14:textId="77777777" w:rsidR="007A3521" w:rsidRPr="00F33A60" w:rsidRDefault="007A3521" w:rsidP="007A3521">
            <w:pPr>
              <w:pStyle w:val="TableText"/>
              <w:ind w:right="113"/>
            </w:pPr>
          </w:p>
        </w:tc>
        <w:tc>
          <w:tcPr>
            <w:tcW w:w="2693" w:type="dxa"/>
          </w:tcPr>
          <w:p w14:paraId="1232F77D" w14:textId="77777777" w:rsidR="007A3521" w:rsidRPr="00F33A60" w:rsidRDefault="007A3521" w:rsidP="007A3521">
            <w:pPr>
              <w:pStyle w:val="TableText"/>
            </w:pPr>
            <w:r w:rsidRPr="00F33A60">
              <w:t>Reimbursed at the agreed rate</w:t>
            </w:r>
            <w:r>
              <w:t>,</w:t>
            </w:r>
            <w:r w:rsidRPr="007A3521">
              <w:rPr>
                <w:rStyle w:val="FootnoteReference"/>
              </w:rPr>
              <w:footnoteReference w:id="4"/>
            </w:r>
            <w:r w:rsidRPr="00F33A60">
              <w:t xml:space="preserve"> which is the rate used by Disability Support Services for in-between travel</w:t>
            </w:r>
          </w:p>
        </w:tc>
      </w:tr>
      <w:tr w:rsidR="00EF770A" w14:paraId="72DC74A3" w14:textId="77777777" w:rsidTr="007A3521">
        <w:trPr>
          <w:cantSplit/>
        </w:trPr>
        <w:tc>
          <w:tcPr>
            <w:tcW w:w="1414" w:type="dxa"/>
          </w:tcPr>
          <w:p w14:paraId="56017BF8" w14:textId="77777777" w:rsidR="00EF770A" w:rsidRPr="00F33A60" w:rsidRDefault="00EF770A" w:rsidP="007A3521">
            <w:pPr>
              <w:pStyle w:val="TableText"/>
              <w:ind w:right="113"/>
            </w:pPr>
            <w:r w:rsidRPr="00F33A60">
              <w:t>Other mode of transport</w:t>
            </w:r>
          </w:p>
        </w:tc>
        <w:tc>
          <w:tcPr>
            <w:tcW w:w="1563" w:type="dxa"/>
          </w:tcPr>
          <w:p w14:paraId="11FDB6C2" w14:textId="77777777" w:rsidR="00EF770A" w:rsidRPr="00F33A60" w:rsidRDefault="00EF770A" w:rsidP="007A3521">
            <w:pPr>
              <w:pStyle w:val="TableText"/>
              <w:ind w:right="113"/>
            </w:pPr>
          </w:p>
        </w:tc>
        <w:tc>
          <w:tcPr>
            <w:tcW w:w="1418" w:type="dxa"/>
          </w:tcPr>
          <w:p w14:paraId="4D58E5E6" w14:textId="77777777" w:rsidR="00EF770A" w:rsidRPr="00F33A60" w:rsidRDefault="00EF770A" w:rsidP="007A3521">
            <w:pPr>
              <w:pStyle w:val="TableText"/>
              <w:ind w:right="113"/>
            </w:pPr>
            <w:r>
              <w:t>All</w:t>
            </w:r>
          </w:p>
        </w:tc>
        <w:tc>
          <w:tcPr>
            <w:tcW w:w="992" w:type="dxa"/>
          </w:tcPr>
          <w:p w14:paraId="667895F3" w14:textId="77777777" w:rsidR="00EF770A" w:rsidRPr="00F33A60" w:rsidRDefault="00EF770A" w:rsidP="007A3521">
            <w:pPr>
              <w:pStyle w:val="TableText"/>
              <w:ind w:right="113"/>
            </w:pPr>
          </w:p>
        </w:tc>
        <w:tc>
          <w:tcPr>
            <w:tcW w:w="2693" w:type="dxa"/>
          </w:tcPr>
          <w:p w14:paraId="3B1D6C9C" w14:textId="77777777" w:rsidR="00EF770A" w:rsidRPr="003975DF" w:rsidRDefault="00EF770A" w:rsidP="007A3521">
            <w:pPr>
              <w:pStyle w:val="TableText"/>
            </w:pPr>
            <w:r>
              <w:t>A</w:t>
            </w:r>
            <w:r w:rsidRPr="003975DF">
              <w:t xml:space="preserve">ctual and reasonable costs </w:t>
            </w:r>
            <w:r>
              <w:t xml:space="preserve">reimbursed </w:t>
            </w:r>
            <w:r w:rsidRPr="003975DF">
              <w:t>on</w:t>
            </w:r>
            <w:r>
              <w:t xml:space="preserve"> provision of an invoice</w:t>
            </w:r>
            <w:r w:rsidRPr="003975DF">
              <w:t xml:space="preserve"> and receipts</w:t>
            </w:r>
          </w:p>
        </w:tc>
      </w:tr>
      <w:tr w:rsidR="00EF770A" w14:paraId="593D2405" w14:textId="77777777" w:rsidTr="007A3521">
        <w:trPr>
          <w:cantSplit/>
        </w:trPr>
        <w:tc>
          <w:tcPr>
            <w:tcW w:w="1414" w:type="dxa"/>
          </w:tcPr>
          <w:p w14:paraId="0E737480" w14:textId="77777777" w:rsidR="00EF770A" w:rsidRPr="00F33A60" w:rsidRDefault="00EF770A" w:rsidP="007A3521">
            <w:pPr>
              <w:pStyle w:val="TableText"/>
              <w:ind w:right="113"/>
            </w:pPr>
            <w:r w:rsidRPr="00F33A60">
              <w:t>Time to travel</w:t>
            </w:r>
          </w:p>
        </w:tc>
        <w:tc>
          <w:tcPr>
            <w:tcW w:w="1563" w:type="dxa"/>
          </w:tcPr>
          <w:p w14:paraId="7E48F989" w14:textId="77777777" w:rsidR="00EF770A" w:rsidRPr="00F33A60" w:rsidRDefault="00EF770A" w:rsidP="007A3521">
            <w:pPr>
              <w:pStyle w:val="TableText"/>
              <w:ind w:right="113"/>
            </w:pPr>
          </w:p>
        </w:tc>
        <w:tc>
          <w:tcPr>
            <w:tcW w:w="1418" w:type="dxa"/>
          </w:tcPr>
          <w:p w14:paraId="5099EEF6" w14:textId="77777777" w:rsidR="004F406C" w:rsidRDefault="007A3521" w:rsidP="007A3521">
            <w:pPr>
              <w:pStyle w:val="TableText"/>
              <w:ind w:right="113"/>
            </w:pPr>
            <w:r>
              <w:t>AMP/IMP/</w:t>
            </w:r>
            <w:r w:rsidR="00EF770A" w:rsidRPr="00F33A60">
              <w:t>ANP</w:t>
            </w:r>
          </w:p>
          <w:p w14:paraId="3C712650" w14:textId="77777777" w:rsidR="00EF770A" w:rsidRPr="00F33A60" w:rsidRDefault="00EF770A" w:rsidP="007A3521">
            <w:pPr>
              <w:pStyle w:val="TableText"/>
              <w:ind w:right="113"/>
            </w:pPr>
            <w:r w:rsidRPr="00F33A60">
              <w:t>Psychiatrist</w:t>
            </w:r>
          </w:p>
        </w:tc>
        <w:tc>
          <w:tcPr>
            <w:tcW w:w="992" w:type="dxa"/>
          </w:tcPr>
          <w:p w14:paraId="5BD7A7D3" w14:textId="77777777" w:rsidR="004F406C" w:rsidRDefault="00EF770A" w:rsidP="007A3521">
            <w:pPr>
              <w:pStyle w:val="TableText"/>
              <w:ind w:right="113"/>
            </w:pPr>
            <w:r w:rsidRPr="00F33A60">
              <w:t>$120.80</w:t>
            </w:r>
          </w:p>
          <w:p w14:paraId="7B4E1E8B" w14:textId="77777777" w:rsidR="00EF770A" w:rsidRPr="00F33A60" w:rsidRDefault="00EF770A" w:rsidP="007A3521">
            <w:pPr>
              <w:pStyle w:val="TableText"/>
              <w:ind w:right="113"/>
            </w:pPr>
            <w:r w:rsidRPr="00F33A60">
              <w:t>$193.02</w:t>
            </w:r>
          </w:p>
        </w:tc>
        <w:tc>
          <w:tcPr>
            <w:tcW w:w="2693" w:type="dxa"/>
          </w:tcPr>
          <w:p w14:paraId="7EF6B2FA" w14:textId="77777777" w:rsidR="00EF770A" w:rsidRPr="003975DF" w:rsidRDefault="00EF770A" w:rsidP="007A3521">
            <w:pPr>
              <w:pStyle w:val="TableText"/>
            </w:pPr>
            <w:r w:rsidRPr="003975DF">
              <w:t>Travel time is pro-rated based on the time taken, to the nearest 15</w:t>
            </w:r>
            <w:r w:rsidR="007A3521">
              <w:t> </w:t>
            </w:r>
            <w:r w:rsidRPr="003975DF">
              <w:t>minute</w:t>
            </w:r>
            <w:r>
              <w:t>s</w:t>
            </w:r>
          </w:p>
        </w:tc>
      </w:tr>
      <w:tr w:rsidR="00EF770A" w14:paraId="01626AEC" w14:textId="77777777" w:rsidTr="007A3521">
        <w:trPr>
          <w:cantSplit/>
        </w:trPr>
        <w:tc>
          <w:tcPr>
            <w:tcW w:w="1414" w:type="dxa"/>
          </w:tcPr>
          <w:p w14:paraId="199BAFC2" w14:textId="77777777" w:rsidR="00EF770A" w:rsidRPr="00F33A60" w:rsidRDefault="00EF770A" w:rsidP="007A3521">
            <w:pPr>
              <w:pStyle w:val="TableText"/>
              <w:ind w:right="113"/>
            </w:pPr>
            <w:r w:rsidRPr="00F33A60">
              <w:t>Incidentals</w:t>
            </w:r>
          </w:p>
        </w:tc>
        <w:tc>
          <w:tcPr>
            <w:tcW w:w="1563" w:type="dxa"/>
          </w:tcPr>
          <w:p w14:paraId="04B25416" w14:textId="77777777" w:rsidR="00EF770A" w:rsidRPr="00F33A60" w:rsidRDefault="00EF770A" w:rsidP="007A3521">
            <w:pPr>
              <w:pStyle w:val="TableText"/>
              <w:ind w:right="113"/>
            </w:pPr>
          </w:p>
        </w:tc>
        <w:tc>
          <w:tcPr>
            <w:tcW w:w="1418" w:type="dxa"/>
          </w:tcPr>
          <w:p w14:paraId="485082B8" w14:textId="77777777" w:rsidR="00EF770A" w:rsidRPr="00F33A60" w:rsidRDefault="00EF770A" w:rsidP="007A3521">
            <w:pPr>
              <w:pStyle w:val="TableText"/>
              <w:ind w:right="113"/>
            </w:pPr>
            <w:r>
              <w:t>All</w:t>
            </w:r>
          </w:p>
        </w:tc>
        <w:tc>
          <w:tcPr>
            <w:tcW w:w="992" w:type="dxa"/>
          </w:tcPr>
          <w:p w14:paraId="53B3A58F" w14:textId="77777777" w:rsidR="00EF770A" w:rsidRPr="00F33A60" w:rsidRDefault="00EF770A" w:rsidP="007A3521">
            <w:pPr>
              <w:pStyle w:val="TableText"/>
              <w:ind w:right="113"/>
            </w:pPr>
          </w:p>
        </w:tc>
        <w:tc>
          <w:tcPr>
            <w:tcW w:w="2693" w:type="dxa"/>
          </w:tcPr>
          <w:p w14:paraId="2DE33B30" w14:textId="77777777" w:rsidR="00EF770A" w:rsidRPr="003975DF" w:rsidRDefault="00EF770A" w:rsidP="007A3521">
            <w:pPr>
              <w:pStyle w:val="TableText"/>
            </w:pPr>
            <w:r w:rsidRPr="003975DF">
              <w:t>Accommodation and meal costs reimbursed in exceptional circumstances</w:t>
            </w:r>
            <w:r>
              <w:t xml:space="preserve"> if</w:t>
            </w:r>
            <w:r w:rsidRPr="003975DF">
              <w:t xml:space="preserve"> an overnight stay is required to provide the service, </w:t>
            </w:r>
            <w:r>
              <w:t>on provision of</w:t>
            </w:r>
            <w:r w:rsidRPr="003975DF">
              <w:t xml:space="preserve"> an invoice and receipts</w:t>
            </w:r>
          </w:p>
        </w:tc>
      </w:tr>
    </w:tbl>
    <w:p w14:paraId="37AC81FA" w14:textId="77777777" w:rsidR="00EF770A" w:rsidRDefault="007A3521" w:rsidP="007A3521">
      <w:pPr>
        <w:pStyle w:val="Note"/>
        <w:ind w:left="284" w:hanging="284"/>
      </w:pPr>
      <w:r>
        <w:t>1</w:t>
      </w:r>
      <w:r>
        <w:tab/>
      </w:r>
      <w:r w:rsidR="00EF770A">
        <w:t>Total distance travelled is the return trip from the practitioner</w:t>
      </w:r>
      <w:r w:rsidR="004F406C">
        <w:t>’</w:t>
      </w:r>
      <w:r w:rsidR="00EF770A">
        <w:t>s usual place of work and the person</w:t>
      </w:r>
      <w:r w:rsidR="004F406C">
        <w:t>’</w:t>
      </w:r>
      <w:r w:rsidR="00EF770A">
        <w:t>s place of residence or location where they are receiving the assisted dying services.</w:t>
      </w:r>
    </w:p>
    <w:p w14:paraId="70032E08" w14:textId="77777777" w:rsidR="007A3521" w:rsidRPr="007A3521" w:rsidRDefault="007A3521" w:rsidP="007A3521"/>
    <w:p w14:paraId="4509E8E2" w14:textId="77777777" w:rsidR="00EF770A" w:rsidRDefault="00EF770A" w:rsidP="007A3521">
      <w:pPr>
        <w:pStyle w:val="Heading3"/>
      </w:pPr>
      <w:bookmarkStart w:id="50" w:name="_Toc81996401"/>
      <w:r>
        <w:t>Service standards</w:t>
      </w:r>
      <w:bookmarkEnd w:id="50"/>
    </w:p>
    <w:p w14:paraId="2838093C" w14:textId="77777777" w:rsidR="00EF770A" w:rsidRDefault="00EF770A" w:rsidP="007A3521">
      <w:pPr>
        <w:pStyle w:val="Number"/>
      </w:pPr>
      <w:r>
        <w:t xml:space="preserve">Practitioners claiming under the s88 notice must deliver services that meet the standards outlined in the notice. These standards require that the services are delivered in a prompt, efficient, </w:t>
      </w:r>
      <w:proofErr w:type="gramStart"/>
      <w:r>
        <w:t>professional</w:t>
      </w:r>
      <w:proofErr w:type="gramEnd"/>
      <w:r>
        <w:t xml:space="preserve"> and ethical manner and in accordance with:</w:t>
      </w:r>
    </w:p>
    <w:p w14:paraId="08C70231" w14:textId="42FBCAA6" w:rsidR="00EF770A" w:rsidRPr="002A339D" w:rsidRDefault="00B11DA7" w:rsidP="007A3521">
      <w:pPr>
        <w:pStyle w:val="Sub-number"/>
      </w:pPr>
      <w:hyperlink r:id="rId28" w:history="1">
        <w:r w:rsidR="00EF770A" w:rsidRPr="003975DF">
          <w:rPr>
            <w:rStyle w:val="Hyperlink"/>
          </w:rPr>
          <w:t>Care pathways</w:t>
        </w:r>
      </w:hyperlink>
      <w:r w:rsidR="00EF770A">
        <w:t xml:space="preserve"> for providing services to </w:t>
      </w:r>
      <w:r w:rsidR="00EF770A" w:rsidRPr="002F1E12">
        <w:t>Māori</w:t>
      </w:r>
      <w:r w:rsidR="00EF770A">
        <w:t xml:space="preserve"> in a way that embraces, </w:t>
      </w:r>
      <w:proofErr w:type="gramStart"/>
      <w:r w:rsidR="00EF770A">
        <w:t>supports</w:t>
      </w:r>
      <w:proofErr w:type="gramEnd"/>
      <w:r w:rsidR="00EF770A">
        <w:t xml:space="preserve"> and encourages </w:t>
      </w:r>
      <w:r w:rsidR="00EF770A" w:rsidRPr="002F1E12">
        <w:t>a Māori world</w:t>
      </w:r>
      <w:r w:rsidR="00EF770A">
        <w:t xml:space="preserve"> </w:t>
      </w:r>
      <w:r w:rsidR="00EF770A" w:rsidRPr="002F1E12">
        <w:t xml:space="preserve">view of health </w:t>
      </w:r>
      <w:r w:rsidR="00EF770A">
        <w:t xml:space="preserve">and provides high-quality and equitable services for </w:t>
      </w:r>
      <w:r w:rsidR="00EF770A" w:rsidRPr="002F1E12">
        <w:t>Māori</w:t>
      </w:r>
    </w:p>
    <w:p w14:paraId="55ABB88A" w14:textId="77777777" w:rsidR="004F406C" w:rsidRDefault="00B11DA7" w:rsidP="007A3521">
      <w:pPr>
        <w:pStyle w:val="Sub-number"/>
      </w:pPr>
      <w:hyperlink r:id="rId29" w:history="1">
        <w:r w:rsidR="00EF770A" w:rsidRPr="003975DF">
          <w:rPr>
            <w:rStyle w:val="Hyperlink"/>
          </w:rPr>
          <w:t>Care pathways</w:t>
        </w:r>
      </w:hyperlink>
      <w:r w:rsidR="00EF770A">
        <w:t xml:space="preserve"> for providing services in </w:t>
      </w:r>
      <w:r w:rsidR="00EF770A" w:rsidRPr="002F1E12">
        <w:t>a culturally</w:t>
      </w:r>
      <w:r w:rsidR="00EF770A">
        <w:t xml:space="preserve"> safe</w:t>
      </w:r>
      <w:r w:rsidR="00EF770A" w:rsidRPr="002F1E12">
        <w:t xml:space="preserve"> manner that reflect</w:t>
      </w:r>
      <w:r w:rsidR="00EF770A">
        <w:t>s</w:t>
      </w:r>
      <w:r w:rsidR="00EF770A" w:rsidRPr="002F1E12">
        <w:t xml:space="preserve"> the person</w:t>
      </w:r>
      <w:r w:rsidR="004F406C">
        <w:t>’</w:t>
      </w:r>
      <w:r w:rsidR="00EF770A">
        <w:t>s</w:t>
      </w:r>
      <w:r w:rsidR="00EF770A" w:rsidRPr="002F1E12">
        <w:t xml:space="preserve"> culture and values</w:t>
      </w:r>
    </w:p>
    <w:p w14:paraId="37D35C73" w14:textId="77777777" w:rsidR="004F406C" w:rsidRDefault="00EF770A" w:rsidP="007A3521">
      <w:pPr>
        <w:pStyle w:val="Sub-number"/>
      </w:pPr>
      <w:r w:rsidRPr="002F1E12">
        <w:t xml:space="preserve">the </w:t>
      </w:r>
      <w:hyperlink r:id="rId30" w:history="1">
        <w:r w:rsidRPr="003975DF">
          <w:rPr>
            <w:rStyle w:val="Hyperlink"/>
          </w:rPr>
          <w:t>standards of care</w:t>
        </w:r>
      </w:hyperlink>
      <w:r w:rsidRPr="002F1E12">
        <w:t xml:space="preserve"> developed by the SCENZ Group</w:t>
      </w:r>
    </w:p>
    <w:p w14:paraId="428E8B35" w14:textId="77777777" w:rsidR="00EF770A" w:rsidRPr="002F1E12" w:rsidRDefault="00EF770A" w:rsidP="007A3521">
      <w:pPr>
        <w:pStyle w:val="Sub-number"/>
        <w:keepNext/>
      </w:pPr>
      <w:r w:rsidRPr="002F1E12">
        <w:lastRenderedPageBreak/>
        <w:t>the requirements for reporting</w:t>
      </w:r>
      <w:r>
        <w:t xml:space="preserve"> on</w:t>
      </w:r>
      <w:r w:rsidRPr="002F1E12">
        <w:t xml:space="preserve"> assisted dying services, as set out on the </w:t>
      </w:r>
      <w:hyperlink r:id="rId31" w:history="1">
        <w:r w:rsidRPr="003975DF">
          <w:rPr>
            <w:rStyle w:val="Hyperlink"/>
          </w:rPr>
          <w:t>Ministry</w:t>
        </w:r>
      </w:hyperlink>
      <w:r w:rsidR="004F406C">
        <w:rPr>
          <w:rStyle w:val="Hyperlink"/>
        </w:rPr>
        <w:t>‘</w:t>
      </w:r>
      <w:r>
        <w:rPr>
          <w:rStyle w:val="Hyperlink"/>
        </w:rPr>
        <w:t>s</w:t>
      </w:r>
      <w:r w:rsidRPr="002F1E12">
        <w:t xml:space="preserve"> website</w:t>
      </w:r>
    </w:p>
    <w:p w14:paraId="717F4B84" w14:textId="77777777" w:rsidR="00EF770A" w:rsidRPr="002F1E12" w:rsidRDefault="00EF770A" w:rsidP="00513E6A">
      <w:pPr>
        <w:pStyle w:val="Sub-number"/>
        <w:keepNext/>
      </w:pPr>
      <w:r w:rsidRPr="002F1E12">
        <w:t xml:space="preserve">the requirements of the </w:t>
      </w:r>
      <w:r>
        <w:t>practitioner</w:t>
      </w:r>
      <w:r w:rsidR="004F406C">
        <w:t>’</w:t>
      </w:r>
      <w:r>
        <w:t>s responsible</w:t>
      </w:r>
      <w:r w:rsidRPr="002F1E12">
        <w:t xml:space="preserve"> </w:t>
      </w:r>
      <w:r>
        <w:t>authority, including requirements to act within their scope of practice</w:t>
      </w:r>
    </w:p>
    <w:p w14:paraId="3B80E9EF" w14:textId="77777777" w:rsidR="00EF770A" w:rsidRPr="002F1E12" w:rsidRDefault="00EF770A" w:rsidP="007A3521">
      <w:pPr>
        <w:pStyle w:val="Sub-number"/>
      </w:pPr>
      <w:r w:rsidRPr="002F1E12">
        <w:t xml:space="preserve">the standards of </w:t>
      </w:r>
      <w:r>
        <w:t xml:space="preserve">any </w:t>
      </w:r>
      <w:r w:rsidRPr="002F1E12">
        <w:t>professional college</w:t>
      </w:r>
      <w:r>
        <w:t xml:space="preserve"> of which the practitioner is a member</w:t>
      </w:r>
    </w:p>
    <w:p w14:paraId="5B9B4DB7" w14:textId="77777777" w:rsidR="00EF770A" w:rsidRPr="002F1E12" w:rsidRDefault="00EF770A" w:rsidP="007A3521">
      <w:pPr>
        <w:pStyle w:val="Sub-number"/>
      </w:pPr>
      <w:r w:rsidRPr="00F92479">
        <w:t>the requirements of the Code of Health and Disability Services Consumer Rights 1996</w:t>
      </w:r>
      <w:r>
        <w:t xml:space="preserve">, </w:t>
      </w:r>
      <w:proofErr w:type="spellStart"/>
      <w:r w:rsidRPr="00824B9C">
        <w:t>Ngā</w:t>
      </w:r>
      <w:proofErr w:type="spellEnd"/>
      <w:r w:rsidRPr="00824B9C">
        <w:t xml:space="preserve"> </w:t>
      </w:r>
      <w:proofErr w:type="spellStart"/>
      <w:r w:rsidRPr="00824B9C">
        <w:t>Paerewa</w:t>
      </w:r>
      <w:proofErr w:type="spellEnd"/>
      <w:r w:rsidRPr="00824B9C">
        <w:t xml:space="preserve"> Health and Disability Services Standard NZS 8134:2021</w:t>
      </w:r>
      <w:r w:rsidRPr="00F92479">
        <w:t xml:space="preserve"> </w:t>
      </w:r>
      <w:r>
        <w:t xml:space="preserve">and the </w:t>
      </w:r>
      <w:proofErr w:type="gramStart"/>
      <w:r w:rsidRPr="00F92479">
        <w:t>End</w:t>
      </w:r>
      <w:r>
        <w:t xml:space="preserve"> of Life</w:t>
      </w:r>
      <w:proofErr w:type="gramEnd"/>
      <w:r>
        <w:t xml:space="preserve"> Choice Act 2021</w:t>
      </w:r>
    </w:p>
    <w:p w14:paraId="700141CA" w14:textId="77777777" w:rsidR="00EF770A" w:rsidRPr="002F1E12" w:rsidRDefault="00EF770A" w:rsidP="007A3521">
      <w:pPr>
        <w:pStyle w:val="Sub-number"/>
      </w:pPr>
      <w:r w:rsidRPr="002F1E12">
        <w:t>all relevant law, including the requirements set out in the Act, the Health Practitioners Competence Assurance Act 2003, the Privacy Act 2020</w:t>
      </w:r>
      <w:r>
        <w:t>,</w:t>
      </w:r>
      <w:r w:rsidRPr="002F1E12">
        <w:t xml:space="preserve"> and the Health Information Privacy Code 2020</w:t>
      </w:r>
    </w:p>
    <w:p w14:paraId="7B45DA31" w14:textId="77777777" w:rsidR="00EF770A" w:rsidRPr="002F1E12" w:rsidRDefault="00EF770A" w:rsidP="007A3521">
      <w:pPr>
        <w:pStyle w:val="Sub-number"/>
      </w:pPr>
      <w:r w:rsidRPr="002F1E12">
        <w:t xml:space="preserve">the specific requirements set out in Part B of </w:t>
      </w:r>
      <w:r>
        <w:t>the s88 notice.</w:t>
      </w:r>
    </w:p>
    <w:p w14:paraId="41D074B9" w14:textId="77777777" w:rsidR="004F406C" w:rsidRDefault="00EF770A" w:rsidP="007A3521">
      <w:pPr>
        <w:pStyle w:val="Number"/>
      </w:pPr>
      <w:r>
        <w:t>Practitioners must also cooperate with and provide information to assist the Registrar of the Assisted Dying Service in relation to complaints received under the Act.</w:t>
      </w:r>
    </w:p>
    <w:p w14:paraId="751ABED6" w14:textId="77777777" w:rsidR="007A3521" w:rsidRDefault="007A3521" w:rsidP="007A3521"/>
    <w:p w14:paraId="1E180B95" w14:textId="77777777" w:rsidR="00EF770A" w:rsidRDefault="00EF770A" w:rsidP="007A3521">
      <w:pPr>
        <w:pStyle w:val="Heading3"/>
      </w:pPr>
      <w:bookmarkStart w:id="51" w:name="_Toc81996402"/>
      <w:r>
        <w:t>General requirements</w:t>
      </w:r>
      <w:bookmarkEnd w:id="51"/>
    </w:p>
    <w:p w14:paraId="1B812614" w14:textId="77777777" w:rsidR="00EF770A" w:rsidRPr="003975DF" w:rsidRDefault="00EF770A" w:rsidP="001F7B11">
      <w:pPr>
        <w:pStyle w:val="Number"/>
        <w:keepNext/>
      </w:pPr>
      <w:r w:rsidRPr="003975DF">
        <w:t xml:space="preserve">General requirements for practitioners to meet under the </w:t>
      </w:r>
      <w:r>
        <w:t xml:space="preserve">s88 notice </w:t>
      </w:r>
      <w:r w:rsidRPr="003975DF">
        <w:t>include:</w:t>
      </w:r>
    </w:p>
    <w:p w14:paraId="449E83AA" w14:textId="77777777" w:rsidR="00EF770A" w:rsidRPr="003975DF" w:rsidRDefault="00EF770A" w:rsidP="001F7B11">
      <w:pPr>
        <w:pStyle w:val="Sub-number"/>
        <w:keepNext/>
      </w:pPr>
      <w:r w:rsidRPr="003975DF">
        <w:t>complying with requirements related to audit</w:t>
      </w:r>
      <w:r>
        <w:t>s</w:t>
      </w:r>
      <w:r w:rsidRPr="003975DF">
        <w:t>, providing access to records and premises,</w:t>
      </w:r>
      <w:r>
        <w:t xml:space="preserve"> and</w:t>
      </w:r>
      <w:r w:rsidRPr="003975DF">
        <w:t xml:space="preserve"> allow</w:t>
      </w:r>
      <w:r>
        <w:t>ing</w:t>
      </w:r>
      <w:r w:rsidRPr="003975DF">
        <w:t xml:space="preserve"> auditors to interview anyone who works for the</w:t>
      </w:r>
      <w:r>
        <w:t>m</w:t>
      </w:r>
    </w:p>
    <w:p w14:paraId="102DE5A8" w14:textId="77777777" w:rsidR="00EF770A" w:rsidRPr="003975DF" w:rsidRDefault="00EF770A" w:rsidP="001F7B11">
      <w:pPr>
        <w:pStyle w:val="Sub-number"/>
        <w:keepNext/>
      </w:pPr>
      <w:r w:rsidRPr="003975DF">
        <w:t>permitting inspection of records if the Ministry exercises powers under section 22G of the Health Act and provide any reporting required as a result of the inspection</w:t>
      </w:r>
    </w:p>
    <w:p w14:paraId="4BD009CA" w14:textId="77777777" w:rsidR="00EF770A" w:rsidRPr="003975DF" w:rsidRDefault="00EF770A" w:rsidP="001F7B11">
      <w:pPr>
        <w:pStyle w:val="Sub-number"/>
      </w:pPr>
      <w:r w:rsidRPr="003975DF">
        <w:t>complying with the requirements related to making public statements and advertising</w:t>
      </w:r>
    </w:p>
    <w:p w14:paraId="07146739" w14:textId="77777777" w:rsidR="004F406C" w:rsidRDefault="00EF770A" w:rsidP="001F7B11">
      <w:pPr>
        <w:pStyle w:val="Sub-number"/>
      </w:pPr>
      <w:r w:rsidRPr="003975DF">
        <w:t>providing prompt written notice of an uncontrollable event that may affect the</w:t>
      </w:r>
      <w:r>
        <w:t>ir</w:t>
      </w:r>
      <w:r w:rsidRPr="003975DF">
        <w:t xml:space="preserve"> ability to complete assisted dying services</w:t>
      </w:r>
    </w:p>
    <w:p w14:paraId="34C8AB35" w14:textId="77777777" w:rsidR="004F406C" w:rsidRDefault="00EF770A" w:rsidP="001F7B11">
      <w:pPr>
        <w:pStyle w:val="Sub-number"/>
      </w:pPr>
      <w:r w:rsidRPr="003975DF">
        <w:t>maintaining confidentiality in accordance with the relevant Acts and Codes.</w:t>
      </w:r>
    </w:p>
    <w:p w14:paraId="115CDE42" w14:textId="77777777" w:rsidR="00EF770A" w:rsidRDefault="00EF770A" w:rsidP="001F7B11">
      <w:bookmarkStart w:id="52" w:name="_Toc81996403"/>
    </w:p>
    <w:p w14:paraId="32C740D3" w14:textId="77777777" w:rsidR="00EF770A" w:rsidRDefault="00EF770A" w:rsidP="00F22C08">
      <w:pPr>
        <w:pStyle w:val="Heading1"/>
      </w:pPr>
      <w:bookmarkStart w:id="53" w:name="_Toc84240317"/>
      <w:bookmarkStart w:id="54" w:name="_Toc84425837"/>
      <w:r>
        <w:lastRenderedPageBreak/>
        <w:t>Payment and reporting</w:t>
      </w:r>
      <w:bookmarkEnd w:id="52"/>
      <w:bookmarkEnd w:id="53"/>
      <w:bookmarkEnd w:id="54"/>
    </w:p>
    <w:p w14:paraId="210EB6FF" w14:textId="77777777" w:rsidR="00EF770A" w:rsidRDefault="00EF770A" w:rsidP="00F22C08">
      <w:pPr>
        <w:pStyle w:val="Heading2"/>
      </w:pPr>
      <w:bookmarkStart w:id="55" w:name="_Toc81996404"/>
      <w:bookmarkStart w:id="56" w:name="_Toc84240318"/>
      <w:bookmarkStart w:id="57" w:name="_Toc84425838"/>
      <w:r>
        <w:t>Obtaining a s88 notice</w:t>
      </w:r>
      <w:bookmarkEnd w:id="55"/>
      <w:bookmarkEnd w:id="56"/>
      <w:bookmarkEnd w:id="57"/>
    </w:p>
    <w:p w14:paraId="4C8F0E08" w14:textId="77777777" w:rsidR="004F406C" w:rsidRDefault="00EF770A" w:rsidP="00F22C08">
      <w:pPr>
        <w:pStyle w:val="Number"/>
      </w:pPr>
      <w:r>
        <w:t>AMPs, IMPs, ANPs</w:t>
      </w:r>
      <w:r w:rsidRPr="00AE3DA5">
        <w:t xml:space="preserve"> and psychiatrists who are involved in providing assisted dying services can claim funding for providing assisted dying services through the </w:t>
      </w:r>
      <w:r>
        <w:t>s88 notice</w:t>
      </w:r>
      <w:r w:rsidRPr="00AE3DA5">
        <w:t>. Each practitioner must</w:t>
      </w:r>
      <w:r>
        <w:t xml:space="preserve"> be eligible for funding under the s</w:t>
      </w:r>
      <w:r w:rsidRPr="00AE3DA5">
        <w:t>88 notice.</w:t>
      </w:r>
    </w:p>
    <w:p w14:paraId="271A27FE" w14:textId="77777777" w:rsidR="004F406C" w:rsidRDefault="00EF770A" w:rsidP="00F22C08">
      <w:pPr>
        <w:pStyle w:val="Number"/>
      </w:pPr>
      <w:r>
        <w:t xml:space="preserve">An ANP can claim under the s88 notice </w:t>
      </w:r>
      <w:r w:rsidRPr="0079271D">
        <w:t>but</w:t>
      </w:r>
      <w:r>
        <w:t xml:space="preserve"> can only act under instructions from an AMP.</w:t>
      </w:r>
    </w:p>
    <w:p w14:paraId="317D0202" w14:textId="08F2BBB2" w:rsidR="004F406C" w:rsidRDefault="00EF770A" w:rsidP="00F22C08">
      <w:pPr>
        <w:pStyle w:val="Number"/>
      </w:pPr>
      <w:r>
        <w:t>The practitioner needs to complete</w:t>
      </w:r>
      <w:r w:rsidR="0061602B">
        <w:t xml:space="preserve"> a </w:t>
      </w:r>
      <w:hyperlink r:id="rId32" w:history="1">
        <w:r w:rsidR="0061602B" w:rsidRPr="0061602B">
          <w:rPr>
            <w:rStyle w:val="Hyperlink"/>
          </w:rPr>
          <w:t>s88 Assisted Dying Notice Request Form</w:t>
        </w:r>
      </w:hyperlink>
      <w:r>
        <w:t>.</w:t>
      </w:r>
    </w:p>
    <w:p w14:paraId="23C2CC30" w14:textId="77777777" w:rsidR="004F406C" w:rsidRDefault="00EF770A" w:rsidP="00F22C08">
      <w:pPr>
        <w:pStyle w:val="Number"/>
      </w:pPr>
      <w:r>
        <w:t xml:space="preserve">Each practitioner must have an individual payee number under the s88 notice. However, payment may be to the individual, their business </w:t>
      </w:r>
      <w:proofErr w:type="gramStart"/>
      <w:r>
        <w:t>entity</w:t>
      </w:r>
      <w:proofErr w:type="gramEnd"/>
      <w:r>
        <w:t xml:space="preserve"> or their practice.</w:t>
      </w:r>
    </w:p>
    <w:p w14:paraId="03200F87" w14:textId="77777777" w:rsidR="004F406C" w:rsidRDefault="00EF770A" w:rsidP="00F22C08">
      <w:pPr>
        <w:pStyle w:val="Number"/>
      </w:pPr>
      <w:r w:rsidRPr="008C086F">
        <w:t xml:space="preserve">The </w:t>
      </w:r>
      <w:r>
        <w:t>practitioner does not need to renew or update their s</w:t>
      </w:r>
      <w:r w:rsidRPr="008C086F">
        <w:t xml:space="preserve">88 notice </w:t>
      </w:r>
      <w:r w:rsidRPr="00A763DF">
        <w:t>authorisation</w:t>
      </w:r>
      <w:r>
        <w:t xml:space="preserve">. However, practitioners will need to contact Sector Operations at </w:t>
      </w:r>
      <w:hyperlink r:id="rId33" w:history="1">
        <w:r w:rsidRPr="00E72130">
          <w:rPr>
            <w:rStyle w:val="Hyperlink"/>
          </w:rPr>
          <w:t>DunedinAASupport@health.govt.nz</w:t>
        </w:r>
      </w:hyperlink>
      <w:r>
        <w:t xml:space="preserve"> to advise of any change to payment details, for example bank account number and whether GST registered or not.</w:t>
      </w:r>
    </w:p>
    <w:p w14:paraId="00006977" w14:textId="77777777" w:rsidR="004F406C" w:rsidRDefault="00EF770A" w:rsidP="00F22C08">
      <w:pPr>
        <w:pStyle w:val="Number"/>
      </w:pPr>
      <w:r>
        <w:t>Before any payment is made for assisted dying services under the s88 notice, the practitioner</w:t>
      </w:r>
      <w:r w:rsidR="004F406C">
        <w:t>’</w:t>
      </w:r>
      <w:r>
        <w:t>s eligibility to receive payment will be validated.</w:t>
      </w:r>
    </w:p>
    <w:p w14:paraId="2ADAAF49" w14:textId="77777777" w:rsidR="00F22C08" w:rsidRDefault="00F22C08" w:rsidP="00F22C08"/>
    <w:p w14:paraId="22833EB6" w14:textId="77777777" w:rsidR="00EF770A" w:rsidRDefault="00EF770A" w:rsidP="00F22C08">
      <w:pPr>
        <w:pStyle w:val="Heading2"/>
      </w:pPr>
      <w:bookmarkStart w:id="58" w:name="_Toc81996405"/>
      <w:bookmarkStart w:id="59" w:name="_Toc84240319"/>
      <w:bookmarkStart w:id="60" w:name="_Toc84425839"/>
      <w:r>
        <w:t>Eligible practitioners</w:t>
      </w:r>
      <w:bookmarkEnd w:id="58"/>
      <w:bookmarkEnd w:id="59"/>
      <w:bookmarkEnd w:id="60"/>
    </w:p>
    <w:p w14:paraId="200981CE" w14:textId="77777777" w:rsidR="00EF770A" w:rsidRDefault="00EF770A" w:rsidP="007726E9">
      <w:pPr>
        <w:pStyle w:val="Number"/>
      </w:pPr>
      <w:r>
        <w:t>To be eligible to receive payment for assisted dying services under the s88 notice, a practitioner must:</w:t>
      </w:r>
    </w:p>
    <w:p w14:paraId="27C58814" w14:textId="77777777" w:rsidR="004F406C" w:rsidRDefault="00EF770A" w:rsidP="007726E9">
      <w:pPr>
        <w:pStyle w:val="Sub-number"/>
      </w:pPr>
      <w:r>
        <w:t>be a medical practitioner, nurse practitioner or psy</w:t>
      </w:r>
      <w:r w:rsidR="007726E9">
        <w:t>chiatrist as defined in the Act</w:t>
      </w:r>
    </w:p>
    <w:p w14:paraId="600226FE" w14:textId="77777777" w:rsidR="004F406C" w:rsidRDefault="00EF770A" w:rsidP="007726E9">
      <w:pPr>
        <w:pStyle w:val="Sub-number"/>
      </w:pPr>
      <w:r>
        <w:t>have completed the training requirements, which include initial training and refresher training (</w:t>
      </w:r>
      <w:hyperlink r:id="rId34" w:history="1">
        <w:r w:rsidRPr="00DA6019">
          <w:rPr>
            <w:rStyle w:val="Hyperlink"/>
          </w:rPr>
          <w:t>LearnOnline</w:t>
        </w:r>
      </w:hyperlink>
      <w:r w:rsidRPr="007726E9">
        <w:t xml:space="preserve"> </w:t>
      </w:r>
      <w:r w:rsidRPr="00AB5FAF">
        <w:t>has more information</w:t>
      </w:r>
      <w:r>
        <w:t>)</w:t>
      </w:r>
    </w:p>
    <w:p w14:paraId="4D9EB78D" w14:textId="5CAFE98E" w:rsidR="004F406C" w:rsidRDefault="00EF770A" w:rsidP="007726E9">
      <w:pPr>
        <w:pStyle w:val="Sub-number"/>
      </w:pPr>
      <w:r>
        <w:t xml:space="preserve">have delivered the assisted dying services in Modules 1 to 5 (see </w:t>
      </w:r>
      <w:r>
        <w:fldChar w:fldCharType="begin"/>
      </w:r>
      <w:r>
        <w:instrText xml:space="preserve"> REF _Ref82600560 \h  \* MERGEFORMAT </w:instrText>
      </w:r>
      <w:r>
        <w:fldChar w:fldCharType="separate"/>
      </w:r>
      <w:r w:rsidR="00B11DA7">
        <w:t>Table 3</w:t>
      </w:r>
      <w:r>
        <w:fldChar w:fldCharType="end"/>
      </w:r>
      <w:r>
        <w:t>)</w:t>
      </w:r>
    </w:p>
    <w:p w14:paraId="5CF47323" w14:textId="77777777" w:rsidR="004F406C" w:rsidRDefault="00EF770A" w:rsidP="007726E9">
      <w:pPr>
        <w:pStyle w:val="Sub-number"/>
      </w:pPr>
      <w:r>
        <w:t>be part of a general practice or a private practice.</w:t>
      </w:r>
    </w:p>
    <w:p w14:paraId="28F1FA88" w14:textId="77777777" w:rsidR="00EF770A" w:rsidRDefault="00EF770A" w:rsidP="007726E9">
      <w:pPr>
        <w:pStyle w:val="Number"/>
        <w:keepNext/>
      </w:pPr>
      <w:r>
        <w:lastRenderedPageBreak/>
        <w:t>Practitioners are not eligible to receive funding if:</w:t>
      </w:r>
    </w:p>
    <w:p w14:paraId="6624EDB3" w14:textId="77777777" w:rsidR="004F406C" w:rsidRDefault="00EF770A" w:rsidP="007726E9">
      <w:pPr>
        <w:pStyle w:val="Sub-number"/>
        <w:keepNext/>
      </w:pPr>
      <w:r>
        <w:t>they are providing assisted dying services in their capacity as an employee of a DHB</w:t>
      </w:r>
    </w:p>
    <w:p w14:paraId="31BFD202" w14:textId="77777777" w:rsidR="004F406C" w:rsidRDefault="00EF770A" w:rsidP="007726E9">
      <w:pPr>
        <w:pStyle w:val="Sub-sub-number"/>
        <w:keepNext/>
      </w:pPr>
      <w:r>
        <w:t>a practitioner operating in both a DHB and a private setting may only claim under the s88 notice for assisted dying services that were provided in their private capacity</w:t>
      </w:r>
    </w:p>
    <w:p w14:paraId="26E8525F" w14:textId="77777777" w:rsidR="004F406C" w:rsidRDefault="00EF770A" w:rsidP="007726E9">
      <w:pPr>
        <w:pStyle w:val="Sub-number"/>
      </w:pPr>
      <w:r>
        <w:t>they are eligible to receive funding (either directly or indirectly) under any other arrangement with the Ministry (such as Disability Support Services), a DHB or another government agency (such as ACC)</w:t>
      </w:r>
    </w:p>
    <w:p w14:paraId="39ACD077" w14:textId="77777777" w:rsidR="004F406C" w:rsidRDefault="00EF770A" w:rsidP="007726E9">
      <w:pPr>
        <w:pStyle w:val="Sub-number"/>
      </w:pPr>
      <w:r>
        <w:t>they have been suspended or disqualified by the Ministry from making a claim.</w:t>
      </w:r>
    </w:p>
    <w:p w14:paraId="35C649C9" w14:textId="77777777" w:rsidR="007726E9" w:rsidRDefault="007726E9" w:rsidP="007726E9"/>
    <w:p w14:paraId="130974B8" w14:textId="77777777" w:rsidR="004F406C" w:rsidRDefault="00EF770A" w:rsidP="007726E9">
      <w:pPr>
        <w:pStyle w:val="Heading2"/>
      </w:pPr>
      <w:bookmarkStart w:id="61" w:name="_Toc81996406"/>
      <w:bookmarkStart w:id="62" w:name="_Toc84240320"/>
      <w:bookmarkStart w:id="63" w:name="_Toc84425840"/>
      <w:r>
        <w:t>Reporting</w:t>
      </w:r>
      <w:bookmarkEnd w:id="61"/>
      <w:bookmarkEnd w:id="62"/>
      <w:bookmarkEnd w:id="63"/>
    </w:p>
    <w:p w14:paraId="6CCF825E" w14:textId="77777777" w:rsidR="004F406C" w:rsidRDefault="00EF770A" w:rsidP="007726E9">
      <w:pPr>
        <w:pStyle w:val="Number"/>
      </w:pPr>
      <w:r w:rsidRPr="003975DF">
        <w:t xml:space="preserve">The reporting requirements related to assisted dying services are published on the </w:t>
      </w:r>
      <w:hyperlink r:id="rId35" w:history="1">
        <w:r w:rsidRPr="003975DF">
          <w:rPr>
            <w:rStyle w:val="Hyperlink"/>
          </w:rPr>
          <w:t>Ministry</w:t>
        </w:r>
        <w:r w:rsidR="004F406C">
          <w:rPr>
            <w:rStyle w:val="Hyperlink"/>
          </w:rPr>
          <w:t>’</w:t>
        </w:r>
        <w:r>
          <w:rPr>
            <w:rStyle w:val="Hyperlink"/>
          </w:rPr>
          <w:t>s</w:t>
        </w:r>
      </w:hyperlink>
      <w:r w:rsidRPr="003975DF">
        <w:t xml:space="preserve"> website.</w:t>
      </w:r>
    </w:p>
    <w:p w14:paraId="6FC953F2" w14:textId="77777777" w:rsidR="004F406C" w:rsidRDefault="00EF770A" w:rsidP="007726E9">
      <w:pPr>
        <w:pStyle w:val="Number"/>
      </w:pPr>
      <w:r>
        <w:t>Reporting requirements must be completed within any stipulated timeframes before a claim will be accepted.</w:t>
      </w:r>
    </w:p>
    <w:p w14:paraId="19A6583D" w14:textId="7747AF6F" w:rsidR="004F406C" w:rsidRPr="00025F87" w:rsidRDefault="00EF770A" w:rsidP="007726E9">
      <w:pPr>
        <w:pStyle w:val="Number"/>
      </w:pPr>
      <w:r>
        <w:t xml:space="preserve">Reporting of assisted dying services should be completed and submitted electronically wherever possible through </w:t>
      </w:r>
      <w:r w:rsidRPr="00025F87">
        <w:t xml:space="preserve">the assisted dying Health Advisory and Regulatory </w:t>
      </w:r>
      <w:r w:rsidR="00CD0BBC">
        <w:t>P</w:t>
      </w:r>
      <w:r w:rsidRPr="00025F87">
        <w:t>latform (HARP).</w:t>
      </w:r>
    </w:p>
    <w:p w14:paraId="1D93D03D" w14:textId="7F2C40B6" w:rsidR="004F406C" w:rsidRDefault="00EF770A" w:rsidP="007726E9">
      <w:pPr>
        <w:pStyle w:val="Number"/>
      </w:pPr>
      <w:r>
        <w:t xml:space="preserve">The </w:t>
      </w:r>
      <w:r w:rsidRPr="003975DF">
        <w:t xml:space="preserve">Ministry </w:t>
      </w:r>
      <w:r>
        <w:t xml:space="preserve">can be contacted at </w:t>
      </w:r>
      <w:hyperlink r:id="rId36" w:history="1">
        <w:r w:rsidR="007D39FD" w:rsidRPr="006B7860">
          <w:rPr>
            <w:rStyle w:val="Hyperlink"/>
            <w:rFonts w:cs="Segoe UI"/>
            <w:sz w:val="20"/>
            <w:shd w:val="clear" w:color="auto" w:fill="FFFFFF"/>
          </w:rPr>
          <w:t>AssistedDying@health.govt.nz</w:t>
        </w:r>
      </w:hyperlink>
      <w:r>
        <w:t xml:space="preserve"> if forms cannot be completed electronically.</w:t>
      </w:r>
    </w:p>
    <w:p w14:paraId="4AA870DA" w14:textId="77777777" w:rsidR="004F406C" w:rsidRDefault="00EF770A" w:rsidP="007726E9">
      <w:pPr>
        <w:pStyle w:val="Number"/>
      </w:pPr>
      <w:r>
        <w:t>Services must be reported in full, supplying all required information.</w:t>
      </w:r>
    </w:p>
    <w:p w14:paraId="3AFE39FB" w14:textId="77777777" w:rsidR="007726E9" w:rsidRDefault="007726E9" w:rsidP="007726E9"/>
    <w:p w14:paraId="46032368" w14:textId="77777777" w:rsidR="00EF770A" w:rsidRDefault="00EF770A" w:rsidP="007726E9">
      <w:pPr>
        <w:pStyle w:val="Heading2"/>
      </w:pPr>
      <w:bookmarkStart w:id="64" w:name="_Toc81996407"/>
      <w:bookmarkStart w:id="65" w:name="_Toc84240321"/>
      <w:bookmarkStart w:id="66" w:name="_Toc84425841"/>
      <w:r>
        <w:t>Submitting a claim</w:t>
      </w:r>
      <w:bookmarkEnd w:id="64"/>
      <w:bookmarkEnd w:id="65"/>
      <w:bookmarkEnd w:id="66"/>
    </w:p>
    <w:p w14:paraId="017222BA" w14:textId="77777777" w:rsidR="004F406C" w:rsidRDefault="00EF770A" w:rsidP="007726E9">
      <w:pPr>
        <w:pStyle w:val="Number"/>
      </w:pPr>
      <w:r>
        <w:t>Claims for assisted dying services are generated automatically when the activity has been completed and HARP is updated.</w:t>
      </w:r>
    </w:p>
    <w:p w14:paraId="12AAFA29" w14:textId="77777777" w:rsidR="004F406C" w:rsidRDefault="00EF770A" w:rsidP="007726E9">
      <w:pPr>
        <w:pStyle w:val="Number"/>
      </w:pPr>
      <w:r>
        <w:t>A claim is accepted when the required assisted dying services information has been received.</w:t>
      </w:r>
    </w:p>
    <w:p w14:paraId="444BC067" w14:textId="77777777" w:rsidR="004F406C" w:rsidRDefault="00EF770A" w:rsidP="007726E9">
      <w:pPr>
        <w:pStyle w:val="Number"/>
      </w:pPr>
      <w:r>
        <w:t>Claims may be returned to a practitioner for correction before payment.</w:t>
      </w:r>
    </w:p>
    <w:p w14:paraId="2920F5AA" w14:textId="77777777" w:rsidR="004F406C" w:rsidRDefault="00EF770A" w:rsidP="007726E9">
      <w:pPr>
        <w:pStyle w:val="Number"/>
      </w:pPr>
      <w:r w:rsidRPr="00B10ECA">
        <w:t xml:space="preserve">As each module is completed and </w:t>
      </w:r>
      <w:r>
        <w:t xml:space="preserve">activity reported, </w:t>
      </w:r>
      <w:r w:rsidRPr="00B10ECA">
        <w:t xml:space="preserve">the event will be captured in </w:t>
      </w:r>
      <w:r>
        <w:t>HARP</w:t>
      </w:r>
      <w:r w:rsidRPr="00B10ECA">
        <w:t xml:space="preserve">. </w:t>
      </w:r>
      <w:r>
        <w:t>Practitioners will be able to view the status of their activity through a dashboard.</w:t>
      </w:r>
    </w:p>
    <w:p w14:paraId="707D4C6D" w14:textId="77777777" w:rsidR="004F406C" w:rsidRDefault="00EF770A" w:rsidP="007726E9">
      <w:pPr>
        <w:pStyle w:val="Number"/>
        <w:keepNext/>
      </w:pPr>
      <w:r>
        <w:lastRenderedPageBreak/>
        <w:t>The Ministry will validate the information provided, which includes checking the practitioner</w:t>
      </w:r>
      <w:r w:rsidR="004F406C">
        <w:t>’</w:t>
      </w:r>
      <w:r>
        <w:t>s practising certificate and training status.</w:t>
      </w:r>
    </w:p>
    <w:p w14:paraId="11E9F15B" w14:textId="77777777" w:rsidR="00EF770A" w:rsidRDefault="00EF770A" w:rsidP="007726E9">
      <w:pPr>
        <w:pStyle w:val="Number"/>
      </w:pPr>
      <w:r>
        <w:t>When a practitioner</w:t>
      </w:r>
      <w:r w:rsidR="004F406C">
        <w:t>’</w:t>
      </w:r>
      <w:r>
        <w:t>s claim has been validated, a</w:t>
      </w:r>
      <w:r w:rsidRPr="00B10ECA">
        <w:t xml:space="preserve"> file will be sent to Sector Operations. </w:t>
      </w:r>
      <w:r>
        <w:t>They</w:t>
      </w:r>
      <w:r w:rsidRPr="00B10ECA">
        <w:t xml:space="preserve"> will make payment </w:t>
      </w:r>
      <w:r>
        <w:t>through:</w:t>
      </w:r>
    </w:p>
    <w:p w14:paraId="56DCD7FF" w14:textId="77777777" w:rsidR="00EF770A" w:rsidRDefault="00EF770A" w:rsidP="007726E9">
      <w:pPr>
        <w:pStyle w:val="Sub-number"/>
      </w:pPr>
      <w:r>
        <w:t xml:space="preserve">a buyer-created tax invoice </w:t>
      </w:r>
      <w:r w:rsidRPr="00B10ECA">
        <w:t>for any GST</w:t>
      </w:r>
      <w:r>
        <w:t>-</w:t>
      </w:r>
      <w:r w:rsidRPr="00B10ECA">
        <w:t>registered practitioner</w:t>
      </w:r>
    </w:p>
    <w:p w14:paraId="7157245B" w14:textId="77777777" w:rsidR="004F406C" w:rsidRDefault="00EF770A" w:rsidP="007726E9">
      <w:pPr>
        <w:pStyle w:val="Sub-number"/>
      </w:pPr>
      <w:r>
        <w:t>a buyer-created invoice for any practitioner</w:t>
      </w:r>
      <w:r w:rsidRPr="008039DF">
        <w:t xml:space="preserve"> </w:t>
      </w:r>
      <w:r>
        <w:t>who is not GST-registered</w:t>
      </w:r>
      <w:r w:rsidRPr="00B10ECA">
        <w:t>.</w:t>
      </w:r>
    </w:p>
    <w:p w14:paraId="371AA547" w14:textId="60165665" w:rsidR="00EF770A" w:rsidRPr="003975DF" w:rsidRDefault="00EF770A" w:rsidP="007726E9">
      <w:pPr>
        <w:pStyle w:val="Number"/>
      </w:pPr>
      <w:r>
        <w:t>P</w:t>
      </w:r>
      <w:r w:rsidRPr="003975DF">
        <w:t xml:space="preserve">ractitioners will need to </w:t>
      </w:r>
      <w:r>
        <w:t>advise</w:t>
      </w:r>
      <w:r w:rsidRPr="003975DF">
        <w:t xml:space="preserve"> the </w:t>
      </w:r>
      <w:r>
        <w:t>Ministry</w:t>
      </w:r>
      <w:r w:rsidRPr="003975DF">
        <w:t xml:space="preserve"> at </w:t>
      </w:r>
      <w:hyperlink r:id="rId37" w:history="1">
        <w:r w:rsidR="007D39FD">
          <w:rPr>
            <w:rStyle w:val="Hyperlink"/>
          </w:rPr>
          <w:t>AssistedDying</w:t>
        </w:r>
        <w:r w:rsidRPr="007726E9">
          <w:rPr>
            <w:rStyle w:val="Hyperlink"/>
          </w:rPr>
          <w:t>@health.govt.nz</w:t>
        </w:r>
      </w:hyperlink>
      <w:r>
        <w:rPr>
          <w:rStyle w:val="Hyperlink"/>
          <w:rFonts w:cs="Segoe UI"/>
          <w:color w:val="002839"/>
          <w:sz w:val="20"/>
          <w:shd w:val="clear" w:color="auto" w:fill="FFFFFF"/>
        </w:rPr>
        <w:t xml:space="preserve"> </w:t>
      </w:r>
      <w:r>
        <w:t>they are</w:t>
      </w:r>
      <w:r w:rsidRPr="003975DF">
        <w:t>:</w:t>
      </w:r>
    </w:p>
    <w:p w14:paraId="14437621" w14:textId="77777777" w:rsidR="00EF770A" w:rsidRPr="003975DF" w:rsidRDefault="00EF770A" w:rsidP="007726E9">
      <w:pPr>
        <w:pStyle w:val="Sub-number"/>
      </w:pPr>
      <w:r>
        <w:t>unable</w:t>
      </w:r>
      <w:r w:rsidRPr="003975DF">
        <w:t xml:space="preserve"> to submit forms electronically</w:t>
      </w:r>
    </w:p>
    <w:p w14:paraId="7B178196" w14:textId="77777777" w:rsidR="004F406C" w:rsidRDefault="00EF770A" w:rsidP="007726E9">
      <w:pPr>
        <w:pStyle w:val="Sub-number"/>
      </w:pPr>
      <w:r w:rsidRPr="003975DF">
        <w:t>submitting an invoice for travel costs.</w:t>
      </w:r>
    </w:p>
    <w:p w14:paraId="4FD36123" w14:textId="77777777" w:rsidR="004F406C" w:rsidRDefault="00EF770A" w:rsidP="007726E9">
      <w:pPr>
        <w:pStyle w:val="Number"/>
      </w:pPr>
      <w:r>
        <w:t xml:space="preserve">Payments will be for the amount set out in the pricing schedule in the </w:t>
      </w:r>
      <w:hyperlink r:id="rId38" w:history="1">
        <w:r>
          <w:rPr>
            <w:rStyle w:val="Hyperlink"/>
          </w:rPr>
          <w:t>section 88 Assisted Dying Services Notice 2021</w:t>
        </w:r>
      </w:hyperlink>
      <w:r>
        <w:t xml:space="preserve"> </w:t>
      </w:r>
      <w:r w:rsidRPr="003975DF">
        <w:t>for</w:t>
      </w:r>
      <w:r>
        <w:t xml:space="preserve"> each module and any additional components.</w:t>
      </w:r>
    </w:p>
    <w:p w14:paraId="7B42491D" w14:textId="77777777" w:rsidR="004F406C" w:rsidRDefault="00EF770A" w:rsidP="007726E9">
      <w:pPr>
        <w:pStyle w:val="Number"/>
      </w:pPr>
      <w:r>
        <w:t xml:space="preserve">Invoices for travel allowance must be accompanied by </w:t>
      </w:r>
      <w:r w:rsidRPr="004647CE">
        <w:t>receipts</w:t>
      </w:r>
      <w:r>
        <w:t xml:space="preserve"> and details of the start and end points of the journey.</w:t>
      </w:r>
    </w:p>
    <w:p w14:paraId="38FBCFBA" w14:textId="77777777" w:rsidR="004F406C" w:rsidRDefault="00EF770A" w:rsidP="007726E9">
      <w:pPr>
        <w:pStyle w:val="Number"/>
      </w:pPr>
      <w:r>
        <w:t>Claims for accommodation and meal costs must include an explanation about why an overnight stay was required.</w:t>
      </w:r>
    </w:p>
    <w:p w14:paraId="2F5CE584" w14:textId="77777777" w:rsidR="007726E9" w:rsidRDefault="007726E9" w:rsidP="007726E9"/>
    <w:p w14:paraId="19DDD5B8" w14:textId="77777777" w:rsidR="00EF770A" w:rsidRDefault="00EF770A" w:rsidP="00EF770A">
      <w:pPr>
        <w:pStyle w:val="Heading2"/>
      </w:pPr>
      <w:bookmarkStart w:id="67" w:name="_Toc81996408"/>
      <w:bookmarkStart w:id="68" w:name="_Toc84240322"/>
      <w:bookmarkStart w:id="69" w:name="_Toc84425842"/>
      <w:r>
        <w:t>Receiving payment</w:t>
      </w:r>
      <w:bookmarkEnd w:id="67"/>
      <w:bookmarkEnd w:id="68"/>
      <w:bookmarkEnd w:id="69"/>
    </w:p>
    <w:p w14:paraId="6E5CA25F" w14:textId="77777777" w:rsidR="004F406C" w:rsidRDefault="00EF770A" w:rsidP="007726E9">
      <w:pPr>
        <w:pStyle w:val="Number"/>
      </w:pPr>
      <w:r>
        <w:t>Claims must be received by the Ministry within six months of the delivery of the module.</w:t>
      </w:r>
    </w:p>
    <w:p w14:paraId="72CE0EFE" w14:textId="4FD8EB04" w:rsidR="004F406C" w:rsidRDefault="00EF770A" w:rsidP="007726E9">
      <w:pPr>
        <w:pStyle w:val="Number"/>
      </w:pPr>
      <w:r>
        <w:t>Claims will be paid on or before the 22</w:t>
      </w:r>
      <w:r w:rsidR="00581D3C">
        <w:t>nd</w:t>
      </w:r>
      <w:r>
        <w:t xml:space="preserve"> day (or the next working day) of the month following the Ministry</w:t>
      </w:r>
      <w:r w:rsidR="004F406C">
        <w:t>’</w:t>
      </w:r>
      <w:r>
        <w:t>s acceptance of the claim, by direct credit to the bank details provided on the</w:t>
      </w:r>
      <w:r w:rsidR="0061602B">
        <w:t xml:space="preserve"> s88 Assisted Dying Notice Request Form</w:t>
      </w:r>
      <w:r>
        <w:t>.</w:t>
      </w:r>
    </w:p>
    <w:p w14:paraId="66222979" w14:textId="77777777" w:rsidR="004F406C" w:rsidRDefault="00EF770A" w:rsidP="007726E9">
      <w:pPr>
        <w:pStyle w:val="Number"/>
      </w:pPr>
      <w:r>
        <w:t xml:space="preserve">To receive payment a practitioner needs to hold a current practising certificate and have completed the </w:t>
      </w:r>
      <w:r w:rsidRPr="00F33A60">
        <w:t>Ministry</w:t>
      </w:r>
      <w:r w:rsidR="004F406C">
        <w:t>’</w:t>
      </w:r>
      <w:r w:rsidRPr="00F33A60">
        <w:t>s required training</w:t>
      </w:r>
    </w:p>
    <w:p w14:paraId="479DE2E5" w14:textId="77777777" w:rsidR="004F406C" w:rsidRDefault="00EF770A" w:rsidP="007726E9">
      <w:pPr>
        <w:pStyle w:val="Number"/>
      </w:pPr>
      <w:r>
        <w:t>A</w:t>
      </w:r>
      <w:r w:rsidRPr="00123159">
        <w:t xml:space="preserve"> practitioner cannot receive payment under the </w:t>
      </w:r>
      <w:r>
        <w:t>s88 notice</w:t>
      </w:r>
      <w:r w:rsidRPr="00123159">
        <w:t xml:space="preserve"> </w:t>
      </w:r>
      <w:r>
        <w:t xml:space="preserve">if </w:t>
      </w:r>
      <w:r w:rsidRPr="00123159">
        <w:t xml:space="preserve">the person </w:t>
      </w:r>
      <w:r>
        <w:t xml:space="preserve">receiving the assisted dying services has been charged </w:t>
      </w:r>
      <w:r w:rsidRPr="00123159">
        <w:t>a co-payment for an appointment that is part of the assisted dying process</w:t>
      </w:r>
      <w:r>
        <w:t>.</w:t>
      </w:r>
      <w:r w:rsidRPr="00581D3C">
        <w:rPr>
          <w:rStyle w:val="FootnoteReference"/>
        </w:rPr>
        <w:footnoteReference w:id="5"/>
      </w:r>
    </w:p>
    <w:p w14:paraId="0F16402A" w14:textId="77777777" w:rsidR="004F406C" w:rsidRDefault="00EF770A" w:rsidP="007726E9">
      <w:pPr>
        <w:pStyle w:val="Number"/>
      </w:pPr>
      <w:r>
        <w:t>If the Ministry determines that a practitioner has been overpaid or was not entitled to a payment, the Ministry may recover that amount as a debt or deduct it from any future payments.</w:t>
      </w:r>
    </w:p>
    <w:p w14:paraId="63A83DFB" w14:textId="77777777" w:rsidR="00EF770A" w:rsidRDefault="00EF770A" w:rsidP="00EF770A">
      <w:pPr>
        <w:pStyle w:val="Number"/>
      </w:pPr>
      <w:r>
        <w:t>The Ministry may withhold payment if there are reasonable grounds to believe that a practitioner has materially or intentionally breached the s88 notice or their claim is materially or intentionally false.</w:t>
      </w:r>
      <w:bookmarkStart w:id="70" w:name="_bookmark10"/>
      <w:bookmarkEnd w:id="70"/>
    </w:p>
    <w:p w14:paraId="485EC543" w14:textId="77777777" w:rsidR="0044506A" w:rsidRPr="00A85BFC" w:rsidRDefault="0044506A" w:rsidP="00A85BFC"/>
    <w:sectPr w:rsidR="0044506A" w:rsidRPr="00A85BFC" w:rsidSect="002B7BEC">
      <w:footerReference w:type="even" r:id="rId39"/>
      <w:footerReference w:type="default" r:id="rId40"/>
      <w:pgSz w:w="11907" w:h="16834" w:code="9"/>
      <w:pgMar w:top="1418" w:right="1701" w:bottom="1134" w:left="1843" w:header="284" w:footer="425" w:gutter="284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3E941" w14:textId="77777777" w:rsidR="00C135BA" w:rsidRDefault="00C135BA">
      <w:r>
        <w:separator/>
      </w:r>
    </w:p>
    <w:p w14:paraId="3CA853AE" w14:textId="77777777" w:rsidR="00C135BA" w:rsidRDefault="00C135BA"/>
  </w:endnote>
  <w:endnote w:type="continuationSeparator" w:id="0">
    <w:p w14:paraId="125DE210" w14:textId="77777777" w:rsidR="00C135BA" w:rsidRDefault="00C135BA">
      <w:r>
        <w:continuationSeparator/>
      </w:r>
    </w:p>
    <w:p w14:paraId="36B628B9" w14:textId="77777777" w:rsidR="00C135BA" w:rsidRDefault="00C135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0E4D7" w14:textId="77777777" w:rsidR="007A3521" w:rsidRPr="00581136" w:rsidRDefault="007A3521" w:rsidP="005A79E5">
    <w:pPr>
      <w:pStyle w:val="Footer"/>
      <w:pBdr>
        <w:bottom w:val="single" w:sz="4" w:space="1" w:color="auto"/>
      </w:pBdr>
      <w:tabs>
        <w:tab w:val="right" w:pos="9639"/>
      </w:tabs>
      <w:rPr>
        <w:b/>
      </w:rPr>
    </w:pPr>
    <w:r w:rsidRPr="00581136">
      <w:rPr>
        <w:b/>
      </w:rPr>
      <w:t>Released 20</w:t>
    </w:r>
    <w:r>
      <w:rPr>
        <w:b/>
      </w:rPr>
      <w:t>21</w:t>
    </w:r>
    <w:r w:rsidRPr="00581136">
      <w:rPr>
        <w:b/>
      </w:rPr>
      <w:tab/>
      <w:t>health.govt.nz</w:t>
    </w:r>
  </w:p>
  <w:p w14:paraId="4D0811DA" w14:textId="77777777" w:rsidR="007A3521" w:rsidRPr="005A79E5" w:rsidRDefault="007A3521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B05AE" w14:textId="77777777" w:rsidR="007A3521" w:rsidRDefault="007A3521" w:rsidP="004D6689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4B5B4" w14:textId="77777777" w:rsidR="007A3521" w:rsidRDefault="007A352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89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8080"/>
    </w:tblGrid>
    <w:tr w:rsidR="007A3521" w14:paraId="3DF37C75" w14:textId="77777777" w:rsidTr="00D662F8">
      <w:trPr>
        <w:cantSplit/>
      </w:trPr>
      <w:tc>
        <w:tcPr>
          <w:tcW w:w="709" w:type="dxa"/>
          <w:vAlign w:val="center"/>
        </w:tcPr>
        <w:p w14:paraId="4781450F" w14:textId="77777777" w:rsidR="007A3521" w:rsidRPr="00931466" w:rsidRDefault="007A3521" w:rsidP="0043478F">
          <w:pPr>
            <w:pStyle w:val="Footer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vi</w:t>
          </w:r>
          <w:r w:rsidRPr="00931466">
            <w:rPr>
              <w:rStyle w:val="PageNumber"/>
            </w:rPr>
            <w:fldChar w:fldCharType="end"/>
          </w:r>
        </w:p>
      </w:tc>
      <w:tc>
        <w:tcPr>
          <w:tcW w:w="8080" w:type="dxa"/>
          <w:vAlign w:val="center"/>
        </w:tcPr>
        <w:p w14:paraId="45433275" w14:textId="77777777" w:rsidR="007A3521" w:rsidRDefault="007A3521" w:rsidP="00117F59">
          <w:pPr>
            <w:pStyle w:val="RectoFooter"/>
            <w:jc w:val="left"/>
          </w:pPr>
          <w:r>
            <w:t>[title]: [subhead]</w:t>
          </w:r>
        </w:p>
      </w:tc>
    </w:tr>
  </w:tbl>
  <w:p w14:paraId="40FA790F" w14:textId="77777777" w:rsidR="007A3521" w:rsidRPr="00571223" w:rsidRDefault="007A3521" w:rsidP="00571223">
    <w:pPr>
      <w:pStyle w:val="VersoFooter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8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709"/>
    </w:tblGrid>
    <w:tr w:rsidR="007A3521" w14:paraId="5A061A4F" w14:textId="77777777" w:rsidTr="006E2886">
      <w:trPr>
        <w:cantSplit/>
      </w:trPr>
      <w:tc>
        <w:tcPr>
          <w:tcW w:w="8080" w:type="dxa"/>
          <w:vAlign w:val="center"/>
        </w:tcPr>
        <w:p w14:paraId="62E94E55" w14:textId="77777777" w:rsidR="007A3521" w:rsidRDefault="007A3521" w:rsidP="00EF770A">
          <w:pPr>
            <w:pStyle w:val="RectoFooter"/>
          </w:pPr>
          <w:r>
            <w:t>assisted dying section 88 notice user guide for primary and private (non-dhb funded) services</w:t>
          </w:r>
        </w:p>
      </w:tc>
      <w:tc>
        <w:tcPr>
          <w:tcW w:w="709" w:type="dxa"/>
          <w:vAlign w:val="center"/>
        </w:tcPr>
        <w:p w14:paraId="2B6EF051" w14:textId="77777777" w:rsidR="007A3521" w:rsidRPr="00931466" w:rsidRDefault="007A3521" w:rsidP="006E2886">
          <w:pPr>
            <w:pStyle w:val="Footer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 w:rsidR="00513E6A">
            <w:rPr>
              <w:rStyle w:val="PageNumber"/>
              <w:noProof/>
            </w:rPr>
            <w:t>iii</w:t>
          </w:r>
          <w:r w:rsidRPr="00931466">
            <w:rPr>
              <w:rStyle w:val="PageNumber"/>
            </w:rPr>
            <w:fldChar w:fldCharType="end"/>
          </w:r>
        </w:p>
      </w:tc>
    </w:tr>
  </w:tbl>
  <w:p w14:paraId="372C1C18" w14:textId="77777777" w:rsidR="007A3521" w:rsidRPr="00581EB8" w:rsidRDefault="007A3521" w:rsidP="00581EB8">
    <w:pPr>
      <w:pStyle w:val="Footer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47" w:type="dxa"/>
      <w:tblInd w:w="-567" w:type="dxa"/>
      <w:tblLayout w:type="fixed"/>
      <w:tblLook w:val="04A0" w:firstRow="1" w:lastRow="0" w:firstColumn="1" w:lastColumn="0" w:noHBand="0" w:noVBand="1"/>
    </w:tblPr>
    <w:tblGrid>
      <w:gridCol w:w="675"/>
      <w:gridCol w:w="9072"/>
    </w:tblGrid>
    <w:tr w:rsidR="007A3521" w14:paraId="3979ADA1" w14:textId="77777777" w:rsidTr="006E2886">
      <w:trPr>
        <w:cantSplit/>
      </w:trPr>
      <w:tc>
        <w:tcPr>
          <w:tcW w:w="675" w:type="dxa"/>
          <w:vAlign w:val="center"/>
        </w:tcPr>
        <w:p w14:paraId="2849FAA1" w14:textId="77777777" w:rsidR="007A3521" w:rsidRPr="00931466" w:rsidRDefault="007A3521" w:rsidP="006E2886">
          <w:pPr>
            <w:pStyle w:val="Footer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 w:rsidR="0044506A">
            <w:rPr>
              <w:rStyle w:val="PageNumber"/>
              <w:noProof/>
            </w:rPr>
            <w:t>14</w:t>
          </w:r>
          <w:r w:rsidRPr="00931466">
            <w:rPr>
              <w:rStyle w:val="PageNumber"/>
            </w:rPr>
            <w:fldChar w:fldCharType="end"/>
          </w:r>
        </w:p>
      </w:tc>
      <w:tc>
        <w:tcPr>
          <w:tcW w:w="9072" w:type="dxa"/>
          <w:vAlign w:val="center"/>
        </w:tcPr>
        <w:p w14:paraId="3920C6DC" w14:textId="77777777" w:rsidR="007A3521" w:rsidRDefault="007A3521" w:rsidP="00EF770A">
          <w:pPr>
            <w:pStyle w:val="RectoFooter"/>
            <w:ind w:left="-108"/>
            <w:jc w:val="left"/>
          </w:pPr>
          <w:r>
            <w:t>assisted dying section 88 notice user guide for primary and private (non-dhb funded) services</w:t>
          </w:r>
        </w:p>
      </w:tc>
    </w:tr>
  </w:tbl>
  <w:p w14:paraId="0C06CCD0" w14:textId="77777777" w:rsidR="007A3521" w:rsidRPr="00571223" w:rsidRDefault="007A3521" w:rsidP="00571223">
    <w:pPr>
      <w:pStyle w:val="VersoFooter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8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709"/>
    </w:tblGrid>
    <w:tr w:rsidR="007A3521" w14:paraId="64CA30EA" w14:textId="77777777" w:rsidTr="006E2886">
      <w:trPr>
        <w:cantSplit/>
      </w:trPr>
      <w:tc>
        <w:tcPr>
          <w:tcW w:w="8080" w:type="dxa"/>
          <w:vAlign w:val="center"/>
        </w:tcPr>
        <w:p w14:paraId="26F38157" w14:textId="77777777" w:rsidR="007A3521" w:rsidRDefault="007A3521" w:rsidP="00EF770A">
          <w:pPr>
            <w:pStyle w:val="RectoFooter"/>
          </w:pPr>
          <w:r>
            <w:t>assisted dying section 88 notice user guide for primary and private (non-dhb funded) services</w:t>
          </w:r>
        </w:p>
      </w:tc>
      <w:tc>
        <w:tcPr>
          <w:tcW w:w="709" w:type="dxa"/>
          <w:vAlign w:val="center"/>
        </w:tcPr>
        <w:p w14:paraId="66B5BABF" w14:textId="77777777" w:rsidR="007A3521" w:rsidRPr="00931466" w:rsidRDefault="007A3521" w:rsidP="006E2886">
          <w:pPr>
            <w:pStyle w:val="Footer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 w:rsidR="0044506A">
            <w:rPr>
              <w:rStyle w:val="PageNumber"/>
              <w:noProof/>
            </w:rPr>
            <w:t>15</w:t>
          </w:r>
          <w:r w:rsidRPr="00931466">
            <w:rPr>
              <w:rStyle w:val="PageNumber"/>
            </w:rPr>
            <w:fldChar w:fldCharType="end"/>
          </w:r>
        </w:p>
      </w:tc>
    </w:tr>
  </w:tbl>
  <w:p w14:paraId="3BC360B1" w14:textId="77777777" w:rsidR="007A3521" w:rsidRPr="00581EB8" w:rsidRDefault="007A3521" w:rsidP="00581EB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88C94" w14:textId="77777777" w:rsidR="00C135BA" w:rsidRPr="00A26E6B" w:rsidRDefault="00C135BA" w:rsidP="00A26E6B"/>
  </w:footnote>
  <w:footnote w:type="continuationSeparator" w:id="0">
    <w:p w14:paraId="7F9443DE" w14:textId="77777777" w:rsidR="00C135BA" w:rsidRDefault="00C135BA">
      <w:r>
        <w:continuationSeparator/>
      </w:r>
    </w:p>
    <w:p w14:paraId="75FC8B37" w14:textId="77777777" w:rsidR="00C135BA" w:rsidRDefault="00C135BA"/>
  </w:footnote>
  <w:footnote w:id="1">
    <w:p w14:paraId="16464836" w14:textId="77777777" w:rsidR="007A3521" w:rsidRPr="00FC788F" w:rsidRDefault="007A3521" w:rsidP="008A2322">
      <w:pPr>
        <w:pStyle w:val="FootnoteText"/>
      </w:pPr>
      <w:r w:rsidRPr="008A2322">
        <w:rPr>
          <w:rStyle w:val="FootnoteReference"/>
        </w:rPr>
        <w:footnoteRef/>
      </w:r>
      <w:r>
        <w:tab/>
      </w:r>
      <w:r w:rsidRPr="00FC788F">
        <w:t xml:space="preserve">ANPs must </w:t>
      </w:r>
      <w:r>
        <w:t xml:space="preserve">act </w:t>
      </w:r>
      <w:r w:rsidRPr="00FC788F">
        <w:t xml:space="preserve">under the instruction </w:t>
      </w:r>
      <w:r>
        <w:t>of</w:t>
      </w:r>
      <w:r w:rsidRPr="00FC788F">
        <w:t xml:space="preserve"> an AMP</w:t>
      </w:r>
      <w:r>
        <w:t>.</w:t>
      </w:r>
    </w:p>
  </w:footnote>
  <w:footnote w:id="2">
    <w:p w14:paraId="214D0321" w14:textId="77777777" w:rsidR="007A3521" w:rsidRDefault="007A3521" w:rsidP="008A2322">
      <w:pPr>
        <w:pStyle w:val="FootnoteText"/>
      </w:pPr>
      <w:r w:rsidRPr="008A2322">
        <w:rPr>
          <w:rStyle w:val="FootnoteReference"/>
        </w:rPr>
        <w:footnoteRef/>
      </w:r>
      <w:r>
        <w:tab/>
        <w:t xml:space="preserve">If an ANP is to administer the medication, the prescription must be written by the AMP </w:t>
      </w:r>
    </w:p>
  </w:footnote>
  <w:footnote w:id="3">
    <w:p w14:paraId="227DD5B8" w14:textId="77777777" w:rsidR="007A3521" w:rsidRDefault="007A3521" w:rsidP="008A2322">
      <w:pPr>
        <w:pStyle w:val="FootnoteText"/>
      </w:pPr>
      <w:r w:rsidRPr="008A2322">
        <w:rPr>
          <w:rStyle w:val="FootnoteReference"/>
        </w:rPr>
        <w:footnoteRef/>
      </w:r>
      <w:r>
        <w:rPr>
          <w:rFonts w:eastAsiaTheme="minorHAnsi"/>
        </w:rPr>
        <w:tab/>
      </w:r>
      <w:r w:rsidRPr="00824B9C">
        <w:rPr>
          <w:rFonts w:eastAsiaTheme="minorHAnsi"/>
        </w:rPr>
        <w:t xml:space="preserve">A supporting practitioner is a medical practitioner or nurse who is present to support the AMP the first time they administer </w:t>
      </w:r>
      <w:r>
        <w:rPr>
          <w:rFonts w:eastAsiaTheme="minorHAnsi"/>
        </w:rPr>
        <w:t xml:space="preserve">end-of-life </w:t>
      </w:r>
      <w:r w:rsidRPr="00824B9C">
        <w:rPr>
          <w:rFonts w:eastAsiaTheme="minorHAnsi"/>
        </w:rPr>
        <w:t xml:space="preserve">medication. If the supporting practitioner holds a s88 notice they may claim payment. If they do not hold a s88 notice the AMP </w:t>
      </w:r>
      <w:r>
        <w:rPr>
          <w:rFonts w:eastAsiaTheme="minorHAnsi"/>
        </w:rPr>
        <w:t>will</w:t>
      </w:r>
      <w:r w:rsidRPr="00824B9C">
        <w:rPr>
          <w:rFonts w:eastAsiaTheme="minorHAnsi"/>
        </w:rPr>
        <w:t xml:space="preserve"> claim on their behalf.</w:t>
      </w:r>
    </w:p>
  </w:footnote>
  <w:footnote w:id="4">
    <w:p w14:paraId="507CA752" w14:textId="77777777" w:rsidR="007A3521" w:rsidRPr="004F406C" w:rsidRDefault="007A3521" w:rsidP="007A3521">
      <w:pPr>
        <w:pStyle w:val="FootnoteText"/>
      </w:pPr>
      <w:r w:rsidRPr="007A3521">
        <w:rPr>
          <w:rStyle w:val="FootnoteReference"/>
        </w:rPr>
        <w:footnoteRef/>
      </w:r>
      <w:r>
        <w:tab/>
      </w:r>
      <w:r w:rsidRPr="004F406C">
        <w:t xml:space="preserve">Rates of reimbursement are set out at </w:t>
      </w:r>
      <w:hyperlink r:id="rId1" w:history="1">
        <w:r w:rsidRPr="004F406C">
          <w:rPr>
            <w:rStyle w:val="Hyperlink"/>
          </w:rPr>
          <w:t>Ministry of Health Sector Operations</w:t>
        </w:r>
      </w:hyperlink>
      <w:r w:rsidRPr="004F406C">
        <w:rPr>
          <w:rStyle w:val="Hyperlink"/>
        </w:rPr>
        <w:t>.</w:t>
      </w:r>
    </w:p>
  </w:footnote>
  <w:footnote w:id="5">
    <w:p w14:paraId="592BC676" w14:textId="77777777" w:rsidR="007A3521" w:rsidRPr="004F406C" w:rsidRDefault="007A3521" w:rsidP="00581D3C">
      <w:pPr>
        <w:pStyle w:val="FootnoteText"/>
      </w:pPr>
      <w:r w:rsidRPr="00581D3C">
        <w:rPr>
          <w:rStyle w:val="FootnoteReference"/>
        </w:rPr>
        <w:footnoteRef/>
      </w:r>
      <w:r w:rsidR="00581D3C">
        <w:tab/>
      </w:r>
      <w:r>
        <w:t xml:space="preserve">The initial discussion where assisted dying is raised as part of a general health assessment is not </w:t>
      </w:r>
      <w:r w:rsidRPr="00123159">
        <w:t xml:space="preserve">part of the assisted dying process </w:t>
      </w:r>
      <w:r>
        <w:t xml:space="preserve">and a </w:t>
      </w:r>
      <w:r w:rsidRPr="00123159">
        <w:t>co-payment may be charged.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0"/>
      <w:gridCol w:w="4429"/>
    </w:tblGrid>
    <w:tr w:rsidR="007A3521" w14:paraId="5F35A65A" w14:textId="77777777" w:rsidTr="005A79E5">
      <w:trPr>
        <w:cantSplit/>
      </w:trPr>
      <w:tc>
        <w:tcPr>
          <w:tcW w:w="5210" w:type="dxa"/>
        </w:tcPr>
        <w:p w14:paraId="4452394A" w14:textId="77777777" w:rsidR="007A3521" w:rsidRDefault="007A3521" w:rsidP="008814E8">
          <w:pPr>
            <w:pStyle w:val="Header"/>
          </w:pPr>
          <w:r>
            <w:rPr>
              <w:noProof/>
              <w:lang w:eastAsia="en-NZ"/>
            </w:rPr>
            <w:drawing>
              <wp:inline distT="0" distB="0" distL="0" distR="0" wp14:anchorId="2E12F9A8" wp14:editId="66BC4A7D">
                <wp:extent cx="1395076" cy="573578"/>
                <wp:effectExtent l="0" t="0" r="0" b="0"/>
                <wp:docPr id="5" name="Picture 5" descr="Ministry of Healt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Ministry of Health logo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27" t="15285" r="7327" b="13946"/>
                        <a:stretch/>
                      </pic:blipFill>
                      <pic:spPr bwMode="auto">
                        <a:xfrm>
                          <a:off x="0" y="0"/>
                          <a:ext cx="1397853" cy="574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9" w:type="dxa"/>
          <w:vAlign w:val="center"/>
        </w:tcPr>
        <w:p w14:paraId="216C9FA8" w14:textId="77777777" w:rsidR="007A3521" w:rsidRDefault="007A3521" w:rsidP="008814E8">
          <w:pPr>
            <w:pStyle w:val="Header"/>
            <w:jc w:val="right"/>
          </w:pPr>
          <w:r>
            <w:rPr>
              <w:noProof/>
              <w:lang w:eastAsia="en-NZ"/>
            </w:rPr>
            <w:drawing>
              <wp:inline distT="0" distB="0" distL="0" distR="0" wp14:anchorId="0F94CE9B" wp14:editId="5E0F5B11">
                <wp:extent cx="1720735" cy="177135"/>
                <wp:effectExtent l="0" t="0" r="0" b="0"/>
                <wp:docPr id="6" name="Picture 6" descr="New Zealand Governme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New Zealand Government logo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8896" cy="1769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3BBEFC" w14:textId="77777777" w:rsidR="007A3521" w:rsidRDefault="007A3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D3A4B" w14:textId="77777777" w:rsidR="007A3521" w:rsidRDefault="007A3521" w:rsidP="00533B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E4425" w14:textId="77777777" w:rsidR="007A3521" w:rsidRDefault="007A3521" w:rsidP="00900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817C7"/>
    <w:multiLevelType w:val="multilevel"/>
    <w:tmpl w:val="779AB88E"/>
    <w:lvl w:ilvl="0">
      <w:start w:val="1"/>
      <w:numFmt w:val="decimal"/>
      <w:pStyle w:val="Number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Sub-number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Sub-sub-number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pStyle w:val="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pStyle w:val="Roman"/>
      <w:lvlText w:val="%6."/>
      <w:lvlJc w:val="lef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2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218D3"/>
    <w:multiLevelType w:val="singleLevel"/>
    <w:tmpl w:val="F9C47940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EB"/>
    <w:rsid w:val="000025B8"/>
    <w:rsid w:val="00005BB5"/>
    <w:rsid w:val="00025A6F"/>
    <w:rsid w:val="00025F87"/>
    <w:rsid w:val="0002618D"/>
    <w:rsid w:val="00030B26"/>
    <w:rsid w:val="00030E84"/>
    <w:rsid w:val="00032C0A"/>
    <w:rsid w:val="00035257"/>
    <w:rsid w:val="00035D68"/>
    <w:rsid w:val="00036027"/>
    <w:rsid w:val="000365BF"/>
    <w:rsid w:val="000419A9"/>
    <w:rsid w:val="00045613"/>
    <w:rsid w:val="00047899"/>
    <w:rsid w:val="00053921"/>
    <w:rsid w:val="00054B44"/>
    <w:rsid w:val="0006006B"/>
    <w:rsid w:val="0006228D"/>
    <w:rsid w:val="00072BD6"/>
    <w:rsid w:val="00075B78"/>
    <w:rsid w:val="000763E9"/>
    <w:rsid w:val="00082CD6"/>
    <w:rsid w:val="0008437D"/>
    <w:rsid w:val="00085AFE"/>
    <w:rsid w:val="00094800"/>
    <w:rsid w:val="000A0158"/>
    <w:rsid w:val="000A373D"/>
    <w:rsid w:val="000A41ED"/>
    <w:rsid w:val="000B0730"/>
    <w:rsid w:val="000D19F4"/>
    <w:rsid w:val="000D58DD"/>
    <w:rsid w:val="000F1F42"/>
    <w:rsid w:val="000F2AE2"/>
    <w:rsid w:val="000F2BFF"/>
    <w:rsid w:val="00102063"/>
    <w:rsid w:val="0010541C"/>
    <w:rsid w:val="00105770"/>
    <w:rsid w:val="00106F93"/>
    <w:rsid w:val="00111D50"/>
    <w:rsid w:val="00113B8E"/>
    <w:rsid w:val="00117F59"/>
    <w:rsid w:val="0012053C"/>
    <w:rsid w:val="00122363"/>
    <w:rsid w:val="00125D45"/>
    <w:rsid w:val="001342C7"/>
    <w:rsid w:val="0013585C"/>
    <w:rsid w:val="00142261"/>
    <w:rsid w:val="00142954"/>
    <w:rsid w:val="001460E0"/>
    <w:rsid w:val="001472F0"/>
    <w:rsid w:val="00147F71"/>
    <w:rsid w:val="00150A6E"/>
    <w:rsid w:val="0016304B"/>
    <w:rsid w:val="0016318F"/>
    <w:rsid w:val="0016468A"/>
    <w:rsid w:val="0017070E"/>
    <w:rsid w:val="00174F02"/>
    <w:rsid w:val="0018376C"/>
    <w:rsid w:val="0018662D"/>
    <w:rsid w:val="00197427"/>
    <w:rsid w:val="001A21B4"/>
    <w:rsid w:val="001A5CF5"/>
    <w:rsid w:val="001B39D2"/>
    <w:rsid w:val="001B4BF8"/>
    <w:rsid w:val="001B7B14"/>
    <w:rsid w:val="001C4326"/>
    <w:rsid w:val="001C665E"/>
    <w:rsid w:val="001C6666"/>
    <w:rsid w:val="001D3541"/>
    <w:rsid w:val="001D3E4E"/>
    <w:rsid w:val="001E254A"/>
    <w:rsid w:val="001E7386"/>
    <w:rsid w:val="001F45A7"/>
    <w:rsid w:val="001F5E27"/>
    <w:rsid w:val="001F7B11"/>
    <w:rsid w:val="0020027C"/>
    <w:rsid w:val="00201A01"/>
    <w:rsid w:val="0020754B"/>
    <w:rsid w:val="002104D3"/>
    <w:rsid w:val="00213A33"/>
    <w:rsid w:val="0021763B"/>
    <w:rsid w:val="00232E9F"/>
    <w:rsid w:val="00245748"/>
    <w:rsid w:val="00246DB1"/>
    <w:rsid w:val="002476B5"/>
    <w:rsid w:val="002520CC"/>
    <w:rsid w:val="00253ECF"/>
    <w:rsid w:val="00254044"/>
    <w:rsid w:val="002546A1"/>
    <w:rsid w:val="002575E8"/>
    <w:rsid w:val="00257EF1"/>
    <w:rsid w:val="002628F4"/>
    <w:rsid w:val="00275D08"/>
    <w:rsid w:val="002839AF"/>
    <w:rsid w:val="002858E3"/>
    <w:rsid w:val="0029190A"/>
    <w:rsid w:val="00292C5A"/>
    <w:rsid w:val="00295241"/>
    <w:rsid w:val="002A4DFC"/>
    <w:rsid w:val="002B047D"/>
    <w:rsid w:val="002B732B"/>
    <w:rsid w:val="002B76A7"/>
    <w:rsid w:val="002B7BEC"/>
    <w:rsid w:val="002C2219"/>
    <w:rsid w:val="002C2552"/>
    <w:rsid w:val="002C380A"/>
    <w:rsid w:val="002D0DF2"/>
    <w:rsid w:val="002D23BD"/>
    <w:rsid w:val="002D6BDF"/>
    <w:rsid w:val="002E0B47"/>
    <w:rsid w:val="002E7711"/>
    <w:rsid w:val="002F3A0D"/>
    <w:rsid w:val="002F4685"/>
    <w:rsid w:val="002F7213"/>
    <w:rsid w:val="0030382F"/>
    <w:rsid w:val="0030408D"/>
    <w:rsid w:val="00306071"/>
    <w:rsid w:val="003060E4"/>
    <w:rsid w:val="003160E7"/>
    <w:rsid w:val="0031739E"/>
    <w:rsid w:val="00317DA3"/>
    <w:rsid w:val="003212F4"/>
    <w:rsid w:val="00321381"/>
    <w:rsid w:val="003235C6"/>
    <w:rsid w:val="003309CA"/>
    <w:rsid w:val="003325AB"/>
    <w:rsid w:val="003332D1"/>
    <w:rsid w:val="0033412B"/>
    <w:rsid w:val="0033448B"/>
    <w:rsid w:val="00341161"/>
    <w:rsid w:val="00343365"/>
    <w:rsid w:val="003445F4"/>
    <w:rsid w:val="003473CF"/>
    <w:rsid w:val="00353501"/>
    <w:rsid w:val="00353734"/>
    <w:rsid w:val="003538D4"/>
    <w:rsid w:val="003606F8"/>
    <w:rsid w:val="003648EF"/>
    <w:rsid w:val="003673E6"/>
    <w:rsid w:val="00377264"/>
    <w:rsid w:val="003779D2"/>
    <w:rsid w:val="00385E38"/>
    <w:rsid w:val="003A26A5"/>
    <w:rsid w:val="003A3761"/>
    <w:rsid w:val="003A512D"/>
    <w:rsid w:val="003A5FEA"/>
    <w:rsid w:val="003A710B"/>
    <w:rsid w:val="003B1D10"/>
    <w:rsid w:val="003C310C"/>
    <w:rsid w:val="003C76D4"/>
    <w:rsid w:val="003D137D"/>
    <w:rsid w:val="003D2CC5"/>
    <w:rsid w:val="003D3E5C"/>
    <w:rsid w:val="003D5E2F"/>
    <w:rsid w:val="003E04C1"/>
    <w:rsid w:val="003E0887"/>
    <w:rsid w:val="003E74C8"/>
    <w:rsid w:val="003E74E2"/>
    <w:rsid w:val="003E7C46"/>
    <w:rsid w:val="003F2106"/>
    <w:rsid w:val="003F52A7"/>
    <w:rsid w:val="003F7013"/>
    <w:rsid w:val="003F7F6A"/>
    <w:rsid w:val="0040240C"/>
    <w:rsid w:val="00413021"/>
    <w:rsid w:val="00414C35"/>
    <w:rsid w:val="004171B7"/>
    <w:rsid w:val="004301C6"/>
    <w:rsid w:val="0043478F"/>
    <w:rsid w:val="0043602B"/>
    <w:rsid w:val="004367D2"/>
    <w:rsid w:val="00440BE0"/>
    <w:rsid w:val="00442A06"/>
    <w:rsid w:val="00442C1C"/>
    <w:rsid w:val="0044506A"/>
    <w:rsid w:val="0044584B"/>
    <w:rsid w:val="00447CB7"/>
    <w:rsid w:val="00455CC9"/>
    <w:rsid w:val="00460826"/>
    <w:rsid w:val="00460B1E"/>
    <w:rsid w:val="00460EA7"/>
    <w:rsid w:val="0046195B"/>
    <w:rsid w:val="0046362D"/>
    <w:rsid w:val="0046596D"/>
    <w:rsid w:val="00476B21"/>
    <w:rsid w:val="004852AB"/>
    <w:rsid w:val="00487C04"/>
    <w:rsid w:val="004907E1"/>
    <w:rsid w:val="00494C8E"/>
    <w:rsid w:val="004A035B"/>
    <w:rsid w:val="004A2108"/>
    <w:rsid w:val="004A38D7"/>
    <w:rsid w:val="004A778C"/>
    <w:rsid w:val="004B14DD"/>
    <w:rsid w:val="004B48C7"/>
    <w:rsid w:val="004C2E6A"/>
    <w:rsid w:val="004C64B8"/>
    <w:rsid w:val="004D2A2D"/>
    <w:rsid w:val="004D479F"/>
    <w:rsid w:val="004D6689"/>
    <w:rsid w:val="004E1D1D"/>
    <w:rsid w:val="004E7AC8"/>
    <w:rsid w:val="004F05F4"/>
    <w:rsid w:val="004F0C94"/>
    <w:rsid w:val="004F406C"/>
    <w:rsid w:val="004F4E9A"/>
    <w:rsid w:val="005019AE"/>
    <w:rsid w:val="00503749"/>
    <w:rsid w:val="00503D59"/>
    <w:rsid w:val="00504CF4"/>
    <w:rsid w:val="0050635B"/>
    <w:rsid w:val="005075B3"/>
    <w:rsid w:val="00513E6A"/>
    <w:rsid w:val="005151C2"/>
    <w:rsid w:val="005275E8"/>
    <w:rsid w:val="005309FE"/>
    <w:rsid w:val="0053199F"/>
    <w:rsid w:val="00531E12"/>
    <w:rsid w:val="00533B90"/>
    <w:rsid w:val="005410F8"/>
    <w:rsid w:val="005448EC"/>
    <w:rsid w:val="00545963"/>
    <w:rsid w:val="00550256"/>
    <w:rsid w:val="00553165"/>
    <w:rsid w:val="00553958"/>
    <w:rsid w:val="00556BB7"/>
    <w:rsid w:val="0055763D"/>
    <w:rsid w:val="00561516"/>
    <w:rsid w:val="005621F2"/>
    <w:rsid w:val="00567B58"/>
    <w:rsid w:val="00571223"/>
    <w:rsid w:val="005763E0"/>
    <w:rsid w:val="00581136"/>
    <w:rsid w:val="00581D3C"/>
    <w:rsid w:val="00581EB8"/>
    <w:rsid w:val="005839E7"/>
    <w:rsid w:val="0058437F"/>
    <w:rsid w:val="005A27CA"/>
    <w:rsid w:val="005A43BD"/>
    <w:rsid w:val="005A79E5"/>
    <w:rsid w:val="005B7180"/>
    <w:rsid w:val="005D034C"/>
    <w:rsid w:val="005E226E"/>
    <w:rsid w:val="005E2636"/>
    <w:rsid w:val="006015D7"/>
    <w:rsid w:val="00601B21"/>
    <w:rsid w:val="006041F0"/>
    <w:rsid w:val="006046D2"/>
    <w:rsid w:val="00605C6D"/>
    <w:rsid w:val="006120CA"/>
    <w:rsid w:val="0061443A"/>
    <w:rsid w:val="0061602B"/>
    <w:rsid w:val="00624174"/>
    <w:rsid w:val="00626CF8"/>
    <w:rsid w:val="006314AF"/>
    <w:rsid w:val="00634003"/>
    <w:rsid w:val="00634ED8"/>
    <w:rsid w:val="00636D7D"/>
    <w:rsid w:val="00637408"/>
    <w:rsid w:val="00642868"/>
    <w:rsid w:val="00647AFE"/>
    <w:rsid w:val="00650417"/>
    <w:rsid w:val="006512BC"/>
    <w:rsid w:val="00653A5A"/>
    <w:rsid w:val="006554AC"/>
    <w:rsid w:val="00656F28"/>
    <w:rsid w:val="006575F4"/>
    <w:rsid w:val="006579E6"/>
    <w:rsid w:val="00660682"/>
    <w:rsid w:val="00660F74"/>
    <w:rsid w:val="00663EDC"/>
    <w:rsid w:val="00671078"/>
    <w:rsid w:val="006758CA"/>
    <w:rsid w:val="00680A04"/>
    <w:rsid w:val="00686D80"/>
    <w:rsid w:val="00694895"/>
    <w:rsid w:val="00697E2E"/>
    <w:rsid w:val="006A25A2"/>
    <w:rsid w:val="006A3B87"/>
    <w:rsid w:val="006B0A88"/>
    <w:rsid w:val="006B0E73"/>
    <w:rsid w:val="006B1E3D"/>
    <w:rsid w:val="006B4A4D"/>
    <w:rsid w:val="006B5695"/>
    <w:rsid w:val="006B62E6"/>
    <w:rsid w:val="006B7B2E"/>
    <w:rsid w:val="006C78EB"/>
    <w:rsid w:val="006D1660"/>
    <w:rsid w:val="006D63E5"/>
    <w:rsid w:val="006E1753"/>
    <w:rsid w:val="006E2886"/>
    <w:rsid w:val="006E3911"/>
    <w:rsid w:val="006E69F4"/>
    <w:rsid w:val="006F1B67"/>
    <w:rsid w:val="006F4D9C"/>
    <w:rsid w:val="0070091D"/>
    <w:rsid w:val="00702854"/>
    <w:rsid w:val="0071741C"/>
    <w:rsid w:val="00742B90"/>
    <w:rsid w:val="0074434D"/>
    <w:rsid w:val="00752E53"/>
    <w:rsid w:val="007570C4"/>
    <w:rsid w:val="007605B8"/>
    <w:rsid w:val="00771B1E"/>
    <w:rsid w:val="007726E9"/>
    <w:rsid w:val="00773C95"/>
    <w:rsid w:val="0078171E"/>
    <w:rsid w:val="0078658E"/>
    <w:rsid w:val="007920E2"/>
    <w:rsid w:val="0079566E"/>
    <w:rsid w:val="00795B34"/>
    <w:rsid w:val="007A067F"/>
    <w:rsid w:val="007A3521"/>
    <w:rsid w:val="007B1770"/>
    <w:rsid w:val="007B4D3E"/>
    <w:rsid w:val="007B7C70"/>
    <w:rsid w:val="007B7DEB"/>
    <w:rsid w:val="007C0449"/>
    <w:rsid w:val="007C43B6"/>
    <w:rsid w:val="007D2151"/>
    <w:rsid w:val="007D39FD"/>
    <w:rsid w:val="007D3B90"/>
    <w:rsid w:val="007D42CC"/>
    <w:rsid w:val="007D5DE4"/>
    <w:rsid w:val="007D7C3A"/>
    <w:rsid w:val="007E0777"/>
    <w:rsid w:val="007E1341"/>
    <w:rsid w:val="007E1B41"/>
    <w:rsid w:val="007E1EC4"/>
    <w:rsid w:val="007E30B9"/>
    <w:rsid w:val="007E74F1"/>
    <w:rsid w:val="007F0F0C"/>
    <w:rsid w:val="007F1288"/>
    <w:rsid w:val="007F3E11"/>
    <w:rsid w:val="00800A8A"/>
    <w:rsid w:val="0080155C"/>
    <w:rsid w:val="008017B4"/>
    <w:rsid w:val="008052E1"/>
    <w:rsid w:val="00811EEB"/>
    <w:rsid w:val="0082081A"/>
    <w:rsid w:val="00822F2C"/>
    <w:rsid w:val="00823DEE"/>
    <w:rsid w:val="008305E8"/>
    <w:rsid w:val="00836165"/>
    <w:rsid w:val="008365B2"/>
    <w:rsid w:val="0084640C"/>
    <w:rsid w:val="00856088"/>
    <w:rsid w:val="00860826"/>
    <w:rsid w:val="00860E21"/>
    <w:rsid w:val="00863117"/>
    <w:rsid w:val="0086388B"/>
    <w:rsid w:val="008642E5"/>
    <w:rsid w:val="00864488"/>
    <w:rsid w:val="00870A36"/>
    <w:rsid w:val="00872D93"/>
    <w:rsid w:val="00880470"/>
    <w:rsid w:val="00880D94"/>
    <w:rsid w:val="008814E8"/>
    <w:rsid w:val="00886F64"/>
    <w:rsid w:val="008924DE"/>
    <w:rsid w:val="008A2322"/>
    <w:rsid w:val="008A3755"/>
    <w:rsid w:val="008B19DC"/>
    <w:rsid w:val="008B264F"/>
    <w:rsid w:val="008B6F83"/>
    <w:rsid w:val="008B7FD8"/>
    <w:rsid w:val="008C2973"/>
    <w:rsid w:val="008C6324"/>
    <w:rsid w:val="008C64C4"/>
    <w:rsid w:val="008D2CDD"/>
    <w:rsid w:val="008D74D5"/>
    <w:rsid w:val="008D7C9F"/>
    <w:rsid w:val="008E04BA"/>
    <w:rsid w:val="008E0ED1"/>
    <w:rsid w:val="008E2083"/>
    <w:rsid w:val="008E3A07"/>
    <w:rsid w:val="008E537B"/>
    <w:rsid w:val="008F29BE"/>
    <w:rsid w:val="008F4AE5"/>
    <w:rsid w:val="008F51EB"/>
    <w:rsid w:val="00900197"/>
    <w:rsid w:val="00902F55"/>
    <w:rsid w:val="0090582B"/>
    <w:rsid w:val="009060C0"/>
    <w:rsid w:val="009133F5"/>
    <w:rsid w:val="0091756F"/>
    <w:rsid w:val="00920A27"/>
    <w:rsid w:val="00921216"/>
    <w:rsid w:val="009216CC"/>
    <w:rsid w:val="00922E41"/>
    <w:rsid w:val="00925892"/>
    <w:rsid w:val="00926083"/>
    <w:rsid w:val="00926D08"/>
    <w:rsid w:val="00930D08"/>
    <w:rsid w:val="00931466"/>
    <w:rsid w:val="00932D69"/>
    <w:rsid w:val="009354FD"/>
    <w:rsid w:val="00935589"/>
    <w:rsid w:val="00937408"/>
    <w:rsid w:val="009427FA"/>
    <w:rsid w:val="00944647"/>
    <w:rsid w:val="009469E2"/>
    <w:rsid w:val="0095565C"/>
    <w:rsid w:val="00964AB6"/>
    <w:rsid w:val="00966F9A"/>
    <w:rsid w:val="00977B8A"/>
    <w:rsid w:val="00980C6D"/>
    <w:rsid w:val="00982971"/>
    <w:rsid w:val="009845AD"/>
    <w:rsid w:val="00984835"/>
    <w:rsid w:val="009933EF"/>
    <w:rsid w:val="00995BA0"/>
    <w:rsid w:val="009A418B"/>
    <w:rsid w:val="009A426F"/>
    <w:rsid w:val="009A42D5"/>
    <w:rsid w:val="009A4473"/>
    <w:rsid w:val="009B05C9"/>
    <w:rsid w:val="009B286C"/>
    <w:rsid w:val="009C151C"/>
    <w:rsid w:val="009C440A"/>
    <w:rsid w:val="009D1345"/>
    <w:rsid w:val="009D5125"/>
    <w:rsid w:val="009D60B8"/>
    <w:rsid w:val="009D7D4B"/>
    <w:rsid w:val="009E36ED"/>
    <w:rsid w:val="009E3B47"/>
    <w:rsid w:val="009E3C8C"/>
    <w:rsid w:val="009E6B77"/>
    <w:rsid w:val="009F4372"/>
    <w:rsid w:val="009F460A"/>
    <w:rsid w:val="00A043FB"/>
    <w:rsid w:val="00A06BE4"/>
    <w:rsid w:val="00A0729C"/>
    <w:rsid w:val="00A073CF"/>
    <w:rsid w:val="00A07779"/>
    <w:rsid w:val="00A1166A"/>
    <w:rsid w:val="00A20B2E"/>
    <w:rsid w:val="00A24F33"/>
    <w:rsid w:val="00A25069"/>
    <w:rsid w:val="00A26E6B"/>
    <w:rsid w:val="00A3068F"/>
    <w:rsid w:val="00A3145B"/>
    <w:rsid w:val="00A339D0"/>
    <w:rsid w:val="00A3415C"/>
    <w:rsid w:val="00A41002"/>
    <w:rsid w:val="00A4201A"/>
    <w:rsid w:val="00A53901"/>
    <w:rsid w:val="00A5465D"/>
    <w:rsid w:val="00A553CE"/>
    <w:rsid w:val="00A5677A"/>
    <w:rsid w:val="00A56DCC"/>
    <w:rsid w:val="00A625E8"/>
    <w:rsid w:val="00A63DFF"/>
    <w:rsid w:val="00A64496"/>
    <w:rsid w:val="00A6490D"/>
    <w:rsid w:val="00A67033"/>
    <w:rsid w:val="00A7415D"/>
    <w:rsid w:val="00A80363"/>
    <w:rsid w:val="00A80939"/>
    <w:rsid w:val="00A83E9D"/>
    <w:rsid w:val="00A85BFC"/>
    <w:rsid w:val="00A87C05"/>
    <w:rsid w:val="00A9169D"/>
    <w:rsid w:val="00A93598"/>
    <w:rsid w:val="00A97A3A"/>
    <w:rsid w:val="00AA240C"/>
    <w:rsid w:val="00AB0332"/>
    <w:rsid w:val="00AC101C"/>
    <w:rsid w:val="00AD4CF1"/>
    <w:rsid w:val="00AD5988"/>
    <w:rsid w:val="00AD6293"/>
    <w:rsid w:val="00AE1643"/>
    <w:rsid w:val="00AE16AF"/>
    <w:rsid w:val="00AF160F"/>
    <w:rsid w:val="00AF372E"/>
    <w:rsid w:val="00AF7800"/>
    <w:rsid w:val="00B00CF5"/>
    <w:rsid w:val="00B072E0"/>
    <w:rsid w:val="00B1007E"/>
    <w:rsid w:val="00B11DA7"/>
    <w:rsid w:val="00B13D41"/>
    <w:rsid w:val="00B253F6"/>
    <w:rsid w:val="00B26675"/>
    <w:rsid w:val="00B305DB"/>
    <w:rsid w:val="00B332F8"/>
    <w:rsid w:val="00B3492B"/>
    <w:rsid w:val="00B4646F"/>
    <w:rsid w:val="00B55C7D"/>
    <w:rsid w:val="00B63038"/>
    <w:rsid w:val="00B64BD8"/>
    <w:rsid w:val="00B701D1"/>
    <w:rsid w:val="00B73AF2"/>
    <w:rsid w:val="00B73D79"/>
    <w:rsid w:val="00B7551A"/>
    <w:rsid w:val="00B773F1"/>
    <w:rsid w:val="00B86AB1"/>
    <w:rsid w:val="00B87726"/>
    <w:rsid w:val="00B91B22"/>
    <w:rsid w:val="00BA7EBA"/>
    <w:rsid w:val="00BB2A06"/>
    <w:rsid w:val="00BB2CBB"/>
    <w:rsid w:val="00BB4198"/>
    <w:rsid w:val="00BC03EE"/>
    <w:rsid w:val="00BC59F1"/>
    <w:rsid w:val="00BD488E"/>
    <w:rsid w:val="00BF3DE1"/>
    <w:rsid w:val="00BF4843"/>
    <w:rsid w:val="00BF5205"/>
    <w:rsid w:val="00C05132"/>
    <w:rsid w:val="00C12508"/>
    <w:rsid w:val="00C135BA"/>
    <w:rsid w:val="00C21582"/>
    <w:rsid w:val="00C23728"/>
    <w:rsid w:val="00C3026C"/>
    <w:rsid w:val="00C313A9"/>
    <w:rsid w:val="00C347C8"/>
    <w:rsid w:val="00C358E4"/>
    <w:rsid w:val="00C418EE"/>
    <w:rsid w:val="00C441CF"/>
    <w:rsid w:val="00C45AA2"/>
    <w:rsid w:val="00C4792C"/>
    <w:rsid w:val="00C55BEF"/>
    <w:rsid w:val="00C57C00"/>
    <w:rsid w:val="00C601AF"/>
    <w:rsid w:val="00C61A63"/>
    <w:rsid w:val="00C66296"/>
    <w:rsid w:val="00C7394D"/>
    <w:rsid w:val="00C756B7"/>
    <w:rsid w:val="00C77282"/>
    <w:rsid w:val="00C84DE5"/>
    <w:rsid w:val="00C86248"/>
    <w:rsid w:val="00C90B31"/>
    <w:rsid w:val="00CA0D6F"/>
    <w:rsid w:val="00CA4C33"/>
    <w:rsid w:val="00CA6F4A"/>
    <w:rsid w:val="00CB3483"/>
    <w:rsid w:val="00CB6427"/>
    <w:rsid w:val="00CC0FBE"/>
    <w:rsid w:val="00CD077C"/>
    <w:rsid w:val="00CD0BBC"/>
    <w:rsid w:val="00CD2119"/>
    <w:rsid w:val="00CD237A"/>
    <w:rsid w:val="00CD36AC"/>
    <w:rsid w:val="00CE13A3"/>
    <w:rsid w:val="00CE36BC"/>
    <w:rsid w:val="00CF1747"/>
    <w:rsid w:val="00CF60ED"/>
    <w:rsid w:val="00D05D74"/>
    <w:rsid w:val="00D20C59"/>
    <w:rsid w:val="00D23323"/>
    <w:rsid w:val="00D2392A"/>
    <w:rsid w:val="00D25FFE"/>
    <w:rsid w:val="00D27922"/>
    <w:rsid w:val="00D27A64"/>
    <w:rsid w:val="00D37D80"/>
    <w:rsid w:val="00D442F3"/>
    <w:rsid w:val="00D44483"/>
    <w:rsid w:val="00D4476F"/>
    <w:rsid w:val="00D50573"/>
    <w:rsid w:val="00D54D50"/>
    <w:rsid w:val="00D560B4"/>
    <w:rsid w:val="00D662F8"/>
    <w:rsid w:val="00D66797"/>
    <w:rsid w:val="00D70485"/>
    <w:rsid w:val="00D7087C"/>
    <w:rsid w:val="00D70C3C"/>
    <w:rsid w:val="00D71DF7"/>
    <w:rsid w:val="00D72BE5"/>
    <w:rsid w:val="00D81462"/>
    <w:rsid w:val="00D82431"/>
    <w:rsid w:val="00D82F26"/>
    <w:rsid w:val="00D8586E"/>
    <w:rsid w:val="00D863D0"/>
    <w:rsid w:val="00D86B00"/>
    <w:rsid w:val="00D86FB9"/>
    <w:rsid w:val="00D87C87"/>
    <w:rsid w:val="00D90BB4"/>
    <w:rsid w:val="00D90E07"/>
    <w:rsid w:val="00D932C2"/>
    <w:rsid w:val="00DA0232"/>
    <w:rsid w:val="00DA6019"/>
    <w:rsid w:val="00DA7F9E"/>
    <w:rsid w:val="00DB39CF"/>
    <w:rsid w:val="00DB7256"/>
    <w:rsid w:val="00DC0401"/>
    <w:rsid w:val="00DC20BD"/>
    <w:rsid w:val="00DD0BCD"/>
    <w:rsid w:val="00DD447A"/>
    <w:rsid w:val="00DE3B20"/>
    <w:rsid w:val="00DE6C94"/>
    <w:rsid w:val="00DE6FD7"/>
    <w:rsid w:val="00DF0C7C"/>
    <w:rsid w:val="00E10B18"/>
    <w:rsid w:val="00E13D64"/>
    <w:rsid w:val="00E23271"/>
    <w:rsid w:val="00E24F80"/>
    <w:rsid w:val="00E259F3"/>
    <w:rsid w:val="00E30985"/>
    <w:rsid w:val="00E33238"/>
    <w:rsid w:val="00E33934"/>
    <w:rsid w:val="00E376B7"/>
    <w:rsid w:val="00E42F5D"/>
    <w:rsid w:val="00E4486C"/>
    <w:rsid w:val="00E460B6"/>
    <w:rsid w:val="00E511D5"/>
    <w:rsid w:val="00E53A9F"/>
    <w:rsid w:val="00E57349"/>
    <w:rsid w:val="00E60249"/>
    <w:rsid w:val="00E62238"/>
    <w:rsid w:val="00E65269"/>
    <w:rsid w:val="00E76D66"/>
    <w:rsid w:val="00EA796A"/>
    <w:rsid w:val="00EB1856"/>
    <w:rsid w:val="00EC50CE"/>
    <w:rsid w:val="00EC5B34"/>
    <w:rsid w:val="00ED021E"/>
    <w:rsid w:val="00ED323C"/>
    <w:rsid w:val="00EE2D5C"/>
    <w:rsid w:val="00EE4ADE"/>
    <w:rsid w:val="00EE4DE8"/>
    <w:rsid w:val="00EE5CB7"/>
    <w:rsid w:val="00EF770A"/>
    <w:rsid w:val="00F000BF"/>
    <w:rsid w:val="00F024FE"/>
    <w:rsid w:val="00F05AD4"/>
    <w:rsid w:val="00F103BE"/>
    <w:rsid w:val="00F10EB6"/>
    <w:rsid w:val="00F13F07"/>
    <w:rsid w:val="00F140B2"/>
    <w:rsid w:val="00F16595"/>
    <w:rsid w:val="00F22C08"/>
    <w:rsid w:val="00F25970"/>
    <w:rsid w:val="00F311A9"/>
    <w:rsid w:val="00F31343"/>
    <w:rsid w:val="00F37381"/>
    <w:rsid w:val="00F5180D"/>
    <w:rsid w:val="00F54E74"/>
    <w:rsid w:val="00F63781"/>
    <w:rsid w:val="00F67496"/>
    <w:rsid w:val="00F7421E"/>
    <w:rsid w:val="00F801BA"/>
    <w:rsid w:val="00F807AD"/>
    <w:rsid w:val="00F857E1"/>
    <w:rsid w:val="00F9366A"/>
    <w:rsid w:val="00F946C9"/>
    <w:rsid w:val="00FA0EA5"/>
    <w:rsid w:val="00FA68C7"/>
    <w:rsid w:val="00FA74EE"/>
    <w:rsid w:val="00FB0A5B"/>
    <w:rsid w:val="00FB1B8E"/>
    <w:rsid w:val="00FC3711"/>
    <w:rsid w:val="00FC46E7"/>
    <w:rsid w:val="00FC5D25"/>
    <w:rsid w:val="00FD0D7E"/>
    <w:rsid w:val="00FD16C4"/>
    <w:rsid w:val="00FD362F"/>
    <w:rsid w:val="00FD47FE"/>
    <w:rsid w:val="00FD4FFB"/>
    <w:rsid w:val="00FE022F"/>
    <w:rsid w:val="00FE6E13"/>
    <w:rsid w:val="00FE7D38"/>
    <w:rsid w:val="00FF15F6"/>
    <w:rsid w:val="00FF527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AAE6A5"/>
  <w15:docId w15:val="{E46A71D4-F941-4289-8056-921843E9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81A"/>
    <w:rPr>
      <w:rFonts w:ascii="Segoe UI" w:hAnsi="Segoe UI"/>
      <w:sz w:val="21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DA7F9E"/>
    <w:pPr>
      <w:pageBreakBefore/>
      <w:spacing w:after="360"/>
      <w:outlineLvl w:val="0"/>
    </w:pPr>
    <w:rPr>
      <w:b/>
      <w:color w:val="23305D"/>
      <w:spacing w:val="-10"/>
      <w:sz w:val="72"/>
    </w:rPr>
  </w:style>
  <w:style w:type="paragraph" w:styleId="Heading2">
    <w:name w:val="heading 2"/>
    <w:basedOn w:val="Normal"/>
    <w:next w:val="Normal"/>
    <w:link w:val="Heading2Char"/>
    <w:uiPriority w:val="1"/>
    <w:qFormat/>
    <w:rsid w:val="002575E8"/>
    <w:pPr>
      <w:keepNext/>
      <w:spacing w:before="480" w:after="180"/>
      <w:outlineLvl w:val="1"/>
    </w:pPr>
    <w:rPr>
      <w:b/>
      <w:color w:val="0A6AB4"/>
      <w:spacing w:val="-5"/>
      <w:sz w:val="48"/>
    </w:rPr>
  </w:style>
  <w:style w:type="paragraph" w:styleId="Heading3">
    <w:name w:val="heading 3"/>
    <w:basedOn w:val="Normal"/>
    <w:next w:val="Normal"/>
    <w:link w:val="Heading3Char"/>
    <w:uiPriority w:val="1"/>
    <w:qFormat/>
    <w:rsid w:val="00030E84"/>
    <w:pPr>
      <w:keepNext/>
      <w:spacing w:before="360" w:after="180"/>
      <w:outlineLvl w:val="2"/>
    </w:pPr>
    <w:rPr>
      <w:color w:val="0A6AB4"/>
      <w:spacing w:val="-5"/>
      <w:sz w:val="36"/>
    </w:rPr>
  </w:style>
  <w:style w:type="paragraph" w:styleId="Heading4">
    <w:name w:val="heading 4"/>
    <w:basedOn w:val="Normal"/>
    <w:next w:val="Normal"/>
    <w:link w:val="Heading4Char"/>
    <w:uiPriority w:val="1"/>
    <w:qFormat/>
    <w:rsid w:val="00030E84"/>
    <w:pPr>
      <w:keepNext/>
      <w:spacing w:before="240" w:after="120"/>
      <w:outlineLvl w:val="3"/>
    </w:pPr>
    <w:rPr>
      <w:color w:val="0A6AB4"/>
      <w:sz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B00CF5"/>
    <w:pPr>
      <w:keepNext/>
      <w:spacing w:before="120" w:after="120"/>
      <w:outlineLvl w:val="4"/>
    </w:pPr>
    <w:rPr>
      <w:color w:val="0A6AB4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22363"/>
    <w:pPr>
      <w:keepNext/>
      <w:keepLines/>
      <w:spacing w:before="200" w:after="120" w:line="276" w:lineRule="auto"/>
      <w:ind w:left="1152" w:hanging="1152"/>
      <w:outlineLvl w:val="5"/>
    </w:pPr>
    <w:rPr>
      <w:rFonts w:ascii="Calibri" w:eastAsia="MS Gothic" w:hAnsi="Calibri"/>
      <w:i/>
      <w:iCs/>
      <w:color w:val="243F60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122363"/>
    <w:pPr>
      <w:keepNext/>
      <w:keepLines/>
      <w:spacing w:before="200" w:after="120" w:line="276" w:lineRule="auto"/>
      <w:ind w:left="1296" w:hanging="1296"/>
      <w:outlineLvl w:val="6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030E84"/>
    <w:pPr>
      <w:keepNext/>
      <w:keepLines/>
      <w:spacing w:before="480" w:after="240"/>
      <w:outlineLvl w:val="7"/>
    </w:pPr>
    <w:rPr>
      <w:rFonts w:eastAsia="MS Gothic"/>
      <w:color w:val="0A6AB4"/>
      <w:spacing w:val="-10"/>
      <w:sz w:val="36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122363"/>
    <w:pPr>
      <w:keepNext/>
      <w:keepLines/>
      <w:spacing w:before="200" w:after="120" w:line="276" w:lineRule="auto"/>
      <w:ind w:left="1584" w:hanging="1584"/>
      <w:outlineLvl w:val="8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9427FA"/>
    <w:rPr>
      <w:rFonts w:ascii="Segoe UI" w:hAnsi="Segoe UI"/>
      <w:b/>
      <w:color w:val="23305D"/>
      <w:spacing w:val="-10"/>
      <w:sz w:val="72"/>
      <w:lang w:eastAsia="en-GB"/>
    </w:rPr>
  </w:style>
  <w:style w:type="character" w:customStyle="1" w:styleId="Heading2Char">
    <w:name w:val="Heading 2 Char"/>
    <w:link w:val="Heading2"/>
    <w:uiPriority w:val="1"/>
    <w:rsid w:val="00030E84"/>
    <w:rPr>
      <w:rFonts w:ascii="Segoe UI" w:hAnsi="Segoe UI"/>
      <w:b/>
      <w:color w:val="0A6AB4"/>
      <w:spacing w:val="-5"/>
      <w:sz w:val="48"/>
      <w:lang w:eastAsia="en-GB"/>
    </w:rPr>
  </w:style>
  <w:style w:type="character" w:customStyle="1" w:styleId="Heading3Char">
    <w:name w:val="Heading 3 Char"/>
    <w:link w:val="Heading3"/>
    <w:uiPriority w:val="1"/>
    <w:rsid w:val="00030E84"/>
    <w:rPr>
      <w:rFonts w:ascii="Segoe UI" w:hAnsi="Segoe UI"/>
      <w:color w:val="0A6AB4"/>
      <w:spacing w:val="-5"/>
      <w:sz w:val="36"/>
      <w:lang w:eastAsia="en-GB"/>
    </w:rPr>
  </w:style>
  <w:style w:type="character" w:customStyle="1" w:styleId="Heading4Char">
    <w:name w:val="Heading 4 Char"/>
    <w:link w:val="Heading4"/>
    <w:uiPriority w:val="1"/>
    <w:rsid w:val="00030E84"/>
    <w:rPr>
      <w:rFonts w:ascii="Segoe UI" w:hAnsi="Segoe UI"/>
      <w:color w:val="0A6AB4"/>
      <w:sz w:val="28"/>
      <w:lang w:eastAsia="en-GB"/>
    </w:rPr>
  </w:style>
  <w:style w:type="character" w:customStyle="1" w:styleId="Heading5Char">
    <w:name w:val="Heading 5 Char"/>
    <w:link w:val="Heading5"/>
    <w:uiPriority w:val="1"/>
    <w:rsid w:val="00B00CF5"/>
    <w:rPr>
      <w:rFonts w:ascii="Segoe UI" w:hAnsi="Segoe UI"/>
      <w:color w:val="0A6AB4"/>
      <w:sz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122363"/>
    <w:rPr>
      <w:rFonts w:ascii="Calibri" w:eastAsia="MS Gothic" w:hAnsi="Calibri"/>
      <w:i/>
      <w:iCs/>
      <w:color w:val="243F60"/>
      <w:sz w:val="22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1"/>
    <w:rsid w:val="00030E84"/>
    <w:rPr>
      <w:rFonts w:ascii="Segoe UI" w:eastAsia="MS Gothic" w:hAnsi="Segoe UI"/>
      <w:color w:val="0A6AB4"/>
      <w:spacing w:val="-10"/>
      <w:sz w:val="36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paragraph" w:styleId="TOC1">
    <w:name w:val="toc 1"/>
    <w:basedOn w:val="Normal"/>
    <w:next w:val="Normal"/>
    <w:uiPriority w:val="39"/>
    <w:qFormat/>
    <w:rsid w:val="00926D08"/>
    <w:pPr>
      <w:tabs>
        <w:tab w:val="right" w:pos="8080"/>
      </w:tabs>
      <w:spacing w:before="300"/>
      <w:ind w:right="567"/>
    </w:pPr>
    <w:rPr>
      <w:rFonts w:ascii="Segoe UI Semibold" w:hAnsi="Segoe UI Semibold"/>
      <w:sz w:val="24"/>
    </w:rPr>
  </w:style>
  <w:style w:type="paragraph" w:styleId="TOC2">
    <w:name w:val="toc 2"/>
    <w:basedOn w:val="Normal"/>
    <w:next w:val="Normal"/>
    <w:uiPriority w:val="39"/>
    <w:qFormat/>
    <w:rsid w:val="00656F28"/>
    <w:pPr>
      <w:tabs>
        <w:tab w:val="right" w:pos="8080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A53901"/>
    <w:pPr>
      <w:tabs>
        <w:tab w:val="right" w:pos="8080"/>
      </w:tabs>
      <w:spacing w:before="120"/>
      <w:ind w:left="851" w:right="567" w:hanging="851"/>
    </w:pPr>
  </w:style>
  <w:style w:type="paragraph" w:customStyle="1" w:styleId="Bullet">
    <w:name w:val="Bullet"/>
    <w:basedOn w:val="Normal"/>
    <w:link w:val="BulletChar"/>
    <w:qFormat/>
    <w:rsid w:val="00FA0EA5"/>
    <w:pPr>
      <w:numPr>
        <w:numId w:val="1"/>
      </w:numPr>
      <w:tabs>
        <w:tab w:val="clear" w:pos="284"/>
      </w:tabs>
      <w:spacing w:before="90"/>
    </w:pPr>
  </w:style>
  <w:style w:type="character" w:customStyle="1" w:styleId="BulletChar">
    <w:name w:val="Bullet Char"/>
    <w:link w:val="Bullet"/>
    <w:locked/>
    <w:rsid w:val="002B7BEC"/>
    <w:rPr>
      <w:rFonts w:ascii="Segoe UI" w:hAnsi="Segoe UI"/>
      <w:sz w:val="21"/>
      <w:lang w:eastAsia="en-GB"/>
    </w:rPr>
  </w:style>
  <w:style w:type="paragraph" w:styleId="Quote">
    <w:name w:val="Quote"/>
    <w:basedOn w:val="Normal"/>
    <w:next w:val="Normal"/>
    <w:link w:val="QuoteChar"/>
    <w:qFormat/>
    <w:pPr>
      <w:spacing w:before="120"/>
      <w:ind w:left="284" w:right="284"/>
    </w:pPr>
  </w:style>
  <w:style w:type="character" w:customStyle="1" w:styleId="QuoteChar">
    <w:name w:val="Quote Char"/>
    <w:link w:val="Quote"/>
    <w:rsid w:val="00122363"/>
    <w:rPr>
      <w:rFonts w:ascii="Georgia" w:hAnsi="Georgia"/>
      <w:sz w:val="22"/>
      <w:lang w:eastAsia="en-GB"/>
    </w:rPr>
  </w:style>
  <w:style w:type="paragraph" w:styleId="FootnoteText">
    <w:name w:val="footnote text"/>
    <w:basedOn w:val="Normal"/>
    <w:link w:val="FootnoteTextChar"/>
    <w:rsid w:val="00A7415D"/>
    <w:pPr>
      <w:spacing w:before="60" w:line="228" w:lineRule="auto"/>
      <w:ind w:left="284" w:hanging="284"/>
    </w:pPr>
    <w:rPr>
      <w:sz w:val="17"/>
    </w:rPr>
  </w:style>
  <w:style w:type="character" w:customStyle="1" w:styleId="FootnoteTextChar">
    <w:name w:val="Footnote Text Char"/>
    <w:link w:val="FootnoteText"/>
    <w:rsid w:val="00A7415D"/>
    <w:rPr>
      <w:rFonts w:ascii="Segoe UI" w:hAnsi="Segoe UI"/>
      <w:sz w:val="17"/>
      <w:lang w:eastAsia="en-GB"/>
    </w:rPr>
  </w:style>
  <w:style w:type="paragraph" w:styleId="Header">
    <w:name w:val="header"/>
    <w:basedOn w:val="Normal"/>
    <w:link w:val="HeaderChar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99"/>
    <w:qFormat/>
    <w:rsid w:val="005A79E5"/>
    <w:pPr>
      <w:spacing w:line="216" w:lineRule="auto"/>
      <w:ind w:right="3402"/>
    </w:pPr>
    <w:rPr>
      <w:rFonts w:ascii="Segoe UI Black" w:hAnsi="Segoe UI Black" w:cs="Lucida Sans Unicode"/>
      <w:b/>
      <w:sz w:val="72"/>
      <w:szCs w:val="72"/>
    </w:rPr>
  </w:style>
  <w:style w:type="character" w:customStyle="1" w:styleId="TitleChar">
    <w:name w:val="Title Char"/>
    <w:link w:val="Title"/>
    <w:uiPriority w:val="99"/>
    <w:rsid w:val="005A79E5"/>
    <w:rPr>
      <w:rFonts w:ascii="Segoe UI Black" w:hAnsi="Segoe UI Black" w:cs="Lucida Sans Unicode"/>
      <w:b/>
      <w:sz w:val="72"/>
      <w:szCs w:val="72"/>
      <w:lang w:eastAsia="en-GB"/>
    </w:rPr>
  </w:style>
  <w:style w:type="paragraph" w:customStyle="1" w:styleId="Imprint">
    <w:name w:val="Imprint"/>
    <w:basedOn w:val="Normal"/>
    <w:next w:val="Normal"/>
    <w:qFormat/>
    <w:rsid w:val="00C05132"/>
    <w:pPr>
      <w:spacing w:after="240"/>
    </w:pPr>
    <w:rPr>
      <w:sz w:val="20"/>
    </w:rPr>
  </w:style>
  <w:style w:type="paragraph" w:styleId="Footer">
    <w:name w:val="footer"/>
    <w:basedOn w:val="Normal"/>
    <w:link w:val="FooterChar"/>
    <w:uiPriority w:val="99"/>
    <w:qFormat/>
    <w:rsid w:val="007A067F"/>
  </w:style>
  <w:style w:type="character" w:customStyle="1" w:styleId="FooterChar">
    <w:name w:val="Footer Char"/>
    <w:link w:val="Footer"/>
    <w:uiPriority w:val="99"/>
    <w:rsid w:val="007A067F"/>
    <w:rPr>
      <w:rFonts w:ascii="Segoe UI" w:hAnsi="Segoe UI"/>
      <w:sz w:val="21"/>
      <w:lang w:eastAsia="en-GB"/>
    </w:rPr>
  </w:style>
  <w:style w:type="character" w:styleId="PageNumber">
    <w:name w:val="page number"/>
    <w:rsid w:val="007A067F"/>
    <w:rPr>
      <w:rFonts w:ascii="Segoe UI" w:hAnsi="Segoe UI"/>
      <w:b/>
      <w:sz w:val="22"/>
    </w:rPr>
  </w:style>
  <w:style w:type="paragraph" w:customStyle="1" w:styleId="VersoFooter">
    <w:name w:val="Verso Footer"/>
    <w:basedOn w:val="Footer"/>
    <w:rsid w:val="00571223"/>
    <w:rPr>
      <w:sz w:val="15"/>
    </w:rPr>
  </w:style>
  <w:style w:type="paragraph" w:customStyle="1" w:styleId="RectoFooter">
    <w:name w:val="Recto Footer"/>
    <w:basedOn w:val="Footer"/>
    <w:rsid w:val="00581EB8"/>
    <w:pPr>
      <w:jc w:val="right"/>
    </w:pPr>
    <w:rPr>
      <w:caps/>
      <w:sz w:val="15"/>
    </w:rPr>
  </w:style>
  <w:style w:type="paragraph" w:customStyle="1" w:styleId="Figure">
    <w:name w:val="Figure"/>
    <w:basedOn w:val="Normal"/>
    <w:next w:val="Normal"/>
    <w:link w:val="FigureChar"/>
    <w:qFormat/>
    <w:rsid w:val="009133F5"/>
    <w:pPr>
      <w:keepNext/>
      <w:spacing w:before="120" w:after="120"/>
    </w:pPr>
    <w:rPr>
      <w:b/>
      <w:sz w:val="20"/>
    </w:rPr>
  </w:style>
  <w:style w:type="character" w:customStyle="1" w:styleId="FigureChar">
    <w:name w:val="Figure Char"/>
    <w:link w:val="Figure"/>
    <w:locked/>
    <w:rsid w:val="002B7BEC"/>
    <w:rPr>
      <w:rFonts w:ascii="Segoe UI" w:hAnsi="Segoe UI"/>
      <w:b/>
      <w:lang w:eastAsia="en-GB"/>
    </w:rPr>
  </w:style>
  <w:style w:type="character" w:styleId="FootnoteReference">
    <w:name w:val="footnote reference"/>
    <w:rPr>
      <w:vertAlign w:val="superscript"/>
    </w:rPr>
  </w:style>
  <w:style w:type="paragraph" w:customStyle="1" w:styleId="Table">
    <w:name w:val="Table"/>
    <w:basedOn w:val="Figure"/>
    <w:link w:val="TableChar"/>
    <w:qFormat/>
    <w:rsid w:val="00642868"/>
  </w:style>
  <w:style w:type="character" w:customStyle="1" w:styleId="TableChar">
    <w:name w:val="Table Char"/>
    <w:link w:val="Table"/>
    <w:locked/>
    <w:rsid w:val="002B7BEC"/>
    <w:rPr>
      <w:rFonts w:ascii="Segoe UI" w:hAnsi="Segoe UI"/>
      <w:b/>
      <w:lang w:eastAsia="en-GB"/>
    </w:rPr>
  </w:style>
  <w:style w:type="paragraph" w:customStyle="1" w:styleId="Dash">
    <w:name w:val="Dash"/>
    <w:basedOn w:val="Bullet"/>
    <w:qFormat/>
    <w:rsid w:val="00702854"/>
    <w:pPr>
      <w:numPr>
        <w:numId w:val="2"/>
      </w:numPr>
      <w:spacing w:before="60"/>
    </w:pPr>
  </w:style>
  <w:style w:type="paragraph" w:customStyle="1" w:styleId="TableText">
    <w:name w:val="TableText"/>
    <w:basedOn w:val="Normal"/>
    <w:uiPriority w:val="99"/>
    <w:qFormat/>
    <w:rsid w:val="00925892"/>
    <w:pPr>
      <w:spacing w:before="60" w:after="60"/>
    </w:pPr>
    <w:rPr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4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Normal"/>
    <w:next w:val="Box"/>
    <w:qFormat/>
    <w:rsid w:val="00D37D80"/>
    <w:pPr>
      <w:keepNext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240" w:line="264" w:lineRule="auto"/>
      <w:ind w:left="284" w:right="284"/>
    </w:pPr>
    <w:rPr>
      <w:b/>
      <w:sz w:val="24"/>
      <w:szCs w:val="24"/>
    </w:rPr>
  </w:style>
  <w:style w:type="paragraph" w:customStyle="1" w:styleId="BoxBullet">
    <w:name w:val="BoxBullet"/>
    <w:basedOn w:val="Bullet"/>
    <w:qFormat/>
    <w:rsid w:val="000419A9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ind w:left="568" w:right="284"/>
    </w:pPr>
  </w:style>
  <w:style w:type="paragraph" w:customStyle="1" w:styleId="IntroHead">
    <w:name w:val="IntroHead"/>
    <w:basedOn w:val="Heading1"/>
    <w:next w:val="Normal"/>
    <w:qFormat/>
    <w:rsid w:val="00F54E74"/>
    <w:pPr>
      <w:outlineLvl w:val="9"/>
    </w:pPr>
  </w:style>
  <w:style w:type="paragraph" w:customStyle="1" w:styleId="Source">
    <w:name w:val="Source"/>
    <w:basedOn w:val="Note"/>
    <w:next w:val="Normal"/>
    <w:qFormat/>
    <w:rsid w:val="0012053C"/>
  </w:style>
  <w:style w:type="paragraph" w:customStyle="1" w:styleId="Note">
    <w:name w:val="Note"/>
    <w:basedOn w:val="Normal"/>
    <w:next w:val="Normal"/>
    <w:link w:val="NoteChar"/>
    <w:qFormat/>
    <w:rsid w:val="00A87C05"/>
    <w:pPr>
      <w:spacing w:before="80"/>
    </w:pPr>
    <w:rPr>
      <w:sz w:val="17"/>
    </w:rPr>
  </w:style>
  <w:style w:type="character" w:customStyle="1" w:styleId="NoteChar">
    <w:name w:val="Note Char"/>
    <w:link w:val="Note"/>
    <w:rsid w:val="00A87C05"/>
    <w:rPr>
      <w:rFonts w:ascii="Segoe UI" w:hAnsi="Segoe UI"/>
      <w:sz w:val="17"/>
      <w:lang w:eastAsia="en-GB"/>
    </w:rPr>
  </w:style>
  <w:style w:type="paragraph" w:customStyle="1" w:styleId="Subhead">
    <w:name w:val="Subhead"/>
    <w:basedOn w:val="Normal"/>
    <w:next w:val="Year"/>
    <w:qFormat/>
    <w:rsid w:val="00531E12"/>
    <w:pPr>
      <w:spacing w:before="840"/>
      <w:ind w:right="3402"/>
    </w:pPr>
    <w:rPr>
      <w:rFonts w:ascii="Segoe UI Semibold" w:hAnsi="Segoe UI Semibold" w:cs="Segoe UI Semibold"/>
      <w:sz w:val="36"/>
      <w:szCs w:val="26"/>
    </w:rPr>
  </w:style>
  <w:style w:type="paragraph" w:customStyle="1" w:styleId="Year">
    <w:name w:val="Year"/>
    <w:basedOn w:val="Subhead"/>
    <w:next w:val="Subhead"/>
    <w:qFormat/>
    <w:rsid w:val="00531E12"/>
    <w:rPr>
      <w:sz w:val="28"/>
    </w:rPr>
  </w:style>
  <w:style w:type="character" w:styleId="Hyperlink">
    <w:name w:val="Hyperlink"/>
    <w:uiPriority w:val="99"/>
    <w:rsid w:val="003309CA"/>
    <w:rPr>
      <w:b/>
      <w:color w:val="595959" w:themeColor="text1" w:themeTint="A6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</w:style>
  <w:style w:type="paragraph" w:customStyle="1" w:styleId="TableDash">
    <w:name w:val="TableDash"/>
    <w:basedOn w:val="TableText"/>
    <w:qFormat/>
    <w:rsid w:val="0010541C"/>
    <w:pPr>
      <w:numPr>
        <w:numId w:val="3"/>
      </w:numPr>
      <w:spacing w:before="40" w:after="0"/>
    </w:pPr>
    <w:rPr>
      <w:szCs w:val="22"/>
    </w:rPr>
  </w:style>
  <w:style w:type="paragraph" w:styleId="Revision">
    <w:name w:val="Revision"/>
    <w:hidden/>
    <w:uiPriority w:val="99"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customStyle="1" w:styleId="Number">
    <w:name w:val="Number"/>
    <w:basedOn w:val="Normal"/>
    <w:rsid w:val="00F140B2"/>
    <w:pPr>
      <w:numPr>
        <w:numId w:val="5"/>
      </w:numPr>
      <w:spacing w:before="180"/>
    </w:pPr>
    <w:rPr>
      <w:szCs w:val="24"/>
    </w:rPr>
  </w:style>
  <w:style w:type="paragraph" w:customStyle="1" w:styleId="Letter">
    <w:name w:val="Letter"/>
    <w:basedOn w:val="Normal"/>
    <w:qFormat/>
    <w:rsid w:val="00F140B2"/>
    <w:pPr>
      <w:numPr>
        <w:ilvl w:val="4"/>
        <w:numId w:val="5"/>
      </w:numPr>
      <w:spacing w:before="120"/>
    </w:pPr>
  </w:style>
  <w:style w:type="paragraph" w:customStyle="1" w:styleId="Introductoryparagraph">
    <w:name w:val="Introductory paragraph"/>
    <w:basedOn w:val="Normal"/>
    <w:next w:val="Normal"/>
    <w:qFormat/>
    <w:rsid w:val="0012053C"/>
    <w:pPr>
      <w:spacing w:after="240" w:line="216" w:lineRule="auto"/>
      <w:ind w:right="1134"/>
    </w:pPr>
    <w:rPr>
      <w:rFonts w:ascii="Segoe UI Light" w:hAnsi="Segoe UI Light"/>
      <w:color w:val="404040" w:themeColor="text1" w:themeTint="BF"/>
      <w:sz w:val="44"/>
    </w:rPr>
  </w:style>
  <w:style w:type="paragraph" w:customStyle="1" w:styleId="Roman">
    <w:name w:val="Roman"/>
    <w:basedOn w:val="Normal"/>
    <w:qFormat/>
    <w:rsid w:val="00AD6293"/>
    <w:pPr>
      <w:numPr>
        <w:ilvl w:val="5"/>
        <w:numId w:val="5"/>
      </w:numPr>
      <w:spacing w:before="90"/>
    </w:pPr>
    <w:rPr>
      <w:rFonts w:eastAsia="Arial Unicode MS"/>
    </w:rPr>
  </w:style>
  <w:style w:type="paragraph" w:customStyle="1" w:styleId="Sub-number">
    <w:name w:val="Sub-number"/>
    <w:basedOn w:val="Number"/>
    <w:qFormat/>
    <w:rsid w:val="00AF160F"/>
    <w:pPr>
      <w:numPr>
        <w:ilvl w:val="1"/>
      </w:numPr>
      <w:spacing w:before="120"/>
    </w:pPr>
  </w:style>
  <w:style w:type="paragraph" w:customStyle="1" w:styleId="Sub-sub-number">
    <w:name w:val="Sub-sub-number"/>
    <w:basedOn w:val="Number"/>
    <w:qFormat/>
    <w:rsid w:val="008A2322"/>
    <w:pPr>
      <w:numPr>
        <w:ilvl w:val="2"/>
      </w:numPr>
      <w:spacing w:before="60"/>
      <w:ind w:left="1843" w:hanging="709"/>
    </w:pPr>
  </w:style>
  <w:style w:type="paragraph" w:styleId="Caption">
    <w:name w:val="caption"/>
    <w:basedOn w:val="Normal"/>
    <w:next w:val="Normal"/>
    <w:uiPriority w:val="35"/>
    <w:unhideWhenUsed/>
    <w:qFormat/>
    <w:rsid w:val="001C6666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39"/>
    <w:rsid w:val="00EF770A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adedboxheading">
    <w:name w:val="Shaded box heading"/>
    <w:basedOn w:val="BoxHeading"/>
    <w:next w:val="Shadedboxtext"/>
    <w:qFormat/>
    <w:rsid w:val="00EF770A"/>
    <w:pPr>
      <w:pBdr>
        <w:top w:val="single" w:sz="4" w:space="12" w:color="FFFFFF" w:themeColor="background1"/>
        <w:left w:val="single" w:sz="4" w:space="12" w:color="FFFFFF" w:themeColor="background1"/>
        <w:bottom w:val="single" w:sz="4" w:space="12" w:color="FFFFFF" w:themeColor="background1"/>
        <w:right w:val="single" w:sz="4" w:space="12" w:color="FFFFFF" w:themeColor="background1"/>
      </w:pBdr>
      <w:shd w:val="clear" w:color="auto" w:fill="D9D9D9" w:themeFill="background1" w:themeFillShade="D9"/>
      <w:spacing w:after="120"/>
    </w:pPr>
    <w:rPr>
      <w:rFonts w:eastAsia="Arial Unicode MS"/>
    </w:rPr>
  </w:style>
  <w:style w:type="paragraph" w:customStyle="1" w:styleId="Shadedboxtext">
    <w:name w:val="Shaded box text"/>
    <w:basedOn w:val="Normal"/>
    <w:qFormat/>
    <w:rsid w:val="00EF770A"/>
    <w:pPr>
      <w:pBdr>
        <w:top w:val="single" w:sz="4" w:space="12" w:color="FFFFFF" w:themeColor="background1"/>
        <w:left w:val="single" w:sz="4" w:space="12" w:color="FFFFFF" w:themeColor="background1"/>
        <w:bottom w:val="single" w:sz="4" w:space="12" w:color="FFFFFF" w:themeColor="background1"/>
        <w:right w:val="single" w:sz="4" w:space="12" w:color="FFFFFF" w:themeColor="background1"/>
      </w:pBdr>
      <w:shd w:val="clear" w:color="auto" w:fill="D9D9D9" w:themeFill="background1" w:themeFillShade="D9"/>
      <w:spacing w:line="264" w:lineRule="auto"/>
      <w:ind w:left="284" w:right="284"/>
    </w:pPr>
    <w:rPr>
      <w:rFonts w:eastAsia="Arial Unicode MS"/>
    </w:rPr>
  </w:style>
  <w:style w:type="character" w:styleId="FollowedHyperlink">
    <w:name w:val="FollowedHyperlink"/>
    <w:basedOn w:val="DefaultParagraphFont"/>
    <w:uiPriority w:val="99"/>
    <w:semiHidden/>
    <w:unhideWhenUsed/>
    <w:rsid w:val="00025F8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hyperlink" Target="https://www.health.govt.nz/our-work/regulation-health-and-disability-system/end-life-choice-act-implementation/end-life-choice-act-implementation-resources" TargetMode="External"/><Relationship Id="rId39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s://www.health.govt.nz/our-work/regulation-health-and-disability-system/end-life-choice-act-implementation/end-life-choice-act-implementation-resources" TargetMode="External"/><Relationship Id="rId34" Type="http://schemas.openxmlformats.org/officeDocument/2006/relationships/hyperlink" Target="https://learnonline.health.nz/course/index.php?categoryid=170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4.xml"/><Relationship Id="rId25" Type="http://schemas.openxmlformats.org/officeDocument/2006/relationships/hyperlink" Target="https://www.legislation.govt.nz/act/public/2019/0067/latest/DLM7285905.html?search=ts_act%40bill%40regulation%40deemedreg_end+of+life+choice+act_resel_25_a&amp;p=1" TargetMode="External"/><Relationship Id="rId33" Type="http://schemas.openxmlformats.org/officeDocument/2006/relationships/hyperlink" Target="mailto:DunedinAASupport@health.govt.nz" TargetMode="External"/><Relationship Id="rId38" Type="http://schemas.openxmlformats.org/officeDocument/2006/relationships/hyperlink" Target="https://gazette.govt.nz/notice/id/2021-go4217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gazette.govt.nz/notice/id/2021-go4217" TargetMode="External"/><Relationship Id="rId29" Type="http://schemas.openxmlformats.org/officeDocument/2006/relationships/hyperlink" Target="https://www.health.govt.nz/our-work/regulation-health-and-disability-system/end-life-choice-act-implementation/end-life-choice-act-implementation-resources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.govt.nz" TargetMode="External"/><Relationship Id="rId24" Type="http://schemas.openxmlformats.org/officeDocument/2006/relationships/hyperlink" Target="https://www.health.govt.nz/our-work/regulation-health-and-disability-system/end-life-choice-act-implementation/end-life-choice-act-statutory-bodies-and-governance" TargetMode="External"/><Relationship Id="rId32" Type="http://schemas.openxmlformats.org/officeDocument/2006/relationships/hyperlink" Target="https://www.health.govt.nz/our-work/regulation-health-and-disability-system/end-life-choice-act-implementation/assisted-dying-service-provision-and-payment" TargetMode="External"/><Relationship Id="rId37" Type="http://schemas.openxmlformats.org/officeDocument/2006/relationships/hyperlink" Target="mailto:eolc@health.govt.nz" TargetMode="External"/><Relationship Id="rId40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s://gazette.govt.nz/notice/id/2021-go4217" TargetMode="External"/><Relationship Id="rId28" Type="http://schemas.openxmlformats.org/officeDocument/2006/relationships/hyperlink" Target="https://www.health.govt.nz/our-work/regulation-health-and-disability-system/end-life-choice-act-implementation/end-life-choice-act-implementation-resources" TargetMode="External"/><Relationship Id="rId36" Type="http://schemas.openxmlformats.org/officeDocument/2006/relationships/hyperlink" Target="mailto:AssistedDying@health.govt.nz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legislation.govt.nz/act/public/2019/0067/latest/DLM7285905.html" TargetMode="External"/><Relationship Id="rId31" Type="http://schemas.openxmlformats.org/officeDocument/2006/relationships/hyperlink" Target="https://www.health.govt.nz/our-work/regulation-health-and-disability-system/end-life-choice-act-implementation/end-life-choice-act-implementation-resourc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s://www.legislation.govt.nz/act/public/2019/0067/latest/DLM7285905.html" TargetMode="External"/><Relationship Id="rId27" Type="http://schemas.openxmlformats.org/officeDocument/2006/relationships/hyperlink" Target="https://gazette.govt.nz/notice/id/2021-go4217" TargetMode="External"/><Relationship Id="rId30" Type="http://schemas.openxmlformats.org/officeDocument/2006/relationships/hyperlink" Target="https://www.health.govt.nz/our-work/regulation-health-and-disability-system/end-life-choice-act-implementation/end-life-choice-act-implementation-resources" TargetMode="External"/><Relationship Id="rId35" Type="http://schemas.openxmlformats.org/officeDocument/2006/relationships/hyperlink" Target="https://www.health.govt.nz/our-work/regulation-health-and-disability-system/end-life-choice-act-implementation/end-life-choice-act-implementation-resource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govt.nz/new-zealand-health-system/claims-provider-payments-and-entitlements/between-travel-settleme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7F6DB-954F-42E9-AA1B-91FCEB8D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1</TotalTime>
  <Pages>18</Pages>
  <Words>4106</Words>
  <Characters>25614</Characters>
  <Application>Microsoft Office Word</Application>
  <DocSecurity>0</DocSecurity>
  <Lines>213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Dying Section 88 Notice User Guide: For primary and private (non-DHB-funded) services</vt:lpstr>
    </vt:vector>
  </TitlesOfParts>
  <Company>Microsoft</Company>
  <LinksUpToDate>false</LinksUpToDate>
  <CharactersWithSpaces>29661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Dying Section 88 Notice User Guide: For primary and private (non-DHB-funded) services</dc:title>
  <dc:creator>Ministry of Health</dc:creator>
  <cp:lastModifiedBy>Julianne Ryan</cp:lastModifiedBy>
  <cp:revision>3</cp:revision>
  <cp:lastPrinted>2021-10-27T02:32:00Z</cp:lastPrinted>
  <dcterms:created xsi:type="dcterms:W3CDTF">2021-10-27T02:32:00Z</dcterms:created>
  <dcterms:modified xsi:type="dcterms:W3CDTF">2021-10-27T02:32:00Z</dcterms:modified>
</cp:coreProperties>
</file>